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35" w:rsidRDefault="00F03535" w:rsidP="00F03535">
      <w:pPr>
        <w:jc w:val="right"/>
        <w:rPr>
          <w:b/>
          <w:sz w:val="28"/>
          <w:szCs w:val="28"/>
        </w:rPr>
      </w:pPr>
      <w:bookmarkStart w:id="0" w:name="_GoBack"/>
      <w:bookmarkEnd w:id="0"/>
      <w:r>
        <w:rPr>
          <w:b/>
          <w:sz w:val="28"/>
          <w:szCs w:val="28"/>
        </w:rPr>
        <w:t>IV.</w:t>
      </w:r>
    </w:p>
    <w:p w:rsidR="00F03535" w:rsidRPr="003533E2" w:rsidRDefault="00F03535" w:rsidP="00F03535">
      <w:pPr>
        <w:jc w:val="center"/>
        <w:rPr>
          <w:b/>
          <w:sz w:val="28"/>
          <w:szCs w:val="28"/>
        </w:rPr>
      </w:pPr>
      <w:r w:rsidRPr="003533E2">
        <w:rPr>
          <w:b/>
          <w:sz w:val="28"/>
          <w:szCs w:val="28"/>
        </w:rPr>
        <w:t>Odůvodnění</w:t>
      </w:r>
    </w:p>
    <w:p w:rsidR="00F03535" w:rsidRDefault="00F03535" w:rsidP="00F03535">
      <w:pPr>
        <w:jc w:val="center"/>
        <w:rPr>
          <w:b/>
        </w:rPr>
      </w:pPr>
    </w:p>
    <w:p w:rsidR="005F5EDB" w:rsidRPr="005F5EDB" w:rsidRDefault="005F5EDB" w:rsidP="005F5EDB">
      <w:pPr>
        <w:outlineLvl w:val="0"/>
        <w:rPr>
          <w:b/>
          <w:u w:val="single"/>
        </w:rPr>
      </w:pPr>
      <w:r w:rsidRPr="005F5EDB">
        <w:rPr>
          <w:b/>
          <w:u w:val="single"/>
        </w:rPr>
        <w:t>I. Obecná část</w:t>
      </w:r>
    </w:p>
    <w:p w:rsidR="005F5EDB" w:rsidRPr="005F5EDB" w:rsidRDefault="005F5EDB" w:rsidP="005F5EDB">
      <w:pPr>
        <w:rPr>
          <w:b/>
          <w:u w:val="single"/>
        </w:rPr>
      </w:pPr>
    </w:p>
    <w:p w:rsidR="005F5EDB" w:rsidRPr="005F5EDB" w:rsidRDefault="005F5EDB" w:rsidP="005F5EDB">
      <w:pPr>
        <w:numPr>
          <w:ilvl w:val="0"/>
          <w:numId w:val="6"/>
        </w:numPr>
        <w:jc w:val="both"/>
        <w:rPr>
          <w:b/>
        </w:rPr>
      </w:pPr>
      <w:r w:rsidRPr="005F5EDB">
        <w:rPr>
          <w:b/>
        </w:rPr>
        <w:t>Zhodnocení platného právního stavu a vysvětlení nezbytnosti navrhované právní úpravy</w:t>
      </w:r>
    </w:p>
    <w:p w:rsidR="005F5EDB" w:rsidRPr="005F5EDB" w:rsidRDefault="005F5EDB" w:rsidP="005F5EDB">
      <w:pPr>
        <w:rPr>
          <w:b/>
        </w:rPr>
      </w:pPr>
    </w:p>
    <w:p w:rsidR="005F5EDB" w:rsidRPr="005F5EDB" w:rsidRDefault="005F5EDB" w:rsidP="005F5EDB">
      <w:pPr>
        <w:ind w:firstLine="360"/>
        <w:jc w:val="both"/>
        <w:rPr>
          <w:bCs/>
          <w:iCs/>
          <w:szCs w:val="20"/>
        </w:rPr>
      </w:pPr>
      <w:r w:rsidRPr="005F5EDB">
        <w:rPr>
          <w:szCs w:val="20"/>
        </w:rPr>
        <w:t xml:space="preserve">Návrh nařízení vlády, o platových poměrech vojáků z povolání, byl vypracován jako prováděcí právní předpis na základě zmocňovacího ustanovení uvedeného v § 68 odst. </w:t>
      </w:r>
      <w:smartTag w:uri="urn:schemas-microsoft-com:office:smarttags" w:element="metricconverter">
        <w:smartTagPr>
          <w:attr w:name="ProductID" w:val="2 a"/>
        </w:smartTagPr>
        <w:r w:rsidRPr="005F5EDB">
          <w:rPr>
            <w:szCs w:val="20"/>
          </w:rPr>
          <w:t>2 a</w:t>
        </w:r>
      </w:smartTag>
      <w:r w:rsidRPr="005F5EDB">
        <w:rPr>
          <w:szCs w:val="20"/>
        </w:rPr>
        <w:t xml:space="preserve"> 4     a v § 68c odst. 2 zákona </w:t>
      </w:r>
      <w:r w:rsidRPr="005F5EDB">
        <w:rPr>
          <w:bCs/>
          <w:iCs/>
          <w:szCs w:val="20"/>
        </w:rPr>
        <w:t xml:space="preserve">č. 221/1999 Sb., o vojácích z povolání, ve znění zákona </w:t>
      </w:r>
      <w:r w:rsidRPr="005F5EDB">
        <w:rPr>
          <w:szCs w:val="20"/>
        </w:rPr>
        <w:t xml:space="preserve">č. ... /2014 Sb., </w:t>
      </w:r>
      <w:r w:rsidRPr="005F5EDB">
        <w:rPr>
          <w:bCs/>
          <w:iCs/>
          <w:szCs w:val="20"/>
        </w:rPr>
        <w:t>kterým se mění zákon č. 221/1999 Sb., o vojácích z povolání, ve znění pozdějších předpisů, a další související zákony.</w:t>
      </w:r>
    </w:p>
    <w:p w:rsidR="005F5EDB" w:rsidRPr="005F5EDB" w:rsidRDefault="005F5EDB" w:rsidP="005F5EDB">
      <w:pPr>
        <w:tabs>
          <w:tab w:val="left" w:pos="426"/>
          <w:tab w:val="num" w:pos="3020"/>
        </w:tabs>
        <w:spacing w:before="120"/>
        <w:jc w:val="both"/>
      </w:pPr>
      <w:r w:rsidRPr="005F5EDB">
        <w:tab/>
        <w:t xml:space="preserve">Důvodem pro vypracování tohoto nařízení vlády je stanovení výše služebních tarifů pro vojáky z povolání a stanovení </w:t>
      </w:r>
      <w:r w:rsidRPr="005F5EDB">
        <w:rPr>
          <w:iCs/>
        </w:rPr>
        <w:t>druhů služebních činností</w:t>
      </w:r>
      <w:r w:rsidRPr="005F5EDB">
        <w:rPr>
          <w:i/>
          <w:iCs/>
        </w:rPr>
        <w:t xml:space="preserve"> </w:t>
      </w:r>
      <w:r w:rsidRPr="005F5EDB">
        <w:rPr>
          <w:iCs/>
        </w:rPr>
        <w:t>v závislosti na míře neuropsychické zátěže a pravděpodobnosti rizika ohrožení života nebo zdraví, podmínky pro poskytování zvláštního příplatku a výši příplatku v jednotlivých druzích výkonu služby.</w:t>
      </w:r>
    </w:p>
    <w:p w:rsidR="005F5EDB" w:rsidRPr="005F5EDB" w:rsidRDefault="005F5EDB" w:rsidP="005F5EDB">
      <w:pPr>
        <w:spacing w:before="120"/>
        <w:ind w:firstLine="357"/>
        <w:jc w:val="both"/>
      </w:pPr>
      <w:r w:rsidRPr="005F5EDB">
        <w:t xml:space="preserve"> Zákonem č. 221/1999 Sb. jsou stanoveny minimální služební tarify pro vojáky z povolání, a tudíž je nezbytné stanovit výši služebních tarifů, které budou náležet vojákům z povolání ode dne účinnosti zákona. Samostatně se stanovuje výše služebních tarifů pro vojáky z povolání v hodnostním sboru čekatelů, kteří konají službu výlučně pod dozorem,       a pro ostatní vojáky z povolání, kteří konají službu samostatně. </w:t>
      </w:r>
    </w:p>
    <w:p w:rsidR="005F5EDB" w:rsidRPr="005F5EDB" w:rsidRDefault="005F5EDB" w:rsidP="005F5EDB">
      <w:pPr>
        <w:spacing w:before="120"/>
        <w:ind w:firstLine="357"/>
        <w:jc w:val="both"/>
      </w:pPr>
      <w:r w:rsidRPr="005F5EDB">
        <w:t xml:space="preserve">Dále se definují služební činnosti, při kterých je vysoce pravděpodobné riziko ohrožení života nebo zdraví, popř. je s nimi spojena neuropsychická zátěž. Tyto činnosti jsou podle míry rizika rozděleny do skupin, ke každé skupině se stanovuje rozpětí zvláštního příplatku v Kč měsíčně. Konkrétní výše příplatku z příslušné rizikové skupiny bude stanovena vnitřním platovým předpisem v závislosti na míře rizika a jeho době a intenzitě působení. Služební orgán oprávněný rozhodnout o složkách služebního platu a o jejich výši tak bude při svém rozhodnutí o stanovení výše konkrétního příplatku vázán vnitřním předpisem, čímž se eliminuje rozdílná výše příplatku u dvou či více vojáků z povolání při výkonu obdobných rizikových činností. </w:t>
      </w:r>
    </w:p>
    <w:p w:rsidR="005F5EDB" w:rsidRPr="005F5EDB" w:rsidRDefault="005F5EDB" w:rsidP="005F5EDB">
      <w:pPr>
        <w:autoSpaceDE w:val="0"/>
        <w:autoSpaceDN w:val="0"/>
        <w:adjustRightInd w:val="0"/>
        <w:jc w:val="both"/>
      </w:pPr>
    </w:p>
    <w:p w:rsidR="005F5EDB" w:rsidRPr="005F5EDB" w:rsidRDefault="005F5EDB" w:rsidP="005F5EDB">
      <w:pPr>
        <w:numPr>
          <w:ilvl w:val="0"/>
          <w:numId w:val="6"/>
        </w:numPr>
        <w:jc w:val="both"/>
        <w:rPr>
          <w:b/>
        </w:rPr>
      </w:pPr>
      <w:r w:rsidRPr="005F5EDB">
        <w:rPr>
          <w:b/>
        </w:rPr>
        <w:t xml:space="preserve">Zhodnocení souladu navrhované právní úpravy se zákonem a s ústavním pořádkem, mezinárodními smlouvami a předpisy Evropské unie </w:t>
      </w:r>
    </w:p>
    <w:p w:rsidR="005F5EDB" w:rsidRPr="005F5EDB" w:rsidRDefault="005F5EDB" w:rsidP="005F5EDB">
      <w:pPr>
        <w:jc w:val="both"/>
      </w:pPr>
    </w:p>
    <w:p w:rsidR="00E83EFA" w:rsidRDefault="00E83EFA" w:rsidP="00E83EFA">
      <w:pPr>
        <w:ind w:firstLine="357"/>
        <w:jc w:val="both"/>
      </w:pPr>
      <w:r>
        <w:t xml:space="preserve">Návrh nařízení vlády je v souladu se zákonem, k jehož provedení má být vydáno,               a s ústavním pořádkem České republiky, s mezinárodními smlouvami, kterými je Česká republika vázána a které byly vyhlášeny ve Sbírce zákonů, popřípadě ve Sbírce mezinárodních smluv, což je především garantováno dodržením zásady stanovení v čl. 78 Ústavy České republiky, tedy principem, že vláda je oprávněna vydat nařízení výlučně            k provedení zákona nebo v jeho mezích. Pokud plnou slučitelnost v uvedených oblastech        v rámci legislativního procesu před publikací ve Sbírce zákonů garantoval již zákon                č. 221/1999 Sb., je zřejmé, že obdobné charakteristiky musí splňovat také k jeho provedení vydávané nařízení vlády.   </w:t>
      </w:r>
    </w:p>
    <w:p w:rsidR="00E83EFA" w:rsidRDefault="00E83EFA" w:rsidP="003E49FC">
      <w:pPr>
        <w:jc w:val="both"/>
      </w:pPr>
    </w:p>
    <w:p w:rsidR="00E83EFA" w:rsidRDefault="00E83EFA" w:rsidP="003E49FC">
      <w:pPr>
        <w:ind w:firstLine="357"/>
        <w:jc w:val="both"/>
      </w:pPr>
      <w:r>
        <w:t xml:space="preserve">Návrh nařízení obecně vychází z čl. 21 a 23 Listiny </w:t>
      </w:r>
      <w:r w:rsidR="003E49FC">
        <w:t xml:space="preserve">základních práv Evropské unie, </w:t>
      </w:r>
      <w:r>
        <w:t xml:space="preserve">tedy zásad stanovených pro oblast rovnosti žen a mužů a zákazu diskriminace, a čl. 6 Smlouvy </w:t>
      </w:r>
      <w:r w:rsidR="003E49FC">
        <w:t xml:space="preserve">       </w:t>
      </w:r>
      <w:r>
        <w:t xml:space="preserve">o Evropské unii, kterým je deklarován princip, že Evropská unie je založena na zásadách svobody, demokracie, úcty k lidským právům a základním svobodám a zákonnosti. Při </w:t>
      </w:r>
      <w:r>
        <w:lastRenderedPageBreak/>
        <w:t xml:space="preserve">přípravě návrhu nařízení byly zohledněny veškeré požadavky týkající se zajištění rovného      zacházení </w:t>
      </w:r>
      <w:r w:rsidR="003E49FC">
        <w:t>s muži a ženami t</w:t>
      </w:r>
      <w:r>
        <w:t xml:space="preserve">ak, jak jsou souborně zakotveny v právních předpisech Evropské unie, zejména pak ve směrnici Rady 76/207/EHS ze dne 9. února 1976 o zavedení rovného zacházení pro muže a ženy, pokud jde o přístup k zaměstnání, odbornému vzdělávání </w:t>
      </w:r>
      <w:r w:rsidR="003E49FC">
        <w:t xml:space="preserve">              </w:t>
      </w:r>
      <w:r>
        <w:t>a postupu v zaměstnání a pracovní podmínky. Na základě respektování takto stanovených požadavků je do právního řádu České republiky začleňován právní předpis, který již přímo svou koncepcí a nastavenými parametry odměňování zcela vylučuje jakoukoliv diskriminac</w:t>
      </w:r>
      <w:r w:rsidR="003E49FC">
        <w:t xml:space="preserve">i  </w:t>
      </w:r>
      <w:r>
        <w:t xml:space="preserve"> z hlediska požadavku na rovné zacházení </w:t>
      </w:r>
      <w:r w:rsidR="003E49FC">
        <w:t xml:space="preserve">s </w:t>
      </w:r>
      <w:r>
        <w:t xml:space="preserve">muži a ženami, neboť předcházení výhodám nebo vyrovnávání nevýhod spojených s případnou diskriminací vylučuje principem odměňování na základě zařazení do hodnosti, tedy primárnímu kritériu, od něhož se teprve následně odvíjí výše odměňování, přičemž toto kritérium (hodnost) je samo ze své povahy genderově neutrální. Nastavení takového kritéria současně vylučuje možnost individuálního rozhodování v dané oblasti, a tedy i v tomto smyslu je vyloučen jakýkoliv možný diskriminační zásah.             </w:t>
      </w:r>
    </w:p>
    <w:p w:rsidR="00E83EFA" w:rsidRDefault="00E83EFA" w:rsidP="00E83EFA">
      <w:pPr>
        <w:ind w:firstLine="357"/>
        <w:jc w:val="both"/>
      </w:pPr>
    </w:p>
    <w:p w:rsidR="00E83EFA" w:rsidRDefault="00E83EFA" w:rsidP="00E83EFA">
      <w:pPr>
        <w:ind w:firstLine="357"/>
        <w:jc w:val="both"/>
      </w:pPr>
      <w:r>
        <w:t>Při zpracování návrhu nařízení bylo konkrétně přihlíž</w:t>
      </w:r>
      <w:r w:rsidR="003E49FC">
        <w:t>eno zejména k zásadám stanoveným</w:t>
      </w:r>
      <w:r>
        <w:t xml:space="preserve"> ve směrnici Evropského parlamentu a Rady 2006/54/ES ze dne 5. července 2006 o zavedení zásady rovných příležitostí a rovného zacházení pro muže a ženy v oblasti zaměstnání </w:t>
      </w:r>
      <w:r w:rsidR="003E49FC">
        <w:t xml:space="preserve">            </w:t>
      </w:r>
      <w:r>
        <w:t xml:space="preserve">a povolání, a ve směrnici Rady 2000/78/ES ze dne 27. listopadu 2000, kterou se stanoví obecný rámec pro rovné zacházení v zaměstnání a povolání.           </w:t>
      </w:r>
    </w:p>
    <w:p w:rsidR="00E83EFA" w:rsidRDefault="00E83EFA" w:rsidP="00E83EFA">
      <w:pPr>
        <w:ind w:firstLine="357"/>
        <w:jc w:val="both"/>
      </w:pPr>
    </w:p>
    <w:p w:rsidR="00E83EFA" w:rsidRDefault="00E83EFA" w:rsidP="00E83EFA">
      <w:pPr>
        <w:ind w:firstLine="357"/>
        <w:jc w:val="both"/>
      </w:pPr>
      <w:r>
        <w:t>Slučitelnost navrhované úpravy je obecně zajištěna již právní úpravou, k jejímuž provedení je návrh nařízení vydáván, a to zejména s přihlédnutím k ustanovení § 2 odst. 3 zákona č. 221/1999 Sb., kterým je princip zákazu diskriminace implementovan</w:t>
      </w:r>
      <w:r w:rsidR="003E49FC">
        <w:t>ý</w:t>
      </w:r>
      <w:r>
        <w:t xml:space="preserve"> jako vůdčí normativní a aplikační zásada tohoto zákona. Slučitelnost návrhu nařízení vlády s právem Evropské unie je tedy primárně garantována již samotným zákonem č. 221/2000 Sb., k jehož provedení je návrh vydáván a který tedy tuto zásadu inkorporuje již ze samotné povahy nařízení vlády ve smyslu čl. 78 Ústavy České republiky.             </w:t>
      </w:r>
    </w:p>
    <w:p w:rsidR="00E83EFA" w:rsidRDefault="00E83EFA" w:rsidP="00E83EFA">
      <w:pPr>
        <w:ind w:firstLine="357"/>
        <w:jc w:val="both"/>
      </w:pPr>
    </w:p>
    <w:p w:rsidR="00E83EFA" w:rsidRDefault="00E83EFA" w:rsidP="00E83EFA">
      <w:pPr>
        <w:ind w:firstLine="357"/>
        <w:jc w:val="both"/>
      </w:pPr>
      <w:r>
        <w:t>Návrh nařízení vlády – jak je již uvedeno výše - významným způsobem posiluje transparentnost podmínek nároku na služební plat, resp. jeho jednotlivé složky</w:t>
      </w:r>
      <w:r w:rsidR="003E49FC">
        <w:t>,</w:t>
      </w:r>
      <w:r>
        <w:t xml:space="preserve"> a díky jejich normativnímu zakotvení eliminuje subjektivní vliv služebního orgánu oprávněného rozhodovat o výši služebního platu a</w:t>
      </w:r>
      <w:r w:rsidR="003E49FC">
        <w:t xml:space="preserve"> o</w:t>
      </w:r>
      <w:r>
        <w:t xml:space="preserve"> podmínk</w:t>
      </w:r>
      <w:r w:rsidR="003E49FC">
        <w:t xml:space="preserve">ách </w:t>
      </w:r>
      <w:r>
        <w:t xml:space="preserve">nároku na složky platu. </w:t>
      </w:r>
    </w:p>
    <w:p w:rsidR="00E83EFA" w:rsidRDefault="003E49FC" w:rsidP="00E83EFA">
      <w:pPr>
        <w:ind w:firstLine="357"/>
        <w:jc w:val="both"/>
      </w:pPr>
      <w:r>
        <w:t xml:space="preserve"> N</w:t>
      </w:r>
      <w:r w:rsidR="00E83EFA">
        <w:t xml:space="preserve">árok na výši služebního tarifu je přímo závislý na stanovené vojenské hodnosti pro systemizované místo, na které voják bude služebně zařazen, přičemž v době vzniku tohoto místa není známo, zda v konkurenčním výběru uspěje voják nebo vojákyně. V případě nároku na zvláštní příplatek se tímto nařízením vlády rozdělují rizikové činnosti do skupin a ke každé rizikové skupině je stanoveno rozpětí zvláštního příplatku. Vnitřním platovým předpisem vydaným ministrem obrany (interně v rámci resortu obecně přístupným) se budou jednotlivá rizika dále rozdělovat do konkrétních rizikových činností, ke kterým bude přiřazena konkrétní výše zvláštního příplatku. Tím se opět dosahuje genderové neutrality. </w:t>
      </w:r>
    </w:p>
    <w:p w:rsidR="00E83EFA" w:rsidRDefault="00E83EFA" w:rsidP="00E83EFA">
      <w:pPr>
        <w:ind w:firstLine="357"/>
        <w:jc w:val="both"/>
      </w:pPr>
      <w:r>
        <w:t xml:space="preserve">Přímo ze zákona č. 221/1999 Sb. pak vyplývají mechanismy, které pro danou oblast garantují jak právo přístupu k informacím, tak splňující účel veřejné kontroly. Vedle obecné úpravy práva přístupu k informacím je totiž zákonem č. 221/1999 Sb. současně stanoveno právo vojáka (vojákyně) nahlížet do podkladů, které byly využity k zúčtování jeho služebního platu. </w:t>
      </w:r>
    </w:p>
    <w:p w:rsidR="005F5EDB" w:rsidRPr="005F5EDB" w:rsidRDefault="00E83EFA" w:rsidP="00E83EFA">
      <w:pPr>
        <w:ind w:firstLine="357"/>
        <w:jc w:val="both"/>
      </w:pPr>
      <w:r>
        <w:t xml:space="preserve">Návrh nařízení vlády lze tedy na základě shora uvedených skutečností považovat za plně slučitelný s právem EU, přičemž v oblasti zákazu diskriminace ho lze považovat za progresivní úpravu vzhledem k provedení normativní výluky možné diskriminace v oblasti odměňování. </w:t>
      </w:r>
      <w:r w:rsidR="005F5EDB" w:rsidRPr="005F5EDB">
        <w:t xml:space="preserve">Návrh nařízení vlády je v souladu se zákonem, k jehož provedení má být vydáno, a s ústavním pořádkem České republiky, s mezinárodními smlouvami, kterými je </w:t>
      </w:r>
      <w:r w:rsidR="005F5EDB" w:rsidRPr="005F5EDB">
        <w:lastRenderedPageBreak/>
        <w:t>Česká republika vázána a které byly vyhlášeny ve Sbírce zákonů, popřípadě ve Sbírce mezinárodních smluv.</w:t>
      </w:r>
    </w:p>
    <w:p w:rsidR="005F5EDB" w:rsidRPr="005F5EDB" w:rsidRDefault="005F5EDB" w:rsidP="005F5EDB">
      <w:pPr>
        <w:jc w:val="both"/>
        <w:rPr>
          <w:b/>
          <w:u w:val="single"/>
        </w:rPr>
      </w:pPr>
    </w:p>
    <w:p w:rsidR="005F5EDB" w:rsidRPr="005F5EDB" w:rsidRDefault="005F5EDB" w:rsidP="005F5EDB">
      <w:pPr>
        <w:numPr>
          <w:ilvl w:val="0"/>
          <w:numId w:val="6"/>
        </w:numPr>
        <w:jc w:val="both"/>
      </w:pPr>
      <w:r w:rsidRPr="005F5EDB">
        <w:rPr>
          <w:b/>
        </w:rPr>
        <w:t>Předpokládaný hospodářský a finanční dosah navrhované právní úpravy na státní rozpočet, ostatní veřejné rozpočty, na podnikatelské prostředí České republiky, sociální dopady, včetně dopadů na specifické skupiny obyvatel, zejména osoby sociálně slabé, osoby se zdravotním postižením a národnostní menšiny, a dopady na životní prostředí</w:t>
      </w:r>
    </w:p>
    <w:p w:rsidR="005F5EDB" w:rsidRPr="005F5EDB" w:rsidRDefault="005F5EDB" w:rsidP="005F5EDB">
      <w:pPr>
        <w:jc w:val="both"/>
      </w:pPr>
    </w:p>
    <w:p w:rsidR="005F5EDB" w:rsidRPr="005F5EDB" w:rsidRDefault="005F5EDB" w:rsidP="005F5EDB">
      <w:pPr>
        <w:ind w:firstLine="708"/>
        <w:jc w:val="both"/>
        <w:rPr>
          <w:bCs/>
          <w:iCs/>
          <w:szCs w:val="20"/>
        </w:rPr>
      </w:pPr>
      <w:r w:rsidRPr="005F5EDB">
        <w:rPr>
          <w:bCs/>
          <w:iCs/>
          <w:szCs w:val="20"/>
        </w:rPr>
        <w:t xml:space="preserve">Kalkulace finančních prostředků pro tuto právní úpravu je ve výši 8,0 mld. Kč. Rozpočtové krytí navržené úpravy bude provedeno v rámci stávajícího objemu rozpočtu kapitoly Ministerstva obrany bez dodatečného požadavku na jeho navýšení. </w:t>
      </w:r>
    </w:p>
    <w:p w:rsidR="005F5EDB" w:rsidRPr="005F5EDB" w:rsidRDefault="005F5EDB" w:rsidP="005F5EDB">
      <w:pPr>
        <w:ind w:firstLine="708"/>
        <w:jc w:val="both"/>
        <w:rPr>
          <w:bCs/>
          <w:iCs/>
          <w:szCs w:val="20"/>
        </w:rPr>
      </w:pPr>
    </w:p>
    <w:p w:rsidR="005F5EDB" w:rsidRPr="005F5EDB" w:rsidRDefault="005F5EDB" w:rsidP="005F5EDB">
      <w:pPr>
        <w:ind w:firstLine="708"/>
        <w:jc w:val="both"/>
        <w:rPr>
          <w:bCs/>
          <w:iCs/>
          <w:szCs w:val="20"/>
        </w:rPr>
      </w:pPr>
      <w:r w:rsidRPr="005F5EDB">
        <w:rPr>
          <w:bCs/>
          <w:iCs/>
          <w:szCs w:val="20"/>
        </w:rPr>
        <w:t>Pro vojáky z povolání v jednotlivých vojenských hodnostech jsou kalkulovány objemy prostředků na služební tarify a prostředky na zvláštní příplatek takto:</w:t>
      </w:r>
    </w:p>
    <w:p w:rsidR="005F5EDB" w:rsidRPr="005F5EDB" w:rsidRDefault="005F5EDB" w:rsidP="005F5EDB">
      <w:pPr>
        <w:ind w:firstLine="708"/>
        <w:jc w:val="both"/>
        <w:rPr>
          <w:bCs/>
          <w:iCs/>
          <w:szCs w:val="20"/>
        </w:rPr>
      </w:pPr>
    </w:p>
    <w:tbl>
      <w:tblPr>
        <w:tblW w:w="8828" w:type="dxa"/>
        <w:tblInd w:w="250" w:type="dxa"/>
        <w:tblCellMar>
          <w:left w:w="70" w:type="dxa"/>
          <w:right w:w="70" w:type="dxa"/>
        </w:tblCellMar>
        <w:tblLook w:val="0000" w:firstRow="0" w:lastRow="0" w:firstColumn="0" w:lastColumn="0" w:noHBand="0" w:noVBand="0"/>
      </w:tblPr>
      <w:tblGrid>
        <w:gridCol w:w="4348"/>
        <w:gridCol w:w="1340"/>
        <w:gridCol w:w="1160"/>
        <w:gridCol w:w="1980"/>
      </w:tblGrid>
      <w:tr w:rsidR="005F5EDB" w:rsidRPr="005F5EDB" w:rsidTr="00230810">
        <w:trPr>
          <w:trHeight w:val="636"/>
        </w:trPr>
        <w:tc>
          <w:tcPr>
            <w:tcW w:w="4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DB" w:rsidRPr="005F5EDB" w:rsidRDefault="005F5EDB" w:rsidP="005F5EDB">
            <w:pPr>
              <w:jc w:val="center"/>
              <w:rPr>
                <w:b/>
                <w:bCs/>
                <w:iCs/>
              </w:rPr>
            </w:pPr>
            <w:r w:rsidRPr="005F5EDB">
              <w:rPr>
                <w:b/>
                <w:bCs/>
                <w:iCs/>
              </w:rPr>
              <w:t>Hodnost</w:t>
            </w:r>
          </w:p>
        </w:tc>
        <w:tc>
          <w:tcPr>
            <w:tcW w:w="1340" w:type="dxa"/>
            <w:tcBorders>
              <w:top w:val="single" w:sz="4" w:space="0" w:color="auto"/>
              <w:left w:val="nil"/>
              <w:bottom w:val="single" w:sz="4" w:space="0" w:color="auto"/>
              <w:right w:val="single" w:sz="4" w:space="0" w:color="auto"/>
            </w:tcBorders>
            <w:shd w:val="clear" w:color="auto" w:fill="auto"/>
            <w:vAlign w:val="center"/>
          </w:tcPr>
          <w:p w:rsidR="005F5EDB" w:rsidRPr="005F5EDB" w:rsidRDefault="005F5EDB" w:rsidP="005F5EDB">
            <w:pPr>
              <w:jc w:val="center"/>
              <w:rPr>
                <w:b/>
                <w:bCs/>
                <w:iCs/>
              </w:rPr>
            </w:pPr>
            <w:r w:rsidRPr="005F5EDB">
              <w:rPr>
                <w:b/>
                <w:bCs/>
                <w:iCs/>
              </w:rPr>
              <w:t>Služební tarif</w:t>
            </w:r>
          </w:p>
        </w:tc>
        <w:tc>
          <w:tcPr>
            <w:tcW w:w="1160" w:type="dxa"/>
            <w:tcBorders>
              <w:top w:val="single" w:sz="4" w:space="0" w:color="auto"/>
              <w:left w:val="nil"/>
              <w:bottom w:val="single" w:sz="4" w:space="0" w:color="auto"/>
              <w:right w:val="single" w:sz="4" w:space="0" w:color="auto"/>
            </w:tcBorders>
            <w:shd w:val="clear" w:color="auto" w:fill="auto"/>
            <w:vAlign w:val="center"/>
          </w:tcPr>
          <w:p w:rsidR="005F5EDB" w:rsidRPr="005F5EDB" w:rsidRDefault="005F5EDB" w:rsidP="005F5EDB">
            <w:pPr>
              <w:jc w:val="center"/>
              <w:rPr>
                <w:b/>
                <w:bCs/>
                <w:iCs/>
              </w:rPr>
            </w:pPr>
            <w:r w:rsidRPr="005F5EDB">
              <w:rPr>
                <w:b/>
                <w:bCs/>
                <w:iCs/>
              </w:rPr>
              <w:t>Počty VZP</w:t>
            </w:r>
          </w:p>
        </w:tc>
        <w:tc>
          <w:tcPr>
            <w:tcW w:w="1980" w:type="dxa"/>
            <w:tcBorders>
              <w:top w:val="single" w:sz="4" w:space="0" w:color="auto"/>
              <w:left w:val="nil"/>
              <w:bottom w:val="single" w:sz="4" w:space="0" w:color="auto"/>
              <w:right w:val="single" w:sz="4" w:space="0" w:color="auto"/>
            </w:tcBorders>
            <w:shd w:val="clear" w:color="auto" w:fill="auto"/>
            <w:vAlign w:val="center"/>
          </w:tcPr>
          <w:p w:rsidR="005F5EDB" w:rsidRPr="005F5EDB" w:rsidRDefault="005F5EDB" w:rsidP="005F5EDB">
            <w:pPr>
              <w:jc w:val="center"/>
              <w:rPr>
                <w:b/>
                <w:bCs/>
                <w:iCs/>
              </w:rPr>
            </w:pPr>
            <w:r w:rsidRPr="005F5EDB">
              <w:rPr>
                <w:b/>
                <w:bCs/>
                <w:iCs/>
              </w:rPr>
              <w:t>Roční objem prostředků na platy</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Vojín</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9 200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265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color w:val="000000"/>
              </w:rPr>
              <w:t>29 256 000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S</w:t>
            </w:r>
            <w:r w:rsidR="005F5EDB" w:rsidRPr="005F5EDB">
              <w:rPr>
                <w:iCs/>
              </w:rPr>
              <w:t>vobodník čekatel</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9 600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192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color w:val="000000"/>
              </w:rPr>
              <w:t>22 118 400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D</w:t>
            </w:r>
            <w:r w:rsidR="005F5EDB" w:rsidRPr="005F5EDB">
              <w:rPr>
                <w:iCs/>
              </w:rPr>
              <w:t>esátník čekatel</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10 000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152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color w:val="000000"/>
              </w:rPr>
              <w:t>18 240 000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Č</w:t>
            </w:r>
            <w:r w:rsidR="005F5EDB" w:rsidRPr="005F5EDB">
              <w:rPr>
                <w:iCs/>
              </w:rPr>
              <w:t>etař čekatel</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10 400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101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color w:val="000000"/>
              </w:rPr>
              <w:t>12 604 800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R</w:t>
            </w:r>
            <w:r w:rsidR="005F5EDB" w:rsidRPr="005F5EDB">
              <w:rPr>
                <w:iCs/>
              </w:rPr>
              <w:t>otný čekatel</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10 800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74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color w:val="000000"/>
              </w:rPr>
              <w:t>9 590 400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R</w:t>
            </w:r>
            <w:r w:rsidR="005F5EDB" w:rsidRPr="005F5EDB">
              <w:rPr>
                <w:iCs/>
              </w:rPr>
              <w:t>otmistr čekatel</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11 200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13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color w:val="000000"/>
              </w:rPr>
              <w:t>1 747 200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N</w:t>
            </w:r>
            <w:r w:rsidR="005F5EDB" w:rsidRPr="005F5EDB">
              <w:rPr>
                <w:iCs/>
              </w:rPr>
              <w:t>adrotmistr čekatel</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11 600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3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color w:val="000000"/>
              </w:rPr>
              <w:t>417 600</w:t>
            </w:r>
          </w:p>
        </w:tc>
      </w:tr>
      <w:tr w:rsidR="005F5EDB" w:rsidRPr="005F5EDB" w:rsidTr="00230810">
        <w:trPr>
          <w:trHeight w:val="264"/>
        </w:trPr>
        <w:tc>
          <w:tcPr>
            <w:tcW w:w="8828" w:type="dxa"/>
            <w:gridSpan w:val="4"/>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jc w:val="right"/>
              <w:rPr>
                <w:iCs/>
              </w:rPr>
            </w:pP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S</w:t>
            </w:r>
            <w:r w:rsidR="005F5EDB" w:rsidRPr="005F5EDB">
              <w:rPr>
                <w:iCs/>
              </w:rPr>
              <w:t>vobodník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19 960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1 028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color w:val="000000"/>
              </w:rPr>
              <w:t>246 226 560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D</w:t>
            </w:r>
            <w:r w:rsidR="005F5EDB" w:rsidRPr="005F5EDB">
              <w:rPr>
                <w:iCs/>
              </w:rPr>
              <w:t xml:space="preserve">esátník </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20 810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3 344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835 063 680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Č</w:t>
            </w:r>
            <w:r w:rsidR="005F5EDB" w:rsidRPr="005F5EDB">
              <w:rPr>
                <w:iCs/>
              </w:rPr>
              <w:t xml:space="preserve">etař </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22 040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2 796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739 486 080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Rotný</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25 710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1 401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432 236 520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Rotmistr</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27 540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2 380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 xml:space="preserve"> 786 542 400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Nadrotmistr</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29 380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1 893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667 396 080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Praporčík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31 420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1 616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609 296 640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Nadpraporčík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33 660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601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242 755 920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Š</w:t>
            </w:r>
            <w:r w:rsidR="005F5EDB" w:rsidRPr="005F5EDB">
              <w:rPr>
                <w:iCs/>
              </w:rPr>
              <w:t>tábní praporčík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43 860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7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color w:val="000000"/>
              </w:rPr>
              <w:t>3 684 240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Poručík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29 580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760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269 769 600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Nadporučík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33 660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1 269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512 574 480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Kapitán</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38 760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1 592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740 471 040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Major</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43 860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1 061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558 425 520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Podplukovník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48 960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1 040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611 020 800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Plukovník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59 160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378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iCs/>
              </w:rPr>
              <w:t>268 349 760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B</w:t>
            </w:r>
            <w:r w:rsidR="005F5EDB" w:rsidRPr="005F5EDB">
              <w:rPr>
                <w:iCs/>
              </w:rPr>
              <w:t>rigádní generál</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69 360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13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color w:val="000000"/>
              </w:rPr>
              <w:t>10 820 160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G</w:t>
            </w:r>
            <w:r w:rsidR="005F5EDB" w:rsidRPr="005F5EDB">
              <w:rPr>
                <w:iCs/>
              </w:rPr>
              <w:t>enerálmajor</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79 560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10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color w:val="000000"/>
              </w:rPr>
              <w:t>9 547 200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G</w:t>
            </w:r>
            <w:r w:rsidR="005F5EDB" w:rsidRPr="005F5EDB">
              <w:rPr>
                <w:iCs/>
              </w:rPr>
              <w:t>enerálporučík</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89 760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4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color w:val="000000"/>
              </w:rPr>
              <w:t>4 308 480</w:t>
            </w:r>
          </w:p>
        </w:tc>
      </w:tr>
      <w:tr w:rsidR="005F5EDB" w:rsidRPr="005F5EDB" w:rsidTr="00230810">
        <w:trPr>
          <w:trHeight w:val="264"/>
        </w:trPr>
        <w:tc>
          <w:tcPr>
            <w:tcW w:w="4348" w:type="dxa"/>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731145" w:rsidP="005F5EDB">
            <w:pPr>
              <w:rPr>
                <w:iCs/>
              </w:rPr>
            </w:pPr>
            <w:r>
              <w:rPr>
                <w:iCs/>
              </w:rPr>
              <w:t>A</w:t>
            </w:r>
            <w:r w:rsidR="005F5EDB" w:rsidRPr="005F5EDB">
              <w:rPr>
                <w:iCs/>
              </w:rPr>
              <w:t>rmádní generál</w:t>
            </w:r>
          </w:p>
        </w:tc>
        <w:tc>
          <w:tcPr>
            <w:tcW w:w="134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99 960    </w:t>
            </w:r>
          </w:p>
        </w:tc>
        <w:tc>
          <w:tcPr>
            <w:tcW w:w="116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rPr>
                <w:iCs/>
              </w:rPr>
            </w:pPr>
            <w:r w:rsidRPr="005F5EDB">
              <w:rPr>
                <w:iCs/>
              </w:rPr>
              <w:t xml:space="preserve">            1    </w:t>
            </w:r>
          </w:p>
        </w:tc>
        <w:tc>
          <w:tcPr>
            <w:tcW w:w="1980" w:type="dxa"/>
            <w:tcBorders>
              <w:top w:val="nil"/>
              <w:left w:val="nil"/>
              <w:bottom w:val="single" w:sz="4" w:space="0" w:color="auto"/>
              <w:right w:val="single" w:sz="4" w:space="0" w:color="auto"/>
            </w:tcBorders>
            <w:shd w:val="clear" w:color="auto" w:fill="auto"/>
            <w:noWrap/>
            <w:vAlign w:val="center"/>
          </w:tcPr>
          <w:p w:rsidR="005F5EDB" w:rsidRPr="005F5EDB" w:rsidRDefault="005F5EDB" w:rsidP="005F5EDB">
            <w:pPr>
              <w:jc w:val="right"/>
              <w:rPr>
                <w:iCs/>
              </w:rPr>
            </w:pPr>
            <w:r w:rsidRPr="005F5EDB">
              <w:rPr>
                <w:color w:val="000000"/>
              </w:rPr>
              <w:t>1 199 520</w:t>
            </w:r>
          </w:p>
        </w:tc>
      </w:tr>
      <w:tr w:rsidR="005F5EDB" w:rsidRPr="005F5EDB" w:rsidTr="00230810">
        <w:trPr>
          <w:trHeight w:val="264"/>
        </w:trPr>
        <w:tc>
          <w:tcPr>
            <w:tcW w:w="6848" w:type="dxa"/>
            <w:gridSpan w:val="3"/>
            <w:tcBorders>
              <w:top w:val="nil"/>
              <w:left w:val="single" w:sz="4" w:space="0" w:color="auto"/>
              <w:bottom w:val="single" w:sz="4" w:space="0" w:color="auto"/>
              <w:right w:val="single" w:sz="4" w:space="0" w:color="auto"/>
            </w:tcBorders>
            <w:shd w:val="clear" w:color="auto" w:fill="auto"/>
            <w:noWrap/>
            <w:vAlign w:val="bottom"/>
          </w:tcPr>
          <w:p w:rsidR="005F5EDB" w:rsidRPr="005F5EDB" w:rsidRDefault="005F5EDB" w:rsidP="005F5EDB">
            <w:pPr>
              <w:rPr>
                <w:b/>
                <w:bCs/>
                <w:iCs/>
              </w:rPr>
            </w:pPr>
            <w:r w:rsidRPr="005F5EDB">
              <w:rPr>
                <w:b/>
                <w:bCs/>
                <w:iCs/>
              </w:rPr>
              <w:t>Služební tarify celkem</w:t>
            </w:r>
          </w:p>
        </w:tc>
        <w:tc>
          <w:tcPr>
            <w:tcW w:w="198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jc w:val="right"/>
              <w:rPr>
                <w:b/>
                <w:bCs/>
                <w:iCs/>
              </w:rPr>
            </w:pPr>
            <w:r w:rsidRPr="005F5EDB">
              <w:rPr>
                <w:b/>
                <w:bCs/>
                <w:iCs/>
              </w:rPr>
              <w:t>7 643 149 080</w:t>
            </w:r>
          </w:p>
        </w:tc>
      </w:tr>
      <w:tr w:rsidR="005F5EDB" w:rsidRPr="005F5EDB" w:rsidTr="00230810">
        <w:trPr>
          <w:trHeight w:val="264"/>
        </w:trPr>
        <w:tc>
          <w:tcPr>
            <w:tcW w:w="8828" w:type="dxa"/>
            <w:gridSpan w:val="4"/>
            <w:tcBorders>
              <w:top w:val="nil"/>
              <w:left w:val="single" w:sz="4" w:space="0" w:color="auto"/>
              <w:bottom w:val="single" w:sz="4" w:space="0" w:color="auto"/>
              <w:right w:val="single" w:sz="4" w:space="0" w:color="auto"/>
            </w:tcBorders>
            <w:shd w:val="clear" w:color="auto" w:fill="auto"/>
            <w:vAlign w:val="bottom"/>
          </w:tcPr>
          <w:p w:rsidR="005F5EDB" w:rsidRPr="005F5EDB" w:rsidRDefault="005F5EDB" w:rsidP="005F5EDB">
            <w:pPr>
              <w:jc w:val="right"/>
              <w:rPr>
                <w:b/>
                <w:bCs/>
                <w:iCs/>
              </w:rPr>
            </w:pPr>
          </w:p>
        </w:tc>
      </w:tr>
      <w:tr w:rsidR="005F5EDB" w:rsidRPr="005F5EDB" w:rsidTr="00230810">
        <w:trPr>
          <w:trHeight w:val="264"/>
        </w:trPr>
        <w:tc>
          <w:tcPr>
            <w:tcW w:w="6848" w:type="dxa"/>
            <w:gridSpan w:val="3"/>
            <w:tcBorders>
              <w:top w:val="nil"/>
              <w:left w:val="single" w:sz="4" w:space="0" w:color="auto"/>
              <w:bottom w:val="single" w:sz="4" w:space="0" w:color="auto"/>
              <w:right w:val="single" w:sz="4" w:space="0" w:color="auto"/>
            </w:tcBorders>
            <w:shd w:val="clear" w:color="auto" w:fill="auto"/>
            <w:vAlign w:val="bottom"/>
          </w:tcPr>
          <w:p w:rsidR="005F5EDB" w:rsidRPr="005F5EDB" w:rsidRDefault="005F5EDB" w:rsidP="005F5EDB">
            <w:pPr>
              <w:rPr>
                <w:bCs/>
                <w:iCs/>
              </w:rPr>
            </w:pPr>
            <w:r w:rsidRPr="005F5EDB">
              <w:rPr>
                <w:bCs/>
                <w:iCs/>
              </w:rPr>
              <w:t>Zvláštní příplatek – I. skupina</w:t>
            </w:r>
          </w:p>
        </w:tc>
        <w:tc>
          <w:tcPr>
            <w:tcW w:w="198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jc w:val="right"/>
              <w:rPr>
                <w:iCs/>
              </w:rPr>
            </w:pPr>
            <w:r w:rsidRPr="005F5EDB">
              <w:rPr>
                <w:iCs/>
              </w:rPr>
              <w:t>180 000 000</w:t>
            </w:r>
          </w:p>
        </w:tc>
      </w:tr>
      <w:tr w:rsidR="005F5EDB" w:rsidRPr="005F5EDB" w:rsidTr="00230810">
        <w:trPr>
          <w:trHeight w:val="264"/>
        </w:trPr>
        <w:tc>
          <w:tcPr>
            <w:tcW w:w="6848" w:type="dxa"/>
            <w:gridSpan w:val="3"/>
            <w:tcBorders>
              <w:top w:val="nil"/>
              <w:left w:val="single" w:sz="4" w:space="0" w:color="auto"/>
              <w:bottom w:val="single" w:sz="4" w:space="0" w:color="auto"/>
              <w:right w:val="single" w:sz="4" w:space="0" w:color="auto"/>
            </w:tcBorders>
            <w:shd w:val="clear" w:color="auto" w:fill="auto"/>
            <w:vAlign w:val="bottom"/>
          </w:tcPr>
          <w:p w:rsidR="005F5EDB" w:rsidRPr="005F5EDB" w:rsidRDefault="005F5EDB" w:rsidP="005F5EDB">
            <w:pPr>
              <w:rPr>
                <w:bCs/>
                <w:iCs/>
              </w:rPr>
            </w:pPr>
            <w:r w:rsidRPr="005F5EDB">
              <w:rPr>
                <w:bCs/>
                <w:iCs/>
              </w:rPr>
              <w:lastRenderedPageBreak/>
              <w:t>Zvláštní příplatek – II. skupina</w:t>
            </w:r>
          </w:p>
        </w:tc>
        <w:tc>
          <w:tcPr>
            <w:tcW w:w="198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jc w:val="right"/>
              <w:rPr>
                <w:iCs/>
              </w:rPr>
            </w:pPr>
            <w:r w:rsidRPr="005F5EDB">
              <w:rPr>
                <w:iCs/>
              </w:rPr>
              <w:t>110 040 000</w:t>
            </w:r>
          </w:p>
        </w:tc>
      </w:tr>
      <w:tr w:rsidR="005F5EDB" w:rsidRPr="005F5EDB" w:rsidTr="00230810">
        <w:trPr>
          <w:trHeight w:val="264"/>
        </w:trPr>
        <w:tc>
          <w:tcPr>
            <w:tcW w:w="6848" w:type="dxa"/>
            <w:gridSpan w:val="3"/>
            <w:tcBorders>
              <w:top w:val="nil"/>
              <w:left w:val="single" w:sz="4" w:space="0" w:color="auto"/>
              <w:bottom w:val="single" w:sz="4" w:space="0" w:color="auto"/>
              <w:right w:val="single" w:sz="4" w:space="0" w:color="auto"/>
            </w:tcBorders>
            <w:shd w:val="clear" w:color="auto" w:fill="auto"/>
            <w:vAlign w:val="bottom"/>
          </w:tcPr>
          <w:p w:rsidR="005F5EDB" w:rsidRPr="005F5EDB" w:rsidRDefault="005F5EDB" w:rsidP="005F5EDB">
            <w:pPr>
              <w:rPr>
                <w:b/>
                <w:bCs/>
                <w:iCs/>
              </w:rPr>
            </w:pPr>
            <w:r w:rsidRPr="005F5EDB">
              <w:rPr>
                <w:bCs/>
                <w:iCs/>
              </w:rPr>
              <w:t>Zvláštní příplatek – III. skupina</w:t>
            </w:r>
          </w:p>
        </w:tc>
        <w:tc>
          <w:tcPr>
            <w:tcW w:w="198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jc w:val="right"/>
              <w:rPr>
                <w:iCs/>
              </w:rPr>
            </w:pPr>
            <w:r w:rsidRPr="005F5EDB">
              <w:rPr>
                <w:iCs/>
              </w:rPr>
              <w:t>52 000 000</w:t>
            </w:r>
          </w:p>
        </w:tc>
      </w:tr>
      <w:tr w:rsidR="005F5EDB" w:rsidRPr="005F5EDB" w:rsidTr="00230810">
        <w:trPr>
          <w:trHeight w:val="264"/>
        </w:trPr>
        <w:tc>
          <w:tcPr>
            <w:tcW w:w="6848" w:type="dxa"/>
            <w:gridSpan w:val="3"/>
            <w:tcBorders>
              <w:top w:val="nil"/>
              <w:left w:val="single" w:sz="4" w:space="0" w:color="auto"/>
              <w:bottom w:val="single" w:sz="4" w:space="0" w:color="auto"/>
              <w:right w:val="single" w:sz="4" w:space="0" w:color="auto"/>
            </w:tcBorders>
            <w:shd w:val="clear" w:color="auto" w:fill="auto"/>
            <w:vAlign w:val="bottom"/>
          </w:tcPr>
          <w:p w:rsidR="005F5EDB" w:rsidRPr="005F5EDB" w:rsidRDefault="005F5EDB" w:rsidP="005F5EDB">
            <w:pPr>
              <w:rPr>
                <w:b/>
                <w:bCs/>
                <w:iCs/>
              </w:rPr>
            </w:pPr>
            <w:r w:rsidRPr="005F5EDB">
              <w:rPr>
                <w:bCs/>
                <w:iCs/>
              </w:rPr>
              <w:t>Zvláštní příplatek – IV. skupina</w:t>
            </w:r>
          </w:p>
        </w:tc>
        <w:tc>
          <w:tcPr>
            <w:tcW w:w="198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jc w:val="right"/>
              <w:rPr>
                <w:iCs/>
              </w:rPr>
            </w:pPr>
            <w:r w:rsidRPr="005F5EDB">
              <w:rPr>
                <w:iCs/>
              </w:rPr>
              <w:t>23 000 000</w:t>
            </w:r>
          </w:p>
        </w:tc>
      </w:tr>
      <w:tr w:rsidR="005F5EDB" w:rsidRPr="005F5EDB" w:rsidTr="00230810">
        <w:trPr>
          <w:trHeight w:val="264"/>
        </w:trPr>
        <w:tc>
          <w:tcPr>
            <w:tcW w:w="6848" w:type="dxa"/>
            <w:gridSpan w:val="3"/>
            <w:tcBorders>
              <w:top w:val="nil"/>
              <w:left w:val="single" w:sz="4" w:space="0" w:color="auto"/>
              <w:bottom w:val="single" w:sz="4" w:space="0" w:color="auto"/>
              <w:right w:val="single" w:sz="4" w:space="0" w:color="auto"/>
            </w:tcBorders>
            <w:shd w:val="clear" w:color="auto" w:fill="auto"/>
            <w:vAlign w:val="bottom"/>
          </w:tcPr>
          <w:p w:rsidR="005F5EDB" w:rsidRPr="005F5EDB" w:rsidRDefault="005F5EDB" w:rsidP="005F5EDB">
            <w:pPr>
              <w:rPr>
                <w:b/>
                <w:bCs/>
                <w:iCs/>
              </w:rPr>
            </w:pPr>
            <w:r w:rsidRPr="005F5EDB">
              <w:rPr>
                <w:b/>
                <w:bCs/>
                <w:iCs/>
              </w:rPr>
              <w:t>Zvláštní příplatek celkem</w:t>
            </w:r>
          </w:p>
        </w:tc>
        <w:tc>
          <w:tcPr>
            <w:tcW w:w="198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jc w:val="right"/>
              <w:rPr>
                <w:b/>
                <w:bCs/>
                <w:iCs/>
              </w:rPr>
            </w:pPr>
            <w:r w:rsidRPr="005F5EDB">
              <w:rPr>
                <w:b/>
                <w:bCs/>
                <w:iCs/>
              </w:rPr>
              <w:t>365 040 000</w:t>
            </w:r>
          </w:p>
        </w:tc>
      </w:tr>
      <w:tr w:rsidR="005F5EDB" w:rsidRPr="005F5EDB" w:rsidTr="00230810">
        <w:trPr>
          <w:trHeight w:val="312"/>
        </w:trPr>
        <w:tc>
          <w:tcPr>
            <w:tcW w:w="6848" w:type="dxa"/>
            <w:gridSpan w:val="3"/>
            <w:tcBorders>
              <w:top w:val="nil"/>
              <w:left w:val="single" w:sz="4" w:space="0" w:color="auto"/>
              <w:bottom w:val="single" w:sz="4" w:space="0" w:color="auto"/>
              <w:right w:val="single" w:sz="4" w:space="0" w:color="auto"/>
            </w:tcBorders>
            <w:shd w:val="clear" w:color="auto" w:fill="auto"/>
            <w:vAlign w:val="bottom"/>
          </w:tcPr>
          <w:p w:rsidR="005F5EDB" w:rsidRPr="005F5EDB" w:rsidRDefault="005F5EDB" w:rsidP="005F5EDB">
            <w:pPr>
              <w:rPr>
                <w:b/>
                <w:bCs/>
                <w:iCs/>
              </w:rPr>
            </w:pPr>
            <w:r w:rsidRPr="005F5EDB">
              <w:rPr>
                <w:b/>
                <w:bCs/>
                <w:iCs/>
              </w:rPr>
              <w:t>Celkem rozpočtová náročnost</w:t>
            </w:r>
          </w:p>
        </w:tc>
        <w:tc>
          <w:tcPr>
            <w:tcW w:w="1980" w:type="dxa"/>
            <w:tcBorders>
              <w:top w:val="nil"/>
              <w:left w:val="nil"/>
              <w:bottom w:val="single" w:sz="4" w:space="0" w:color="auto"/>
              <w:right w:val="single" w:sz="4" w:space="0" w:color="auto"/>
            </w:tcBorders>
            <w:shd w:val="clear" w:color="auto" w:fill="auto"/>
            <w:noWrap/>
            <w:vAlign w:val="bottom"/>
          </w:tcPr>
          <w:p w:rsidR="005F5EDB" w:rsidRPr="005F5EDB" w:rsidRDefault="005F5EDB" w:rsidP="005F5EDB">
            <w:pPr>
              <w:jc w:val="right"/>
              <w:rPr>
                <w:b/>
                <w:bCs/>
                <w:iCs/>
              </w:rPr>
            </w:pPr>
            <w:r w:rsidRPr="005F5EDB">
              <w:rPr>
                <w:b/>
                <w:bCs/>
                <w:iCs/>
              </w:rPr>
              <w:t>8 008 189 080</w:t>
            </w:r>
          </w:p>
        </w:tc>
      </w:tr>
    </w:tbl>
    <w:p w:rsidR="005F5EDB" w:rsidRPr="005F5EDB" w:rsidRDefault="005F5EDB" w:rsidP="005F5EDB">
      <w:pPr>
        <w:ind w:firstLine="284"/>
        <w:jc w:val="both"/>
        <w:rPr>
          <w:bCs/>
          <w:iCs/>
          <w:szCs w:val="20"/>
        </w:rPr>
      </w:pPr>
    </w:p>
    <w:p w:rsidR="005F5EDB" w:rsidRPr="005F5EDB" w:rsidRDefault="005F5EDB" w:rsidP="005F5EDB">
      <w:pPr>
        <w:ind w:firstLine="708"/>
        <w:jc w:val="both"/>
        <w:rPr>
          <w:bCs/>
          <w:iCs/>
          <w:szCs w:val="20"/>
        </w:rPr>
      </w:pPr>
      <w:r w:rsidRPr="005F5EDB">
        <w:rPr>
          <w:iCs/>
          <w:szCs w:val="20"/>
        </w:rPr>
        <w:t>S realizací návrhu nařízení vlády nebudou spojeny žádné další nároky na ostatní veřejné rozpočty a na hospodářské subjekty, ani žádné negativní sociální dopady, nebo dopady na životní prostředí.</w:t>
      </w:r>
    </w:p>
    <w:p w:rsidR="005F5EDB" w:rsidRPr="005F5EDB" w:rsidRDefault="005F5EDB" w:rsidP="005F5EDB">
      <w:pPr>
        <w:jc w:val="both"/>
        <w:rPr>
          <w:b/>
          <w:u w:val="single"/>
        </w:rPr>
      </w:pPr>
    </w:p>
    <w:p w:rsidR="005F5EDB" w:rsidRPr="005F5EDB" w:rsidRDefault="005F5EDB" w:rsidP="005F5EDB">
      <w:pPr>
        <w:numPr>
          <w:ilvl w:val="0"/>
          <w:numId w:val="6"/>
        </w:numPr>
        <w:jc w:val="both"/>
      </w:pPr>
      <w:r w:rsidRPr="005F5EDB">
        <w:rPr>
          <w:b/>
        </w:rPr>
        <w:t>Hodnocení dopadu regulace podle obecných zásad</w:t>
      </w:r>
    </w:p>
    <w:p w:rsidR="005F5EDB" w:rsidRPr="005F5EDB" w:rsidRDefault="005F5EDB" w:rsidP="005F5EDB">
      <w:pPr>
        <w:ind w:firstLine="708"/>
        <w:jc w:val="both"/>
      </w:pPr>
    </w:p>
    <w:p w:rsidR="005F5EDB" w:rsidRPr="005F5EDB" w:rsidRDefault="005F5EDB" w:rsidP="005F5EDB">
      <w:pPr>
        <w:autoSpaceDE w:val="0"/>
        <w:autoSpaceDN w:val="0"/>
        <w:adjustRightInd w:val="0"/>
        <w:ind w:firstLine="360"/>
        <w:jc w:val="both"/>
        <w:rPr>
          <w:rFonts w:ascii="Arial" w:hAnsi="Arial" w:cs="Arial"/>
          <w:color w:val="000000"/>
        </w:rPr>
      </w:pPr>
      <w:r w:rsidRPr="005F5EDB">
        <w:t>Hodnocení dopadů regulace podle Obecných zásad pro hodnocení dopadů regulace (RIA) nebylo prováděno, protože návrh nařízení vlády je právním předpisem, jehož obsah se dotýká výhradně vojáků z povolání, a posouzení dopadů bylo provedeno v rámci legislativního procesu novely zákona č. 221/1999 Sb., o vojácích z povolání, ve znění pozdějších předpisů</w:t>
      </w:r>
      <w:r w:rsidRPr="005F5EDB">
        <w:rPr>
          <w:rFonts w:ascii="Arial" w:hAnsi="Arial" w:cs="Arial"/>
          <w:color w:val="000000"/>
        </w:rPr>
        <w:t>.</w:t>
      </w:r>
    </w:p>
    <w:p w:rsidR="005F5EDB" w:rsidRPr="005F5EDB" w:rsidRDefault="005F5EDB" w:rsidP="005F5EDB">
      <w:pPr>
        <w:rPr>
          <w:b/>
        </w:rPr>
      </w:pPr>
    </w:p>
    <w:p w:rsidR="005F5EDB" w:rsidRPr="005F5EDB" w:rsidRDefault="005F5EDB" w:rsidP="005F5EDB">
      <w:pPr>
        <w:numPr>
          <w:ilvl w:val="0"/>
          <w:numId w:val="6"/>
        </w:numPr>
        <w:jc w:val="both"/>
        <w:rPr>
          <w:b/>
        </w:rPr>
      </w:pPr>
      <w:r w:rsidRPr="005F5EDB">
        <w:rPr>
          <w:b/>
        </w:rPr>
        <w:t>Zhodnocení korupčních rizik, zhodnocení ve vztahu k zákazu diskriminace a k ochraně soukromí a osobních údajů</w:t>
      </w:r>
    </w:p>
    <w:p w:rsidR="005F5EDB" w:rsidRPr="005F5EDB" w:rsidRDefault="005F5EDB" w:rsidP="005F5EDB">
      <w:pPr>
        <w:ind w:firstLine="708"/>
      </w:pPr>
    </w:p>
    <w:p w:rsidR="005F5EDB" w:rsidRPr="005F5EDB" w:rsidRDefault="005F5EDB" w:rsidP="005F5EDB">
      <w:pPr>
        <w:ind w:firstLine="360"/>
        <w:jc w:val="both"/>
      </w:pPr>
      <w:r w:rsidRPr="005F5EDB">
        <w:t>Předloženým návrhem nedochází ke zvýšení korupčního rizika. Návrh nařízení vlády nemá žádné dopady ve vztahu k ochraně soukromí a osobních údajů.</w:t>
      </w:r>
    </w:p>
    <w:p w:rsidR="005F5EDB" w:rsidRPr="005F5EDB" w:rsidRDefault="005F5EDB" w:rsidP="005F5EDB">
      <w:pPr>
        <w:ind w:firstLine="360"/>
        <w:jc w:val="both"/>
      </w:pPr>
      <w:r w:rsidRPr="005F5EDB">
        <w:t>Zákaz diskriminace je upraven v § 2 odst. 3 zákona č. 221/1999 Sb., o vojácích z povolání, ve znění pozdějších předpisů.</w:t>
      </w:r>
    </w:p>
    <w:p w:rsidR="005F5EDB" w:rsidRPr="005F5EDB" w:rsidRDefault="005F5EDB" w:rsidP="005F5EDB">
      <w:pPr>
        <w:rPr>
          <w:b/>
        </w:rPr>
      </w:pPr>
    </w:p>
    <w:p w:rsidR="005F5EDB" w:rsidRPr="005F5EDB" w:rsidRDefault="005F5EDB" w:rsidP="005F5EDB">
      <w:pPr>
        <w:keepNext/>
        <w:spacing w:before="120"/>
        <w:outlineLvl w:val="2"/>
        <w:rPr>
          <w:b/>
          <w:szCs w:val="20"/>
          <w:u w:val="single"/>
        </w:rPr>
      </w:pPr>
      <w:r w:rsidRPr="005F5EDB">
        <w:rPr>
          <w:b/>
          <w:szCs w:val="20"/>
          <w:u w:val="single"/>
        </w:rPr>
        <w:t>II. Zvláštní část</w:t>
      </w:r>
    </w:p>
    <w:p w:rsidR="005F5EDB" w:rsidRPr="005F5EDB" w:rsidRDefault="005F5EDB" w:rsidP="005F5EDB">
      <w:pPr>
        <w:ind w:firstLine="708"/>
        <w:jc w:val="both"/>
        <w:rPr>
          <w:bCs/>
          <w:iCs/>
          <w:szCs w:val="20"/>
        </w:rPr>
      </w:pPr>
      <w:r w:rsidRPr="005F5EDB">
        <w:rPr>
          <w:bCs/>
          <w:iCs/>
          <w:szCs w:val="20"/>
        </w:rPr>
        <w:t xml:space="preserve"> </w:t>
      </w:r>
    </w:p>
    <w:p w:rsidR="005F5EDB" w:rsidRPr="005F5EDB" w:rsidRDefault="005F5EDB" w:rsidP="005F5EDB">
      <w:pPr>
        <w:jc w:val="both"/>
        <w:rPr>
          <w:bCs/>
          <w:szCs w:val="20"/>
          <w:u w:val="single"/>
        </w:rPr>
      </w:pPr>
      <w:r w:rsidRPr="005F5EDB">
        <w:rPr>
          <w:bCs/>
          <w:szCs w:val="20"/>
          <w:u w:val="single"/>
        </w:rPr>
        <w:t>K § 1</w:t>
      </w:r>
    </w:p>
    <w:p w:rsidR="005F5EDB" w:rsidRPr="005F5EDB" w:rsidRDefault="005F5EDB" w:rsidP="005F5EDB">
      <w:pPr>
        <w:jc w:val="both"/>
      </w:pPr>
    </w:p>
    <w:p w:rsidR="005F5EDB" w:rsidRPr="005F5EDB" w:rsidRDefault="005F5EDB" w:rsidP="005F5EDB">
      <w:pPr>
        <w:ind w:firstLine="708"/>
        <w:jc w:val="both"/>
        <w:rPr>
          <w:iCs/>
        </w:rPr>
      </w:pPr>
      <w:r w:rsidRPr="005F5EDB">
        <w:t xml:space="preserve">Stanovuje se předmět právní úpravy. Tímto nařízením vlády se v souladu se zmocněním stanovuje výše služebních tarifů pro vojáky z povolání a </w:t>
      </w:r>
      <w:r w:rsidRPr="005F5EDB">
        <w:rPr>
          <w:iCs/>
        </w:rPr>
        <w:t>druhy služebních činností</w:t>
      </w:r>
      <w:r w:rsidRPr="005F5EDB">
        <w:rPr>
          <w:i/>
          <w:iCs/>
        </w:rPr>
        <w:t xml:space="preserve"> </w:t>
      </w:r>
      <w:r w:rsidRPr="005F5EDB">
        <w:rPr>
          <w:iCs/>
        </w:rPr>
        <w:t>v závislosti na míře neuropsychické zátěže a pravděpodobnosti rizika ohrožení života nebo zdraví, podmínky pro poskytování zvláštního příplatku a výši příplatku v jednotlivých druzích výkonů služby.</w:t>
      </w:r>
    </w:p>
    <w:p w:rsidR="005F5EDB" w:rsidRPr="005F5EDB" w:rsidRDefault="005F5EDB" w:rsidP="005F5EDB">
      <w:pPr>
        <w:jc w:val="both"/>
        <w:rPr>
          <w:iCs/>
        </w:rPr>
      </w:pPr>
    </w:p>
    <w:p w:rsidR="005F5EDB" w:rsidRPr="005F5EDB" w:rsidRDefault="005F5EDB" w:rsidP="005F5EDB">
      <w:pPr>
        <w:jc w:val="both"/>
        <w:rPr>
          <w:iCs/>
          <w:u w:val="single"/>
        </w:rPr>
      </w:pPr>
      <w:r w:rsidRPr="005F5EDB">
        <w:rPr>
          <w:iCs/>
          <w:u w:val="single"/>
        </w:rPr>
        <w:t xml:space="preserve">K § 2  </w:t>
      </w:r>
    </w:p>
    <w:p w:rsidR="005F5EDB" w:rsidRPr="005F5EDB" w:rsidRDefault="005F5EDB" w:rsidP="005F5EDB">
      <w:pPr>
        <w:jc w:val="both"/>
        <w:rPr>
          <w:iCs/>
        </w:rPr>
      </w:pPr>
    </w:p>
    <w:p w:rsidR="005F5EDB" w:rsidRPr="005F5EDB" w:rsidRDefault="005F5EDB" w:rsidP="005F5EDB">
      <w:pPr>
        <w:ind w:firstLine="708"/>
        <w:jc w:val="both"/>
        <w:rPr>
          <w:iCs/>
        </w:rPr>
      </w:pPr>
      <w:r w:rsidRPr="005F5EDB">
        <w:rPr>
          <w:iCs/>
        </w:rPr>
        <w:t>V § 68 zákona č. 221/1999 Sb. jsou stanoveny minimální výše služebních tarifů pro jednotlivé vojenské hodnosti. Tyto minimální výše služebních tarifů odpovídají platové úrovni roku 2013. S účinností k 1. listopadu 2014 však dochází k meziročnímu platovému nárůstu, který činí 3,5 % z původních platových tarifů podle nařízení vlády č. 565/2006 Sb.,     o platových poměrech vojáků z povolání, ve znění pozdějších předpisů. Měsíční objem prostředků ve výši 13 mil Kč, který byl potřeba pro tuto úpravu s účinností od 1. listopadu 2014, se přenáší do nárůstu služebních tarifů podle tohoto nařízení vlády tak, aby tento objem zůstal zachován.  Proto se stanovují služební tarify vojáků z povolání ve výši jen o 2 % vyšší než je stanovená minimální výše v § 68 odst. 2 zákona č. 221/1999 Sb.</w:t>
      </w:r>
    </w:p>
    <w:p w:rsidR="005F5EDB" w:rsidRPr="005F5EDB" w:rsidRDefault="005F5EDB" w:rsidP="005F5EDB">
      <w:pPr>
        <w:ind w:firstLine="708"/>
        <w:jc w:val="both"/>
        <w:rPr>
          <w:iCs/>
        </w:rPr>
      </w:pPr>
    </w:p>
    <w:p w:rsidR="005F5EDB" w:rsidRPr="005F5EDB" w:rsidRDefault="005F5EDB" w:rsidP="005F5EDB">
      <w:pPr>
        <w:ind w:firstLine="708"/>
        <w:jc w:val="both"/>
        <w:rPr>
          <w:iCs/>
        </w:rPr>
      </w:pPr>
      <w:r w:rsidRPr="005F5EDB">
        <w:rPr>
          <w:iCs/>
        </w:rPr>
        <w:t xml:space="preserve">S ohledem na úpravu minimální mzdy k 1. lednu 2015 jsou služební tarify vojáků ve vojenské hodnosti vojína a v  hodnostním sboru čekatelů adekvátně upraveny nad minimální </w:t>
      </w:r>
      <w:r w:rsidRPr="005F5EDB">
        <w:rPr>
          <w:iCs/>
        </w:rPr>
        <w:lastRenderedPageBreak/>
        <w:t xml:space="preserve">služební tarify stanovené v § 68 odst. 4 zákona č. 221/1999 Sb. tak, aby jejich výše nebyla pod hodnotou minimální mzdy. K tomu bylo přistoupeno z toho důvodu, že pro téměř všechny vojáky v těchto vojenských hodnostech je služební tarif jedinou složkou služebního platu. </w:t>
      </w:r>
    </w:p>
    <w:p w:rsidR="005F5EDB" w:rsidRPr="005F5EDB" w:rsidRDefault="005F5EDB" w:rsidP="005F5EDB">
      <w:pPr>
        <w:jc w:val="both"/>
        <w:rPr>
          <w:iCs/>
        </w:rPr>
      </w:pPr>
    </w:p>
    <w:p w:rsidR="005F5EDB" w:rsidRPr="005F5EDB" w:rsidRDefault="005F5EDB" w:rsidP="005F5EDB">
      <w:pPr>
        <w:jc w:val="both"/>
        <w:rPr>
          <w:iCs/>
          <w:u w:val="single"/>
        </w:rPr>
      </w:pPr>
      <w:r w:rsidRPr="005F5EDB">
        <w:rPr>
          <w:iCs/>
          <w:u w:val="single"/>
        </w:rPr>
        <w:t xml:space="preserve">K § </w:t>
      </w:r>
      <w:smartTag w:uri="urn:schemas-microsoft-com:office:smarttags" w:element="metricconverter">
        <w:smartTagPr>
          <w:attr w:name="ProductID" w:val="3 a"/>
        </w:smartTagPr>
        <w:r w:rsidRPr="005F5EDB">
          <w:rPr>
            <w:iCs/>
            <w:u w:val="single"/>
          </w:rPr>
          <w:t>3 a</w:t>
        </w:r>
      </w:smartTag>
      <w:r w:rsidRPr="005F5EDB">
        <w:rPr>
          <w:iCs/>
          <w:u w:val="single"/>
        </w:rPr>
        <w:t xml:space="preserve"> k příloze č. 1</w:t>
      </w:r>
    </w:p>
    <w:p w:rsidR="005F5EDB" w:rsidRPr="005F5EDB" w:rsidRDefault="005F5EDB" w:rsidP="005F5EDB">
      <w:pPr>
        <w:jc w:val="both"/>
        <w:rPr>
          <w:iCs/>
        </w:rPr>
      </w:pPr>
    </w:p>
    <w:p w:rsidR="005F5EDB" w:rsidRPr="005F5EDB" w:rsidRDefault="005F5EDB" w:rsidP="005F5EDB">
      <w:pPr>
        <w:ind w:firstLine="708"/>
        <w:jc w:val="both"/>
      </w:pPr>
      <w:r w:rsidRPr="005F5EDB">
        <w:rPr>
          <w:iCs/>
        </w:rPr>
        <w:t xml:space="preserve">V souladu se zmocněním v § 68c odst. 2 zákona č. 221/1999 Sb., se </w:t>
      </w:r>
      <w:r w:rsidRPr="005F5EDB">
        <w:t xml:space="preserve">činnosti spojené       s ochranou zájmů státu, při nichž dochází k mimořádné neuropsychické zátěži nebo při nichž může dojít k ohrožení jeho života nebo zdraví, popřípadě k jiným závažným rizikům, rozdělují podle míry ztěžujících vlivů do čtyř skupin. Jednotlivým skupinám se stanovuje rozpětí zvláštního příplatku v Kč měsíčně. </w:t>
      </w:r>
    </w:p>
    <w:p w:rsidR="005F5EDB" w:rsidRPr="005F5EDB" w:rsidRDefault="005F5EDB" w:rsidP="005F5EDB">
      <w:pPr>
        <w:jc w:val="both"/>
      </w:pPr>
    </w:p>
    <w:p w:rsidR="005F5EDB" w:rsidRPr="005F5EDB" w:rsidRDefault="005F5EDB" w:rsidP="005F5EDB">
      <w:pPr>
        <w:ind w:firstLine="708"/>
        <w:jc w:val="both"/>
      </w:pPr>
      <w:r w:rsidRPr="005F5EDB">
        <w:t>Pod pojmem speciální síly se nerozumí vojenský útvar, který by byl svou povahou jedinečný nebo výjimečný, ale speciálními silami je míněn národní strategický prostředek určený k vedení speciálních operací. Speciální operace jsou vojenské aktivity prováděné speciálně předurčenými, organizovanými, vycvičenými a vybavenými silami za použití operačních taktik, technik a způsobů nasazení, které jsou mimo rozsah schopností ostatních (konvenčních) sil. Speciální síly jsou určeny k nasazení zejména ve vysoce rizikových, nepřátelských, nepřístupných či politicky citlivých prostorech. Operace speciálních sil se od operací konvenčních sil liší především ve vyšším stupni přijímaného fyzického a politického rizika.</w:t>
      </w:r>
      <w:r w:rsidRPr="005F5EDB">
        <w:rPr>
          <w:vertAlign w:val="superscript"/>
        </w:rPr>
        <w:footnoteReference w:id="1"/>
      </w:r>
      <w:r w:rsidRPr="005F5EDB">
        <w:t xml:space="preserve"> Speciální síly působí napříč celým operačním spektrem. Provádějí nenápadné, krycí či utajené operace. Získávají informace pro podporu taktického i strategického rozhodování. Vzhledem ke strategickému významu a dopadu speciálních operací probíhá zadávání úkolů      i velení a řízení speciálních sil po přímé linii z nejvyšší politicko-vojenské úrovně.</w:t>
      </w:r>
      <w:r w:rsidRPr="005F5EDB">
        <w:rPr>
          <w:vertAlign w:val="superscript"/>
        </w:rPr>
        <w:footnoteReference w:id="2"/>
      </w:r>
      <w:r w:rsidRPr="005F5EDB">
        <w:t xml:space="preserve"> Speciální síly jsou tvořeny výhradně 601. skupinou speciálních sil a Ředitelstvím řízení speciálních sil.</w:t>
      </w:r>
      <w:r w:rsidRPr="005F5EDB">
        <w:rPr>
          <w:vertAlign w:val="superscript"/>
        </w:rPr>
        <w:footnoteReference w:id="3"/>
      </w:r>
    </w:p>
    <w:p w:rsidR="005F5EDB" w:rsidRPr="005F5EDB" w:rsidRDefault="005F5EDB" w:rsidP="005F5EDB">
      <w:pPr>
        <w:ind w:firstLine="708"/>
        <w:jc w:val="both"/>
      </w:pPr>
    </w:p>
    <w:p w:rsidR="005F5EDB" w:rsidRPr="005F5EDB" w:rsidRDefault="005F5EDB" w:rsidP="005F5EDB">
      <w:pPr>
        <w:ind w:firstLine="708"/>
        <w:jc w:val="both"/>
      </w:pPr>
      <w:r w:rsidRPr="005F5EDB">
        <w:t>Zařazení jednotlivých rizikových činností v působnosti Ministerstva obrany je stanoveno v příloze č. 1 nařízení vlády. Vylučuje se souběh nároku na více zvláštních příplatků. Vojákovi bude příslušet ten zvláštní příplatek, který je pro něj nejvýhodnější.</w:t>
      </w:r>
    </w:p>
    <w:p w:rsidR="005F5EDB" w:rsidRPr="005F5EDB" w:rsidRDefault="005F5EDB" w:rsidP="005F5EDB">
      <w:pPr>
        <w:jc w:val="both"/>
      </w:pPr>
    </w:p>
    <w:p w:rsidR="005F5EDB" w:rsidRPr="005F5EDB" w:rsidRDefault="005F5EDB" w:rsidP="005F5EDB">
      <w:pPr>
        <w:jc w:val="both"/>
        <w:rPr>
          <w:u w:val="single"/>
        </w:rPr>
      </w:pPr>
      <w:r w:rsidRPr="005F5EDB">
        <w:rPr>
          <w:u w:val="single"/>
        </w:rPr>
        <w:t>K § 4</w:t>
      </w:r>
    </w:p>
    <w:p w:rsidR="005F5EDB" w:rsidRPr="005F5EDB" w:rsidRDefault="005F5EDB" w:rsidP="005F5EDB">
      <w:pPr>
        <w:jc w:val="both"/>
      </w:pPr>
    </w:p>
    <w:p w:rsidR="005F5EDB" w:rsidRPr="005F5EDB" w:rsidRDefault="005F5EDB" w:rsidP="005F5EDB">
      <w:pPr>
        <w:ind w:firstLine="708"/>
        <w:jc w:val="both"/>
      </w:pPr>
      <w:r w:rsidRPr="005F5EDB">
        <w:t xml:space="preserve">Stanovuje se účinnost, a to shodně s novelou zákona č. 221/1999 Sb. </w:t>
      </w: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Default="005F5EDB" w:rsidP="005F5EDB">
      <w:pPr>
        <w:jc w:val="both"/>
        <w:rPr>
          <w:b/>
        </w:rPr>
      </w:pPr>
    </w:p>
    <w:p w:rsidR="005F5EDB" w:rsidRPr="002B2B8E" w:rsidRDefault="005F5EDB" w:rsidP="005F5EDB">
      <w:pPr>
        <w:jc w:val="both"/>
        <w:rPr>
          <w:b/>
        </w:rPr>
      </w:pPr>
    </w:p>
    <w:sectPr w:rsidR="005F5EDB" w:rsidRPr="002B2B8E" w:rsidSect="003359B6">
      <w:footerReference w:type="even" r:id="rId7"/>
      <w:footerReference w:type="default" r:id="rId8"/>
      <w:footnotePr>
        <w:pos w:val="beneathText"/>
        <w:numStart w:val="9"/>
      </w:footnotePr>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E8" w:rsidRDefault="00DA64DF">
      <w:r>
        <w:separator/>
      </w:r>
    </w:p>
  </w:endnote>
  <w:endnote w:type="continuationSeparator" w:id="0">
    <w:p w:rsidR="00C418E8" w:rsidRDefault="00D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F1" w:rsidRDefault="00F03535" w:rsidP="0082070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15EF1" w:rsidRDefault="00C255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F1" w:rsidRDefault="00F03535" w:rsidP="0082070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557B">
      <w:rPr>
        <w:rStyle w:val="slostrnky"/>
        <w:noProof/>
      </w:rPr>
      <w:t>1</w:t>
    </w:r>
    <w:r>
      <w:rPr>
        <w:rStyle w:val="slostrnky"/>
      </w:rPr>
      <w:fldChar w:fldCharType="end"/>
    </w:r>
  </w:p>
  <w:p w:rsidR="00C15EF1" w:rsidRDefault="00C255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E8" w:rsidRDefault="00DA64DF">
      <w:r>
        <w:separator/>
      </w:r>
    </w:p>
  </w:footnote>
  <w:footnote w:type="continuationSeparator" w:id="0">
    <w:p w:rsidR="00C418E8" w:rsidRDefault="00DA64DF">
      <w:r>
        <w:continuationSeparator/>
      </w:r>
    </w:p>
  </w:footnote>
  <w:footnote w:id="1">
    <w:p w:rsidR="005F5EDB" w:rsidRDefault="005F5EDB" w:rsidP="005F5EDB">
      <w:pPr>
        <w:pStyle w:val="Textpoznpodarou"/>
      </w:pPr>
      <w:r>
        <w:rPr>
          <w:rStyle w:val="Znakapoznpodarou"/>
        </w:rPr>
        <w:footnoteRef/>
      </w:r>
      <w:r>
        <w:t xml:space="preserve"> MC 437/2 NATO Special Operations Policy, AJP 3.5 Allied Joint Doctrine for Special Operations.</w:t>
      </w:r>
    </w:p>
  </w:footnote>
  <w:footnote w:id="2">
    <w:p w:rsidR="005F5EDB" w:rsidRDefault="005F5EDB" w:rsidP="005F5EDB">
      <w:pPr>
        <w:pStyle w:val="Textpoznpodarou"/>
      </w:pPr>
      <w:r>
        <w:rPr>
          <w:rStyle w:val="Znakapoznpodarou"/>
        </w:rPr>
        <w:footnoteRef/>
      </w:r>
      <w:r>
        <w:t xml:space="preserve"> Usnesení vlády České republiky ze dne </w:t>
      </w:r>
      <w:smartTag w:uri="urn:schemas-microsoft-com:office:smarttags" w:element="date">
        <w:smartTagPr>
          <w:attr w:name="Year" w:val="2011"/>
          <w:attr w:name="Day" w:val="18"/>
          <w:attr w:name="Month" w:val="5"/>
          <w:attr w:name="ls" w:val="trans"/>
        </w:smartTagPr>
        <w:r>
          <w:t>18.5.2011</w:t>
        </w:r>
      </w:smartTag>
      <w:r>
        <w:t xml:space="preserve"> č. 369 Bílá kniha o obraně České republiky.</w:t>
      </w:r>
    </w:p>
  </w:footnote>
  <w:footnote w:id="3">
    <w:p w:rsidR="005F5EDB" w:rsidRPr="00002859" w:rsidRDefault="005F5EDB" w:rsidP="005F5EDB">
      <w:r w:rsidRPr="000744C8">
        <w:rPr>
          <w:rStyle w:val="Znakapoznpodarou"/>
          <w:sz w:val="20"/>
          <w:szCs w:val="20"/>
        </w:rPr>
        <w:footnoteRef/>
      </w:r>
      <w:r>
        <w:t xml:space="preserve"> </w:t>
      </w:r>
      <w:r>
        <w:rPr>
          <w:sz w:val="20"/>
          <w:szCs w:val="20"/>
        </w:rPr>
        <w:t>U</w:t>
      </w:r>
      <w:r w:rsidRPr="00CD4ED3">
        <w:rPr>
          <w:sz w:val="20"/>
          <w:szCs w:val="20"/>
        </w:rPr>
        <w:t xml:space="preserve">snesení vlády České republiky ze dne </w:t>
      </w:r>
      <w:smartTag w:uri="urn:schemas-microsoft-com:office:smarttags" w:element="date">
        <w:smartTagPr>
          <w:attr w:name="Year" w:val="2010"/>
          <w:attr w:name="Day" w:val="19"/>
          <w:attr w:name="Month" w:val="4"/>
          <w:attr w:name="ls" w:val="trans"/>
        </w:smartTagPr>
        <w:r w:rsidRPr="00CD4ED3">
          <w:rPr>
            <w:sz w:val="20"/>
            <w:szCs w:val="20"/>
          </w:rPr>
          <w:t>19.4.2010</w:t>
        </w:r>
      </w:smartTag>
      <w:r w:rsidRPr="00CD4ED3">
        <w:rPr>
          <w:sz w:val="20"/>
          <w:szCs w:val="20"/>
        </w:rPr>
        <w:t xml:space="preserve"> č. 305 o použití speciálních sil a vedení speciálních operací.</w:t>
      </w:r>
      <w:r>
        <w:rPr>
          <w:sz w:val="20"/>
          <w:szCs w:val="20"/>
        </w:rPr>
        <w:t xml:space="preserve"> (</w:t>
      </w:r>
      <w:r w:rsidRPr="00D653B0">
        <w:rPr>
          <w:sz w:val="20"/>
          <w:szCs w:val="20"/>
        </w:rPr>
        <w:t>Použití speciálních sil a vedení speciálních operací (</w:t>
      </w:r>
      <w:r w:rsidRPr="00CD4ED3">
        <w:rPr>
          <w:sz w:val="20"/>
          <w:szCs w:val="20"/>
        </w:rPr>
        <w:t>D481-19/2008/DP-5847)</w:t>
      </w:r>
      <w:r>
        <w:rPr>
          <w:sz w:val="20"/>
          <w:szCs w:val="20"/>
        </w:rPr>
        <w:t>).</w:t>
      </w:r>
    </w:p>
    <w:p w:rsidR="005F5EDB" w:rsidRDefault="005F5EDB" w:rsidP="005F5ED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2FDB"/>
    <w:multiLevelType w:val="hybridMultilevel"/>
    <w:tmpl w:val="2C0A069C"/>
    <w:lvl w:ilvl="0" w:tplc="5DE21C54">
      <w:start w:val="10"/>
      <w:numFmt w:val="lowerLetter"/>
      <w:lvlText w:val="Ad %1)"/>
      <w:lvlJc w:val="left"/>
      <w:pPr>
        <w:tabs>
          <w:tab w:val="num" w:pos="794"/>
        </w:tabs>
        <w:ind w:left="794" w:hanging="79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55D6600"/>
    <w:multiLevelType w:val="hybridMultilevel"/>
    <w:tmpl w:val="CABE756A"/>
    <w:lvl w:ilvl="0" w:tplc="F7BC766E">
      <w:start w:val="14"/>
      <w:numFmt w:val="lowerLetter"/>
      <w:lvlText w:val="Ad %1)"/>
      <w:lvlJc w:val="left"/>
      <w:pPr>
        <w:tabs>
          <w:tab w:val="num" w:pos="794"/>
        </w:tabs>
        <w:ind w:left="794" w:hanging="79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610308D"/>
    <w:multiLevelType w:val="hybridMultilevel"/>
    <w:tmpl w:val="628C019E"/>
    <w:lvl w:ilvl="0" w:tplc="72F806B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7C3470"/>
    <w:multiLevelType w:val="hybridMultilevel"/>
    <w:tmpl w:val="F60487F6"/>
    <w:lvl w:ilvl="0" w:tplc="FEBADA0C">
      <w:start w:val="19"/>
      <w:numFmt w:val="lowerLetter"/>
      <w:lvlText w:val="Ad %1)"/>
      <w:lvlJc w:val="left"/>
      <w:pPr>
        <w:tabs>
          <w:tab w:val="num" w:pos="794"/>
        </w:tabs>
        <w:ind w:left="794" w:hanging="794"/>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060582"/>
    <w:multiLevelType w:val="hybridMultilevel"/>
    <w:tmpl w:val="0298C6B6"/>
    <w:lvl w:ilvl="0" w:tplc="EB8AB232">
      <w:start w:val="15"/>
      <w:numFmt w:val="lowerLetter"/>
      <w:lvlText w:val="Ad %1)"/>
      <w:lvlJc w:val="left"/>
      <w:pPr>
        <w:tabs>
          <w:tab w:val="num" w:pos="794"/>
        </w:tabs>
        <w:ind w:left="794" w:hanging="79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1AF1A0C"/>
    <w:multiLevelType w:val="hybridMultilevel"/>
    <w:tmpl w:val="C90C779E"/>
    <w:lvl w:ilvl="0" w:tplc="E88A8AB6">
      <w:start w:val="1"/>
      <w:numFmt w:val="lowerLetter"/>
      <w:lvlText w:val="Ad %1)"/>
      <w:lvlJc w:val="left"/>
      <w:pPr>
        <w:tabs>
          <w:tab w:val="num" w:pos="794"/>
        </w:tabs>
        <w:ind w:left="794" w:hanging="79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numStart w:val="9"/>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35"/>
    <w:rsid w:val="003E49FC"/>
    <w:rsid w:val="004C7BBF"/>
    <w:rsid w:val="005F5EDB"/>
    <w:rsid w:val="00731145"/>
    <w:rsid w:val="009B7EB4"/>
    <w:rsid w:val="00A21987"/>
    <w:rsid w:val="00BD3FFD"/>
    <w:rsid w:val="00C2557B"/>
    <w:rsid w:val="00C418E8"/>
    <w:rsid w:val="00DA64DF"/>
    <w:rsid w:val="00E83EFA"/>
    <w:rsid w:val="00F03535"/>
    <w:rsid w:val="00FA2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B0EBBB88-A72A-4524-92E5-AC1A69BC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353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F03535"/>
    <w:pPr>
      <w:keepNext/>
      <w:spacing w:before="120"/>
      <w:jc w:val="both"/>
      <w:outlineLvl w:val="1"/>
    </w:pPr>
    <w:rPr>
      <w:b/>
      <w:bCs/>
      <w:u w:val="single"/>
    </w:rPr>
  </w:style>
  <w:style w:type="paragraph" w:styleId="Nadpis3">
    <w:name w:val="heading 3"/>
    <w:basedOn w:val="Normln"/>
    <w:next w:val="Normln"/>
    <w:link w:val="Nadpis3Char"/>
    <w:uiPriority w:val="9"/>
    <w:semiHidden/>
    <w:unhideWhenUsed/>
    <w:qFormat/>
    <w:rsid w:val="005F5ED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0353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rsid w:val="00F03535"/>
    <w:pPr>
      <w:spacing w:after="120"/>
    </w:pPr>
  </w:style>
  <w:style w:type="character" w:customStyle="1" w:styleId="ZkladntextChar">
    <w:name w:val="Základní text Char"/>
    <w:basedOn w:val="Standardnpsmoodstavce"/>
    <w:link w:val="Zkladntext"/>
    <w:rsid w:val="00F03535"/>
    <w:rPr>
      <w:rFonts w:ascii="Times New Roman" w:eastAsia="Times New Roman" w:hAnsi="Times New Roman" w:cs="Times New Roman"/>
      <w:sz w:val="24"/>
      <w:szCs w:val="24"/>
      <w:lang w:eastAsia="cs-CZ"/>
    </w:rPr>
  </w:style>
  <w:style w:type="character" w:customStyle="1" w:styleId="h1a1">
    <w:name w:val="h1a1"/>
    <w:rsid w:val="00F03535"/>
    <w:rPr>
      <w:sz w:val="24"/>
    </w:rPr>
  </w:style>
  <w:style w:type="paragraph" w:customStyle="1" w:styleId="Default">
    <w:name w:val="Default"/>
    <w:rsid w:val="00F0353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pat">
    <w:name w:val="footer"/>
    <w:basedOn w:val="Normln"/>
    <w:link w:val="ZpatChar"/>
    <w:rsid w:val="00F03535"/>
    <w:pPr>
      <w:tabs>
        <w:tab w:val="center" w:pos="4536"/>
        <w:tab w:val="right" w:pos="9072"/>
      </w:tabs>
    </w:pPr>
  </w:style>
  <w:style w:type="character" w:customStyle="1" w:styleId="ZpatChar">
    <w:name w:val="Zápatí Char"/>
    <w:basedOn w:val="Standardnpsmoodstavce"/>
    <w:link w:val="Zpat"/>
    <w:rsid w:val="00F03535"/>
    <w:rPr>
      <w:rFonts w:ascii="Times New Roman" w:eastAsia="Times New Roman" w:hAnsi="Times New Roman" w:cs="Times New Roman"/>
      <w:sz w:val="24"/>
      <w:szCs w:val="24"/>
      <w:lang w:eastAsia="cs-CZ"/>
    </w:rPr>
  </w:style>
  <w:style w:type="character" w:styleId="slostrnky">
    <w:name w:val="page number"/>
    <w:basedOn w:val="Standardnpsmoodstavce"/>
    <w:rsid w:val="00F03535"/>
  </w:style>
  <w:style w:type="paragraph" w:styleId="Textbubliny">
    <w:name w:val="Balloon Text"/>
    <w:basedOn w:val="Normln"/>
    <w:link w:val="TextbublinyChar"/>
    <w:uiPriority w:val="99"/>
    <w:semiHidden/>
    <w:unhideWhenUsed/>
    <w:rsid w:val="00A21987"/>
    <w:rPr>
      <w:rFonts w:ascii="Tahoma" w:hAnsi="Tahoma" w:cs="Tahoma"/>
      <w:sz w:val="16"/>
      <w:szCs w:val="16"/>
    </w:rPr>
  </w:style>
  <w:style w:type="character" w:customStyle="1" w:styleId="TextbublinyChar">
    <w:name w:val="Text bubliny Char"/>
    <w:basedOn w:val="Standardnpsmoodstavce"/>
    <w:link w:val="Textbubliny"/>
    <w:uiPriority w:val="99"/>
    <w:semiHidden/>
    <w:rsid w:val="00A21987"/>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semiHidden/>
    <w:rsid w:val="005F5EDB"/>
    <w:rPr>
      <w:rFonts w:asciiTheme="majorHAnsi" w:eastAsiaTheme="majorEastAsia" w:hAnsiTheme="majorHAnsi" w:cstheme="majorBidi"/>
      <w:b/>
      <w:bCs/>
      <w:color w:val="4F81BD" w:themeColor="accent1"/>
      <w:sz w:val="24"/>
      <w:szCs w:val="24"/>
      <w:lang w:eastAsia="cs-CZ"/>
    </w:rPr>
  </w:style>
  <w:style w:type="paragraph" w:styleId="Textpoznpodarou">
    <w:name w:val="footnote text"/>
    <w:basedOn w:val="Normln"/>
    <w:link w:val="TextpoznpodarouChar"/>
    <w:semiHidden/>
    <w:rsid w:val="005F5EDB"/>
    <w:rPr>
      <w:sz w:val="20"/>
      <w:szCs w:val="20"/>
    </w:rPr>
  </w:style>
  <w:style w:type="character" w:customStyle="1" w:styleId="TextpoznpodarouChar">
    <w:name w:val="Text pozn. pod čarou Char"/>
    <w:basedOn w:val="Standardnpsmoodstavce"/>
    <w:link w:val="Textpoznpodarou"/>
    <w:semiHidden/>
    <w:rsid w:val="005F5EDB"/>
    <w:rPr>
      <w:rFonts w:ascii="Times New Roman" w:eastAsia="Times New Roman" w:hAnsi="Times New Roman" w:cs="Times New Roman"/>
      <w:sz w:val="20"/>
      <w:szCs w:val="20"/>
      <w:lang w:eastAsia="cs-CZ"/>
    </w:rPr>
  </w:style>
  <w:style w:type="character" w:styleId="Znakapoznpodarou">
    <w:name w:val="footnote reference"/>
    <w:semiHidden/>
    <w:rsid w:val="005F5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2106</Words>
  <Characters>12427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Ptáčník Michal - MO 1322 - ŠIS AČR</dc:creator>
  <cp:lastModifiedBy>Střeštíková Hana</cp:lastModifiedBy>
  <cp:revision>2</cp:revision>
  <cp:lastPrinted>2014-10-09T07:23:00Z</cp:lastPrinted>
  <dcterms:created xsi:type="dcterms:W3CDTF">2022-06-15T14:11:00Z</dcterms:created>
  <dcterms:modified xsi:type="dcterms:W3CDTF">2022-06-15T14:11:00Z</dcterms:modified>
</cp:coreProperties>
</file>