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31"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01"/>
        <w:gridCol w:w="26"/>
        <w:gridCol w:w="1374"/>
        <w:gridCol w:w="2098"/>
        <w:gridCol w:w="1738"/>
        <w:gridCol w:w="1292"/>
        <w:gridCol w:w="1104"/>
        <w:gridCol w:w="860"/>
        <w:gridCol w:w="703"/>
        <w:gridCol w:w="2272"/>
        <w:gridCol w:w="1590"/>
        <w:gridCol w:w="818"/>
        <w:gridCol w:w="655"/>
      </w:tblGrid>
      <w:tr w:rsidR="00385001" w:rsidRPr="00400DD5" w:rsidTr="007D3DE8">
        <w:trPr>
          <w:cantSplit/>
          <w:trHeight w:val="274"/>
          <w:tblHeader/>
        </w:trPr>
        <w:tc>
          <w:tcPr>
            <w:tcW w:w="1401" w:type="dxa"/>
          </w:tcPr>
          <w:p w:rsidR="00385001" w:rsidRPr="00400DD5" w:rsidRDefault="00385001" w:rsidP="00385001">
            <w:pPr>
              <w:rPr>
                <w:sz w:val="18"/>
                <w:szCs w:val="18"/>
              </w:rPr>
            </w:pPr>
            <w:bookmarkStart w:id="0" w:name="_GoBack"/>
            <w:bookmarkEnd w:id="0"/>
            <w:r w:rsidRPr="00400DD5">
              <w:rPr>
                <w:sz w:val="18"/>
                <w:szCs w:val="18"/>
              </w:rPr>
              <w:t>Celex:</w:t>
            </w:r>
          </w:p>
        </w:tc>
        <w:tc>
          <w:tcPr>
            <w:tcW w:w="1400" w:type="dxa"/>
            <w:gridSpan w:val="2"/>
            <w:tcBorders>
              <w:top w:val="single" w:sz="4" w:space="0" w:color="auto"/>
            </w:tcBorders>
          </w:tcPr>
          <w:p w:rsidR="00385001" w:rsidRPr="00400DD5" w:rsidRDefault="0005576B" w:rsidP="00385001">
            <w:pPr>
              <w:rPr>
                <w:b/>
                <w:sz w:val="18"/>
                <w:szCs w:val="18"/>
              </w:rPr>
            </w:pPr>
            <w:r w:rsidRPr="0005576B">
              <w:rPr>
                <w:b/>
                <w:sz w:val="18"/>
              </w:rPr>
              <w:t>32021L0338</w:t>
            </w:r>
          </w:p>
        </w:tc>
        <w:tc>
          <w:tcPr>
            <w:tcW w:w="2098" w:type="dxa"/>
            <w:tcBorders>
              <w:top w:val="single" w:sz="4" w:space="0" w:color="auto"/>
            </w:tcBorders>
          </w:tcPr>
          <w:p w:rsidR="00385001" w:rsidRPr="00400DD5" w:rsidRDefault="00385001" w:rsidP="00007FC5">
            <w:pPr>
              <w:rPr>
                <w:sz w:val="18"/>
                <w:szCs w:val="18"/>
              </w:rPr>
            </w:pPr>
            <w:r w:rsidRPr="00400DD5">
              <w:rPr>
                <w:sz w:val="18"/>
                <w:szCs w:val="18"/>
              </w:rPr>
              <w:t>Lhůta pro implementaci</w:t>
            </w:r>
          </w:p>
        </w:tc>
        <w:tc>
          <w:tcPr>
            <w:tcW w:w="1738" w:type="dxa"/>
            <w:tcBorders>
              <w:top w:val="single" w:sz="4" w:space="0" w:color="auto"/>
            </w:tcBorders>
          </w:tcPr>
          <w:p w:rsidR="00385001" w:rsidRPr="00400DD5" w:rsidRDefault="00DA4288" w:rsidP="00385001">
            <w:pPr>
              <w:rPr>
                <w:bCs/>
                <w:sz w:val="18"/>
                <w:szCs w:val="18"/>
              </w:rPr>
            </w:pPr>
            <w:r>
              <w:rPr>
                <w:bCs/>
                <w:sz w:val="18"/>
              </w:rPr>
              <w:t>28. 11</w:t>
            </w:r>
            <w:r w:rsidR="00A70B42" w:rsidRPr="00605684">
              <w:rPr>
                <w:bCs/>
                <w:sz w:val="18"/>
              </w:rPr>
              <w:t>. 2021</w:t>
            </w:r>
          </w:p>
        </w:tc>
        <w:tc>
          <w:tcPr>
            <w:tcW w:w="1292" w:type="dxa"/>
            <w:tcBorders>
              <w:top w:val="single" w:sz="4" w:space="0" w:color="auto"/>
            </w:tcBorders>
          </w:tcPr>
          <w:p w:rsidR="00385001" w:rsidRPr="00400DD5" w:rsidRDefault="00385001" w:rsidP="00007FC5">
            <w:pPr>
              <w:rPr>
                <w:sz w:val="18"/>
                <w:szCs w:val="18"/>
              </w:rPr>
            </w:pPr>
            <w:r w:rsidRPr="00400DD5">
              <w:rPr>
                <w:sz w:val="18"/>
                <w:szCs w:val="18"/>
              </w:rPr>
              <w:t>Úřední věstník</w:t>
            </w:r>
          </w:p>
        </w:tc>
        <w:tc>
          <w:tcPr>
            <w:tcW w:w="1104" w:type="dxa"/>
          </w:tcPr>
          <w:p w:rsidR="00385001" w:rsidRPr="00400DD5" w:rsidRDefault="00CB4BC4" w:rsidP="00385001">
            <w:pPr>
              <w:rPr>
                <w:sz w:val="18"/>
                <w:szCs w:val="18"/>
              </w:rPr>
            </w:pPr>
            <w:r w:rsidRPr="00CB4BC4">
              <w:rPr>
                <w:sz w:val="18"/>
              </w:rPr>
              <w:t>L 68/14</w:t>
            </w:r>
          </w:p>
        </w:tc>
        <w:tc>
          <w:tcPr>
            <w:tcW w:w="860" w:type="dxa"/>
          </w:tcPr>
          <w:p w:rsidR="00385001" w:rsidRPr="00400DD5" w:rsidRDefault="00385001" w:rsidP="00385001">
            <w:pPr>
              <w:rPr>
                <w:sz w:val="18"/>
                <w:szCs w:val="18"/>
              </w:rPr>
            </w:pPr>
            <w:r w:rsidRPr="00400DD5">
              <w:rPr>
                <w:sz w:val="18"/>
                <w:szCs w:val="18"/>
              </w:rPr>
              <w:t>Gestor</w:t>
            </w:r>
          </w:p>
        </w:tc>
        <w:tc>
          <w:tcPr>
            <w:tcW w:w="703" w:type="dxa"/>
          </w:tcPr>
          <w:p w:rsidR="00385001" w:rsidRPr="00400DD5" w:rsidRDefault="00385001" w:rsidP="00385001">
            <w:pPr>
              <w:rPr>
                <w:sz w:val="18"/>
                <w:szCs w:val="18"/>
              </w:rPr>
            </w:pPr>
            <w:r w:rsidRPr="00400DD5">
              <w:rPr>
                <w:sz w:val="18"/>
                <w:szCs w:val="18"/>
              </w:rPr>
              <w:t>MF</w:t>
            </w:r>
          </w:p>
        </w:tc>
        <w:tc>
          <w:tcPr>
            <w:tcW w:w="2272" w:type="dxa"/>
          </w:tcPr>
          <w:p w:rsidR="00385001" w:rsidRPr="00400DD5" w:rsidRDefault="00385001" w:rsidP="00385001">
            <w:pPr>
              <w:jc w:val="right"/>
              <w:rPr>
                <w:sz w:val="18"/>
                <w:szCs w:val="18"/>
              </w:rPr>
            </w:pPr>
            <w:r w:rsidRPr="00400DD5">
              <w:rPr>
                <w:sz w:val="18"/>
                <w:szCs w:val="18"/>
              </w:rPr>
              <w:t>Zpracoval (jméno+datum):</w:t>
            </w:r>
          </w:p>
        </w:tc>
        <w:tc>
          <w:tcPr>
            <w:tcW w:w="3063" w:type="dxa"/>
            <w:gridSpan w:val="3"/>
          </w:tcPr>
          <w:p w:rsidR="00385001" w:rsidRPr="001873A9" w:rsidRDefault="00385001" w:rsidP="006C5594">
            <w:pPr>
              <w:rPr>
                <w:sz w:val="18"/>
              </w:rPr>
            </w:pPr>
          </w:p>
        </w:tc>
      </w:tr>
      <w:tr w:rsidR="00A70B42" w:rsidRPr="00400DD5" w:rsidTr="007D3DE8">
        <w:trPr>
          <w:cantSplit/>
          <w:trHeight w:val="274"/>
          <w:tblHeader/>
        </w:trPr>
        <w:tc>
          <w:tcPr>
            <w:tcW w:w="1401" w:type="dxa"/>
          </w:tcPr>
          <w:p w:rsidR="00A70B42" w:rsidRPr="00400DD5" w:rsidRDefault="00A70B42" w:rsidP="00385001">
            <w:pPr>
              <w:rPr>
                <w:sz w:val="18"/>
                <w:szCs w:val="18"/>
              </w:rPr>
            </w:pPr>
            <w:r>
              <w:rPr>
                <w:sz w:val="18"/>
                <w:szCs w:val="18"/>
              </w:rPr>
              <w:t>Název:</w:t>
            </w:r>
          </w:p>
        </w:tc>
        <w:tc>
          <w:tcPr>
            <w:tcW w:w="9195" w:type="dxa"/>
            <w:gridSpan w:val="8"/>
            <w:tcBorders>
              <w:top w:val="single" w:sz="4" w:space="0" w:color="auto"/>
            </w:tcBorders>
          </w:tcPr>
          <w:p w:rsidR="00A70B42" w:rsidRPr="00024A59" w:rsidRDefault="00A70B42" w:rsidP="00024A59">
            <w:pPr>
              <w:jc w:val="both"/>
              <w:rPr>
                <w:sz w:val="18"/>
              </w:rPr>
            </w:pPr>
            <w:r w:rsidRPr="00605684">
              <w:rPr>
                <w:sz w:val="18"/>
              </w:rPr>
              <w:t>Směrnice Evropského parlamentu</w:t>
            </w:r>
            <w:r w:rsidR="00024A59">
              <w:rPr>
                <w:sz w:val="18"/>
              </w:rPr>
              <w:t xml:space="preserve"> a Rady (EU) 2021/338 ze dne 16. února 2021, </w:t>
            </w:r>
            <w:r w:rsidR="00024A59" w:rsidRPr="00024A59">
              <w:rPr>
                <w:sz w:val="18"/>
              </w:rPr>
              <w:t xml:space="preserve">kterou se mění směrnice 2014/65/EU, pokud jde o požadavky na informace, řízení produktů a limity pozic, a směrnice 2013/36/EU a (EU) 2019/878, pokud jde o použití těchto směrnic v případě investičních podniků, s cílem napomoci oživení po krizi způsobené onemocněním </w:t>
            </w:r>
            <w:r w:rsidR="00007FC5">
              <w:rPr>
                <w:sz w:val="18"/>
              </w:rPr>
              <w:br/>
            </w:r>
            <w:r w:rsidR="00024A59" w:rsidRPr="00024A59">
              <w:rPr>
                <w:sz w:val="18"/>
              </w:rPr>
              <w:t>COVID-19</w:t>
            </w:r>
          </w:p>
        </w:tc>
        <w:tc>
          <w:tcPr>
            <w:tcW w:w="2272" w:type="dxa"/>
          </w:tcPr>
          <w:p w:rsidR="00A70B42" w:rsidRPr="00400DD5" w:rsidRDefault="00A70B42" w:rsidP="00385001">
            <w:pPr>
              <w:jc w:val="right"/>
              <w:rPr>
                <w:sz w:val="18"/>
                <w:szCs w:val="18"/>
              </w:rPr>
            </w:pPr>
            <w:r w:rsidRPr="00605684">
              <w:rPr>
                <w:sz w:val="18"/>
              </w:rPr>
              <w:t>Schválil (jméno+datum):</w:t>
            </w:r>
          </w:p>
        </w:tc>
        <w:tc>
          <w:tcPr>
            <w:tcW w:w="3063" w:type="dxa"/>
            <w:gridSpan w:val="3"/>
          </w:tcPr>
          <w:p w:rsidR="00A70B42" w:rsidRPr="00605684" w:rsidRDefault="00A70B42" w:rsidP="006C5594">
            <w:pPr>
              <w:rPr>
                <w:sz w:val="18"/>
              </w:rPr>
            </w:pPr>
          </w:p>
        </w:tc>
      </w:tr>
      <w:tr w:rsidR="00025712" w:rsidRPr="00605684" w:rsidTr="007D3DE8">
        <w:trPr>
          <w:cantSplit/>
          <w:tblHeader/>
        </w:trPr>
        <w:tc>
          <w:tcPr>
            <w:tcW w:w="6637" w:type="dxa"/>
            <w:gridSpan w:val="5"/>
            <w:tcBorders>
              <w:bottom w:val="single" w:sz="6" w:space="0" w:color="auto"/>
              <w:right w:val="single" w:sz="18" w:space="0" w:color="auto"/>
            </w:tcBorders>
            <w:shd w:val="clear" w:color="auto" w:fill="00FFFF"/>
          </w:tcPr>
          <w:p w:rsidR="00FD02D5" w:rsidRPr="00605684" w:rsidRDefault="00FD02D5">
            <w:pPr>
              <w:rPr>
                <w:sz w:val="16"/>
              </w:rPr>
            </w:pPr>
            <w:r w:rsidRPr="00605684">
              <w:rPr>
                <w:sz w:val="16"/>
              </w:rPr>
              <w:t xml:space="preserve">                                                                Právní předpis EU              </w:t>
            </w:r>
          </w:p>
        </w:tc>
        <w:tc>
          <w:tcPr>
            <w:tcW w:w="9294" w:type="dxa"/>
            <w:gridSpan w:val="8"/>
            <w:tcBorders>
              <w:left w:val="single" w:sz="18" w:space="0" w:color="auto"/>
              <w:bottom w:val="single" w:sz="6" w:space="0" w:color="auto"/>
            </w:tcBorders>
            <w:shd w:val="clear" w:color="auto" w:fill="FFFF00"/>
          </w:tcPr>
          <w:p w:rsidR="00FD02D5" w:rsidRPr="00605684" w:rsidRDefault="00FD02D5">
            <w:pPr>
              <w:jc w:val="center"/>
              <w:rPr>
                <w:sz w:val="16"/>
              </w:rPr>
            </w:pPr>
            <w:r w:rsidRPr="00605684">
              <w:rPr>
                <w:sz w:val="16"/>
              </w:rPr>
              <w:t>Implementační předpisy ČR</w:t>
            </w:r>
          </w:p>
        </w:tc>
      </w:tr>
      <w:tr w:rsidR="00025712" w:rsidRPr="00605684" w:rsidTr="007D3DE8">
        <w:trPr>
          <w:cantSplit/>
          <w:tblHeader/>
        </w:trPr>
        <w:tc>
          <w:tcPr>
            <w:tcW w:w="1427" w:type="dxa"/>
            <w:gridSpan w:val="2"/>
            <w:tcBorders>
              <w:top w:val="single" w:sz="6" w:space="0" w:color="auto"/>
              <w:bottom w:val="single" w:sz="6" w:space="0" w:color="auto"/>
            </w:tcBorders>
          </w:tcPr>
          <w:p w:rsidR="00FD02D5" w:rsidRPr="00605684" w:rsidRDefault="00FD02D5">
            <w:pPr>
              <w:rPr>
                <w:sz w:val="12"/>
              </w:rPr>
            </w:pPr>
            <w:r w:rsidRPr="00605684">
              <w:rPr>
                <w:sz w:val="12"/>
              </w:rPr>
              <w:t>Ustanovení (článek,odst., písm., atd.)</w:t>
            </w:r>
          </w:p>
        </w:tc>
        <w:tc>
          <w:tcPr>
            <w:tcW w:w="5210" w:type="dxa"/>
            <w:gridSpan w:val="3"/>
            <w:tcBorders>
              <w:top w:val="single" w:sz="6" w:space="0" w:color="auto"/>
              <w:bottom w:val="single" w:sz="6" w:space="0" w:color="auto"/>
              <w:right w:val="single" w:sz="18" w:space="0" w:color="auto"/>
            </w:tcBorders>
          </w:tcPr>
          <w:p w:rsidR="00FD02D5" w:rsidRPr="00605684" w:rsidRDefault="00FD02D5">
            <w:pPr>
              <w:jc w:val="center"/>
              <w:rPr>
                <w:sz w:val="12"/>
              </w:rPr>
            </w:pPr>
            <w:r w:rsidRPr="00605684">
              <w:rPr>
                <w:sz w:val="12"/>
              </w:rPr>
              <w:t>Citace ustanovení</w:t>
            </w:r>
          </w:p>
        </w:tc>
        <w:tc>
          <w:tcPr>
            <w:tcW w:w="1292" w:type="dxa"/>
            <w:tcBorders>
              <w:top w:val="single" w:sz="6" w:space="0" w:color="auto"/>
              <w:left w:val="single" w:sz="18" w:space="0" w:color="auto"/>
              <w:bottom w:val="single" w:sz="6" w:space="0" w:color="auto"/>
            </w:tcBorders>
          </w:tcPr>
          <w:p w:rsidR="00FD02D5" w:rsidRPr="00605684" w:rsidRDefault="00FD02D5">
            <w:pPr>
              <w:rPr>
                <w:sz w:val="12"/>
              </w:rPr>
            </w:pPr>
            <w:r w:rsidRPr="00605684">
              <w:rPr>
                <w:sz w:val="12"/>
              </w:rPr>
              <w:t>Číslo Sb. / ID</w:t>
            </w:r>
          </w:p>
        </w:tc>
        <w:tc>
          <w:tcPr>
            <w:tcW w:w="1104" w:type="dxa"/>
            <w:tcBorders>
              <w:top w:val="single" w:sz="6" w:space="0" w:color="auto"/>
              <w:bottom w:val="single" w:sz="6" w:space="0" w:color="auto"/>
            </w:tcBorders>
          </w:tcPr>
          <w:p w:rsidR="00FD02D5" w:rsidRPr="00605684" w:rsidRDefault="00FD02D5">
            <w:pPr>
              <w:rPr>
                <w:sz w:val="12"/>
              </w:rPr>
            </w:pPr>
            <w:r w:rsidRPr="00605684">
              <w:rPr>
                <w:sz w:val="12"/>
              </w:rPr>
              <w:t>Ustanovení (§, odst., písm., atd.)</w:t>
            </w:r>
          </w:p>
        </w:tc>
        <w:tc>
          <w:tcPr>
            <w:tcW w:w="5425" w:type="dxa"/>
            <w:gridSpan w:val="4"/>
            <w:tcBorders>
              <w:top w:val="single" w:sz="6" w:space="0" w:color="auto"/>
              <w:bottom w:val="single" w:sz="6" w:space="0" w:color="auto"/>
            </w:tcBorders>
          </w:tcPr>
          <w:p w:rsidR="00FD02D5" w:rsidRPr="00605684" w:rsidRDefault="00FD02D5">
            <w:pPr>
              <w:jc w:val="center"/>
              <w:rPr>
                <w:sz w:val="12"/>
              </w:rPr>
            </w:pPr>
            <w:r w:rsidRPr="00605684">
              <w:rPr>
                <w:sz w:val="12"/>
              </w:rPr>
              <w:t>Citace ustanovení</w:t>
            </w:r>
          </w:p>
        </w:tc>
        <w:tc>
          <w:tcPr>
            <w:tcW w:w="818" w:type="dxa"/>
            <w:tcBorders>
              <w:top w:val="single" w:sz="6" w:space="0" w:color="auto"/>
              <w:bottom w:val="single" w:sz="6" w:space="0" w:color="auto"/>
            </w:tcBorders>
          </w:tcPr>
          <w:p w:rsidR="00FD02D5" w:rsidRPr="00605684" w:rsidRDefault="00FD02D5">
            <w:pPr>
              <w:rPr>
                <w:sz w:val="12"/>
              </w:rPr>
            </w:pPr>
            <w:r w:rsidRPr="00605684">
              <w:rPr>
                <w:sz w:val="12"/>
              </w:rPr>
              <w:t>Vyhodnocení *</w:t>
            </w:r>
          </w:p>
          <w:p w:rsidR="00FD02D5" w:rsidRPr="00605684" w:rsidRDefault="00FD02D5">
            <w:pPr>
              <w:rPr>
                <w:sz w:val="12"/>
              </w:rPr>
            </w:pPr>
          </w:p>
        </w:tc>
        <w:tc>
          <w:tcPr>
            <w:tcW w:w="655" w:type="dxa"/>
            <w:tcBorders>
              <w:top w:val="single" w:sz="6" w:space="0" w:color="auto"/>
              <w:bottom w:val="single" w:sz="6" w:space="0" w:color="auto"/>
            </w:tcBorders>
          </w:tcPr>
          <w:p w:rsidR="00FD02D5" w:rsidRPr="00605684" w:rsidRDefault="00FD02D5">
            <w:pPr>
              <w:rPr>
                <w:sz w:val="12"/>
              </w:rPr>
            </w:pPr>
            <w:r w:rsidRPr="00605684">
              <w:rPr>
                <w:sz w:val="12"/>
              </w:rPr>
              <w:t>Poznámka</w:t>
            </w:r>
          </w:p>
          <w:p w:rsidR="00FD02D5" w:rsidRPr="00605684" w:rsidRDefault="00FD02D5">
            <w:pPr>
              <w:jc w:val="center"/>
              <w:rPr>
                <w:sz w:val="12"/>
              </w:rPr>
            </w:pPr>
          </w:p>
        </w:tc>
      </w:tr>
      <w:tr w:rsidR="00025712" w:rsidRPr="00605684" w:rsidTr="00092BB3">
        <w:tc>
          <w:tcPr>
            <w:tcW w:w="1427" w:type="dxa"/>
            <w:gridSpan w:val="2"/>
            <w:tcBorders>
              <w:top w:val="single" w:sz="6" w:space="0" w:color="auto"/>
              <w:left w:val="single" w:sz="4" w:space="0" w:color="auto"/>
              <w:bottom w:val="nil"/>
              <w:right w:val="single" w:sz="4" w:space="0" w:color="auto"/>
            </w:tcBorders>
          </w:tcPr>
          <w:p w:rsidR="00FD02D5" w:rsidRPr="00605684" w:rsidRDefault="004A4F32" w:rsidP="00F93F08">
            <w:pPr>
              <w:spacing w:before="40" w:after="40"/>
              <w:rPr>
                <w:sz w:val="18"/>
              </w:rPr>
            </w:pPr>
            <w:r>
              <w:rPr>
                <w:sz w:val="18"/>
              </w:rPr>
              <w:t>Č</w:t>
            </w:r>
            <w:r w:rsidR="00F93F08">
              <w:rPr>
                <w:sz w:val="18"/>
              </w:rPr>
              <w:t xml:space="preserve">lánek </w:t>
            </w:r>
            <w:r w:rsidR="00513559" w:rsidRPr="00605684">
              <w:rPr>
                <w:sz w:val="18"/>
              </w:rPr>
              <w:t>1</w:t>
            </w:r>
            <w:r w:rsidR="00B23183">
              <w:rPr>
                <w:sz w:val="18"/>
              </w:rPr>
              <w:t xml:space="preserve"> bod 1 písm. a)</w:t>
            </w:r>
          </w:p>
        </w:tc>
        <w:tc>
          <w:tcPr>
            <w:tcW w:w="5210" w:type="dxa"/>
            <w:gridSpan w:val="3"/>
            <w:tcBorders>
              <w:top w:val="single" w:sz="6" w:space="0" w:color="auto"/>
              <w:left w:val="single" w:sz="4" w:space="0" w:color="auto"/>
              <w:bottom w:val="nil"/>
              <w:right w:val="single" w:sz="18" w:space="0" w:color="auto"/>
            </w:tcBorders>
          </w:tcPr>
          <w:p w:rsidR="00044BEF" w:rsidRPr="00044BEF" w:rsidRDefault="00044BEF" w:rsidP="00044BEF">
            <w:pPr>
              <w:shd w:val="clear" w:color="auto" w:fill="FFFFFF"/>
              <w:spacing w:before="40" w:after="40"/>
              <w:jc w:val="both"/>
              <w:rPr>
                <w:sz w:val="18"/>
                <w:szCs w:val="18"/>
              </w:rPr>
            </w:pPr>
            <w:r>
              <w:rPr>
                <w:sz w:val="18"/>
                <w:szCs w:val="18"/>
              </w:rPr>
              <w:t>Článek 1</w:t>
            </w:r>
          </w:p>
          <w:p w:rsidR="00B23183" w:rsidRPr="00B23183" w:rsidRDefault="00B23183" w:rsidP="00B23183">
            <w:pPr>
              <w:pStyle w:val="Zpat"/>
              <w:spacing w:before="40" w:after="40"/>
              <w:jc w:val="center"/>
              <w:rPr>
                <w:b/>
                <w:sz w:val="18"/>
                <w:szCs w:val="18"/>
              </w:rPr>
            </w:pPr>
            <w:r w:rsidRPr="00B23183">
              <w:rPr>
                <w:b/>
                <w:sz w:val="18"/>
                <w:szCs w:val="18"/>
              </w:rPr>
              <w:t>Změny směrnice 2014/65/EU</w:t>
            </w:r>
          </w:p>
          <w:p w:rsidR="00B23183" w:rsidRPr="00B23183" w:rsidRDefault="00B23183" w:rsidP="00B23183">
            <w:pPr>
              <w:pStyle w:val="Zpat"/>
              <w:spacing w:before="40" w:after="40"/>
              <w:jc w:val="both"/>
              <w:rPr>
                <w:sz w:val="18"/>
                <w:szCs w:val="18"/>
              </w:rPr>
            </w:pPr>
          </w:p>
          <w:p w:rsidR="00B23183" w:rsidRPr="00B23183" w:rsidRDefault="00B23183" w:rsidP="00B23183">
            <w:pPr>
              <w:pStyle w:val="Zpat"/>
              <w:spacing w:before="40" w:after="40"/>
              <w:jc w:val="both"/>
              <w:rPr>
                <w:sz w:val="18"/>
                <w:szCs w:val="18"/>
              </w:rPr>
            </w:pPr>
            <w:r w:rsidRPr="00B23183">
              <w:rPr>
                <w:sz w:val="18"/>
                <w:szCs w:val="18"/>
              </w:rPr>
              <w:t>Směrnice 2014/65/EU se mění takto:</w:t>
            </w:r>
          </w:p>
          <w:p w:rsidR="002C5422" w:rsidRDefault="002C5422" w:rsidP="00B23183">
            <w:pPr>
              <w:pStyle w:val="Zpat"/>
              <w:spacing w:before="40" w:after="40"/>
              <w:jc w:val="both"/>
              <w:rPr>
                <w:sz w:val="18"/>
                <w:szCs w:val="18"/>
              </w:rPr>
            </w:pPr>
          </w:p>
          <w:p w:rsidR="00B23183" w:rsidRPr="00B23183" w:rsidRDefault="00B23183" w:rsidP="00B23183">
            <w:pPr>
              <w:pStyle w:val="Zpat"/>
              <w:spacing w:before="40" w:after="40"/>
              <w:jc w:val="both"/>
              <w:rPr>
                <w:sz w:val="18"/>
                <w:szCs w:val="18"/>
              </w:rPr>
            </w:pPr>
            <w:r>
              <w:rPr>
                <w:sz w:val="18"/>
                <w:szCs w:val="18"/>
              </w:rPr>
              <w:t xml:space="preserve">1) </w:t>
            </w:r>
            <w:r w:rsidRPr="00B23183">
              <w:rPr>
                <w:sz w:val="18"/>
                <w:szCs w:val="18"/>
              </w:rPr>
              <w:t>Článek 2 se mění takto:</w:t>
            </w:r>
          </w:p>
          <w:p w:rsidR="00B23183" w:rsidRPr="00B23183" w:rsidRDefault="00B23183" w:rsidP="00B23183">
            <w:pPr>
              <w:pStyle w:val="Zpat"/>
              <w:spacing w:before="40" w:after="40"/>
              <w:jc w:val="both"/>
              <w:rPr>
                <w:sz w:val="18"/>
                <w:szCs w:val="18"/>
              </w:rPr>
            </w:pPr>
            <w:r>
              <w:rPr>
                <w:sz w:val="18"/>
                <w:szCs w:val="18"/>
              </w:rPr>
              <w:t xml:space="preserve">a) </w:t>
            </w:r>
            <w:r w:rsidRPr="00B23183">
              <w:rPr>
                <w:sz w:val="18"/>
                <w:szCs w:val="18"/>
              </w:rPr>
              <w:t>v odstavci 1 se písmeno j) nahrazuje tímto:</w:t>
            </w:r>
          </w:p>
          <w:p w:rsidR="00B23183" w:rsidRPr="00B23183" w:rsidRDefault="00B23183" w:rsidP="00B23183">
            <w:pPr>
              <w:pStyle w:val="Zpat"/>
              <w:spacing w:before="40" w:after="40"/>
              <w:jc w:val="both"/>
              <w:rPr>
                <w:sz w:val="18"/>
                <w:szCs w:val="18"/>
              </w:rPr>
            </w:pPr>
            <w:r>
              <w:rPr>
                <w:sz w:val="18"/>
                <w:szCs w:val="18"/>
              </w:rPr>
              <w:t xml:space="preserve">„j) </w:t>
            </w:r>
            <w:r w:rsidRPr="00B23183">
              <w:rPr>
                <w:sz w:val="18"/>
                <w:szCs w:val="18"/>
              </w:rPr>
              <w:t>osoby, které:</w:t>
            </w:r>
          </w:p>
          <w:p w:rsidR="00B23183" w:rsidRPr="00B23183" w:rsidRDefault="00B23183" w:rsidP="00B23183">
            <w:pPr>
              <w:pStyle w:val="Zpat"/>
              <w:spacing w:before="40" w:after="40"/>
              <w:jc w:val="both"/>
              <w:rPr>
                <w:sz w:val="18"/>
                <w:szCs w:val="18"/>
              </w:rPr>
            </w:pPr>
            <w:r>
              <w:rPr>
                <w:sz w:val="18"/>
                <w:szCs w:val="18"/>
              </w:rPr>
              <w:t xml:space="preserve">i) </w:t>
            </w:r>
            <w:r w:rsidRPr="00B23183">
              <w:rPr>
                <w:sz w:val="18"/>
                <w:szCs w:val="18"/>
              </w:rPr>
              <w:t>na vlastní účet obchodují s komoditními deriváty nebo povolenkami na emise či jejich deriváty, včetně tvůrců trhu, s výjimkou osob, které obchodují na vlastní účet při provádění pokynů zákazníka, nebo</w:t>
            </w:r>
          </w:p>
          <w:p w:rsidR="00B23183" w:rsidRPr="00B23183" w:rsidRDefault="00B23183" w:rsidP="00B23183">
            <w:pPr>
              <w:pStyle w:val="Zpat"/>
              <w:spacing w:before="40" w:after="40"/>
              <w:jc w:val="both"/>
              <w:rPr>
                <w:sz w:val="18"/>
                <w:szCs w:val="18"/>
              </w:rPr>
            </w:pPr>
            <w:r>
              <w:rPr>
                <w:sz w:val="18"/>
                <w:szCs w:val="18"/>
              </w:rPr>
              <w:t xml:space="preserve"> ii) </w:t>
            </w:r>
            <w:r w:rsidRPr="00B23183">
              <w:rPr>
                <w:sz w:val="18"/>
                <w:szCs w:val="18"/>
              </w:rPr>
              <w:t>poskytují jiné investiční služby, než je obchodování na vlastní účet ve vztahu ke komoditním derivátům nebo povolenkám na emise či jejich derivátům, zákazníkům nebo dodavatelům své hlavní podnikatelské činnosti,</w:t>
            </w:r>
          </w:p>
          <w:p w:rsidR="00B23183" w:rsidRPr="00B23183" w:rsidRDefault="00B23183" w:rsidP="00B23183">
            <w:pPr>
              <w:pStyle w:val="Zpat"/>
              <w:spacing w:before="40" w:after="40"/>
              <w:jc w:val="both"/>
              <w:rPr>
                <w:sz w:val="18"/>
                <w:szCs w:val="18"/>
              </w:rPr>
            </w:pPr>
            <w:r>
              <w:rPr>
                <w:sz w:val="18"/>
                <w:szCs w:val="18"/>
              </w:rPr>
              <w:t xml:space="preserve"> pokud:</w:t>
            </w:r>
          </w:p>
          <w:p w:rsidR="00B23183" w:rsidRPr="00B23183" w:rsidRDefault="00B23183" w:rsidP="00B23183">
            <w:pPr>
              <w:pStyle w:val="Zpat"/>
              <w:spacing w:before="40" w:after="40"/>
              <w:jc w:val="both"/>
              <w:rPr>
                <w:sz w:val="18"/>
                <w:szCs w:val="18"/>
              </w:rPr>
            </w:pPr>
            <w:r w:rsidRPr="00B23183">
              <w:rPr>
                <w:sz w:val="18"/>
                <w:szCs w:val="18"/>
              </w:rPr>
              <w:t>-</w:t>
            </w:r>
            <w:r>
              <w:rPr>
                <w:sz w:val="18"/>
                <w:szCs w:val="18"/>
              </w:rPr>
              <w:t xml:space="preserve"> </w:t>
            </w:r>
            <w:r w:rsidRPr="00B23183">
              <w:rPr>
                <w:sz w:val="18"/>
                <w:szCs w:val="18"/>
              </w:rPr>
              <w:t>se v každém z uvedených případů jednotlivě i souhrnně při posuzování v rámci skupiny jedná vzhledem k jejich hlavní podnikatelské činnosti o činnost doplňkovou,</w:t>
            </w:r>
          </w:p>
          <w:p w:rsidR="00B23183" w:rsidRPr="00B23183" w:rsidRDefault="00B23183" w:rsidP="00B23183">
            <w:pPr>
              <w:pStyle w:val="Zpat"/>
              <w:spacing w:before="40" w:after="40"/>
              <w:jc w:val="both"/>
              <w:rPr>
                <w:sz w:val="18"/>
                <w:szCs w:val="18"/>
              </w:rPr>
            </w:pPr>
            <w:r>
              <w:rPr>
                <w:sz w:val="18"/>
                <w:szCs w:val="18"/>
              </w:rPr>
              <w:t xml:space="preserve">- </w:t>
            </w:r>
            <w:r w:rsidRPr="00B23183">
              <w:rPr>
                <w:sz w:val="18"/>
                <w:szCs w:val="18"/>
              </w:rPr>
              <w:t>tyto osoby nejsou součástí skupiny, jejíž hlavní podnikatelskou činností je poskytování investičních služeb ve smyslu této směrnice, provádění jakékoliv činnosti uvedené v příloze I směrnice 2013/36/EU ani působení jako tvůrce trhu s komoditními deriváty,</w:t>
            </w:r>
          </w:p>
          <w:p w:rsidR="00B23183" w:rsidRPr="00B23183" w:rsidRDefault="00B23183" w:rsidP="00B23183">
            <w:pPr>
              <w:pStyle w:val="Zpat"/>
              <w:spacing w:before="40" w:after="40"/>
              <w:jc w:val="both"/>
              <w:rPr>
                <w:sz w:val="18"/>
                <w:szCs w:val="18"/>
              </w:rPr>
            </w:pPr>
            <w:r>
              <w:rPr>
                <w:sz w:val="18"/>
                <w:szCs w:val="18"/>
              </w:rPr>
              <w:t xml:space="preserve">- </w:t>
            </w:r>
            <w:r w:rsidRPr="00B23183">
              <w:rPr>
                <w:sz w:val="18"/>
                <w:szCs w:val="18"/>
              </w:rPr>
              <w:t>tyto osoby nepoužívají způsob algoritmického obchodování s vysokou frekvencí a</w:t>
            </w:r>
          </w:p>
          <w:p w:rsidR="00FD02D5" w:rsidRPr="000D5D7C" w:rsidRDefault="00B23183" w:rsidP="00B23183">
            <w:pPr>
              <w:pStyle w:val="Zpat"/>
              <w:spacing w:before="40" w:after="40"/>
              <w:jc w:val="both"/>
              <w:rPr>
                <w:sz w:val="18"/>
                <w:szCs w:val="18"/>
              </w:rPr>
            </w:pPr>
            <w:r>
              <w:rPr>
                <w:sz w:val="18"/>
                <w:szCs w:val="18"/>
              </w:rPr>
              <w:t xml:space="preserve">- </w:t>
            </w:r>
            <w:r w:rsidRPr="00B23183">
              <w:rPr>
                <w:sz w:val="18"/>
                <w:szCs w:val="18"/>
              </w:rPr>
              <w:t>tyto osoby na požádání informují příslušný orgán o důvodech, proč považují svou činnost podle bodů i) a ii) za doplňkovou ke své hlavní podnikatelské činno</w:t>
            </w:r>
            <w:r>
              <w:rPr>
                <w:sz w:val="18"/>
                <w:szCs w:val="18"/>
              </w:rPr>
              <w:t>sti;“</w:t>
            </w:r>
          </w:p>
        </w:tc>
        <w:tc>
          <w:tcPr>
            <w:tcW w:w="1292" w:type="dxa"/>
            <w:tcBorders>
              <w:top w:val="single" w:sz="6" w:space="0" w:color="auto"/>
              <w:left w:val="single" w:sz="18" w:space="0" w:color="auto"/>
              <w:bottom w:val="nil"/>
              <w:right w:val="single" w:sz="4" w:space="0" w:color="auto"/>
            </w:tcBorders>
          </w:tcPr>
          <w:p w:rsidR="00FD02D5" w:rsidRPr="0015492F" w:rsidRDefault="0015492F" w:rsidP="0015492F">
            <w:pPr>
              <w:rPr>
                <w:sz w:val="18"/>
              </w:rPr>
            </w:pPr>
            <w:r>
              <w:rPr>
                <w:sz w:val="18"/>
              </w:rPr>
              <w:t xml:space="preserve">256/2004 </w:t>
            </w:r>
            <w:r w:rsidR="004E649C">
              <w:rPr>
                <w:sz w:val="18"/>
              </w:rPr>
              <w:t>ve znění 96/2022</w:t>
            </w:r>
          </w:p>
        </w:tc>
        <w:tc>
          <w:tcPr>
            <w:tcW w:w="1104" w:type="dxa"/>
            <w:tcBorders>
              <w:top w:val="single" w:sz="6" w:space="0" w:color="auto"/>
              <w:left w:val="single" w:sz="4" w:space="0" w:color="auto"/>
              <w:bottom w:val="nil"/>
              <w:right w:val="single" w:sz="4" w:space="0" w:color="auto"/>
            </w:tcBorders>
          </w:tcPr>
          <w:p w:rsidR="00FD02D5" w:rsidRPr="004E649C" w:rsidRDefault="004E649C" w:rsidP="00605684">
            <w:pPr>
              <w:spacing w:before="40" w:after="40"/>
              <w:rPr>
                <w:sz w:val="18"/>
                <w:szCs w:val="18"/>
              </w:rPr>
            </w:pPr>
            <w:r w:rsidRPr="004E649C">
              <w:rPr>
                <w:sz w:val="18"/>
                <w:szCs w:val="18"/>
              </w:rPr>
              <w:t>§ 4b odst. 5</w:t>
            </w:r>
          </w:p>
        </w:tc>
        <w:tc>
          <w:tcPr>
            <w:tcW w:w="5425" w:type="dxa"/>
            <w:gridSpan w:val="4"/>
            <w:tcBorders>
              <w:top w:val="single" w:sz="6" w:space="0" w:color="auto"/>
              <w:left w:val="single" w:sz="4" w:space="0" w:color="auto"/>
              <w:bottom w:val="nil"/>
              <w:right w:val="single" w:sz="4" w:space="0" w:color="auto"/>
            </w:tcBorders>
          </w:tcPr>
          <w:p w:rsidR="004E649C" w:rsidRPr="004E649C" w:rsidRDefault="004E649C" w:rsidP="004E649C">
            <w:pPr>
              <w:keepNext/>
              <w:keepLines/>
              <w:widowControl w:val="0"/>
              <w:autoSpaceDE w:val="0"/>
              <w:autoSpaceDN w:val="0"/>
              <w:adjustRightInd w:val="0"/>
              <w:jc w:val="both"/>
              <w:rPr>
                <w:sz w:val="18"/>
                <w:szCs w:val="18"/>
              </w:rPr>
            </w:pPr>
            <w:r w:rsidRPr="004E649C">
              <w:rPr>
                <w:sz w:val="18"/>
                <w:szCs w:val="18"/>
              </w:rPr>
              <w:t>(5) Kritéria pro určení toho, kdy má být pro účely odstavce 1 písm. j) v rámci skupiny určitá činnost považována za doplňkovou k hlavní podnikatelské činnosti, upravují čl. 1 až 7 nařízení Komise v přenesené pravomoci (EU) 2021/1833</w:t>
            </w:r>
            <w:r w:rsidRPr="004E649C">
              <w:rPr>
                <w:sz w:val="18"/>
                <w:szCs w:val="18"/>
                <w:vertAlign w:val="superscript"/>
              </w:rPr>
              <w:t>79)</w:t>
            </w:r>
            <w:r w:rsidRPr="004E649C">
              <w:rPr>
                <w:sz w:val="18"/>
                <w:szCs w:val="18"/>
              </w:rPr>
              <w:t>.</w:t>
            </w:r>
          </w:p>
          <w:p w:rsidR="004E649C" w:rsidRPr="004E649C" w:rsidRDefault="004E649C" w:rsidP="004E649C">
            <w:pPr>
              <w:keepNext/>
              <w:keepLines/>
              <w:jc w:val="both"/>
              <w:rPr>
                <w:sz w:val="18"/>
                <w:szCs w:val="18"/>
              </w:rPr>
            </w:pPr>
            <w:r w:rsidRPr="004E649C">
              <w:rPr>
                <w:sz w:val="18"/>
                <w:szCs w:val="18"/>
              </w:rPr>
              <w:t>______________</w:t>
            </w:r>
          </w:p>
          <w:p w:rsidR="004E649C" w:rsidRPr="004E649C" w:rsidRDefault="004E649C" w:rsidP="004E649C">
            <w:pPr>
              <w:keepNext/>
              <w:keepLines/>
              <w:ind w:firstLine="708"/>
              <w:jc w:val="both"/>
              <w:rPr>
                <w:sz w:val="18"/>
                <w:szCs w:val="18"/>
              </w:rPr>
            </w:pPr>
          </w:p>
          <w:p w:rsidR="00BF07CC" w:rsidRPr="0070009A" w:rsidRDefault="004E649C" w:rsidP="0070009A">
            <w:pPr>
              <w:keepNext/>
              <w:keepLines/>
              <w:ind w:left="284" w:hanging="284"/>
              <w:jc w:val="both"/>
              <w:rPr>
                <w:sz w:val="18"/>
                <w:szCs w:val="18"/>
              </w:rPr>
            </w:pPr>
            <w:r w:rsidRPr="004E649C">
              <w:rPr>
                <w:sz w:val="18"/>
                <w:szCs w:val="18"/>
                <w:vertAlign w:val="superscript"/>
              </w:rPr>
              <w:t>79)</w:t>
            </w:r>
            <w:r w:rsidRPr="004E649C">
              <w:rPr>
                <w:sz w:val="18"/>
                <w:szCs w:val="18"/>
              </w:rPr>
              <w:t xml:space="preserve"> Nařízení Komise v přenesené pravomoci (EU) 2021/1833 ze dne 14. července 2021, kterým se doplňuje směrnice Evropského parlamentu a Rady 2014/65/EU upřesněním kritérií k určení toho, kdy má být na úrovni skupiny určitá činnost považována za doplňkovou k hlavní podnikatelské činnosti.</w:t>
            </w:r>
          </w:p>
        </w:tc>
        <w:tc>
          <w:tcPr>
            <w:tcW w:w="818" w:type="dxa"/>
            <w:tcBorders>
              <w:top w:val="single" w:sz="6" w:space="0" w:color="auto"/>
              <w:left w:val="single" w:sz="4" w:space="0" w:color="auto"/>
              <w:bottom w:val="nil"/>
              <w:right w:val="single" w:sz="4" w:space="0" w:color="auto"/>
            </w:tcBorders>
          </w:tcPr>
          <w:p w:rsidR="00FD02D5" w:rsidRPr="00605684" w:rsidRDefault="004E649C" w:rsidP="00605684">
            <w:pPr>
              <w:spacing w:before="40" w:after="40"/>
              <w:rPr>
                <w:sz w:val="18"/>
              </w:rPr>
            </w:pPr>
            <w:r>
              <w:rPr>
                <w:sz w:val="18"/>
              </w:rPr>
              <w:t>P</w:t>
            </w:r>
            <w:r w:rsidR="00092BB3">
              <w:rPr>
                <w:sz w:val="18"/>
              </w:rPr>
              <w:t>T</w:t>
            </w:r>
          </w:p>
        </w:tc>
        <w:tc>
          <w:tcPr>
            <w:tcW w:w="655" w:type="dxa"/>
            <w:tcBorders>
              <w:top w:val="single" w:sz="6" w:space="0" w:color="auto"/>
              <w:left w:val="single" w:sz="4" w:space="0" w:color="auto"/>
              <w:bottom w:val="nil"/>
              <w:right w:val="single" w:sz="4" w:space="0" w:color="auto"/>
            </w:tcBorders>
          </w:tcPr>
          <w:p w:rsidR="00FD02D5" w:rsidRPr="00605684" w:rsidRDefault="00FD02D5" w:rsidP="00605684">
            <w:pPr>
              <w:spacing w:before="40" w:after="40"/>
              <w:rPr>
                <w:sz w:val="18"/>
              </w:rPr>
            </w:pPr>
          </w:p>
        </w:tc>
      </w:tr>
      <w:tr w:rsidR="00025712" w:rsidRPr="00605684" w:rsidTr="00092BB3">
        <w:tc>
          <w:tcPr>
            <w:tcW w:w="1427" w:type="dxa"/>
            <w:gridSpan w:val="2"/>
            <w:tcBorders>
              <w:top w:val="single" w:sz="4" w:space="0" w:color="auto"/>
              <w:left w:val="single" w:sz="4" w:space="0" w:color="auto"/>
              <w:bottom w:val="nil"/>
              <w:right w:val="single" w:sz="4" w:space="0" w:color="auto"/>
            </w:tcBorders>
          </w:tcPr>
          <w:p w:rsidR="00F35AD1" w:rsidRPr="00605684" w:rsidRDefault="004A4F32" w:rsidP="00F93F08">
            <w:pPr>
              <w:spacing w:before="40" w:after="40"/>
              <w:rPr>
                <w:sz w:val="18"/>
              </w:rPr>
            </w:pPr>
            <w:r>
              <w:rPr>
                <w:sz w:val="18"/>
              </w:rPr>
              <w:t>Č</w:t>
            </w:r>
            <w:r w:rsidR="00605684" w:rsidRPr="00605684">
              <w:rPr>
                <w:sz w:val="18"/>
              </w:rPr>
              <w:t>l</w:t>
            </w:r>
            <w:r w:rsidR="00F93F08">
              <w:rPr>
                <w:sz w:val="18"/>
              </w:rPr>
              <w:t xml:space="preserve">ánek </w:t>
            </w:r>
            <w:r w:rsidR="008B3011">
              <w:rPr>
                <w:sz w:val="18"/>
              </w:rPr>
              <w:t>1</w:t>
            </w:r>
            <w:r w:rsidR="002C5422">
              <w:rPr>
                <w:sz w:val="18"/>
              </w:rPr>
              <w:t xml:space="preserve"> bod 1 písm. b)</w:t>
            </w:r>
          </w:p>
        </w:tc>
        <w:tc>
          <w:tcPr>
            <w:tcW w:w="5210" w:type="dxa"/>
            <w:gridSpan w:val="3"/>
            <w:tcBorders>
              <w:top w:val="single" w:sz="4" w:space="0" w:color="auto"/>
              <w:left w:val="single" w:sz="4" w:space="0" w:color="auto"/>
              <w:bottom w:val="nil"/>
              <w:right w:val="single" w:sz="18" w:space="0" w:color="auto"/>
            </w:tcBorders>
          </w:tcPr>
          <w:p w:rsidR="002C5422" w:rsidRDefault="005C2C98" w:rsidP="002C5422">
            <w:pPr>
              <w:shd w:val="clear" w:color="auto" w:fill="FFFFFF"/>
              <w:spacing w:before="40" w:after="40"/>
              <w:jc w:val="both"/>
              <w:rPr>
                <w:sz w:val="18"/>
                <w:szCs w:val="18"/>
              </w:rPr>
            </w:pPr>
            <w:r>
              <w:rPr>
                <w:sz w:val="18"/>
                <w:szCs w:val="18"/>
              </w:rPr>
              <w:t xml:space="preserve">1. </w:t>
            </w:r>
            <w:r w:rsidR="002C5422">
              <w:rPr>
                <w:sz w:val="18"/>
                <w:szCs w:val="18"/>
              </w:rPr>
              <w:t>Článek 2 se mění takto:</w:t>
            </w:r>
          </w:p>
          <w:p w:rsidR="002C5422" w:rsidRPr="002C5422" w:rsidRDefault="002C5422" w:rsidP="002C5422">
            <w:pPr>
              <w:shd w:val="clear" w:color="auto" w:fill="FFFFFF"/>
              <w:spacing w:before="40" w:after="40"/>
              <w:jc w:val="both"/>
              <w:rPr>
                <w:sz w:val="18"/>
                <w:szCs w:val="18"/>
              </w:rPr>
            </w:pPr>
            <w:r>
              <w:rPr>
                <w:sz w:val="18"/>
                <w:szCs w:val="18"/>
              </w:rPr>
              <w:t xml:space="preserve">b) </w:t>
            </w:r>
            <w:r w:rsidRPr="002C5422">
              <w:rPr>
                <w:sz w:val="18"/>
                <w:szCs w:val="18"/>
              </w:rPr>
              <w:t>odstavec 4 se nahrazuje tímto:</w:t>
            </w:r>
          </w:p>
          <w:p w:rsidR="002C5422" w:rsidRPr="002C5422" w:rsidRDefault="002C5422" w:rsidP="002C5422">
            <w:pPr>
              <w:shd w:val="clear" w:color="auto" w:fill="FFFFFF"/>
              <w:spacing w:before="40" w:after="40"/>
              <w:jc w:val="both"/>
              <w:rPr>
                <w:sz w:val="18"/>
                <w:szCs w:val="18"/>
              </w:rPr>
            </w:pPr>
            <w:r w:rsidRPr="002C5422">
              <w:rPr>
                <w:sz w:val="18"/>
                <w:szCs w:val="18"/>
              </w:rPr>
              <w:t>„4.   Komise do 31. července 2021 přijme akt v přenesené pravomoci v souladu s článkem 89 za účelem doplnění této směrnice tím, že pro účely odst. 1 písm. j) tohoto článku upřesní kritéria pro určení toho, kdy má být na úrovni skupiny určitá činnost považována za doplňkovou k hlavní podnikatelské činnosti.</w:t>
            </w:r>
          </w:p>
          <w:p w:rsidR="002C5422" w:rsidRPr="002C5422" w:rsidRDefault="002C5422" w:rsidP="002C5422">
            <w:pPr>
              <w:shd w:val="clear" w:color="auto" w:fill="FFFFFF"/>
              <w:spacing w:before="40" w:after="40"/>
              <w:jc w:val="both"/>
              <w:rPr>
                <w:sz w:val="18"/>
                <w:szCs w:val="18"/>
              </w:rPr>
            </w:pPr>
          </w:p>
          <w:p w:rsidR="002C5422" w:rsidRDefault="002C5422" w:rsidP="002C5422">
            <w:pPr>
              <w:shd w:val="clear" w:color="auto" w:fill="FFFFFF"/>
              <w:spacing w:before="40" w:after="40"/>
              <w:jc w:val="both"/>
              <w:rPr>
                <w:sz w:val="18"/>
                <w:szCs w:val="18"/>
              </w:rPr>
            </w:pPr>
            <w:r>
              <w:rPr>
                <w:sz w:val="18"/>
                <w:szCs w:val="18"/>
              </w:rPr>
              <w:t xml:space="preserve">Tato kritéria zohlední, zda: </w:t>
            </w:r>
          </w:p>
          <w:p w:rsidR="002C5422" w:rsidRPr="002C5422" w:rsidRDefault="002C5422" w:rsidP="002C5422">
            <w:pPr>
              <w:shd w:val="clear" w:color="auto" w:fill="FFFFFF"/>
              <w:spacing w:before="40" w:after="40"/>
              <w:jc w:val="both"/>
              <w:rPr>
                <w:sz w:val="18"/>
                <w:szCs w:val="18"/>
              </w:rPr>
            </w:pPr>
            <w:r>
              <w:rPr>
                <w:sz w:val="18"/>
                <w:szCs w:val="18"/>
              </w:rPr>
              <w:lastRenderedPageBreak/>
              <w:t xml:space="preserve">a) </w:t>
            </w:r>
            <w:r w:rsidRPr="002C5422">
              <w:rPr>
                <w:sz w:val="18"/>
                <w:szCs w:val="18"/>
              </w:rPr>
              <w:t>je čistá nevypořádaná pomyslná expozice u komoditních derivátů nebo povolenek na emise či jejich derivátů obchodovaných v Unii pro účely vypořádání v hotovosti, s výjimkou komoditních derivátů nebo povolenek na emise či jejich derivátů obchodovaných v obchodním systému, nižší než roční prahová hodnota ve výši 3 miliardy EUR, nebo</w:t>
            </w:r>
          </w:p>
          <w:p w:rsidR="002C5422" w:rsidRPr="002C5422" w:rsidRDefault="002C5422" w:rsidP="002C5422">
            <w:pPr>
              <w:shd w:val="clear" w:color="auto" w:fill="FFFFFF"/>
              <w:spacing w:before="40" w:after="40"/>
              <w:jc w:val="both"/>
              <w:rPr>
                <w:sz w:val="18"/>
                <w:szCs w:val="18"/>
              </w:rPr>
            </w:pPr>
            <w:r>
              <w:rPr>
                <w:sz w:val="18"/>
                <w:szCs w:val="18"/>
              </w:rPr>
              <w:t xml:space="preserve"> b) </w:t>
            </w:r>
            <w:r w:rsidRPr="002C5422">
              <w:rPr>
                <w:sz w:val="18"/>
                <w:szCs w:val="18"/>
              </w:rPr>
              <w:t>je kapitál využitý skupinou, k níž osoba přísluší, určen především na hlavní podnikatelskou činnost skupiny, nebo</w:t>
            </w:r>
          </w:p>
          <w:p w:rsidR="002C5422" w:rsidRPr="002C5422" w:rsidRDefault="002C5422" w:rsidP="002C5422">
            <w:pPr>
              <w:shd w:val="clear" w:color="auto" w:fill="FFFFFF"/>
              <w:spacing w:before="40" w:after="40"/>
              <w:jc w:val="both"/>
              <w:rPr>
                <w:sz w:val="18"/>
                <w:szCs w:val="18"/>
              </w:rPr>
            </w:pPr>
            <w:r>
              <w:rPr>
                <w:sz w:val="18"/>
                <w:szCs w:val="18"/>
              </w:rPr>
              <w:t xml:space="preserve"> c) </w:t>
            </w:r>
            <w:r w:rsidRPr="002C5422">
              <w:rPr>
                <w:sz w:val="18"/>
                <w:szCs w:val="18"/>
              </w:rPr>
              <w:t>rozsah činností uvedených v odst. 1 písm. j) přesahuje celkový rozsah ostatních obchodních činností na úrovni skupiny, či nikoliv.</w:t>
            </w:r>
          </w:p>
          <w:p w:rsidR="002C5422" w:rsidRPr="002C5422" w:rsidRDefault="002C5422" w:rsidP="002C5422">
            <w:pPr>
              <w:shd w:val="clear" w:color="auto" w:fill="FFFFFF"/>
              <w:spacing w:before="40" w:after="40"/>
              <w:jc w:val="both"/>
              <w:rPr>
                <w:sz w:val="18"/>
                <w:szCs w:val="18"/>
              </w:rPr>
            </w:pPr>
          </w:p>
          <w:p w:rsidR="002C5422" w:rsidRPr="002C5422" w:rsidRDefault="002C5422" w:rsidP="002C5422">
            <w:pPr>
              <w:shd w:val="clear" w:color="auto" w:fill="FFFFFF"/>
              <w:spacing w:before="40" w:after="40"/>
              <w:jc w:val="both"/>
              <w:rPr>
                <w:sz w:val="18"/>
                <w:szCs w:val="18"/>
              </w:rPr>
            </w:pPr>
            <w:r w:rsidRPr="002C5422">
              <w:rPr>
                <w:sz w:val="18"/>
                <w:szCs w:val="18"/>
              </w:rPr>
              <w:t>Činnosti uvedené v tomto odstavc</w:t>
            </w:r>
            <w:r>
              <w:rPr>
                <w:sz w:val="18"/>
                <w:szCs w:val="18"/>
              </w:rPr>
              <w:t>i se zvažují na úrovni skupiny.</w:t>
            </w:r>
          </w:p>
          <w:p w:rsidR="002C5422" w:rsidRPr="002C5422" w:rsidRDefault="002C5422" w:rsidP="002C5422">
            <w:pPr>
              <w:shd w:val="clear" w:color="auto" w:fill="FFFFFF"/>
              <w:spacing w:before="40" w:after="40"/>
              <w:jc w:val="both"/>
              <w:rPr>
                <w:sz w:val="18"/>
                <w:szCs w:val="18"/>
              </w:rPr>
            </w:pPr>
            <w:r w:rsidRPr="002C5422">
              <w:rPr>
                <w:sz w:val="18"/>
                <w:szCs w:val="18"/>
              </w:rPr>
              <w:t>Z prvků uvedených ve druhém pododstavci tohoto odstavce jsou vyloučeny:</w:t>
            </w:r>
          </w:p>
          <w:p w:rsidR="002C5422" w:rsidRPr="002C5422" w:rsidRDefault="002C5422" w:rsidP="002C5422">
            <w:pPr>
              <w:shd w:val="clear" w:color="auto" w:fill="FFFFFF"/>
              <w:spacing w:before="40" w:after="40"/>
              <w:jc w:val="both"/>
              <w:rPr>
                <w:sz w:val="18"/>
                <w:szCs w:val="18"/>
              </w:rPr>
            </w:pPr>
            <w:r>
              <w:rPr>
                <w:sz w:val="18"/>
                <w:szCs w:val="18"/>
              </w:rPr>
              <w:t xml:space="preserve">a) </w:t>
            </w:r>
            <w:r w:rsidRPr="002C5422">
              <w:rPr>
                <w:sz w:val="18"/>
                <w:szCs w:val="18"/>
              </w:rPr>
              <w:t>obchody uvnitř skupiny podle článku 3 nařízení (EU) č. 648/2012, které slouží k řízení likvidity nebo rizik na úrovni celé skupiny;</w:t>
            </w:r>
          </w:p>
          <w:p w:rsidR="002C5422" w:rsidRPr="002C5422" w:rsidRDefault="002C5422" w:rsidP="002C5422">
            <w:pPr>
              <w:shd w:val="clear" w:color="auto" w:fill="FFFFFF"/>
              <w:spacing w:before="40" w:after="40"/>
              <w:jc w:val="both"/>
              <w:rPr>
                <w:sz w:val="18"/>
                <w:szCs w:val="18"/>
              </w:rPr>
            </w:pPr>
            <w:r>
              <w:rPr>
                <w:sz w:val="18"/>
                <w:szCs w:val="18"/>
              </w:rPr>
              <w:t xml:space="preserve"> b) </w:t>
            </w:r>
            <w:r w:rsidRPr="002C5422">
              <w:rPr>
                <w:sz w:val="18"/>
                <w:szCs w:val="18"/>
              </w:rPr>
              <w:t>obchody s komoditními deriváty nebo povolenkami na emise či jejich deriváty, které lze objektivně měřit jako deriváty snižující rizika přímo související s obchodní činností nebo financováním pokladní činnosti;</w:t>
            </w:r>
          </w:p>
          <w:p w:rsidR="00F35AD1" w:rsidRPr="000D5D7C" w:rsidRDefault="002C5422" w:rsidP="000D5D7C">
            <w:pPr>
              <w:shd w:val="clear" w:color="auto" w:fill="FFFFFF"/>
              <w:spacing w:before="40" w:after="40"/>
              <w:jc w:val="both"/>
              <w:rPr>
                <w:sz w:val="18"/>
                <w:szCs w:val="18"/>
              </w:rPr>
            </w:pPr>
            <w:r>
              <w:rPr>
                <w:sz w:val="18"/>
                <w:szCs w:val="18"/>
              </w:rPr>
              <w:t xml:space="preserve"> c) </w:t>
            </w:r>
            <w:r w:rsidRPr="002C5422">
              <w:rPr>
                <w:sz w:val="18"/>
                <w:szCs w:val="18"/>
              </w:rPr>
              <w:t>obchody s komoditními deriváty nebo povolenkami na emise či jejich deriváty, které byly uzavřeny za účelem splnění povinnosti poskytnout likviditu v obchodním systému, pokud splnění této povinnosti vyžadují regulační orgány v souladu s právem Unie nebo vnitrostátními právními a správními p</w:t>
            </w:r>
            <w:r>
              <w:rPr>
                <w:sz w:val="18"/>
                <w:szCs w:val="18"/>
              </w:rPr>
              <w:t>ředpisy nebo obchodní systémy.“</w:t>
            </w:r>
          </w:p>
        </w:tc>
        <w:tc>
          <w:tcPr>
            <w:tcW w:w="1292" w:type="dxa"/>
            <w:tcBorders>
              <w:top w:val="single" w:sz="4" w:space="0" w:color="auto"/>
              <w:left w:val="single" w:sz="18" w:space="0" w:color="auto"/>
              <w:bottom w:val="nil"/>
              <w:right w:val="single" w:sz="4" w:space="0" w:color="auto"/>
            </w:tcBorders>
          </w:tcPr>
          <w:p w:rsidR="00F35AD1" w:rsidRPr="00605684" w:rsidRDefault="00F35AD1" w:rsidP="00605684">
            <w:pPr>
              <w:spacing w:before="40" w:after="40"/>
              <w:rPr>
                <w:sz w:val="18"/>
              </w:rPr>
            </w:pPr>
          </w:p>
        </w:tc>
        <w:tc>
          <w:tcPr>
            <w:tcW w:w="1104" w:type="dxa"/>
            <w:tcBorders>
              <w:top w:val="single" w:sz="4" w:space="0" w:color="auto"/>
              <w:left w:val="single" w:sz="4" w:space="0" w:color="auto"/>
              <w:bottom w:val="nil"/>
              <w:right w:val="single" w:sz="4" w:space="0" w:color="auto"/>
            </w:tcBorders>
          </w:tcPr>
          <w:p w:rsidR="00F35AD1" w:rsidRPr="00605684" w:rsidRDefault="00F35AD1" w:rsidP="00605684">
            <w:pPr>
              <w:spacing w:before="40" w:after="40"/>
              <w:rPr>
                <w:sz w:val="18"/>
              </w:rPr>
            </w:pPr>
          </w:p>
        </w:tc>
        <w:tc>
          <w:tcPr>
            <w:tcW w:w="5425" w:type="dxa"/>
            <w:gridSpan w:val="4"/>
            <w:tcBorders>
              <w:top w:val="single" w:sz="4" w:space="0" w:color="auto"/>
              <w:left w:val="single" w:sz="4" w:space="0" w:color="auto"/>
              <w:right w:val="single" w:sz="4" w:space="0" w:color="auto"/>
            </w:tcBorders>
          </w:tcPr>
          <w:p w:rsidR="00F35AD1" w:rsidRPr="0015492F" w:rsidRDefault="00092BB3" w:rsidP="0015492F">
            <w:pPr>
              <w:jc w:val="both"/>
              <w:rPr>
                <w:i/>
                <w:sz w:val="18"/>
                <w:szCs w:val="18"/>
              </w:rPr>
            </w:pPr>
            <w:r>
              <w:rPr>
                <w:i/>
                <w:sz w:val="18"/>
                <w:szCs w:val="18"/>
              </w:rPr>
              <w:t>Nerelevantní z hlediska transpozi</w:t>
            </w:r>
            <w:r w:rsidR="0070009A">
              <w:rPr>
                <w:i/>
                <w:sz w:val="18"/>
                <w:szCs w:val="18"/>
              </w:rPr>
              <w:t>ce. Povinnost je uložena Komisi.</w:t>
            </w:r>
          </w:p>
        </w:tc>
        <w:tc>
          <w:tcPr>
            <w:tcW w:w="818" w:type="dxa"/>
            <w:tcBorders>
              <w:top w:val="single" w:sz="4" w:space="0" w:color="auto"/>
              <w:left w:val="single" w:sz="4" w:space="0" w:color="auto"/>
              <w:bottom w:val="nil"/>
              <w:right w:val="single" w:sz="4" w:space="0" w:color="auto"/>
            </w:tcBorders>
          </w:tcPr>
          <w:p w:rsidR="00F35AD1" w:rsidRPr="00605684" w:rsidRDefault="00F35AD1" w:rsidP="00605684">
            <w:pPr>
              <w:spacing w:before="40" w:after="40"/>
              <w:rPr>
                <w:sz w:val="18"/>
              </w:rPr>
            </w:pPr>
            <w:r w:rsidRPr="00605684">
              <w:rPr>
                <w:sz w:val="18"/>
              </w:rPr>
              <w:t>NT</w:t>
            </w:r>
          </w:p>
        </w:tc>
        <w:tc>
          <w:tcPr>
            <w:tcW w:w="655" w:type="dxa"/>
            <w:tcBorders>
              <w:top w:val="single" w:sz="4" w:space="0" w:color="auto"/>
              <w:left w:val="single" w:sz="4" w:space="0" w:color="auto"/>
              <w:bottom w:val="nil"/>
              <w:right w:val="single" w:sz="4" w:space="0" w:color="auto"/>
            </w:tcBorders>
          </w:tcPr>
          <w:p w:rsidR="00F35AD1" w:rsidRPr="00605684" w:rsidRDefault="00F35AD1" w:rsidP="00605684">
            <w:pPr>
              <w:spacing w:before="40" w:after="40"/>
              <w:rPr>
                <w:sz w:val="18"/>
              </w:rPr>
            </w:pPr>
          </w:p>
        </w:tc>
      </w:tr>
      <w:tr w:rsidR="00025712" w:rsidRPr="00605684" w:rsidTr="00B3269F">
        <w:tc>
          <w:tcPr>
            <w:tcW w:w="1427" w:type="dxa"/>
            <w:gridSpan w:val="2"/>
            <w:tcBorders>
              <w:top w:val="single" w:sz="4" w:space="0" w:color="auto"/>
              <w:left w:val="single" w:sz="4" w:space="0" w:color="auto"/>
              <w:bottom w:val="single" w:sz="4" w:space="0" w:color="auto"/>
              <w:right w:val="single" w:sz="4" w:space="0" w:color="auto"/>
            </w:tcBorders>
          </w:tcPr>
          <w:p w:rsidR="00FD02D5" w:rsidRPr="00605684" w:rsidRDefault="004A4F32" w:rsidP="00F93F08">
            <w:pPr>
              <w:spacing w:before="40" w:after="40"/>
              <w:rPr>
                <w:sz w:val="18"/>
              </w:rPr>
            </w:pPr>
            <w:r>
              <w:rPr>
                <w:sz w:val="18"/>
              </w:rPr>
              <w:t>Č</w:t>
            </w:r>
            <w:r w:rsidR="006073F1" w:rsidRPr="00605684">
              <w:rPr>
                <w:sz w:val="18"/>
              </w:rPr>
              <w:t>l</w:t>
            </w:r>
            <w:r w:rsidR="00F93F08">
              <w:rPr>
                <w:sz w:val="18"/>
              </w:rPr>
              <w:t xml:space="preserve">ánek </w:t>
            </w:r>
            <w:r w:rsidR="00077D91">
              <w:rPr>
                <w:sz w:val="18"/>
              </w:rPr>
              <w:t>1</w:t>
            </w:r>
            <w:r w:rsidR="003E4656" w:rsidRPr="00605684">
              <w:rPr>
                <w:sz w:val="18"/>
              </w:rPr>
              <w:t xml:space="preserve"> </w:t>
            </w:r>
            <w:r w:rsidR="00B93EF4">
              <w:rPr>
                <w:sz w:val="18"/>
              </w:rPr>
              <w:t>bod</w:t>
            </w:r>
            <w:r w:rsidR="00B93EF4" w:rsidRPr="00605684">
              <w:rPr>
                <w:sz w:val="18"/>
              </w:rPr>
              <w:t xml:space="preserve"> </w:t>
            </w:r>
            <w:r w:rsidR="008B3011">
              <w:rPr>
                <w:sz w:val="18"/>
              </w:rPr>
              <w:t>2 písm. a)</w:t>
            </w:r>
          </w:p>
        </w:tc>
        <w:tc>
          <w:tcPr>
            <w:tcW w:w="5210" w:type="dxa"/>
            <w:gridSpan w:val="3"/>
            <w:tcBorders>
              <w:top w:val="single" w:sz="4" w:space="0" w:color="auto"/>
              <w:left w:val="single" w:sz="4" w:space="0" w:color="auto"/>
              <w:bottom w:val="single" w:sz="4" w:space="0" w:color="auto"/>
              <w:right w:val="single" w:sz="18" w:space="0" w:color="auto"/>
            </w:tcBorders>
          </w:tcPr>
          <w:p w:rsidR="008B3011" w:rsidRPr="008B3011" w:rsidRDefault="005C2C98" w:rsidP="008B3011">
            <w:pPr>
              <w:spacing w:before="40" w:after="40"/>
              <w:jc w:val="both"/>
              <w:rPr>
                <w:sz w:val="18"/>
                <w:szCs w:val="18"/>
              </w:rPr>
            </w:pPr>
            <w:r>
              <w:rPr>
                <w:sz w:val="18"/>
                <w:szCs w:val="18"/>
              </w:rPr>
              <w:t xml:space="preserve">2. </w:t>
            </w:r>
            <w:r w:rsidR="008B3011" w:rsidRPr="008B3011">
              <w:rPr>
                <w:sz w:val="18"/>
                <w:szCs w:val="18"/>
              </w:rPr>
              <w:t>Ustanovení čl. 4 odst. 1 se mění takto:</w:t>
            </w:r>
          </w:p>
          <w:p w:rsidR="008B3011" w:rsidRPr="008B3011" w:rsidRDefault="008B3011" w:rsidP="008B3011">
            <w:pPr>
              <w:spacing w:before="40" w:after="40"/>
              <w:jc w:val="both"/>
              <w:rPr>
                <w:sz w:val="18"/>
                <w:szCs w:val="18"/>
              </w:rPr>
            </w:pPr>
            <w:r>
              <w:rPr>
                <w:sz w:val="18"/>
                <w:szCs w:val="18"/>
              </w:rPr>
              <w:t xml:space="preserve">a) </w:t>
            </w:r>
            <w:r w:rsidRPr="008B3011">
              <w:rPr>
                <w:sz w:val="18"/>
                <w:szCs w:val="18"/>
              </w:rPr>
              <w:t>vkládá se nový bod, který zní:</w:t>
            </w:r>
          </w:p>
          <w:p w:rsidR="00FD02D5" w:rsidRPr="000D5D7C" w:rsidRDefault="008B3011" w:rsidP="008936DB">
            <w:pPr>
              <w:spacing w:before="40" w:after="40"/>
              <w:jc w:val="both"/>
              <w:rPr>
                <w:sz w:val="18"/>
                <w:szCs w:val="18"/>
              </w:rPr>
            </w:pPr>
            <w:r>
              <w:rPr>
                <w:sz w:val="18"/>
                <w:szCs w:val="18"/>
              </w:rPr>
              <w:t xml:space="preserve">„8a) </w:t>
            </w:r>
            <w:r w:rsidRPr="008B3011">
              <w:rPr>
                <w:sz w:val="18"/>
                <w:szCs w:val="18"/>
              </w:rPr>
              <w:t xml:space="preserve">„výměnou finančního nástroje“ prodej finančního nástroje a nákup jiného finančního nástroje nebo uplatnění práva provést změnu, pokud jde </w:t>
            </w:r>
            <w:r w:rsidR="008936DB">
              <w:rPr>
                <w:sz w:val="18"/>
                <w:szCs w:val="18"/>
              </w:rPr>
              <w:t>o existující finanční nástroj;“</w:t>
            </w:r>
          </w:p>
        </w:tc>
        <w:tc>
          <w:tcPr>
            <w:tcW w:w="1292" w:type="dxa"/>
            <w:tcBorders>
              <w:top w:val="single" w:sz="4" w:space="0" w:color="auto"/>
              <w:left w:val="single" w:sz="18" w:space="0" w:color="auto"/>
              <w:bottom w:val="single" w:sz="4" w:space="0" w:color="auto"/>
              <w:right w:val="single" w:sz="4" w:space="0" w:color="auto"/>
            </w:tcBorders>
          </w:tcPr>
          <w:p w:rsidR="00FD02D5" w:rsidRPr="00605684" w:rsidRDefault="0015492F" w:rsidP="00422388">
            <w:pPr>
              <w:rPr>
                <w:sz w:val="18"/>
              </w:rPr>
            </w:pPr>
            <w:r>
              <w:rPr>
                <w:sz w:val="18"/>
              </w:rPr>
              <w:t xml:space="preserve">256/2004 </w:t>
            </w:r>
            <w:r w:rsidR="00422388">
              <w:rPr>
                <w:sz w:val="18"/>
              </w:rPr>
              <w:t>ve znění 96/2022</w:t>
            </w:r>
          </w:p>
        </w:tc>
        <w:tc>
          <w:tcPr>
            <w:tcW w:w="1104" w:type="dxa"/>
            <w:tcBorders>
              <w:top w:val="single" w:sz="4" w:space="0" w:color="auto"/>
              <w:left w:val="single" w:sz="4" w:space="0" w:color="auto"/>
              <w:bottom w:val="single" w:sz="4" w:space="0" w:color="auto"/>
              <w:right w:val="single" w:sz="4" w:space="0" w:color="auto"/>
            </w:tcBorders>
          </w:tcPr>
          <w:p w:rsidR="00FD02D5" w:rsidRPr="00605684" w:rsidRDefault="00422388" w:rsidP="00605684">
            <w:pPr>
              <w:spacing w:before="40" w:after="40"/>
              <w:rPr>
                <w:sz w:val="18"/>
              </w:rPr>
            </w:pPr>
            <w:r>
              <w:rPr>
                <w:sz w:val="18"/>
              </w:rPr>
              <w:t>§ 15h odst. 6</w:t>
            </w:r>
          </w:p>
        </w:tc>
        <w:tc>
          <w:tcPr>
            <w:tcW w:w="5425" w:type="dxa"/>
            <w:gridSpan w:val="4"/>
            <w:tcBorders>
              <w:top w:val="single" w:sz="4" w:space="0" w:color="auto"/>
              <w:left w:val="single" w:sz="4" w:space="0" w:color="auto"/>
              <w:bottom w:val="single" w:sz="4" w:space="0" w:color="auto"/>
              <w:right w:val="single" w:sz="4" w:space="0" w:color="auto"/>
            </w:tcBorders>
          </w:tcPr>
          <w:p w:rsidR="00FD02D5" w:rsidRPr="00605684" w:rsidRDefault="00422388" w:rsidP="00605684">
            <w:pPr>
              <w:spacing w:before="40" w:after="40"/>
              <w:jc w:val="both"/>
              <w:rPr>
                <w:sz w:val="18"/>
              </w:rPr>
            </w:pPr>
            <w:r w:rsidRPr="00422388">
              <w:rPr>
                <w:sz w:val="18"/>
              </w:rPr>
              <w:t>(6) Výměnou investičního nástroje se v odstavcích 4 a 5 rozumí prodej investičního nástroje a nákup jiného investičního nástroje nebo uplatnění práva provést změnu, pokud jde o existující investiční nástroj.</w:t>
            </w:r>
          </w:p>
        </w:tc>
        <w:tc>
          <w:tcPr>
            <w:tcW w:w="818" w:type="dxa"/>
            <w:tcBorders>
              <w:top w:val="single" w:sz="4" w:space="0" w:color="auto"/>
              <w:left w:val="single" w:sz="4" w:space="0" w:color="auto"/>
              <w:bottom w:val="single" w:sz="4" w:space="0" w:color="auto"/>
              <w:right w:val="single" w:sz="4" w:space="0" w:color="auto"/>
            </w:tcBorders>
          </w:tcPr>
          <w:p w:rsidR="00FD02D5" w:rsidRPr="00605684" w:rsidRDefault="00422388" w:rsidP="00605684">
            <w:pPr>
              <w:spacing w:before="40" w:after="40"/>
              <w:rPr>
                <w:sz w:val="18"/>
              </w:rPr>
            </w:pPr>
            <w:r>
              <w:rPr>
                <w:sz w:val="18"/>
              </w:rPr>
              <w:t>P</w:t>
            </w:r>
            <w:r w:rsidR="00D604EE">
              <w:rPr>
                <w:sz w:val="18"/>
              </w:rPr>
              <w:t>T</w:t>
            </w:r>
          </w:p>
        </w:tc>
        <w:tc>
          <w:tcPr>
            <w:tcW w:w="655" w:type="dxa"/>
            <w:tcBorders>
              <w:top w:val="single" w:sz="4" w:space="0" w:color="auto"/>
              <w:left w:val="single" w:sz="4" w:space="0" w:color="auto"/>
              <w:bottom w:val="single" w:sz="4" w:space="0" w:color="auto"/>
              <w:right w:val="single" w:sz="4" w:space="0" w:color="auto"/>
            </w:tcBorders>
          </w:tcPr>
          <w:p w:rsidR="00FD02D5" w:rsidRPr="00605684" w:rsidRDefault="00FD02D5" w:rsidP="00605684">
            <w:pPr>
              <w:spacing w:before="40" w:after="40"/>
              <w:rPr>
                <w:sz w:val="18"/>
              </w:rPr>
            </w:pPr>
          </w:p>
        </w:tc>
      </w:tr>
      <w:tr w:rsidR="00025712" w:rsidRPr="00605684" w:rsidTr="00B3269F">
        <w:tc>
          <w:tcPr>
            <w:tcW w:w="1427" w:type="dxa"/>
            <w:gridSpan w:val="2"/>
            <w:tcBorders>
              <w:top w:val="single" w:sz="4" w:space="0" w:color="auto"/>
              <w:left w:val="single" w:sz="4" w:space="0" w:color="auto"/>
              <w:bottom w:val="single" w:sz="4" w:space="0" w:color="auto"/>
              <w:right w:val="single" w:sz="4" w:space="0" w:color="auto"/>
            </w:tcBorders>
          </w:tcPr>
          <w:p w:rsidR="0017745D" w:rsidRPr="00605684" w:rsidRDefault="00F93F08" w:rsidP="00077D91">
            <w:pPr>
              <w:spacing w:before="40" w:after="40"/>
              <w:rPr>
                <w:sz w:val="18"/>
              </w:rPr>
            </w:pPr>
            <w:r>
              <w:rPr>
                <w:sz w:val="18"/>
              </w:rPr>
              <w:t xml:space="preserve">Článek </w:t>
            </w:r>
            <w:r w:rsidR="00077D91">
              <w:rPr>
                <w:sz w:val="18"/>
              </w:rPr>
              <w:t>1</w:t>
            </w:r>
            <w:r w:rsidR="00324310" w:rsidRPr="00605684">
              <w:rPr>
                <w:sz w:val="18"/>
              </w:rPr>
              <w:t xml:space="preserve"> </w:t>
            </w:r>
            <w:r w:rsidR="00B93EF4">
              <w:rPr>
                <w:sz w:val="18"/>
              </w:rPr>
              <w:t>bod</w:t>
            </w:r>
            <w:r w:rsidR="00B93EF4" w:rsidRPr="00605684">
              <w:rPr>
                <w:sz w:val="18"/>
              </w:rPr>
              <w:t xml:space="preserve"> </w:t>
            </w:r>
            <w:r w:rsidR="00324310" w:rsidRPr="00605684">
              <w:rPr>
                <w:sz w:val="18"/>
              </w:rPr>
              <w:t>2</w:t>
            </w:r>
            <w:r w:rsidR="00077D91">
              <w:rPr>
                <w:sz w:val="18"/>
              </w:rPr>
              <w:t xml:space="preserve"> písm. b)</w:t>
            </w:r>
          </w:p>
        </w:tc>
        <w:tc>
          <w:tcPr>
            <w:tcW w:w="5210" w:type="dxa"/>
            <w:gridSpan w:val="3"/>
            <w:tcBorders>
              <w:top w:val="single" w:sz="4" w:space="0" w:color="auto"/>
              <w:left w:val="single" w:sz="4" w:space="0" w:color="auto"/>
              <w:bottom w:val="single" w:sz="4" w:space="0" w:color="auto"/>
              <w:right w:val="single" w:sz="18" w:space="0" w:color="auto"/>
            </w:tcBorders>
          </w:tcPr>
          <w:p w:rsidR="00077D91" w:rsidRDefault="005C2C98" w:rsidP="008B3011">
            <w:pPr>
              <w:spacing w:before="40" w:after="40"/>
              <w:jc w:val="both"/>
              <w:rPr>
                <w:sz w:val="18"/>
                <w:szCs w:val="18"/>
              </w:rPr>
            </w:pPr>
            <w:r>
              <w:rPr>
                <w:sz w:val="18"/>
                <w:szCs w:val="18"/>
              </w:rPr>
              <w:t xml:space="preserve">2. </w:t>
            </w:r>
            <w:r w:rsidR="00077D91" w:rsidRPr="008B3011">
              <w:rPr>
                <w:sz w:val="18"/>
                <w:szCs w:val="18"/>
              </w:rPr>
              <w:t>Ustanove</w:t>
            </w:r>
            <w:r w:rsidR="00077D91">
              <w:rPr>
                <w:sz w:val="18"/>
                <w:szCs w:val="18"/>
              </w:rPr>
              <w:t>ní čl. 4 odst. 1 se mění takto:</w:t>
            </w:r>
          </w:p>
          <w:p w:rsidR="008B3011" w:rsidRPr="008B3011" w:rsidRDefault="00077D91" w:rsidP="008B3011">
            <w:pPr>
              <w:spacing w:before="40" w:after="40"/>
              <w:jc w:val="both"/>
              <w:rPr>
                <w:sz w:val="18"/>
                <w:szCs w:val="18"/>
              </w:rPr>
            </w:pPr>
            <w:r>
              <w:rPr>
                <w:sz w:val="18"/>
                <w:szCs w:val="18"/>
              </w:rPr>
              <w:t xml:space="preserve">b) </w:t>
            </w:r>
            <w:r w:rsidR="008B3011" w:rsidRPr="008B3011">
              <w:rPr>
                <w:sz w:val="18"/>
                <w:szCs w:val="18"/>
              </w:rPr>
              <w:t>vkládá se nový bod, který zní:</w:t>
            </w:r>
          </w:p>
          <w:p w:rsidR="0017745D" w:rsidRPr="000D5D7C" w:rsidRDefault="00077D91" w:rsidP="003300F1">
            <w:pPr>
              <w:spacing w:before="40" w:after="40"/>
              <w:jc w:val="both"/>
              <w:rPr>
                <w:sz w:val="18"/>
                <w:szCs w:val="18"/>
              </w:rPr>
            </w:pPr>
            <w:r>
              <w:rPr>
                <w:sz w:val="18"/>
                <w:szCs w:val="18"/>
              </w:rPr>
              <w:t xml:space="preserve">„44a) </w:t>
            </w:r>
            <w:r w:rsidR="008B3011" w:rsidRPr="008B3011">
              <w:rPr>
                <w:sz w:val="18"/>
                <w:szCs w:val="18"/>
              </w:rPr>
              <w:t xml:space="preserve">„doložkou o právu na předčasné splacení“ („make-whole clause“) doložka, jejímž cílem je chránit investora tím, že v případě předčasného splacení dluhopisu je emitent povinen zaplatit investorovi vlastnícímu dluhopis částku, jejíž výše se rovná součtu čisté současné hodnoty výplat zbývajících kuponů očekávaných do </w:t>
            </w:r>
            <w:r w:rsidR="008B3011" w:rsidRPr="008B3011">
              <w:rPr>
                <w:sz w:val="18"/>
                <w:szCs w:val="18"/>
              </w:rPr>
              <w:lastRenderedPageBreak/>
              <w:t>doby splatnosti a výše jistiny dlu</w:t>
            </w:r>
            <w:r w:rsidR="003300F1">
              <w:rPr>
                <w:sz w:val="18"/>
                <w:szCs w:val="18"/>
              </w:rPr>
              <w:t>hopisu, který má být splacen;“;</w:t>
            </w:r>
          </w:p>
        </w:tc>
        <w:tc>
          <w:tcPr>
            <w:tcW w:w="1292" w:type="dxa"/>
            <w:tcBorders>
              <w:top w:val="single" w:sz="4" w:space="0" w:color="auto"/>
              <w:left w:val="single" w:sz="18" w:space="0" w:color="auto"/>
              <w:bottom w:val="single" w:sz="4" w:space="0" w:color="auto"/>
              <w:right w:val="single" w:sz="4" w:space="0" w:color="auto"/>
            </w:tcBorders>
          </w:tcPr>
          <w:p w:rsidR="0017745D" w:rsidRPr="00605684" w:rsidRDefault="0015492F" w:rsidP="00403172">
            <w:pPr>
              <w:rPr>
                <w:sz w:val="18"/>
              </w:rPr>
            </w:pPr>
            <w:r>
              <w:rPr>
                <w:sz w:val="18"/>
              </w:rPr>
              <w:lastRenderedPageBreak/>
              <w:t xml:space="preserve">256/2004 </w:t>
            </w:r>
            <w:r w:rsidR="00422388">
              <w:rPr>
                <w:sz w:val="18"/>
              </w:rPr>
              <w:t>ve znění 96/2022</w:t>
            </w:r>
          </w:p>
        </w:tc>
        <w:tc>
          <w:tcPr>
            <w:tcW w:w="1104" w:type="dxa"/>
            <w:tcBorders>
              <w:top w:val="single" w:sz="4" w:space="0" w:color="auto"/>
              <w:left w:val="single" w:sz="4" w:space="0" w:color="auto"/>
              <w:bottom w:val="single" w:sz="4" w:space="0" w:color="auto"/>
              <w:right w:val="single" w:sz="4" w:space="0" w:color="auto"/>
            </w:tcBorders>
          </w:tcPr>
          <w:p w:rsidR="0017745D" w:rsidRPr="00605684" w:rsidRDefault="00403172" w:rsidP="004568E8">
            <w:pPr>
              <w:spacing w:before="40" w:after="40"/>
              <w:rPr>
                <w:sz w:val="18"/>
              </w:rPr>
            </w:pPr>
            <w:r>
              <w:rPr>
                <w:sz w:val="18"/>
              </w:rPr>
              <w:t>§ 2 odst. 1 písm. z)</w:t>
            </w:r>
          </w:p>
        </w:tc>
        <w:tc>
          <w:tcPr>
            <w:tcW w:w="5425" w:type="dxa"/>
            <w:gridSpan w:val="4"/>
            <w:tcBorders>
              <w:top w:val="single" w:sz="4" w:space="0" w:color="auto"/>
              <w:left w:val="single" w:sz="4" w:space="0" w:color="auto"/>
              <w:bottom w:val="single" w:sz="4" w:space="0" w:color="auto"/>
              <w:right w:val="single" w:sz="4" w:space="0" w:color="auto"/>
            </w:tcBorders>
          </w:tcPr>
          <w:p w:rsidR="000A68D3" w:rsidRPr="00422388" w:rsidRDefault="00422388" w:rsidP="000A68D3">
            <w:pPr>
              <w:spacing w:before="40" w:after="40"/>
              <w:jc w:val="both"/>
              <w:rPr>
                <w:sz w:val="18"/>
              </w:rPr>
            </w:pPr>
            <w:r>
              <w:rPr>
                <w:sz w:val="18"/>
              </w:rPr>
              <w:t xml:space="preserve">z) </w:t>
            </w:r>
            <w:r w:rsidR="000A68D3" w:rsidRPr="00422388">
              <w:rPr>
                <w:sz w:val="18"/>
              </w:rPr>
              <w:t>doložkou o právu na předčasné splacení doložka, na jejímž základě je v případě předčasného splacení dluhopisu emitent povinen zaplatit vlastníkovi dluhopisu částku, jejíž výše se rovná součtu čisté současné hodnoty výplat zbývajících kuponů očekávaných do doby splatnosti a výše jistiny dluhopisu, který má být splacen.</w:t>
            </w:r>
          </w:p>
          <w:p w:rsidR="0017745D" w:rsidRPr="00422388" w:rsidRDefault="0017745D" w:rsidP="00605684">
            <w:pPr>
              <w:spacing w:before="40" w:after="40"/>
              <w:jc w:val="both"/>
              <w:rPr>
                <w:sz w:val="18"/>
              </w:rPr>
            </w:pPr>
          </w:p>
        </w:tc>
        <w:tc>
          <w:tcPr>
            <w:tcW w:w="818" w:type="dxa"/>
            <w:tcBorders>
              <w:top w:val="single" w:sz="4" w:space="0" w:color="auto"/>
              <w:left w:val="single" w:sz="4" w:space="0" w:color="auto"/>
              <w:bottom w:val="single" w:sz="4" w:space="0" w:color="auto"/>
              <w:right w:val="single" w:sz="4" w:space="0" w:color="auto"/>
            </w:tcBorders>
          </w:tcPr>
          <w:p w:rsidR="0017745D" w:rsidRPr="00605684" w:rsidRDefault="00422388" w:rsidP="00605684">
            <w:pPr>
              <w:spacing w:before="40" w:after="40"/>
              <w:rPr>
                <w:sz w:val="18"/>
              </w:rPr>
            </w:pPr>
            <w:r>
              <w:rPr>
                <w:sz w:val="18"/>
              </w:rPr>
              <w:t>P</w:t>
            </w:r>
            <w:r w:rsidR="00D604EE">
              <w:rPr>
                <w:sz w:val="18"/>
              </w:rPr>
              <w:t>T</w:t>
            </w:r>
          </w:p>
        </w:tc>
        <w:tc>
          <w:tcPr>
            <w:tcW w:w="655" w:type="dxa"/>
            <w:tcBorders>
              <w:top w:val="single" w:sz="4" w:space="0" w:color="auto"/>
              <w:left w:val="single" w:sz="4" w:space="0" w:color="auto"/>
              <w:bottom w:val="single" w:sz="4" w:space="0" w:color="auto"/>
              <w:right w:val="single" w:sz="4" w:space="0" w:color="auto"/>
            </w:tcBorders>
          </w:tcPr>
          <w:p w:rsidR="0017745D" w:rsidRPr="00605684" w:rsidRDefault="0017745D" w:rsidP="00605684">
            <w:pPr>
              <w:spacing w:before="40" w:after="40"/>
              <w:rPr>
                <w:sz w:val="18"/>
              </w:rPr>
            </w:pPr>
          </w:p>
        </w:tc>
      </w:tr>
      <w:tr w:rsidR="00025712" w:rsidRPr="00605684" w:rsidTr="00B3269F">
        <w:tc>
          <w:tcPr>
            <w:tcW w:w="1427" w:type="dxa"/>
            <w:gridSpan w:val="2"/>
            <w:tcBorders>
              <w:top w:val="nil"/>
              <w:left w:val="single" w:sz="4" w:space="0" w:color="auto"/>
              <w:bottom w:val="single" w:sz="4" w:space="0" w:color="auto"/>
              <w:right w:val="single" w:sz="4" w:space="0" w:color="auto"/>
            </w:tcBorders>
          </w:tcPr>
          <w:p w:rsidR="0017745D" w:rsidRPr="00605684" w:rsidRDefault="00F93F08" w:rsidP="00F93F08">
            <w:pPr>
              <w:spacing w:before="40" w:after="40"/>
              <w:rPr>
                <w:sz w:val="18"/>
              </w:rPr>
            </w:pPr>
            <w:r>
              <w:rPr>
                <w:sz w:val="18"/>
              </w:rPr>
              <w:t xml:space="preserve">Článek </w:t>
            </w:r>
            <w:r w:rsidR="00077D91">
              <w:rPr>
                <w:sz w:val="18"/>
              </w:rPr>
              <w:t>1</w:t>
            </w:r>
            <w:r w:rsidR="00324310" w:rsidRPr="00605684">
              <w:rPr>
                <w:sz w:val="18"/>
              </w:rPr>
              <w:t xml:space="preserve"> </w:t>
            </w:r>
            <w:r w:rsidR="00B93EF4">
              <w:rPr>
                <w:sz w:val="18"/>
              </w:rPr>
              <w:t>bod</w:t>
            </w:r>
            <w:r w:rsidR="00B93EF4" w:rsidRPr="00605684">
              <w:rPr>
                <w:sz w:val="18"/>
              </w:rPr>
              <w:t xml:space="preserve"> </w:t>
            </w:r>
            <w:r w:rsidR="00077D91">
              <w:rPr>
                <w:sz w:val="18"/>
              </w:rPr>
              <w:t>2 písm. c)</w:t>
            </w:r>
          </w:p>
        </w:tc>
        <w:tc>
          <w:tcPr>
            <w:tcW w:w="5210" w:type="dxa"/>
            <w:gridSpan w:val="3"/>
            <w:tcBorders>
              <w:top w:val="nil"/>
              <w:left w:val="single" w:sz="4" w:space="0" w:color="auto"/>
              <w:bottom w:val="single" w:sz="4" w:space="0" w:color="auto"/>
              <w:right w:val="single" w:sz="18" w:space="0" w:color="auto"/>
            </w:tcBorders>
          </w:tcPr>
          <w:p w:rsidR="00077D91" w:rsidRDefault="005C2C98" w:rsidP="00077D91">
            <w:pPr>
              <w:spacing w:before="40" w:after="40"/>
              <w:jc w:val="both"/>
              <w:rPr>
                <w:sz w:val="18"/>
                <w:szCs w:val="18"/>
              </w:rPr>
            </w:pPr>
            <w:r>
              <w:rPr>
                <w:sz w:val="18"/>
                <w:szCs w:val="18"/>
              </w:rPr>
              <w:t xml:space="preserve">2. </w:t>
            </w:r>
            <w:r w:rsidR="00077D91" w:rsidRPr="008B3011">
              <w:rPr>
                <w:sz w:val="18"/>
                <w:szCs w:val="18"/>
              </w:rPr>
              <w:t>Ustanove</w:t>
            </w:r>
            <w:r w:rsidR="00077D91">
              <w:rPr>
                <w:sz w:val="18"/>
                <w:szCs w:val="18"/>
              </w:rPr>
              <w:t>ní čl. 4 odst. 1 se mění takto:</w:t>
            </w:r>
          </w:p>
          <w:p w:rsidR="00077D91" w:rsidRPr="008B3011" w:rsidRDefault="00077D91" w:rsidP="00077D91">
            <w:pPr>
              <w:spacing w:before="40" w:after="40"/>
              <w:jc w:val="both"/>
              <w:rPr>
                <w:sz w:val="18"/>
                <w:szCs w:val="18"/>
              </w:rPr>
            </w:pPr>
            <w:r>
              <w:rPr>
                <w:sz w:val="18"/>
                <w:szCs w:val="18"/>
              </w:rPr>
              <w:t xml:space="preserve">c) </w:t>
            </w:r>
            <w:r w:rsidRPr="008B3011">
              <w:rPr>
                <w:sz w:val="18"/>
                <w:szCs w:val="18"/>
              </w:rPr>
              <w:t>bod 59 se nahrazuje tímto:</w:t>
            </w:r>
          </w:p>
          <w:p w:rsidR="003300F1" w:rsidRDefault="00077D91" w:rsidP="003300F1">
            <w:pPr>
              <w:spacing w:before="40" w:after="40"/>
              <w:jc w:val="both"/>
              <w:rPr>
                <w:sz w:val="18"/>
                <w:szCs w:val="18"/>
              </w:rPr>
            </w:pPr>
            <w:r>
              <w:rPr>
                <w:sz w:val="18"/>
                <w:szCs w:val="18"/>
              </w:rPr>
              <w:t xml:space="preserve">„59) </w:t>
            </w:r>
            <w:r w:rsidRPr="008B3011">
              <w:rPr>
                <w:sz w:val="18"/>
                <w:szCs w:val="18"/>
              </w:rPr>
              <w:t>„deriváty zemědělských komodit“ deriváty, které se týkají produktů uvedených v článku 1 a v částech I až XX a XXIV/1 přílohy I nařízení Evropského parlamentu a Rady (EU) č. 1308/2013 (*1), jakož i produktů uvedených v příloze I nařízení Evropského parlamentu a</w:t>
            </w:r>
            <w:r w:rsidR="003300F1">
              <w:rPr>
                <w:sz w:val="18"/>
                <w:szCs w:val="18"/>
              </w:rPr>
              <w:t xml:space="preserve"> Rady (EU) č. 1379/2013 (*2);“;</w:t>
            </w:r>
            <w:r w:rsidR="003300F1" w:rsidRPr="008B3011">
              <w:rPr>
                <w:sz w:val="18"/>
                <w:szCs w:val="18"/>
              </w:rPr>
              <w:t xml:space="preserve"> </w:t>
            </w:r>
          </w:p>
          <w:p w:rsidR="003300F1" w:rsidRDefault="003300F1" w:rsidP="003300F1">
            <w:pPr>
              <w:spacing w:before="40" w:after="40"/>
              <w:jc w:val="both"/>
              <w:rPr>
                <w:sz w:val="18"/>
                <w:szCs w:val="18"/>
              </w:rPr>
            </w:pPr>
            <w:r>
              <w:rPr>
                <w:sz w:val="18"/>
                <w:szCs w:val="18"/>
              </w:rPr>
              <w:t>__________________</w:t>
            </w:r>
          </w:p>
          <w:p w:rsidR="003300F1" w:rsidRPr="003300F1" w:rsidRDefault="003300F1" w:rsidP="003300F1">
            <w:pPr>
              <w:spacing w:before="40" w:after="40"/>
              <w:jc w:val="both"/>
              <w:rPr>
                <w:sz w:val="16"/>
                <w:szCs w:val="16"/>
              </w:rPr>
            </w:pPr>
            <w:r w:rsidRPr="003300F1">
              <w:rPr>
                <w:sz w:val="16"/>
                <w:szCs w:val="16"/>
              </w:rPr>
              <w:t xml:space="preserve">(*1)  Nařízení Evropského parlamentu a Rady (EU) č. 1308/2013 ze dne 17. prosince 2013, kterým se stanoví společná organizace trhů se zemědělskými produkty a zrušují nařízení Rady (EHS) č. 922/72, (EHS) č. 234/79, (ES) č. 1037/2001 a (ES) č. 1234/2007 (Úř. věst. L 347, 20.12.2013, s. 671)." </w:t>
            </w:r>
          </w:p>
          <w:p w:rsidR="0017745D" w:rsidRPr="00605684" w:rsidRDefault="003300F1" w:rsidP="007C7F72">
            <w:pPr>
              <w:spacing w:before="40" w:after="40"/>
              <w:jc w:val="both"/>
              <w:rPr>
                <w:sz w:val="18"/>
                <w:szCs w:val="18"/>
              </w:rPr>
            </w:pPr>
            <w:r w:rsidRPr="003300F1">
              <w:rPr>
                <w:sz w:val="16"/>
                <w:szCs w:val="16"/>
              </w:rPr>
              <w:t xml:space="preserve"> (*2)  Nařízení Evropského parlamentu a Rady (EU) č. 1379/2013 ze dne 11. prosince 2013 o společné organizaci trhů s produkty rybolovu a akvakultury a o změně nařízení Rady (ES) č. 1184/2006 a (ES) č. 1224/2009 a o zrušení nařízení Rady (ES) č. 104/2000 (Úř. věst. L 354, 28.12.2013, s. 1).“;" </w:t>
            </w:r>
          </w:p>
        </w:tc>
        <w:tc>
          <w:tcPr>
            <w:tcW w:w="1292" w:type="dxa"/>
            <w:tcBorders>
              <w:top w:val="nil"/>
              <w:left w:val="single" w:sz="18" w:space="0" w:color="auto"/>
              <w:bottom w:val="single" w:sz="4" w:space="0" w:color="auto"/>
              <w:right w:val="single" w:sz="4" w:space="0" w:color="auto"/>
            </w:tcBorders>
          </w:tcPr>
          <w:p w:rsidR="0064073B" w:rsidRPr="00605684" w:rsidRDefault="006258EF" w:rsidP="00547B97">
            <w:pPr>
              <w:spacing w:before="40" w:after="40"/>
              <w:rPr>
                <w:sz w:val="18"/>
              </w:rPr>
            </w:pPr>
            <w:r>
              <w:rPr>
                <w:sz w:val="18"/>
              </w:rPr>
              <w:t>256/2004</w:t>
            </w:r>
            <w:r w:rsidR="0015492F">
              <w:rPr>
                <w:sz w:val="18"/>
              </w:rPr>
              <w:t xml:space="preserve"> </w:t>
            </w:r>
            <w:r w:rsidR="0064073B">
              <w:rPr>
                <w:sz w:val="18"/>
              </w:rPr>
              <w:t>ve</w:t>
            </w:r>
            <w:r w:rsidR="0015492F">
              <w:rPr>
                <w:sz w:val="18"/>
              </w:rPr>
              <w:t xml:space="preserve"> znění 204/2017 </w:t>
            </w:r>
            <w:r w:rsidR="0064073B">
              <w:rPr>
                <w:sz w:val="18"/>
              </w:rPr>
              <w:t>96/2022</w:t>
            </w:r>
          </w:p>
        </w:tc>
        <w:tc>
          <w:tcPr>
            <w:tcW w:w="1104" w:type="dxa"/>
            <w:tcBorders>
              <w:top w:val="nil"/>
              <w:left w:val="single" w:sz="4" w:space="0" w:color="auto"/>
              <w:bottom w:val="single" w:sz="4" w:space="0" w:color="auto"/>
              <w:right w:val="single" w:sz="4" w:space="0" w:color="auto"/>
            </w:tcBorders>
          </w:tcPr>
          <w:p w:rsidR="0017745D" w:rsidRPr="00605684" w:rsidRDefault="006258EF" w:rsidP="00605684">
            <w:pPr>
              <w:spacing w:before="40" w:after="40"/>
              <w:rPr>
                <w:sz w:val="18"/>
              </w:rPr>
            </w:pPr>
            <w:r>
              <w:rPr>
                <w:sz w:val="18"/>
              </w:rPr>
              <w:t>§ 149h odst. 3</w:t>
            </w:r>
          </w:p>
        </w:tc>
        <w:tc>
          <w:tcPr>
            <w:tcW w:w="5425" w:type="dxa"/>
            <w:gridSpan w:val="4"/>
            <w:tcBorders>
              <w:top w:val="nil"/>
              <w:left w:val="single" w:sz="4" w:space="0" w:color="auto"/>
              <w:bottom w:val="single" w:sz="4" w:space="0" w:color="auto"/>
              <w:right w:val="single" w:sz="4" w:space="0" w:color="auto"/>
            </w:tcBorders>
          </w:tcPr>
          <w:p w:rsidR="006258EF" w:rsidRPr="006258EF" w:rsidRDefault="006258EF" w:rsidP="006258EF">
            <w:pPr>
              <w:spacing w:before="40" w:after="40"/>
              <w:jc w:val="both"/>
              <w:rPr>
                <w:sz w:val="18"/>
              </w:rPr>
            </w:pPr>
            <w:r w:rsidRPr="006258EF">
              <w:rPr>
                <w:sz w:val="18"/>
              </w:rPr>
              <w:t>(3) Derivátem týkajícím se zemědělských komodit se v tomto zákoně rozumí derivát, který se týká některého z produktů uvedeného v čl. 1 a v částech I až XX a XXIV/1 přílohy I k nařízení Evropského parlamentu a Rady (EU) č. 1308/2013 nebo některého z produktů uvedeného v příloze I nařízení Evropského parlamentu a Rady (EU) č. 1379/2013</w:t>
            </w:r>
            <w:r w:rsidRPr="0064073B">
              <w:rPr>
                <w:sz w:val="18"/>
                <w:vertAlign w:val="superscript"/>
              </w:rPr>
              <w:t>107)</w:t>
            </w:r>
            <w:r w:rsidRPr="006258EF">
              <w:rPr>
                <w:sz w:val="18"/>
              </w:rPr>
              <w:t>.</w:t>
            </w:r>
          </w:p>
          <w:p w:rsidR="006258EF" w:rsidRPr="006258EF" w:rsidRDefault="006258EF" w:rsidP="006258EF">
            <w:pPr>
              <w:spacing w:before="40" w:after="40"/>
              <w:jc w:val="both"/>
              <w:rPr>
                <w:sz w:val="18"/>
              </w:rPr>
            </w:pPr>
            <w:r w:rsidRPr="006258EF">
              <w:rPr>
                <w:sz w:val="18"/>
              </w:rPr>
              <w:t>______________</w:t>
            </w:r>
          </w:p>
          <w:p w:rsidR="0017745D" w:rsidRPr="00605684" w:rsidRDefault="006258EF" w:rsidP="006258EF">
            <w:pPr>
              <w:spacing w:before="40" w:after="40"/>
              <w:jc w:val="both"/>
              <w:rPr>
                <w:sz w:val="18"/>
              </w:rPr>
            </w:pPr>
            <w:r w:rsidRPr="002D4C49">
              <w:rPr>
                <w:sz w:val="18"/>
                <w:vertAlign w:val="superscript"/>
              </w:rPr>
              <w:t>107)</w:t>
            </w:r>
            <w:r w:rsidRPr="006258EF">
              <w:rPr>
                <w:sz w:val="18"/>
              </w:rPr>
              <w:t xml:space="preserve"> Nařízení Evropského parlamentu a Rady (EU) č. 1379/2013 ze dne 11. prosince 2013 o společné organizaci trhů s produkty rybolovu a akvakultury a o změně nařízení Rady (ES) č. 1184/2006 a (ES) č. 1224/2009 a o zrušení nařízení Rady (ES) č. 104/2000.</w:t>
            </w:r>
          </w:p>
        </w:tc>
        <w:tc>
          <w:tcPr>
            <w:tcW w:w="818" w:type="dxa"/>
            <w:tcBorders>
              <w:top w:val="nil"/>
              <w:left w:val="single" w:sz="4" w:space="0" w:color="auto"/>
              <w:bottom w:val="single" w:sz="4" w:space="0" w:color="auto"/>
              <w:right w:val="single" w:sz="4" w:space="0" w:color="auto"/>
            </w:tcBorders>
          </w:tcPr>
          <w:p w:rsidR="0017745D" w:rsidRPr="00605684" w:rsidRDefault="0066195E" w:rsidP="00605684">
            <w:pPr>
              <w:spacing w:before="40" w:after="40"/>
              <w:rPr>
                <w:sz w:val="18"/>
              </w:rPr>
            </w:pPr>
            <w:r>
              <w:rPr>
                <w:sz w:val="18"/>
              </w:rPr>
              <w:t>P</w:t>
            </w:r>
            <w:r w:rsidR="00D604EE">
              <w:rPr>
                <w:sz w:val="18"/>
              </w:rPr>
              <w:t>T</w:t>
            </w:r>
          </w:p>
        </w:tc>
        <w:tc>
          <w:tcPr>
            <w:tcW w:w="655" w:type="dxa"/>
            <w:tcBorders>
              <w:top w:val="nil"/>
              <w:left w:val="single" w:sz="4" w:space="0" w:color="auto"/>
              <w:bottom w:val="single" w:sz="4" w:space="0" w:color="auto"/>
              <w:right w:val="single" w:sz="4" w:space="0" w:color="auto"/>
            </w:tcBorders>
          </w:tcPr>
          <w:p w:rsidR="0017745D" w:rsidRPr="00605684" w:rsidRDefault="0017745D" w:rsidP="00605684">
            <w:pPr>
              <w:spacing w:before="40" w:after="40"/>
              <w:rPr>
                <w:sz w:val="18"/>
              </w:rPr>
            </w:pPr>
          </w:p>
        </w:tc>
      </w:tr>
      <w:tr w:rsidR="00025712" w:rsidRPr="00605684" w:rsidTr="00B3269F">
        <w:tc>
          <w:tcPr>
            <w:tcW w:w="1427" w:type="dxa"/>
            <w:gridSpan w:val="2"/>
            <w:tcBorders>
              <w:top w:val="single" w:sz="4" w:space="0" w:color="auto"/>
              <w:left w:val="single" w:sz="4" w:space="0" w:color="auto"/>
              <w:bottom w:val="single" w:sz="4" w:space="0" w:color="auto"/>
              <w:right w:val="single" w:sz="4" w:space="0" w:color="auto"/>
            </w:tcBorders>
          </w:tcPr>
          <w:p w:rsidR="00324310" w:rsidRPr="00605684" w:rsidRDefault="00F93F08" w:rsidP="00F93F08">
            <w:pPr>
              <w:spacing w:before="40" w:after="40"/>
              <w:rPr>
                <w:sz w:val="18"/>
              </w:rPr>
            </w:pPr>
            <w:r>
              <w:rPr>
                <w:sz w:val="18"/>
              </w:rPr>
              <w:t xml:space="preserve">Článek </w:t>
            </w:r>
            <w:r w:rsidR="008936DB">
              <w:rPr>
                <w:sz w:val="18"/>
              </w:rPr>
              <w:t>1 bod 2 písm. d)</w:t>
            </w:r>
          </w:p>
        </w:tc>
        <w:tc>
          <w:tcPr>
            <w:tcW w:w="5210" w:type="dxa"/>
            <w:gridSpan w:val="3"/>
            <w:tcBorders>
              <w:top w:val="single" w:sz="4" w:space="0" w:color="auto"/>
              <w:left w:val="single" w:sz="4" w:space="0" w:color="auto"/>
              <w:bottom w:val="single" w:sz="4" w:space="0" w:color="auto"/>
              <w:right w:val="single" w:sz="18" w:space="0" w:color="auto"/>
            </w:tcBorders>
          </w:tcPr>
          <w:p w:rsidR="003300F1" w:rsidRDefault="005C2C98" w:rsidP="003300F1">
            <w:pPr>
              <w:spacing w:before="40" w:after="40"/>
              <w:jc w:val="both"/>
              <w:rPr>
                <w:sz w:val="18"/>
                <w:szCs w:val="18"/>
              </w:rPr>
            </w:pPr>
            <w:r>
              <w:rPr>
                <w:sz w:val="18"/>
                <w:szCs w:val="18"/>
              </w:rPr>
              <w:t xml:space="preserve">2. </w:t>
            </w:r>
            <w:r w:rsidR="003300F1" w:rsidRPr="008B3011">
              <w:rPr>
                <w:sz w:val="18"/>
                <w:szCs w:val="18"/>
              </w:rPr>
              <w:t>Ustanove</w:t>
            </w:r>
            <w:r w:rsidR="003300F1">
              <w:rPr>
                <w:sz w:val="18"/>
                <w:szCs w:val="18"/>
              </w:rPr>
              <w:t>ní čl. 4 odst. 1 se mění takto:</w:t>
            </w:r>
          </w:p>
          <w:p w:rsidR="003300F1" w:rsidRPr="008B3011" w:rsidRDefault="008936DB" w:rsidP="003300F1">
            <w:pPr>
              <w:spacing w:before="40" w:after="40"/>
              <w:jc w:val="both"/>
              <w:rPr>
                <w:sz w:val="18"/>
                <w:szCs w:val="18"/>
              </w:rPr>
            </w:pPr>
            <w:r>
              <w:rPr>
                <w:sz w:val="18"/>
                <w:szCs w:val="18"/>
              </w:rPr>
              <w:t xml:space="preserve">d) </w:t>
            </w:r>
            <w:r w:rsidR="003300F1" w:rsidRPr="008B3011">
              <w:rPr>
                <w:sz w:val="18"/>
                <w:szCs w:val="18"/>
              </w:rPr>
              <w:t>vkládá se nový bod, který zní:</w:t>
            </w:r>
          </w:p>
          <w:p w:rsidR="00324310" w:rsidRPr="00605684" w:rsidRDefault="003300F1" w:rsidP="003300F1">
            <w:pPr>
              <w:spacing w:before="40" w:after="40"/>
              <w:jc w:val="both"/>
              <w:rPr>
                <w:sz w:val="18"/>
                <w:szCs w:val="18"/>
              </w:rPr>
            </w:pPr>
            <w:r>
              <w:rPr>
                <w:sz w:val="18"/>
                <w:szCs w:val="18"/>
              </w:rPr>
              <w:t xml:space="preserve">„62a) </w:t>
            </w:r>
            <w:r w:rsidRPr="008B3011">
              <w:rPr>
                <w:sz w:val="18"/>
                <w:szCs w:val="18"/>
              </w:rPr>
              <w:t>„elektronickou podobou“ jakýkoliv tr</w:t>
            </w:r>
            <w:r>
              <w:rPr>
                <w:sz w:val="18"/>
                <w:szCs w:val="18"/>
              </w:rPr>
              <w:t>valý nosič dat jiný než papír;“</w:t>
            </w:r>
          </w:p>
        </w:tc>
        <w:tc>
          <w:tcPr>
            <w:tcW w:w="1292" w:type="dxa"/>
            <w:tcBorders>
              <w:top w:val="single" w:sz="4" w:space="0" w:color="auto"/>
              <w:left w:val="single" w:sz="18" w:space="0" w:color="auto"/>
              <w:bottom w:val="single" w:sz="4" w:space="0" w:color="auto"/>
              <w:right w:val="single" w:sz="4" w:space="0" w:color="auto"/>
            </w:tcBorders>
          </w:tcPr>
          <w:p w:rsidR="00324310" w:rsidRPr="00605684" w:rsidRDefault="0015492F" w:rsidP="0064073B">
            <w:pPr>
              <w:spacing w:before="40" w:after="40"/>
              <w:rPr>
                <w:sz w:val="18"/>
              </w:rPr>
            </w:pPr>
            <w:r>
              <w:rPr>
                <w:sz w:val="18"/>
              </w:rPr>
              <w:t xml:space="preserve">256/2004 ve znění </w:t>
            </w:r>
            <w:r w:rsidR="0064073B">
              <w:rPr>
                <w:sz w:val="18"/>
              </w:rPr>
              <w:t>96/2022</w:t>
            </w:r>
          </w:p>
        </w:tc>
        <w:tc>
          <w:tcPr>
            <w:tcW w:w="1104" w:type="dxa"/>
            <w:tcBorders>
              <w:top w:val="single" w:sz="4" w:space="0" w:color="auto"/>
              <w:left w:val="single" w:sz="4" w:space="0" w:color="auto"/>
              <w:bottom w:val="single" w:sz="4" w:space="0" w:color="auto"/>
              <w:right w:val="single" w:sz="4" w:space="0" w:color="auto"/>
            </w:tcBorders>
          </w:tcPr>
          <w:p w:rsidR="00324310" w:rsidRPr="00605684" w:rsidRDefault="0064073B" w:rsidP="00605684">
            <w:pPr>
              <w:spacing w:before="40" w:after="40"/>
              <w:rPr>
                <w:sz w:val="18"/>
              </w:rPr>
            </w:pPr>
            <w:r>
              <w:rPr>
                <w:sz w:val="18"/>
              </w:rPr>
              <w:t>§ 15da</w:t>
            </w:r>
            <w:r w:rsidR="00E103FC">
              <w:rPr>
                <w:sz w:val="18"/>
              </w:rPr>
              <w:t xml:space="preserve"> odst. 5</w:t>
            </w:r>
          </w:p>
        </w:tc>
        <w:tc>
          <w:tcPr>
            <w:tcW w:w="5425" w:type="dxa"/>
            <w:gridSpan w:val="4"/>
            <w:tcBorders>
              <w:top w:val="single" w:sz="4" w:space="0" w:color="auto"/>
              <w:left w:val="single" w:sz="4" w:space="0" w:color="auto"/>
              <w:bottom w:val="single" w:sz="4" w:space="0" w:color="auto"/>
              <w:right w:val="single" w:sz="4" w:space="0" w:color="auto"/>
            </w:tcBorders>
          </w:tcPr>
          <w:p w:rsidR="00324310" w:rsidRPr="00605684" w:rsidRDefault="0064073B" w:rsidP="00905FF4">
            <w:pPr>
              <w:spacing w:before="40" w:after="40"/>
              <w:jc w:val="both"/>
              <w:rPr>
                <w:sz w:val="18"/>
              </w:rPr>
            </w:pPr>
            <w:r w:rsidRPr="0064073B">
              <w:rPr>
                <w:sz w:val="18"/>
              </w:rPr>
              <w:t>(5) Elektronickou podobou se pro účely odstavců 1 až 4 rozumí trvalý nosič dat, který není listinou.</w:t>
            </w:r>
          </w:p>
        </w:tc>
        <w:tc>
          <w:tcPr>
            <w:tcW w:w="818" w:type="dxa"/>
            <w:tcBorders>
              <w:top w:val="single" w:sz="4" w:space="0" w:color="auto"/>
              <w:left w:val="single" w:sz="4" w:space="0" w:color="auto"/>
              <w:bottom w:val="single" w:sz="4" w:space="0" w:color="auto"/>
              <w:right w:val="single" w:sz="4" w:space="0" w:color="auto"/>
            </w:tcBorders>
          </w:tcPr>
          <w:p w:rsidR="00324310" w:rsidRPr="00605684" w:rsidRDefault="0064073B" w:rsidP="00605684">
            <w:pPr>
              <w:spacing w:before="40" w:after="40"/>
              <w:rPr>
                <w:sz w:val="18"/>
              </w:rPr>
            </w:pPr>
            <w:r>
              <w:rPr>
                <w:sz w:val="18"/>
              </w:rPr>
              <w:t>P</w:t>
            </w:r>
            <w:r w:rsidR="00B87BE1">
              <w:rPr>
                <w:sz w:val="18"/>
              </w:rPr>
              <w:t>T</w:t>
            </w:r>
          </w:p>
        </w:tc>
        <w:tc>
          <w:tcPr>
            <w:tcW w:w="655" w:type="dxa"/>
            <w:tcBorders>
              <w:top w:val="single" w:sz="4" w:space="0" w:color="auto"/>
              <w:left w:val="single" w:sz="4" w:space="0" w:color="auto"/>
              <w:bottom w:val="single" w:sz="4" w:space="0" w:color="auto"/>
              <w:right w:val="single" w:sz="4" w:space="0" w:color="auto"/>
            </w:tcBorders>
          </w:tcPr>
          <w:p w:rsidR="00324310" w:rsidRPr="00605684" w:rsidRDefault="00324310" w:rsidP="00605684">
            <w:pPr>
              <w:spacing w:before="40" w:after="40"/>
              <w:rPr>
                <w:sz w:val="18"/>
              </w:rPr>
            </w:pPr>
          </w:p>
        </w:tc>
      </w:tr>
      <w:tr w:rsidR="00025712" w:rsidRPr="00605684" w:rsidTr="00B3269F">
        <w:tc>
          <w:tcPr>
            <w:tcW w:w="1427" w:type="dxa"/>
            <w:gridSpan w:val="2"/>
            <w:tcBorders>
              <w:top w:val="single" w:sz="4" w:space="0" w:color="auto"/>
              <w:left w:val="single" w:sz="4" w:space="0" w:color="auto"/>
              <w:bottom w:val="nil"/>
              <w:right w:val="single" w:sz="4" w:space="0" w:color="auto"/>
            </w:tcBorders>
          </w:tcPr>
          <w:p w:rsidR="00257FE7" w:rsidRPr="00605684" w:rsidRDefault="008936DB" w:rsidP="008936DB">
            <w:pPr>
              <w:spacing w:before="40" w:after="40"/>
              <w:rPr>
                <w:sz w:val="18"/>
              </w:rPr>
            </w:pPr>
            <w:r>
              <w:rPr>
                <w:sz w:val="18"/>
              </w:rPr>
              <w:t>Článek 1</w:t>
            </w:r>
            <w:r w:rsidR="00F37F22" w:rsidRPr="00605684">
              <w:rPr>
                <w:sz w:val="18"/>
              </w:rPr>
              <w:t xml:space="preserve"> </w:t>
            </w:r>
            <w:r w:rsidR="00B93EF4">
              <w:rPr>
                <w:sz w:val="18"/>
              </w:rPr>
              <w:t>bod</w:t>
            </w:r>
            <w:r w:rsidR="00B93EF4" w:rsidRPr="00605684">
              <w:rPr>
                <w:sz w:val="18"/>
              </w:rPr>
              <w:t xml:space="preserve"> </w:t>
            </w:r>
            <w:r>
              <w:rPr>
                <w:sz w:val="18"/>
              </w:rPr>
              <w:t>2 písm. e)</w:t>
            </w:r>
          </w:p>
        </w:tc>
        <w:tc>
          <w:tcPr>
            <w:tcW w:w="5210" w:type="dxa"/>
            <w:gridSpan w:val="3"/>
            <w:tcBorders>
              <w:top w:val="single" w:sz="4" w:space="0" w:color="auto"/>
              <w:left w:val="single" w:sz="4" w:space="0" w:color="auto"/>
              <w:bottom w:val="nil"/>
              <w:right w:val="single" w:sz="18" w:space="0" w:color="auto"/>
            </w:tcBorders>
          </w:tcPr>
          <w:p w:rsidR="005C2C98" w:rsidRDefault="005C2C98" w:rsidP="008936DB">
            <w:pPr>
              <w:spacing w:before="40" w:after="40"/>
              <w:jc w:val="both"/>
              <w:rPr>
                <w:sz w:val="18"/>
                <w:szCs w:val="18"/>
              </w:rPr>
            </w:pPr>
            <w:r>
              <w:rPr>
                <w:sz w:val="18"/>
                <w:szCs w:val="18"/>
              </w:rPr>
              <w:t xml:space="preserve">2. </w:t>
            </w:r>
            <w:r w:rsidRPr="008B3011">
              <w:rPr>
                <w:sz w:val="18"/>
                <w:szCs w:val="18"/>
              </w:rPr>
              <w:t>Ustanove</w:t>
            </w:r>
            <w:r>
              <w:rPr>
                <w:sz w:val="18"/>
                <w:szCs w:val="18"/>
              </w:rPr>
              <w:t>ní čl. 4 odst. 1 se mění takto:</w:t>
            </w:r>
          </w:p>
          <w:p w:rsidR="008936DB" w:rsidRPr="008B3011" w:rsidRDefault="008936DB" w:rsidP="008936DB">
            <w:pPr>
              <w:spacing w:before="40" w:after="40"/>
              <w:jc w:val="both"/>
              <w:rPr>
                <w:sz w:val="18"/>
                <w:szCs w:val="18"/>
              </w:rPr>
            </w:pPr>
            <w:r>
              <w:rPr>
                <w:sz w:val="18"/>
                <w:szCs w:val="18"/>
              </w:rPr>
              <w:t xml:space="preserve">e) </w:t>
            </w:r>
            <w:r w:rsidRPr="008B3011">
              <w:rPr>
                <w:sz w:val="18"/>
                <w:szCs w:val="18"/>
              </w:rPr>
              <w:t>doplňuje se nový bod, který zní:</w:t>
            </w:r>
          </w:p>
          <w:p w:rsidR="00257FE7" w:rsidRPr="00605684" w:rsidRDefault="008936DB" w:rsidP="008936DB">
            <w:pPr>
              <w:spacing w:before="40" w:after="40"/>
              <w:jc w:val="both"/>
              <w:rPr>
                <w:sz w:val="18"/>
                <w:szCs w:val="18"/>
              </w:rPr>
            </w:pPr>
            <w:r>
              <w:rPr>
                <w:sz w:val="18"/>
                <w:szCs w:val="18"/>
              </w:rPr>
              <w:t xml:space="preserve">„65) </w:t>
            </w:r>
            <w:r w:rsidRPr="008B3011">
              <w:rPr>
                <w:sz w:val="18"/>
                <w:szCs w:val="18"/>
              </w:rPr>
              <w:t>„převážně obchodní skupinou“ každá skupina, jejíž hlavní podnikatelskou činností není poskytování investičních služeb ve smyslu této směrnice nebo výkon jakékoliv činnosti uvedené v příloze I směrnice 2013/36/EU ani působení jako tvůrce trhu v souvi</w:t>
            </w:r>
            <w:r>
              <w:rPr>
                <w:sz w:val="18"/>
                <w:szCs w:val="18"/>
              </w:rPr>
              <w:t>slosti s komoditními deriváty.“</w:t>
            </w:r>
          </w:p>
        </w:tc>
        <w:tc>
          <w:tcPr>
            <w:tcW w:w="1292" w:type="dxa"/>
            <w:tcBorders>
              <w:top w:val="single" w:sz="4" w:space="0" w:color="auto"/>
              <w:left w:val="single" w:sz="18" w:space="0" w:color="auto"/>
              <w:bottom w:val="nil"/>
              <w:right w:val="single" w:sz="4" w:space="0" w:color="auto"/>
            </w:tcBorders>
          </w:tcPr>
          <w:p w:rsidR="00257FE7" w:rsidRPr="00605684" w:rsidRDefault="0015492F" w:rsidP="0015492F">
            <w:pPr>
              <w:spacing w:before="40" w:after="40"/>
              <w:rPr>
                <w:sz w:val="18"/>
              </w:rPr>
            </w:pPr>
            <w:r>
              <w:rPr>
                <w:sz w:val="18"/>
              </w:rPr>
              <w:t xml:space="preserve">256/2004 ve znění 204/2017 </w:t>
            </w:r>
            <w:r w:rsidR="00044711">
              <w:rPr>
                <w:sz w:val="18"/>
              </w:rPr>
              <w:t>96/2022</w:t>
            </w:r>
          </w:p>
        </w:tc>
        <w:tc>
          <w:tcPr>
            <w:tcW w:w="1104" w:type="dxa"/>
            <w:tcBorders>
              <w:top w:val="single" w:sz="4" w:space="0" w:color="auto"/>
              <w:left w:val="single" w:sz="4" w:space="0" w:color="auto"/>
              <w:bottom w:val="nil"/>
              <w:right w:val="single" w:sz="4" w:space="0" w:color="auto"/>
            </w:tcBorders>
          </w:tcPr>
          <w:p w:rsidR="00257FE7" w:rsidRPr="00605684" w:rsidRDefault="00044711" w:rsidP="00605684">
            <w:pPr>
              <w:spacing w:before="40" w:after="40"/>
              <w:rPr>
                <w:sz w:val="18"/>
              </w:rPr>
            </w:pPr>
            <w:r>
              <w:rPr>
                <w:sz w:val="18"/>
              </w:rPr>
              <w:t>§ 4b odst. 1 písm. j) bod 1</w:t>
            </w:r>
          </w:p>
        </w:tc>
        <w:tc>
          <w:tcPr>
            <w:tcW w:w="5425" w:type="dxa"/>
            <w:gridSpan w:val="4"/>
            <w:tcBorders>
              <w:top w:val="single" w:sz="4" w:space="0" w:color="auto"/>
              <w:left w:val="single" w:sz="4" w:space="0" w:color="auto"/>
              <w:bottom w:val="nil"/>
              <w:right w:val="single" w:sz="4" w:space="0" w:color="auto"/>
            </w:tcBorders>
          </w:tcPr>
          <w:p w:rsidR="000A68D3" w:rsidRPr="000A68D3" w:rsidRDefault="000A68D3" w:rsidP="000A68D3">
            <w:pPr>
              <w:spacing w:before="40" w:after="40"/>
              <w:jc w:val="both"/>
              <w:rPr>
                <w:sz w:val="18"/>
              </w:rPr>
            </w:pPr>
            <w:r w:rsidRPr="000A68D3">
              <w:rPr>
                <w:sz w:val="18"/>
              </w:rPr>
              <w:t>j</w:t>
            </w:r>
            <w:r w:rsidR="00044711">
              <w:rPr>
                <w:sz w:val="18"/>
              </w:rPr>
              <w:t xml:space="preserve">) </w:t>
            </w:r>
            <w:r w:rsidRPr="000A68D3">
              <w:rPr>
                <w:sz w:val="18"/>
              </w:rPr>
              <w:t>osoba, která obchoduje na vlastní účet s komoditními deriváty nebo povolenkami na emise skleníkových plynů nebo jejich deriváty, včetně tvůrce trhu, avšak s výjimkou osoby, která obchoduje na vlastní účet při provádění pokynů zákazníka, anebo osoba, která poskytuje jiné hlavní investiční služby, než je obchodování na vlastní účet ve vztahu ke komoditním derivátům nebo povolenkám na emise skleníkových plynů nebo jejich derivátům, zákazníkům nebo dodavatelům své hlavní podnikatelské činnosti, pokud</w:t>
            </w:r>
          </w:p>
          <w:p w:rsidR="00257FE7" w:rsidRPr="00605684" w:rsidRDefault="00044711" w:rsidP="00605684">
            <w:pPr>
              <w:spacing w:before="40" w:after="40"/>
              <w:jc w:val="both"/>
              <w:rPr>
                <w:sz w:val="18"/>
              </w:rPr>
            </w:pPr>
            <w:r>
              <w:rPr>
                <w:sz w:val="18"/>
              </w:rPr>
              <w:t xml:space="preserve">1. </w:t>
            </w:r>
            <w:r w:rsidR="000A68D3" w:rsidRPr="000A68D3">
              <w:rPr>
                <w:sz w:val="18"/>
              </w:rPr>
              <w:t xml:space="preserve">se v každém z uvedených případů jednotlivě i souhrnně při posuzování v rámci skupiny jedná vzhledem k jejich hlavní podnikatelské činnosti o činnost doplňkovou a hlavní podnikatelskou </w:t>
            </w:r>
            <w:r w:rsidR="000A68D3" w:rsidRPr="00044711">
              <w:rPr>
                <w:sz w:val="18"/>
              </w:rPr>
              <w:t>činností skupiny není poskytování investičních nebo bankovních služeb ani působení jako tvůrce trhu ve vztahu ke komoditním derivátům (dále jen „převážně obchodní skupina“),</w:t>
            </w:r>
          </w:p>
        </w:tc>
        <w:tc>
          <w:tcPr>
            <w:tcW w:w="818" w:type="dxa"/>
            <w:tcBorders>
              <w:top w:val="single" w:sz="4" w:space="0" w:color="auto"/>
              <w:left w:val="single" w:sz="4" w:space="0" w:color="auto"/>
              <w:bottom w:val="nil"/>
              <w:right w:val="single" w:sz="4" w:space="0" w:color="auto"/>
            </w:tcBorders>
          </w:tcPr>
          <w:p w:rsidR="00257FE7" w:rsidRPr="00605684" w:rsidRDefault="000A68D3" w:rsidP="00605684">
            <w:pPr>
              <w:spacing w:before="40" w:after="40"/>
              <w:rPr>
                <w:sz w:val="18"/>
              </w:rPr>
            </w:pPr>
            <w:r>
              <w:rPr>
                <w:sz w:val="18"/>
              </w:rPr>
              <w:t>P</w:t>
            </w:r>
            <w:r w:rsidR="00B87BE1">
              <w:rPr>
                <w:sz w:val="18"/>
              </w:rPr>
              <w:t>T</w:t>
            </w:r>
          </w:p>
        </w:tc>
        <w:tc>
          <w:tcPr>
            <w:tcW w:w="655" w:type="dxa"/>
            <w:tcBorders>
              <w:top w:val="single" w:sz="4" w:space="0" w:color="auto"/>
              <w:left w:val="single" w:sz="4" w:space="0" w:color="auto"/>
              <w:bottom w:val="nil"/>
              <w:right w:val="single" w:sz="4" w:space="0" w:color="auto"/>
            </w:tcBorders>
          </w:tcPr>
          <w:p w:rsidR="00257FE7" w:rsidRPr="00605684" w:rsidRDefault="00257FE7" w:rsidP="00605684">
            <w:pPr>
              <w:spacing w:before="40" w:after="40"/>
              <w:rPr>
                <w:sz w:val="18"/>
              </w:rPr>
            </w:pPr>
          </w:p>
        </w:tc>
      </w:tr>
      <w:tr w:rsidR="00025712" w:rsidRPr="00605684" w:rsidTr="0015492F">
        <w:tc>
          <w:tcPr>
            <w:tcW w:w="1427" w:type="dxa"/>
            <w:gridSpan w:val="2"/>
            <w:tcBorders>
              <w:top w:val="single" w:sz="4" w:space="0" w:color="auto"/>
              <w:left w:val="single" w:sz="4" w:space="0" w:color="auto"/>
              <w:bottom w:val="nil"/>
              <w:right w:val="single" w:sz="4" w:space="0" w:color="auto"/>
            </w:tcBorders>
          </w:tcPr>
          <w:p w:rsidR="00257FE7" w:rsidRPr="00605684" w:rsidRDefault="00F93F08" w:rsidP="00F93F08">
            <w:pPr>
              <w:spacing w:before="40" w:after="40"/>
              <w:rPr>
                <w:sz w:val="18"/>
              </w:rPr>
            </w:pPr>
            <w:r>
              <w:rPr>
                <w:sz w:val="18"/>
              </w:rPr>
              <w:t xml:space="preserve">Článek </w:t>
            </w:r>
            <w:r w:rsidR="00A257E8">
              <w:rPr>
                <w:sz w:val="18"/>
              </w:rPr>
              <w:t>1</w:t>
            </w:r>
            <w:r w:rsidR="00F37F22" w:rsidRPr="00605684">
              <w:rPr>
                <w:sz w:val="18"/>
              </w:rPr>
              <w:t xml:space="preserve"> </w:t>
            </w:r>
            <w:r w:rsidR="00B93EF4">
              <w:rPr>
                <w:sz w:val="18"/>
              </w:rPr>
              <w:t>bod</w:t>
            </w:r>
            <w:r w:rsidR="00B93EF4" w:rsidRPr="00605684">
              <w:rPr>
                <w:sz w:val="18"/>
              </w:rPr>
              <w:t xml:space="preserve"> </w:t>
            </w:r>
            <w:r w:rsidR="00A257E8">
              <w:rPr>
                <w:sz w:val="18"/>
              </w:rPr>
              <w:t>3</w:t>
            </w:r>
          </w:p>
        </w:tc>
        <w:tc>
          <w:tcPr>
            <w:tcW w:w="5210" w:type="dxa"/>
            <w:gridSpan w:val="3"/>
            <w:tcBorders>
              <w:top w:val="single" w:sz="4" w:space="0" w:color="auto"/>
              <w:left w:val="single" w:sz="4" w:space="0" w:color="auto"/>
              <w:bottom w:val="nil"/>
              <w:right w:val="single" w:sz="18" w:space="0" w:color="auto"/>
            </w:tcBorders>
          </w:tcPr>
          <w:p w:rsidR="008936DB" w:rsidRPr="008936DB" w:rsidRDefault="005C2C98" w:rsidP="008936DB">
            <w:pPr>
              <w:shd w:val="clear" w:color="auto" w:fill="FFFFFF"/>
              <w:spacing w:before="40" w:after="40"/>
              <w:jc w:val="both"/>
              <w:rPr>
                <w:sz w:val="18"/>
                <w:szCs w:val="18"/>
              </w:rPr>
            </w:pPr>
            <w:r>
              <w:rPr>
                <w:sz w:val="18"/>
                <w:szCs w:val="18"/>
              </w:rPr>
              <w:t xml:space="preserve">3. </w:t>
            </w:r>
            <w:r w:rsidR="008936DB" w:rsidRPr="008936DB">
              <w:rPr>
                <w:sz w:val="18"/>
                <w:szCs w:val="18"/>
              </w:rPr>
              <w:t>Vkládá se nový článek, který zní:</w:t>
            </w:r>
          </w:p>
          <w:p w:rsidR="008936DB" w:rsidRDefault="008936DB" w:rsidP="008936DB">
            <w:pPr>
              <w:shd w:val="clear" w:color="auto" w:fill="FFFFFF"/>
              <w:spacing w:before="40" w:after="40"/>
              <w:jc w:val="both"/>
              <w:rPr>
                <w:sz w:val="18"/>
                <w:szCs w:val="18"/>
              </w:rPr>
            </w:pPr>
            <w:r w:rsidRPr="008936DB">
              <w:rPr>
                <w:sz w:val="18"/>
                <w:szCs w:val="18"/>
              </w:rPr>
              <w:t>„Článek 16a</w:t>
            </w:r>
          </w:p>
          <w:p w:rsidR="008936DB" w:rsidRPr="008936DB" w:rsidRDefault="008936DB" w:rsidP="008936DB">
            <w:pPr>
              <w:shd w:val="clear" w:color="auto" w:fill="FFFFFF"/>
              <w:spacing w:before="40" w:after="40"/>
              <w:jc w:val="both"/>
              <w:rPr>
                <w:sz w:val="18"/>
                <w:szCs w:val="18"/>
              </w:rPr>
            </w:pPr>
            <w:r w:rsidRPr="008936DB">
              <w:rPr>
                <w:sz w:val="18"/>
                <w:szCs w:val="18"/>
              </w:rPr>
              <w:t>Výjimka z požadavků na řízení produktů</w:t>
            </w:r>
          </w:p>
          <w:p w:rsidR="00257FE7" w:rsidRPr="00605684" w:rsidRDefault="008936DB" w:rsidP="008936DB">
            <w:pPr>
              <w:shd w:val="clear" w:color="auto" w:fill="FFFFFF"/>
              <w:spacing w:before="40" w:after="40"/>
              <w:jc w:val="both"/>
              <w:rPr>
                <w:sz w:val="18"/>
                <w:szCs w:val="18"/>
              </w:rPr>
            </w:pPr>
            <w:r w:rsidRPr="008936DB">
              <w:rPr>
                <w:sz w:val="18"/>
                <w:szCs w:val="18"/>
              </w:rPr>
              <w:lastRenderedPageBreak/>
              <w:t>Na investiční podniky se vztahuje výjimka z požadavků stanovených v čl. 16 odst. 3 druhém až pátém pododstavci a čl. 24 odst. 2, pokud se investiční služba, kterou poskytují, týká dluhopisů, které neobsahují jiný vložený derivátový prvek než doložku o právu na předčasné splacení, nebo pokud jsou finanční nástroje nabízeny nebo distribuovány výh</w:t>
            </w:r>
            <w:r>
              <w:rPr>
                <w:sz w:val="18"/>
                <w:szCs w:val="18"/>
              </w:rPr>
              <w:t>radně způsobilým protistranám.“</w:t>
            </w:r>
          </w:p>
        </w:tc>
        <w:tc>
          <w:tcPr>
            <w:tcW w:w="1292" w:type="dxa"/>
            <w:tcBorders>
              <w:top w:val="single" w:sz="4" w:space="0" w:color="auto"/>
              <w:left w:val="single" w:sz="18" w:space="0" w:color="auto"/>
              <w:bottom w:val="nil"/>
              <w:right w:val="single" w:sz="4" w:space="0" w:color="auto"/>
            </w:tcBorders>
          </w:tcPr>
          <w:p w:rsidR="00B541B5" w:rsidRPr="00605684" w:rsidRDefault="0015492F" w:rsidP="00B541B5">
            <w:pPr>
              <w:spacing w:before="40" w:after="40"/>
              <w:rPr>
                <w:sz w:val="18"/>
              </w:rPr>
            </w:pPr>
            <w:r>
              <w:rPr>
                <w:sz w:val="18"/>
              </w:rPr>
              <w:lastRenderedPageBreak/>
              <w:t xml:space="preserve">256/2004 ve znění </w:t>
            </w:r>
            <w:r w:rsidR="002D4C49">
              <w:rPr>
                <w:sz w:val="18"/>
              </w:rPr>
              <w:t>96/2022</w:t>
            </w:r>
          </w:p>
        </w:tc>
        <w:tc>
          <w:tcPr>
            <w:tcW w:w="1104" w:type="dxa"/>
            <w:tcBorders>
              <w:top w:val="single" w:sz="4" w:space="0" w:color="auto"/>
              <w:left w:val="single" w:sz="4" w:space="0" w:color="auto"/>
              <w:bottom w:val="nil"/>
              <w:right w:val="single" w:sz="4" w:space="0" w:color="auto"/>
            </w:tcBorders>
          </w:tcPr>
          <w:p w:rsidR="00582EC5" w:rsidRPr="00605684" w:rsidRDefault="002D4C49" w:rsidP="00605684">
            <w:pPr>
              <w:spacing w:before="40" w:after="40"/>
              <w:rPr>
                <w:sz w:val="18"/>
              </w:rPr>
            </w:pPr>
            <w:r>
              <w:rPr>
                <w:sz w:val="18"/>
              </w:rPr>
              <w:t>§ 12ba</w:t>
            </w:r>
            <w:r w:rsidR="00582EC5">
              <w:rPr>
                <w:sz w:val="18"/>
              </w:rPr>
              <w:t xml:space="preserve"> odst. 7</w:t>
            </w:r>
          </w:p>
        </w:tc>
        <w:tc>
          <w:tcPr>
            <w:tcW w:w="5425" w:type="dxa"/>
            <w:gridSpan w:val="4"/>
            <w:tcBorders>
              <w:top w:val="single" w:sz="4" w:space="0" w:color="auto"/>
              <w:left w:val="single" w:sz="4" w:space="0" w:color="auto"/>
              <w:bottom w:val="nil"/>
              <w:right w:val="single" w:sz="4" w:space="0" w:color="auto"/>
            </w:tcBorders>
          </w:tcPr>
          <w:p w:rsidR="000A68D3" w:rsidRPr="002D4C49" w:rsidRDefault="007955C9" w:rsidP="002D4C49">
            <w:pPr>
              <w:spacing w:before="40" w:after="40"/>
              <w:jc w:val="both"/>
              <w:rPr>
                <w:sz w:val="18"/>
              </w:rPr>
            </w:pPr>
            <w:r w:rsidRPr="002D4C49">
              <w:rPr>
                <w:sz w:val="18"/>
              </w:rPr>
              <w:t xml:space="preserve"> </w:t>
            </w:r>
            <w:r w:rsidR="000A68D3" w:rsidRPr="002D4C49">
              <w:rPr>
                <w:sz w:val="18"/>
              </w:rPr>
              <w:t>(7) Odstavce 1 až 6 se nepoužijí pro</w:t>
            </w:r>
          </w:p>
          <w:p w:rsidR="000A68D3" w:rsidRPr="002D4C49" w:rsidRDefault="00582EC5" w:rsidP="000A68D3">
            <w:pPr>
              <w:spacing w:before="40" w:after="40"/>
              <w:jc w:val="both"/>
              <w:rPr>
                <w:sz w:val="18"/>
              </w:rPr>
            </w:pPr>
            <w:r>
              <w:rPr>
                <w:sz w:val="18"/>
              </w:rPr>
              <w:t>a)</w:t>
            </w:r>
            <w:r w:rsidR="000A68D3" w:rsidRPr="002D4C49">
              <w:rPr>
                <w:sz w:val="18"/>
              </w:rPr>
              <w:t>investiční nástroj nabízený pouze způsobilým protistranám,</w:t>
            </w:r>
          </w:p>
          <w:p w:rsidR="000A68D3" w:rsidRPr="002D4C49" w:rsidRDefault="00582EC5" w:rsidP="000A68D3">
            <w:pPr>
              <w:spacing w:before="40" w:after="40"/>
              <w:jc w:val="both"/>
              <w:rPr>
                <w:sz w:val="18"/>
              </w:rPr>
            </w:pPr>
            <w:r>
              <w:rPr>
                <w:sz w:val="18"/>
              </w:rPr>
              <w:t>b)</w:t>
            </w:r>
            <w:r w:rsidR="000A68D3" w:rsidRPr="002D4C49">
              <w:rPr>
                <w:sz w:val="18"/>
              </w:rPr>
              <w:t xml:space="preserve">investiční cenný papír podle § 3 odst. 2 písm. b), který neobsahuje jiný </w:t>
            </w:r>
            <w:r w:rsidR="000A68D3" w:rsidRPr="002D4C49">
              <w:rPr>
                <w:sz w:val="18"/>
              </w:rPr>
              <w:lastRenderedPageBreak/>
              <w:t>vložený derivátový prvek než doložku o právu na předčasné splacení a</w:t>
            </w:r>
          </w:p>
          <w:p w:rsidR="000A68D3" w:rsidRPr="002D4C49" w:rsidRDefault="00582EC5" w:rsidP="00605684">
            <w:pPr>
              <w:spacing w:before="40" w:after="40"/>
              <w:jc w:val="both"/>
              <w:rPr>
                <w:sz w:val="18"/>
              </w:rPr>
            </w:pPr>
            <w:r>
              <w:rPr>
                <w:sz w:val="18"/>
              </w:rPr>
              <w:t>c)</w:t>
            </w:r>
            <w:r w:rsidR="000A68D3" w:rsidRPr="002D4C49">
              <w:rPr>
                <w:sz w:val="18"/>
              </w:rPr>
              <w:t>depozitní poukázku představující vlastnické právo k investičnímu cennému papíru podle písmene b).</w:t>
            </w:r>
          </w:p>
        </w:tc>
        <w:tc>
          <w:tcPr>
            <w:tcW w:w="818" w:type="dxa"/>
            <w:tcBorders>
              <w:top w:val="single" w:sz="4" w:space="0" w:color="auto"/>
              <w:left w:val="single" w:sz="4" w:space="0" w:color="auto"/>
              <w:bottom w:val="nil"/>
              <w:right w:val="single" w:sz="4" w:space="0" w:color="auto"/>
            </w:tcBorders>
          </w:tcPr>
          <w:p w:rsidR="00257FE7" w:rsidRPr="00605684" w:rsidRDefault="000A68D3" w:rsidP="00605684">
            <w:pPr>
              <w:spacing w:before="40" w:after="40"/>
              <w:rPr>
                <w:sz w:val="18"/>
              </w:rPr>
            </w:pPr>
            <w:r>
              <w:rPr>
                <w:sz w:val="18"/>
              </w:rPr>
              <w:lastRenderedPageBreak/>
              <w:t>P</w:t>
            </w:r>
            <w:r w:rsidR="00B87BE1">
              <w:rPr>
                <w:sz w:val="18"/>
              </w:rPr>
              <w:t>T</w:t>
            </w:r>
          </w:p>
        </w:tc>
        <w:tc>
          <w:tcPr>
            <w:tcW w:w="655" w:type="dxa"/>
            <w:tcBorders>
              <w:top w:val="single" w:sz="4" w:space="0" w:color="auto"/>
              <w:left w:val="single" w:sz="4" w:space="0" w:color="auto"/>
              <w:bottom w:val="nil"/>
              <w:right w:val="single" w:sz="4" w:space="0" w:color="auto"/>
            </w:tcBorders>
          </w:tcPr>
          <w:p w:rsidR="00257FE7" w:rsidRPr="00605684" w:rsidRDefault="00257FE7" w:rsidP="00605684">
            <w:pPr>
              <w:spacing w:before="40" w:after="40"/>
              <w:rPr>
                <w:sz w:val="18"/>
              </w:rPr>
            </w:pPr>
          </w:p>
        </w:tc>
      </w:tr>
      <w:tr w:rsidR="0015492F" w:rsidRPr="00605684" w:rsidTr="0015492F">
        <w:tc>
          <w:tcPr>
            <w:tcW w:w="1427" w:type="dxa"/>
            <w:gridSpan w:val="2"/>
            <w:tcBorders>
              <w:top w:val="nil"/>
              <w:left w:val="single" w:sz="4" w:space="0" w:color="auto"/>
              <w:bottom w:val="single" w:sz="4" w:space="0" w:color="auto"/>
              <w:right w:val="single" w:sz="4" w:space="0" w:color="auto"/>
            </w:tcBorders>
          </w:tcPr>
          <w:p w:rsidR="0015492F" w:rsidRDefault="0015492F" w:rsidP="00F93F08">
            <w:pPr>
              <w:spacing w:before="40" w:after="40"/>
              <w:rPr>
                <w:sz w:val="18"/>
              </w:rPr>
            </w:pPr>
          </w:p>
        </w:tc>
        <w:tc>
          <w:tcPr>
            <w:tcW w:w="5210" w:type="dxa"/>
            <w:gridSpan w:val="3"/>
            <w:tcBorders>
              <w:top w:val="nil"/>
              <w:left w:val="single" w:sz="4" w:space="0" w:color="auto"/>
              <w:bottom w:val="single" w:sz="4" w:space="0" w:color="auto"/>
              <w:right w:val="single" w:sz="18" w:space="0" w:color="auto"/>
            </w:tcBorders>
          </w:tcPr>
          <w:p w:rsidR="0015492F" w:rsidRPr="00A257E8" w:rsidRDefault="0015492F" w:rsidP="00A257E8">
            <w:pPr>
              <w:shd w:val="clear" w:color="auto" w:fill="FFFFFF"/>
              <w:spacing w:before="40" w:after="40"/>
              <w:jc w:val="both"/>
              <w:rPr>
                <w:sz w:val="18"/>
                <w:szCs w:val="18"/>
              </w:rPr>
            </w:pPr>
          </w:p>
        </w:tc>
        <w:tc>
          <w:tcPr>
            <w:tcW w:w="1292" w:type="dxa"/>
            <w:tcBorders>
              <w:top w:val="nil"/>
              <w:left w:val="single" w:sz="18" w:space="0" w:color="auto"/>
              <w:bottom w:val="single" w:sz="4" w:space="0" w:color="auto"/>
              <w:right w:val="single" w:sz="4" w:space="0" w:color="auto"/>
            </w:tcBorders>
          </w:tcPr>
          <w:p w:rsidR="0015492F" w:rsidRDefault="0015492F" w:rsidP="00582EC5">
            <w:pPr>
              <w:spacing w:before="40" w:after="40"/>
              <w:rPr>
                <w:sz w:val="18"/>
              </w:rPr>
            </w:pPr>
            <w:r>
              <w:rPr>
                <w:sz w:val="18"/>
              </w:rPr>
              <w:t>256/2004 ve znění 96/2022</w:t>
            </w:r>
          </w:p>
        </w:tc>
        <w:tc>
          <w:tcPr>
            <w:tcW w:w="1104" w:type="dxa"/>
            <w:tcBorders>
              <w:top w:val="nil"/>
              <w:left w:val="single" w:sz="4" w:space="0" w:color="auto"/>
              <w:bottom w:val="single" w:sz="4" w:space="0" w:color="auto"/>
              <w:right w:val="single" w:sz="4" w:space="0" w:color="auto"/>
            </w:tcBorders>
          </w:tcPr>
          <w:p w:rsidR="0015492F" w:rsidRDefault="0015492F" w:rsidP="00605684">
            <w:pPr>
              <w:spacing w:before="40" w:after="40"/>
              <w:rPr>
                <w:sz w:val="18"/>
              </w:rPr>
            </w:pPr>
            <w:r>
              <w:rPr>
                <w:sz w:val="18"/>
              </w:rPr>
              <w:t>§ 15b odst. 4</w:t>
            </w:r>
          </w:p>
        </w:tc>
        <w:tc>
          <w:tcPr>
            <w:tcW w:w="5425" w:type="dxa"/>
            <w:gridSpan w:val="4"/>
            <w:tcBorders>
              <w:top w:val="nil"/>
              <w:left w:val="single" w:sz="4" w:space="0" w:color="auto"/>
              <w:bottom w:val="single" w:sz="4" w:space="0" w:color="auto"/>
              <w:right w:val="single" w:sz="4" w:space="0" w:color="auto"/>
            </w:tcBorders>
          </w:tcPr>
          <w:p w:rsidR="0015492F" w:rsidRPr="002D4C49" w:rsidRDefault="0015492F" w:rsidP="0015492F">
            <w:pPr>
              <w:spacing w:before="40" w:after="40"/>
              <w:jc w:val="both"/>
              <w:rPr>
                <w:sz w:val="18"/>
              </w:rPr>
            </w:pPr>
            <w:r>
              <w:rPr>
                <w:sz w:val="18"/>
              </w:rPr>
              <w:t xml:space="preserve">(4) </w:t>
            </w:r>
            <w:r w:rsidRPr="002D4C49">
              <w:rPr>
                <w:sz w:val="18"/>
              </w:rPr>
              <w:t>Odstavce 1 až 3 se nepoužijí pro</w:t>
            </w:r>
          </w:p>
          <w:p w:rsidR="0015492F" w:rsidRPr="002D4C49" w:rsidRDefault="0015492F" w:rsidP="0015492F">
            <w:pPr>
              <w:spacing w:before="40" w:after="40"/>
              <w:jc w:val="both"/>
              <w:rPr>
                <w:sz w:val="18"/>
              </w:rPr>
            </w:pPr>
            <w:r>
              <w:rPr>
                <w:sz w:val="18"/>
              </w:rPr>
              <w:t>a)</w:t>
            </w:r>
            <w:r w:rsidRPr="002D4C49">
              <w:rPr>
                <w:sz w:val="18"/>
              </w:rPr>
              <w:t>investiční nástroj nabízený pouze způsobilým protistranám,</w:t>
            </w:r>
          </w:p>
          <w:p w:rsidR="0015492F" w:rsidRPr="002D4C49" w:rsidRDefault="0015492F" w:rsidP="0015492F">
            <w:pPr>
              <w:spacing w:before="40" w:after="40"/>
              <w:jc w:val="both"/>
              <w:rPr>
                <w:sz w:val="18"/>
              </w:rPr>
            </w:pPr>
            <w:r>
              <w:rPr>
                <w:sz w:val="18"/>
              </w:rPr>
              <w:t>b)</w:t>
            </w:r>
            <w:r w:rsidRPr="002D4C49">
              <w:rPr>
                <w:sz w:val="18"/>
              </w:rPr>
              <w:t>investiční cenný papír podle § 3 odst. 2 písm. b), který neobsahuje jiný vložený derivátový prvek než doložku o právu na předčasné splacení a</w:t>
            </w:r>
          </w:p>
          <w:p w:rsidR="0015492F" w:rsidRPr="00B16D3B" w:rsidRDefault="0015492F" w:rsidP="0015492F">
            <w:pPr>
              <w:spacing w:before="40" w:after="40"/>
              <w:jc w:val="both"/>
              <w:rPr>
                <w:sz w:val="18"/>
              </w:rPr>
            </w:pPr>
            <w:r>
              <w:rPr>
                <w:sz w:val="18"/>
              </w:rPr>
              <w:t>c)</w:t>
            </w:r>
            <w:r w:rsidRPr="002D4C49">
              <w:rPr>
                <w:sz w:val="18"/>
              </w:rPr>
              <w:t>depozitní poukázku představující vlastnické právo k investičnímu cennému papíru podle písmene b).</w:t>
            </w:r>
          </w:p>
        </w:tc>
        <w:tc>
          <w:tcPr>
            <w:tcW w:w="818" w:type="dxa"/>
            <w:tcBorders>
              <w:top w:val="nil"/>
              <w:left w:val="single" w:sz="4" w:space="0" w:color="auto"/>
              <w:bottom w:val="single" w:sz="4" w:space="0" w:color="auto"/>
              <w:right w:val="single" w:sz="4" w:space="0" w:color="auto"/>
            </w:tcBorders>
          </w:tcPr>
          <w:p w:rsidR="0015492F" w:rsidRDefault="0015492F" w:rsidP="00605684">
            <w:pPr>
              <w:spacing w:before="40" w:after="40"/>
              <w:rPr>
                <w:sz w:val="18"/>
              </w:rPr>
            </w:pPr>
          </w:p>
        </w:tc>
        <w:tc>
          <w:tcPr>
            <w:tcW w:w="655" w:type="dxa"/>
            <w:tcBorders>
              <w:top w:val="nil"/>
              <w:left w:val="single" w:sz="4" w:space="0" w:color="auto"/>
              <w:bottom w:val="single" w:sz="4" w:space="0" w:color="auto"/>
              <w:right w:val="single" w:sz="4" w:space="0" w:color="auto"/>
            </w:tcBorders>
          </w:tcPr>
          <w:p w:rsidR="0015492F" w:rsidRPr="00605684" w:rsidRDefault="0015492F" w:rsidP="00605684">
            <w:pPr>
              <w:spacing w:before="40" w:after="40"/>
              <w:rPr>
                <w:sz w:val="18"/>
              </w:rPr>
            </w:pPr>
          </w:p>
        </w:tc>
      </w:tr>
      <w:tr w:rsidR="00025712" w:rsidRPr="00605684" w:rsidTr="0015492F">
        <w:tc>
          <w:tcPr>
            <w:tcW w:w="1427" w:type="dxa"/>
            <w:gridSpan w:val="2"/>
            <w:tcBorders>
              <w:top w:val="single" w:sz="4" w:space="0" w:color="auto"/>
              <w:left w:val="single" w:sz="4" w:space="0" w:color="auto"/>
              <w:bottom w:val="nil"/>
              <w:right w:val="single" w:sz="4" w:space="0" w:color="auto"/>
            </w:tcBorders>
          </w:tcPr>
          <w:p w:rsidR="00F37F22" w:rsidRPr="00605684" w:rsidRDefault="00F93F08" w:rsidP="00F93F08">
            <w:pPr>
              <w:spacing w:before="40" w:after="40"/>
              <w:rPr>
                <w:sz w:val="18"/>
              </w:rPr>
            </w:pPr>
            <w:r>
              <w:rPr>
                <w:sz w:val="18"/>
              </w:rPr>
              <w:t xml:space="preserve">Článek </w:t>
            </w:r>
            <w:r w:rsidR="00A257E8">
              <w:rPr>
                <w:sz w:val="18"/>
              </w:rPr>
              <w:t>1</w:t>
            </w:r>
            <w:r w:rsidR="00F37F22" w:rsidRPr="00605684">
              <w:rPr>
                <w:sz w:val="18"/>
              </w:rPr>
              <w:t xml:space="preserve"> </w:t>
            </w:r>
            <w:r w:rsidR="00B93EF4">
              <w:rPr>
                <w:sz w:val="18"/>
              </w:rPr>
              <w:t>bod</w:t>
            </w:r>
            <w:r w:rsidR="00B93EF4" w:rsidRPr="00605684">
              <w:rPr>
                <w:sz w:val="18"/>
              </w:rPr>
              <w:t xml:space="preserve"> </w:t>
            </w:r>
            <w:r w:rsidR="00A257E8">
              <w:rPr>
                <w:sz w:val="18"/>
              </w:rPr>
              <w:t>4 písm. a)</w:t>
            </w:r>
          </w:p>
        </w:tc>
        <w:tc>
          <w:tcPr>
            <w:tcW w:w="5210" w:type="dxa"/>
            <w:gridSpan w:val="3"/>
            <w:tcBorders>
              <w:top w:val="single" w:sz="4" w:space="0" w:color="auto"/>
              <w:left w:val="single" w:sz="4" w:space="0" w:color="auto"/>
              <w:bottom w:val="nil"/>
              <w:right w:val="single" w:sz="18" w:space="0" w:color="auto"/>
            </w:tcBorders>
          </w:tcPr>
          <w:p w:rsidR="00A257E8" w:rsidRPr="00A257E8" w:rsidRDefault="00A257E8" w:rsidP="00A257E8">
            <w:pPr>
              <w:shd w:val="clear" w:color="auto" w:fill="FFFFFF"/>
              <w:spacing w:before="40" w:after="40"/>
              <w:jc w:val="both"/>
              <w:rPr>
                <w:sz w:val="18"/>
                <w:szCs w:val="18"/>
              </w:rPr>
            </w:pPr>
            <w:r w:rsidRPr="00A257E8">
              <w:rPr>
                <w:sz w:val="18"/>
                <w:szCs w:val="18"/>
              </w:rPr>
              <w:t>Článek 24 se mění takto:</w:t>
            </w:r>
          </w:p>
          <w:p w:rsidR="00A257E8" w:rsidRPr="00A257E8" w:rsidRDefault="00A257E8" w:rsidP="00A257E8">
            <w:pPr>
              <w:shd w:val="clear" w:color="auto" w:fill="FFFFFF"/>
              <w:spacing w:before="40" w:after="40"/>
              <w:jc w:val="both"/>
              <w:rPr>
                <w:sz w:val="18"/>
                <w:szCs w:val="18"/>
              </w:rPr>
            </w:pPr>
            <w:r>
              <w:rPr>
                <w:sz w:val="18"/>
                <w:szCs w:val="18"/>
              </w:rPr>
              <w:t xml:space="preserve">a) </w:t>
            </w:r>
            <w:r w:rsidRPr="00A257E8">
              <w:rPr>
                <w:sz w:val="18"/>
                <w:szCs w:val="18"/>
              </w:rPr>
              <w:t>v odstavci 4 se doplňují nové pododstavce, které znějí:</w:t>
            </w:r>
          </w:p>
          <w:p w:rsidR="00A257E8" w:rsidRPr="00A257E8" w:rsidRDefault="00A257E8" w:rsidP="00A257E8">
            <w:pPr>
              <w:shd w:val="clear" w:color="auto" w:fill="FFFFFF"/>
              <w:spacing w:before="40" w:after="40"/>
              <w:jc w:val="both"/>
              <w:rPr>
                <w:sz w:val="18"/>
                <w:szCs w:val="18"/>
              </w:rPr>
            </w:pPr>
            <w:r w:rsidRPr="00A257E8">
              <w:rPr>
                <w:sz w:val="18"/>
                <w:szCs w:val="18"/>
              </w:rPr>
              <w:t>„Je-li smlouva o nákupu nebo prodeji finančního nástroje uzavřena za použití prostředků pro komunikaci na dálku, což znemožňuje předchozí poskytnutí informací o nákladech a poplatcích, může investiční podnik poskytnout informace o nákladech a poplatcích buď v elektronické podobě, nebo v papírové podobě, pokud to neprofesionální zákazník požaduje, a to bez zbytečného odkladu po uzavření obchodu, jsou-li splněny obě tyto podmínky:</w:t>
            </w:r>
          </w:p>
          <w:p w:rsidR="00A257E8" w:rsidRPr="00A257E8" w:rsidRDefault="00A257E8" w:rsidP="00A257E8">
            <w:pPr>
              <w:shd w:val="clear" w:color="auto" w:fill="FFFFFF"/>
              <w:spacing w:before="40" w:after="40"/>
              <w:jc w:val="both"/>
              <w:rPr>
                <w:sz w:val="18"/>
                <w:szCs w:val="18"/>
              </w:rPr>
            </w:pPr>
            <w:r>
              <w:rPr>
                <w:sz w:val="18"/>
                <w:szCs w:val="18"/>
              </w:rPr>
              <w:t xml:space="preserve">i) </w:t>
            </w:r>
            <w:r w:rsidRPr="00A257E8">
              <w:rPr>
                <w:sz w:val="18"/>
                <w:szCs w:val="18"/>
              </w:rPr>
              <w:t>zákazník souhlasil, že informace obdrží bez zbytečné</w:t>
            </w:r>
            <w:r>
              <w:rPr>
                <w:sz w:val="18"/>
                <w:szCs w:val="18"/>
              </w:rPr>
              <w:t>ho odkladu po uzavření obchodu;</w:t>
            </w:r>
          </w:p>
          <w:p w:rsidR="00A257E8" w:rsidRPr="00A257E8" w:rsidRDefault="00A257E8" w:rsidP="00A257E8">
            <w:pPr>
              <w:shd w:val="clear" w:color="auto" w:fill="FFFFFF"/>
              <w:spacing w:before="40" w:after="40"/>
              <w:jc w:val="both"/>
              <w:rPr>
                <w:sz w:val="18"/>
                <w:szCs w:val="18"/>
              </w:rPr>
            </w:pPr>
            <w:r>
              <w:rPr>
                <w:sz w:val="18"/>
                <w:szCs w:val="18"/>
              </w:rPr>
              <w:t xml:space="preserve">ii) </w:t>
            </w:r>
            <w:r w:rsidRPr="00A257E8">
              <w:rPr>
                <w:sz w:val="18"/>
                <w:szCs w:val="18"/>
              </w:rPr>
              <w:t>investiční podnik dal zákazníkovi možnost odložit uzavření obchodu, dokud zákazník informace neobdrží.</w:t>
            </w:r>
          </w:p>
          <w:p w:rsidR="00F37F22" w:rsidRPr="00605684" w:rsidRDefault="00A257E8" w:rsidP="00A257E8">
            <w:pPr>
              <w:shd w:val="clear" w:color="auto" w:fill="FFFFFF"/>
              <w:spacing w:before="40" w:after="40"/>
              <w:jc w:val="both"/>
              <w:rPr>
                <w:sz w:val="18"/>
                <w:szCs w:val="18"/>
              </w:rPr>
            </w:pPr>
            <w:r>
              <w:rPr>
                <w:sz w:val="18"/>
                <w:szCs w:val="18"/>
              </w:rPr>
              <w:t xml:space="preserve"> </w:t>
            </w:r>
            <w:r w:rsidRPr="00A257E8">
              <w:rPr>
                <w:sz w:val="18"/>
                <w:szCs w:val="18"/>
              </w:rPr>
              <w:t>Kromě požadavků třetího pododstavce se od investičního podniku vyžaduje, aby zákazníkovi nabídl možnost obdržet informace o nákladech a poplatcích telefo</w:t>
            </w:r>
            <w:r>
              <w:rPr>
                <w:sz w:val="18"/>
                <w:szCs w:val="18"/>
              </w:rPr>
              <w:t>nicky před uzavřením obchodu.“;</w:t>
            </w:r>
          </w:p>
        </w:tc>
        <w:tc>
          <w:tcPr>
            <w:tcW w:w="1292" w:type="dxa"/>
            <w:tcBorders>
              <w:top w:val="single" w:sz="4" w:space="0" w:color="auto"/>
              <w:left w:val="single" w:sz="18" w:space="0" w:color="auto"/>
              <w:bottom w:val="nil"/>
              <w:right w:val="single" w:sz="4" w:space="0" w:color="auto"/>
            </w:tcBorders>
          </w:tcPr>
          <w:p w:rsidR="00F37F22" w:rsidRPr="00605684" w:rsidRDefault="00582EC5" w:rsidP="00B81329">
            <w:pPr>
              <w:spacing w:before="40" w:after="40"/>
              <w:rPr>
                <w:sz w:val="18"/>
              </w:rPr>
            </w:pPr>
            <w:r>
              <w:rPr>
                <w:sz w:val="18"/>
              </w:rPr>
              <w:t>256/2004</w:t>
            </w:r>
            <w:r w:rsidR="001C5F43">
              <w:rPr>
                <w:sz w:val="18"/>
              </w:rPr>
              <w:t xml:space="preserve"> ve znění </w:t>
            </w:r>
            <w:r>
              <w:rPr>
                <w:sz w:val="18"/>
              </w:rPr>
              <w:t>96/2022</w:t>
            </w:r>
          </w:p>
        </w:tc>
        <w:tc>
          <w:tcPr>
            <w:tcW w:w="1104" w:type="dxa"/>
            <w:tcBorders>
              <w:top w:val="single" w:sz="4" w:space="0" w:color="auto"/>
              <w:left w:val="single" w:sz="4" w:space="0" w:color="auto"/>
              <w:bottom w:val="nil"/>
              <w:right w:val="single" w:sz="4" w:space="0" w:color="auto"/>
            </w:tcBorders>
          </w:tcPr>
          <w:p w:rsidR="00F37F22" w:rsidRPr="00605684" w:rsidRDefault="00B16D3B" w:rsidP="00605684">
            <w:pPr>
              <w:spacing w:before="40" w:after="40"/>
              <w:rPr>
                <w:sz w:val="18"/>
              </w:rPr>
            </w:pPr>
            <w:r>
              <w:rPr>
                <w:sz w:val="18"/>
              </w:rPr>
              <w:t>§ 15e odst. 6</w:t>
            </w:r>
          </w:p>
        </w:tc>
        <w:tc>
          <w:tcPr>
            <w:tcW w:w="5425" w:type="dxa"/>
            <w:gridSpan w:val="4"/>
            <w:tcBorders>
              <w:top w:val="single" w:sz="4" w:space="0" w:color="auto"/>
              <w:left w:val="single" w:sz="4" w:space="0" w:color="auto"/>
              <w:bottom w:val="nil"/>
              <w:right w:val="single" w:sz="4" w:space="0" w:color="auto"/>
            </w:tcBorders>
          </w:tcPr>
          <w:p w:rsidR="00FB41BE" w:rsidRPr="00B16D3B" w:rsidRDefault="00FB41BE" w:rsidP="00FB41BE">
            <w:pPr>
              <w:spacing w:before="40" w:after="40"/>
              <w:jc w:val="both"/>
              <w:rPr>
                <w:sz w:val="18"/>
              </w:rPr>
            </w:pPr>
            <w:r w:rsidRPr="00B16D3B">
              <w:rPr>
                <w:sz w:val="18"/>
              </w:rPr>
              <w:t>(6) Je-li smlouva o koupi nebo prodeji investičního nástroje uzavírána prostřednictvím prostředku komunikace na dálku a není možné poskytnout informace podle § 15d odst. 1 písm. e) před uzavřením této smlouvy, může obchodník s cennými papíry poskytnout tyto informace na trvalém nosiči dat bez zbytečného odkladu po uzavření smlouvy,</w:t>
            </w:r>
            <w:r w:rsidR="00B16D3B">
              <w:rPr>
                <w:sz w:val="18"/>
              </w:rPr>
              <w:t xml:space="preserve"> jsou-li splněny tyto podmínky:</w:t>
            </w:r>
          </w:p>
          <w:p w:rsidR="00FB41BE" w:rsidRPr="00B16D3B" w:rsidRDefault="00B16D3B" w:rsidP="00FB41BE">
            <w:pPr>
              <w:spacing w:before="40" w:after="40"/>
              <w:jc w:val="both"/>
              <w:rPr>
                <w:sz w:val="18"/>
              </w:rPr>
            </w:pPr>
            <w:r>
              <w:rPr>
                <w:sz w:val="18"/>
              </w:rPr>
              <w:t>a)</w:t>
            </w:r>
            <w:r w:rsidR="00FB41BE" w:rsidRPr="00B16D3B">
              <w:rPr>
                <w:sz w:val="18"/>
              </w:rPr>
              <w:t>zákazník souhlasil s tím, že obdrží informace podle § 15d odst. 1 písm. e) bez zbytečného odkladu po uzavření smlouvy,</w:t>
            </w:r>
          </w:p>
          <w:p w:rsidR="00FB41BE" w:rsidRPr="00B16D3B" w:rsidRDefault="00B16D3B" w:rsidP="00FB41BE">
            <w:pPr>
              <w:spacing w:before="40" w:after="40"/>
              <w:jc w:val="both"/>
              <w:rPr>
                <w:sz w:val="18"/>
              </w:rPr>
            </w:pPr>
            <w:r>
              <w:rPr>
                <w:sz w:val="18"/>
              </w:rPr>
              <w:t>b)</w:t>
            </w:r>
            <w:r w:rsidR="00FB41BE" w:rsidRPr="00B16D3B">
              <w:rPr>
                <w:sz w:val="18"/>
              </w:rPr>
              <w:t>obchodník s cennými papíry poskytl zákazníkovi možnost odložit uzavření smlouvy tak, aby tento zákazník obdržel informace podle § 15d odst. 1 písm. e) předem, a</w:t>
            </w:r>
          </w:p>
          <w:p w:rsidR="00FB41BE" w:rsidRPr="00B16D3B" w:rsidRDefault="00B16D3B" w:rsidP="00605684">
            <w:pPr>
              <w:spacing w:before="40" w:after="40"/>
              <w:jc w:val="both"/>
              <w:rPr>
                <w:sz w:val="18"/>
              </w:rPr>
            </w:pPr>
            <w:r>
              <w:rPr>
                <w:sz w:val="18"/>
              </w:rPr>
              <w:t>c)</w:t>
            </w:r>
            <w:r w:rsidR="00FB41BE" w:rsidRPr="00B16D3B">
              <w:rPr>
                <w:sz w:val="18"/>
              </w:rPr>
              <w:t>obchodník s cennými papíry nabídl zákazníkovi možnost poskytnutí informací podle § 15d odst. 1 písm. e) telefonicky.</w:t>
            </w:r>
          </w:p>
        </w:tc>
        <w:tc>
          <w:tcPr>
            <w:tcW w:w="818" w:type="dxa"/>
            <w:tcBorders>
              <w:top w:val="single" w:sz="4" w:space="0" w:color="auto"/>
              <w:left w:val="single" w:sz="4" w:space="0" w:color="auto"/>
              <w:bottom w:val="nil"/>
              <w:right w:val="single" w:sz="4" w:space="0" w:color="auto"/>
            </w:tcBorders>
          </w:tcPr>
          <w:p w:rsidR="00F37F22" w:rsidRPr="00605684" w:rsidRDefault="00FB41BE" w:rsidP="00605684">
            <w:pPr>
              <w:spacing w:before="40" w:after="40"/>
              <w:rPr>
                <w:sz w:val="18"/>
              </w:rPr>
            </w:pPr>
            <w:r>
              <w:rPr>
                <w:sz w:val="18"/>
              </w:rPr>
              <w:t>P</w:t>
            </w:r>
            <w:r w:rsidR="00B87BE1">
              <w:rPr>
                <w:sz w:val="18"/>
              </w:rPr>
              <w:t>T</w:t>
            </w:r>
          </w:p>
        </w:tc>
        <w:tc>
          <w:tcPr>
            <w:tcW w:w="655" w:type="dxa"/>
            <w:tcBorders>
              <w:top w:val="single" w:sz="4" w:space="0" w:color="auto"/>
              <w:left w:val="single" w:sz="4" w:space="0" w:color="auto"/>
              <w:bottom w:val="nil"/>
              <w:right w:val="single" w:sz="4" w:space="0" w:color="auto"/>
            </w:tcBorders>
          </w:tcPr>
          <w:p w:rsidR="00F37F22" w:rsidRPr="00605684" w:rsidRDefault="00F37F22" w:rsidP="00605684">
            <w:pPr>
              <w:spacing w:before="40" w:after="40"/>
              <w:rPr>
                <w:sz w:val="18"/>
              </w:rPr>
            </w:pPr>
          </w:p>
        </w:tc>
      </w:tr>
      <w:tr w:rsidR="00025712" w:rsidRPr="00605684" w:rsidTr="00B87BE1">
        <w:tc>
          <w:tcPr>
            <w:tcW w:w="1427" w:type="dxa"/>
            <w:gridSpan w:val="2"/>
            <w:tcBorders>
              <w:top w:val="single" w:sz="4" w:space="0" w:color="auto"/>
              <w:left w:val="single" w:sz="4" w:space="0" w:color="auto"/>
              <w:bottom w:val="nil"/>
              <w:right w:val="single" w:sz="4" w:space="0" w:color="auto"/>
            </w:tcBorders>
          </w:tcPr>
          <w:p w:rsidR="00F37F22" w:rsidRPr="00605684" w:rsidRDefault="00F93F08" w:rsidP="00F93F08">
            <w:pPr>
              <w:spacing w:before="40" w:after="40"/>
              <w:rPr>
                <w:sz w:val="18"/>
              </w:rPr>
            </w:pPr>
            <w:r>
              <w:rPr>
                <w:sz w:val="18"/>
              </w:rPr>
              <w:t xml:space="preserve">Článek </w:t>
            </w:r>
            <w:r w:rsidR="00A257E8">
              <w:rPr>
                <w:sz w:val="18"/>
              </w:rPr>
              <w:t>1</w:t>
            </w:r>
            <w:r w:rsidR="00F37F22" w:rsidRPr="00605684">
              <w:rPr>
                <w:sz w:val="18"/>
              </w:rPr>
              <w:t xml:space="preserve"> </w:t>
            </w:r>
            <w:r w:rsidR="00B93EF4">
              <w:rPr>
                <w:sz w:val="18"/>
              </w:rPr>
              <w:t>bod</w:t>
            </w:r>
            <w:r w:rsidR="00B93EF4" w:rsidRPr="00605684">
              <w:rPr>
                <w:sz w:val="18"/>
              </w:rPr>
              <w:t xml:space="preserve"> </w:t>
            </w:r>
            <w:r w:rsidR="00A257E8">
              <w:rPr>
                <w:sz w:val="18"/>
              </w:rPr>
              <w:t>4 písm. b)</w:t>
            </w:r>
          </w:p>
        </w:tc>
        <w:tc>
          <w:tcPr>
            <w:tcW w:w="5210" w:type="dxa"/>
            <w:gridSpan w:val="3"/>
            <w:tcBorders>
              <w:top w:val="single" w:sz="4" w:space="0" w:color="auto"/>
              <w:left w:val="single" w:sz="4" w:space="0" w:color="auto"/>
              <w:bottom w:val="nil"/>
              <w:right w:val="single" w:sz="18" w:space="0" w:color="auto"/>
            </w:tcBorders>
          </w:tcPr>
          <w:p w:rsidR="00A257E8" w:rsidRPr="00A257E8" w:rsidRDefault="005C2C98" w:rsidP="00A257E8">
            <w:pPr>
              <w:shd w:val="clear" w:color="auto" w:fill="FFFFFF"/>
              <w:spacing w:before="40" w:after="40"/>
              <w:jc w:val="both"/>
              <w:rPr>
                <w:sz w:val="18"/>
                <w:szCs w:val="18"/>
              </w:rPr>
            </w:pPr>
            <w:r>
              <w:rPr>
                <w:sz w:val="18"/>
                <w:szCs w:val="18"/>
              </w:rPr>
              <w:t xml:space="preserve">4. </w:t>
            </w:r>
            <w:r w:rsidR="00901CDF">
              <w:rPr>
                <w:sz w:val="18"/>
                <w:szCs w:val="18"/>
              </w:rPr>
              <w:t>Článek 24 se mění takto:</w:t>
            </w:r>
          </w:p>
          <w:p w:rsidR="00A257E8" w:rsidRPr="00A257E8" w:rsidRDefault="00901CDF" w:rsidP="00A257E8">
            <w:pPr>
              <w:shd w:val="clear" w:color="auto" w:fill="FFFFFF"/>
              <w:spacing w:before="40" w:after="40"/>
              <w:jc w:val="both"/>
              <w:rPr>
                <w:sz w:val="18"/>
                <w:szCs w:val="18"/>
              </w:rPr>
            </w:pPr>
            <w:r>
              <w:rPr>
                <w:sz w:val="18"/>
                <w:szCs w:val="18"/>
              </w:rPr>
              <w:t xml:space="preserve">b) </w:t>
            </w:r>
            <w:r w:rsidR="00A257E8" w:rsidRPr="00A257E8">
              <w:rPr>
                <w:sz w:val="18"/>
                <w:szCs w:val="18"/>
              </w:rPr>
              <w:t>vklá</w:t>
            </w:r>
            <w:r>
              <w:rPr>
                <w:sz w:val="18"/>
                <w:szCs w:val="18"/>
              </w:rPr>
              <w:t>dá se nový odstavec, který zní:</w:t>
            </w:r>
          </w:p>
          <w:p w:rsidR="00A257E8" w:rsidRPr="00A257E8" w:rsidRDefault="00A257E8" w:rsidP="00A257E8">
            <w:pPr>
              <w:shd w:val="clear" w:color="auto" w:fill="FFFFFF"/>
              <w:spacing w:before="40" w:after="40"/>
              <w:jc w:val="both"/>
              <w:rPr>
                <w:sz w:val="18"/>
                <w:szCs w:val="18"/>
              </w:rPr>
            </w:pPr>
            <w:r w:rsidRPr="00A257E8">
              <w:rPr>
                <w:sz w:val="18"/>
                <w:szCs w:val="18"/>
              </w:rPr>
              <w:t>„5a.   Investiční podniky poskytnou veškeré informace, které mají být poskytnuty podle této směrnice zákazníkům či potenciálním zákazníkům, v elektronické podobě, s výjimkou situací, kdy je zákazníkem či potenciálním zákazníkem neprofesionální zákazník či potenciální neprofesionální zákazník, který požádal o obdržení informací v papírové podobě, v kterémžto případě se tyto informace bezplat</w:t>
            </w:r>
            <w:r w:rsidR="00901CDF">
              <w:rPr>
                <w:sz w:val="18"/>
                <w:szCs w:val="18"/>
              </w:rPr>
              <w:t>ně poskytnou v papírové podobě.</w:t>
            </w:r>
          </w:p>
          <w:p w:rsidR="00A257E8" w:rsidRPr="00A257E8" w:rsidRDefault="00A257E8" w:rsidP="00A257E8">
            <w:pPr>
              <w:shd w:val="clear" w:color="auto" w:fill="FFFFFF"/>
              <w:spacing w:before="40" w:after="40"/>
              <w:jc w:val="both"/>
              <w:rPr>
                <w:sz w:val="18"/>
                <w:szCs w:val="18"/>
              </w:rPr>
            </w:pPr>
            <w:r w:rsidRPr="00A257E8">
              <w:rPr>
                <w:sz w:val="18"/>
                <w:szCs w:val="18"/>
              </w:rPr>
              <w:lastRenderedPageBreak/>
              <w:t>Investiční podniky informují neprofesionální zákazníky či potenciální neprofesionální zákazníky o tom, že mají možnost obdrž</w:t>
            </w:r>
            <w:r w:rsidR="00901CDF">
              <w:rPr>
                <w:sz w:val="18"/>
                <w:szCs w:val="18"/>
              </w:rPr>
              <w:t>et informace v papírové podobě.</w:t>
            </w:r>
          </w:p>
          <w:p w:rsidR="00F37F22" w:rsidRPr="00605684" w:rsidRDefault="00A257E8" w:rsidP="000D5D7C">
            <w:pPr>
              <w:shd w:val="clear" w:color="auto" w:fill="FFFFFF"/>
              <w:spacing w:before="40" w:after="40"/>
              <w:jc w:val="both"/>
              <w:rPr>
                <w:sz w:val="18"/>
                <w:szCs w:val="18"/>
              </w:rPr>
            </w:pPr>
            <w:r w:rsidRPr="00A257E8">
              <w:rPr>
                <w:sz w:val="18"/>
                <w:szCs w:val="18"/>
              </w:rPr>
              <w:t>Investiční podniky informují stávající neprofesionální zákazníky, kteří dostávají informace požadované touto směrnicí v papírové podobě, o skutečnosti, že tyto informace obdrží v elektronické podobě, a to alespoň osm týdnů před odesláním daných informací v elektronické podobě. Investiční podniky informují stávající neprofesionální zákazníky, že si mohou zvolit, zda chtějí, aby jim byly informace nadále zasílány v papírové podobě, nebo zda přejdou na informace v elektronické podobě. Investiční podniky rovněž informují stávající neprofesionální zákazníky, že pokud v uvedené lhůtě osmi týdnů nepožádají, aby jim byly informace nadále poskytovány v papírové podobě, dojde k automatickému přechodu na elektronickou podobu. Stávající neprofesionální zákazníky, kteří již dostávají informace požadované touto směrnicí v elektronické p</w:t>
            </w:r>
            <w:r>
              <w:rPr>
                <w:sz w:val="18"/>
                <w:szCs w:val="18"/>
              </w:rPr>
              <w:t>odobě, není třeba informovat.“;</w:t>
            </w:r>
          </w:p>
        </w:tc>
        <w:tc>
          <w:tcPr>
            <w:tcW w:w="1292" w:type="dxa"/>
            <w:tcBorders>
              <w:top w:val="single" w:sz="4" w:space="0" w:color="auto"/>
              <w:left w:val="single" w:sz="18" w:space="0" w:color="auto"/>
              <w:bottom w:val="nil"/>
              <w:right w:val="single" w:sz="4" w:space="0" w:color="auto"/>
            </w:tcBorders>
          </w:tcPr>
          <w:p w:rsidR="00F37F22" w:rsidRPr="00605684" w:rsidRDefault="001C5F43" w:rsidP="001A7593">
            <w:pPr>
              <w:spacing w:before="40" w:after="40"/>
              <w:rPr>
                <w:sz w:val="18"/>
              </w:rPr>
            </w:pPr>
            <w:r>
              <w:rPr>
                <w:sz w:val="18"/>
              </w:rPr>
              <w:lastRenderedPageBreak/>
              <w:t xml:space="preserve">256/2004 ve znění </w:t>
            </w:r>
            <w:r w:rsidR="001A7593">
              <w:rPr>
                <w:sz w:val="18"/>
              </w:rPr>
              <w:t>96/2022</w:t>
            </w:r>
          </w:p>
        </w:tc>
        <w:tc>
          <w:tcPr>
            <w:tcW w:w="1104" w:type="dxa"/>
            <w:tcBorders>
              <w:top w:val="single" w:sz="4" w:space="0" w:color="auto"/>
              <w:left w:val="single" w:sz="4" w:space="0" w:color="auto"/>
              <w:bottom w:val="nil"/>
              <w:right w:val="single" w:sz="4" w:space="0" w:color="auto"/>
            </w:tcBorders>
          </w:tcPr>
          <w:p w:rsidR="00F37F22" w:rsidRPr="00605684" w:rsidRDefault="001A7593" w:rsidP="00605684">
            <w:pPr>
              <w:spacing w:before="40" w:after="40"/>
              <w:rPr>
                <w:sz w:val="18"/>
              </w:rPr>
            </w:pPr>
            <w:r>
              <w:rPr>
                <w:sz w:val="18"/>
              </w:rPr>
              <w:t>§ 15da</w:t>
            </w:r>
            <w:r w:rsidR="00E103FC">
              <w:rPr>
                <w:sz w:val="18"/>
              </w:rPr>
              <w:t xml:space="preserve"> odst. 1 až 4</w:t>
            </w:r>
          </w:p>
        </w:tc>
        <w:tc>
          <w:tcPr>
            <w:tcW w:w="5425" w:type="dxa"/>
            <w:gridSpan w:val="4"/>
            <w:tcBorders>
              <w:top w:val="single" w:sz="4" w:space="0" w:color="auto"/>
              <w:left w:val="single" w:sz="4" w:space="0" w:color="auto"/>
              <w:bottom w:val="nil"/>
              <w:right w:val="single" w:sz="4" w:space="0" w:color="auto"/>
            </w:tcBorders>
          </w:tcPr>
          <w:p w:rsidR="001A7593" w:rsidRPr="001A7593" w:rsidRDefault="001A7593" w:rsidP="001A7593">
            <w:pPr>
              <w:jc w:val="both"/>
              <w:rPr>
                <w:sz w:val="18"/>
              </w:rPr>
            </w:pPr>
            <w:r w:rsidRPr="001A7593">
              <w:rPr>
                <w:sz w:val="18"/>
              </w:rPr>
              <w:t>(1) Obchodník s cennými papíry poskytuje informace podle tohoto zákona zákazníkovi v elektronické podobě, ledaže zákazník, který není profesionálním zákazníkem, požádá o poskytování informací v listinné podobě a v takovém případě mu obchodník s cennými papíry poskytuje informace podle tohoto záko</w:t>
            </w:r>
            <w:r>
              <w:rPr>
                <w:sz w:val="18"/>
              </w:rPr>
              <w:t>na v listinné podobě bezplatně.</w:t>
            </w:r>
          </w:p>
          <w:p w:rsidR="001A7593" w:rsidRDefault="001A7593" w:rsidP="001A7593">
            <w:pPr>
              <w:jc w:val="both"/>
              <w:rPr>
                <w:sz w:val="18"/>
              </w:rPr>
            </w:pPr>
            <w:r w:rsidRPr="001A7593">
              <w:rPr>
                <w:sz w:val="18"/>
              </w:rPr>
              <w:t>(2) Obchodník s cennými papíry informuje zákazníka, který není profesionálním zákazníkem, o možnosti poskytová</w:t>
            </w:r>
            <w:r>
              <w:rPr>
                <w:sz w:val="18"/>
              </w:rPr>
              <w:t>ní informací v listinné podobě.</w:t>
            </w:r>
          </w:p>
          <w:p w:rsidR="001A7593" w:rsidRPr="001A7593" w:rsidRDefault="001A7593" w:rsidP="001A7593">
            <w:pPr>
              <w:jc w:val="both"/>
              <w:rPr>
                <w:sz w:val="18"/>
              </w:rPr>
            </w:pPr>
            <w:r w:rsidRPr="001A7593">
              <w:rPr>
                <w:sz w:val="18"/>
              </w:rPr>
              <w:t xml:space="preserve">(3) Obchodník s cennými papíry poskytne stávajícímu zákazníkovi, který není profesionálním zákazníkem a kterému byly doposud informace </w:t>
            </w:r>
            <w:r w:rsidRPr="001A7593">
              <w:rPr>
                <w:sz w:val="18"/>
              </w:rPr>
              <w:lastRenderedPageBreak/>
              <w:t>podle tohoto zákona poskytovány v listinné podobě, sdělení, že mu budou nadále tyto informace poskytovány v elektronické podobě, a to nejpozději 8 týdnů přede dnem zahájení poskytování těchto i</w:t>
            </w:r>
            <w:r>
              <w:rPr>
                <w:sz w:val="18"/>
              </w:rPr>
              <w:t>nformací v elektronické podobě.</w:t>
            </w:r>
          </w:p>
          <w:p w:rsidR="00F37F22" w:rsidRPr="001A7593" w:rsidRDefault="001A7593" w:rsidP="001A7593">
            <w:pPr>
              <w:jc w:val="both"/>
              <w:rPr>
                <w:sz w:val="18"/>
              </w:rPr>
            </w:pPr>
            <w:r w:rsidRPr="001A7593">
              <w:rPr>
                <w:sz w:val="18"/>
              </w:rPr>
              <w:t>(4) Sdělení podle odstavce 3 obsahuje rovněž informaci o tom, že stávající zákazník, který není profesionálním zákazníkem, může ve lhůtě 8 týdnů ode dne doručení tohoto sdělení požádat, aby mu byly informace podle tohoto zákona nadále poskytovány v listinné podobě, a informaci o tom, že jestliže tak neučiní, budou mu informace nadále poskytovány výlučně v elektronické podobě.</w:t>
            </w:r>
          </w:p>
        </w:tc>
        <w:tc>
          <w:tcPr>
            <w:tcW w:w="818" w:type="dxa"/>
            <w:tcBorders>
              <w:top w:val="single" w:sz="4" w:space="0" w:color="auto"/>
              <w:left w:val="single" w:sz="4" w:space="0" w:color="auto"/>
              <w:bottom w:val="nil"/>
              <w:right w:val="single" w:sz="4" w:space="0" w:color="auto"/>
            </w:tcBorders>
          </w:tcPr>
          <w:p w:rsidR="00F37F22" w:rsidRPr="00605684" w:rsidRDefault="001A7593" w:rsidP="00605684">
            <w:pPr>
              <w:spacing w:before="40" w:after="40"/>
              <w:rPr>
                <w:sz w:val="18"/>
              </w:rPr>
            </w:pPr>
            <w:r>
              <w:rPr>
                <w:sz w:val="18"/>
              </w:rPr>
              <w:lastRenderedPageBreak/>
              <w:t>P</w:t>
            </w:r>
            <w:r w:rsidR="00B87BE1">
              <w:rPr>
                <w:sz w:val="18"/>
              </w:rPr>
              <w:t>T</w:t>
            </w:r>
          </w:p>
        </w:tc>
        <w:tc>
          <w:tcPr>
            <w:tcW w:w="655" w:type="dxa"/>
            <w:tcBorders>
              <w:top w:val="single" w:sz="4" w:space="0" w:color="auto"/>
              <w:left w:val="single" w:sz="4" w:space="0" w:color="auto"/>
              <w:bottom w:val="nil"/>
              <w:right w:val="single" w:sz="4" w:space="0" w:color="auto"/>
            </w:tcBorders>
          </w:tcPr>
          <w:p w:rsidR="00F37F22" w:rsidRPr="00605684" w:rsidRDefault="00F37F22" w:rsidP="00605684">
            <w:pPr>
              <w:spacing w:before="40" w:after="40"/>
              <w:rPr>
                <w:sz w:val="18"/>
              </w:rPr>
            </w:pPr>
          </w:p>
        </w:tc>
      </w:tr>
      <w:tr w:rsidR="00025712" w:rsidRPr="00605684" w:rsidTr="007D3DE8">
        <w:tc>
          <w:tcPr>
            <w:tcW w:w="1427" w:type="dxa"/>
            <w:gridSpan w:val="2"/>
            <w:tcBorders>
              <w:top w:val="single" w:sz="4" w:space="0" w:color="auto"/>
              <w:left w:val="single" w:sz="4" w:space="0" w:color="auto"/>
              <w:bottom w:val="nil"/>
              <w:right w:val="single" w:sz="4" w:space="0" w:color="auto"/>
            </w:tcBorders>
          </w:tcPr>
          <w:p w:rsidR="00CB3049" w:rsidRPr="00605684" w:rsidRDefault="00F93F08" w:rsidP="00F93F08">
            <w:pPr>
              <w:spacing w:before="40" w:after="40"/>
              <w:rPr>
                <w:sz w:val="18"/>
              </w:rPr>
            </w:pPr>
            <w:r>
              <w:rPr>
                <w:sz w:val="18"/>
              </w:rPr>
              <w:t xml:space="preserve">Článek </w:t>
            </w:r>
            <w:r w:rsidR="00901CDF">
              <w:rPr>
                <w:sz w:val="18"/>
              </w:rPr>
              <w:t>1</w:t>
            </w:r>
            <w:r w:rsidR="00CB3049" w:rsidRPr="00605684">
              <w:rPr>
                <w:sz w:val="18"/>
              </w:rPr>
              <w:t xml:space="preserve"> </w:t>
            </w:r>
            <w:r w:rsidR="00B93EF4">
              <w:rPr>
                <w:sz w:val="18"/>
              </w:rPr>
              <w:t>bod</w:t>
            </w:r>
            <w:r w:rsidR="00B93EF4" w:rsidRPr="00605684">
              <w:rPr>
                <w:sz w:val="18"/>
              </w:rPr>
              <w:t xml:space="preserve"> </w:t>
            </w:r>
            <w:r w:rsidR="00901CDF">
              <w:rPr>
                <w:sz w:val="18"/>
              </w:rPr>
              <w:t>4 písm. c)</w:t>
            </w:r>
            <w:r w:rsidR="00FB41BE">
              <w:rPr>
                <w:sz w:val="18"/>
              </w:rPr>
              <w:t xml:space="preserve"> a d)</w:t>
            </w:r>
          </w:p>
        </w:tc>
        <w:tc>
          <w:tcPr>
            <w:tcW w:w="5210" w:type="dxa"/>
            <w:gridSpan w:val="3"/>
            <w:tcBorders>
              <w:top w:val="single" w:sz="4" w:space="0" w:color="auto"/>
              <w:left w:val="single" w:sz="4" w:space="0" w:color="auto"/>
              <w:bottom w:val="nil"/>
              <w:right w:val="single" w:sz="18" w:space="0" w:color="auto"/>
            </w:tcBorders>
          </w:tcPr>
          <w:p w:rsidR="00901CDF" w:rsidRPr="00901CDF" w:rsidRDefault="005C2C98" w:rsidP="00901CDF">
            <w:pPr>
              <w:shd w:val="clear" w:color="auto" w:fill="FFFFFF"/>
              <w:spacing w:before="40" w:after="40"/>
              <w:jc w:val="both"/>
              <w:rPr>
                <w:sz w:val="18"/>
                <w:szCs w:val="18"/>
              </w:rPr>
            </w:pPr>
            <w:r>
              <w:rPr>
                <w:sz w:val="18"/>
                <w:szCs w:val="18"/>
              </w:rPr>
              <w:t xml:space="preserve">4. </w:t>
            </w:r>
            <w:r w:rsidR="00901CDF">
              <w:rPr>
                <w:sz w:val="18"/>
                <w:szCs w:val="18"/>
              </w:rPr>
              <w:t>Článek 24 se mění takto:</w:t>
            </w:r>
          </w:p>
          <w:p w:rsidR="00901CDF" w:rsidRPr="00901CDF" w:rsidRDefault="00901CDF" w:rsidP="00901CDF">
            <w:pPr>
              <w:shd w:val="clear" w:color="auto" w:fill="FFFFFF"/>
              <w:spacing w:before="40" w:after="40"/>
              <w:jc w:val="both"/>
              <w:rPr>
                <w:sz w:val="18"/>
                <w:szCs w:val="18"/>
              </w:rPr>
            </w:pPr>
            <w:r>
              <w:rPr>
                <w:sz w:val="18"/>
                <w:szCs w:val="18"/>
              </w:rPr>
              <w:t xml:space="preserve">c) </w:t>
            </w:r>
            <w:r w:rsidRPr="00901CDF">
              <w:rPr>
                <w:sz w:val="18"/>
                <w:szCs w:val="18"/>
              </w:rPr>
              <w:t>vkládá se nový odstavec, který zní:</w:t>
            </w:r>
          </w:p>
          <w:p w:rsidR="00901CDF" w:rsidRPr="00901CDF" w:rsidRDefault="00901CDF" w:rsidP="00901CDF">
            <w:pPr>
              <w:shd w:val="clear" w:color="auto" w:fill="FFFFFF"/>
              <w:spacing w:before="40" w:after="40"/>
              <w:jc w:val="both"/>
              <w:rPr>
                <w:sz w:val="18"/>
                <w:szCs w:val="18"/>
              </w:rPr>
            </w:pPr>
            <w:r w:rsidRPr="00901CDF">
              <w:rPr>
                <w:sz w:val="18"/>
                <w:szCs w:val="18"/>
              </w:rPr>
              <w:t>„9a.   Členské státy zajistí, aby provádění výzkumu třetími stranami investičním podnikům poskytujícím správu portfolia či jiné investiční nebo doplňkové služby zákazníkům bylo považováno za splňující podmínky stanovené v odstavci 1, pokud:</w:t>
            </w:r>
          </w:p>
          <w:p w:rsidR="00901CDF" w:rsidRPr="00901CDF" w:rsidRDefault="00901CDF" w:rsidP="00901CDF">
            <w:pPr>
              <w:shd w:val="clear" w:color="auto" w:fill="FFFFFF"/>
              <w:spacing w:before="40" w:after="40"/>
              <w:jc w:val="both"/>
              <w:rPr>
                <w:sz w:val="18"/>
                <w:szCs w:val="18"/>
              </w:rPr>
            </w:pPr>
            <w:r>
              <w:rPr>
                <w:sz w:val="18"/>
                <w:szCs w:val="18"/>
              </w:rPr>
              <w:t xml:space="preserve">a) </w:t>
            </w:r>
            <w:r w:rsidRPr="00901CDF">
              <w:rPr>
                <w:sz w:val="18"/>
                <w:szCs w:val="18"/>
              </w:rPr>
              <w:t>před poskytnutím služeb provádění transakcí nebo výzkumu byla mezi investičním podnikem a poskytovatelem výzkumu uzavřena dohoda, v níž je stanoveno, která část kombinovaných poplatků nebo společných plateb za poskytování služeb provádění transakcí a výzkumu se vztahuje na výzkum;</w:t>
            </w:r>
          </w:p>
          <w:p w:rsidR="00901CDF" w:rsidRPr="00901CDF" w:rsidRDefault="00901CDF" w:rsidP="00901CDF">
            <w:pPr>
              <w:shd w:val="clear" w:color="auto" w:fill="FFFFFF"/>
              <w:spacing w:before="40" w:after="40"/>
              <w:jc w:val="both"/>
              <w:rPr>
                <w:sz w:val="18"/>
                <w:szCs w:val="18"/>
              </w:rPr>
            </w:pPr>
            <w:r>
              <w:rPr>
                <w:sz w:val="18"/>
                <w:szCs w:val="18"/>
              </w:rPr>
              <w:t xml:space="preserve"> </w:t>
            </w:r>
            <w:r w:rsidRPr="00901CDF">
              <w:rPr>
                <w:sz w:val="18"/>
                <w:szCs w:val="18"/>
              </w:rPr>
              <w:t>b)</w:t>
            </w:r>
            <w:r>
              <w:rPr>
                <w:sz w:val="18"/>
                <w:szCs w:val="18"/>
              </w:rPr>
              <w:t xml:space="preserve"> </w:t>
            </w:r>
            <w:r w:rsidRPr="00901CDF">
              <w:rPr>
                <w:sz w:val="18"/>
                <w:szCs w:val="18"/>
              </w:rPr>
              <w:t>investiční podnik informuje své zákazníky o společných platbách za služby provádění transakcí a výzkumu třetím stranám provádějícím výzkum a</w:t>
            </w:r>
          </w:p>
          <w:p w:rsidR="00901CDF" w:rsidRPr="00901CDF" w:rsidRDefault="00901CDF" w:rsidP="00901CDF">
            <w:pPr>
              <w:shd w:val="clear" w:color="auto" w:fill="FFFFFF"/>
              <w:spacing w:before="40" w:after="40"/>
              <w:jc w:val="both"/>
              <w:rPr>
                <w:sz w:val="18"/>
                <w:szCs w:val="18"/>
              </w:rPr>
            </w:pPr>
            <w:r>
              <w:rPr>
                <w:sz w:val="18"/>
                <w:szCs w:val="18"/>
              </w:rPr>
              <w:t xml:space="preserve">c) </w:t>
            </w:r>
            <w:r w:rsidRPr="00901CDF">
              <w:rPr>
                <w:sz w:val="18"/>
                <w:szCs w:val="18"/>
              </w:rPr>
              <w:t>výzkum, za který jsou poskytovány kombinované poplatky nebo společná platba, se provádí výlučně ve vztahu k emitentům, kteří po dobu 36 měsíců před před prováděním výzkumu nepřekročili hodnotu tržní kapitalizace ve výši 1 miliardy EUR, vyjádřenou v kotacích na konci roku za účetní období, kdy jsou nebo byli kotováni, nebo vlastním kapitálem za účetní období, k</w:t>
            </w:r>
            <w:r>
              <w:rPr>
                <w:sz w:val="18"/>
                <w:szCs w:val="18"/>
              </w:rPr>
              <w:t>dy nejsou nebo nebyli kotováni.</w:t>
            </w:r>
          </w:p>
          <w:p w:rsidR="00901CDF" w:rsidRPr="00901CDF" w:rsidRDefault="00901CDF" w:rsidP="00901CDF">
            <w:pPr>
              <w:shd w:val="clear" w:color="auto" w:fill="FFFFFF"/>
              <w:spacing w:before="40" w:after="40"/>
              <w:jc w:val="both"/>
              <w:rPr>
                <w:sz w:val="18"/>
                <w:szCs w:val="18"/>
              </w:rPr>
            </w:pPr>
            <w:r w:rsidRPr="00901CDF">
              <w:rPr>
                <w:sz w:val="18"/>
                <w:szCs w:val="18"/>
              </w:rPr>
              <w:t xml:space="preserve">Pro účely tohoto článku je výzkum třeba chápat tak, že zahrnuje </w:t>
            </w:r>
            <w:r w:rsidRPr="00901CDF">
              <w:rPr>
                <w:sz w:val="18"/>
                <w:szCs w:val="18"/>
              </w:rPr>
              <w:lastRenderedPageBreak/>
              <w:t xml:space="preserve">materiál nebo služby výzkumu, které se týkají jednoho nebo více finančních nástrojů nebo jiného aktiva nebo emitentů či potenciálních emitentů finančních nástrojů nebo které natolik úzce souvisí s určitým odvětvím či trhem, že pomáhají utvářet náhledy na finanční nástroje, aktiva nebo emitenty v </w:t>
            </w:r>
            <w:r>
              <w:rPr>
                <w:sz w:val="18"/>
                <w:szCs w:val="18"/>
              </w:rPr>
              <w:t>rámci daného odvětví nebo trhu.</w:t>
            </w:r>
          </w:p>
          <w:p w:rsidR="00CB3049" w:rsidRPr="000D5D7C" w:rsidRDefault="00901CDF" w:rsidP="00605684">
            <w:pPr>
              <w:shd w:val="clear" w:color="auto" w:fill="FFFFFF"/>
              <w:spacing w:before="40" w:after="40"/>
              <w:jc w:val="both"/>
              <w:rPr>
                <w:sz w:val="18"/>
                <w:szCs w:val="18"/>
              </w:rPr>
            </w:pPr>
            <w:r w:rsidRPr="00901CDF">
              <w:rPr>
                <w:sz w:val="18"/>
                <w:szCs w:val="18"/>
              </w:rPr>
              <w:t>Výzkum zahrnuje také materiál nebo služby, které explicitně či implicitně doporučují nebo navrhují investiční strategii a poskytují odůvodněné stanovisko týkající se současné nebo budoucí hodnoty či ceny finančních nástrojů či aktiv nebo jinak zahrnují analýzy a originální náhledy a dochází k závěrům na základě nových či existujících informací, které by mohly být použity k doplnění informací při tvorbě investiční strategie, byly relevantní a mohly mít přidanou hodnotu pro rozhodnutí investičního podniku činěná jménem zákazníka, kt</w:t>
            </w:r>
            <w:r>
              <w:rPr>
                <w:sz w:val="18"/>
                <w:szCs w:val="18"/>
              </w:rPr>
              <w:t>erému je tento výzkum účtován.“</w:t>
            </w:r>
          </w:p>
        </w:tc>
        <w:tc>
          <w:tcPr>
            <w:tcW w:w="1292" w:type="dxa"/>
            <w:tcBorders>
              <w:top w:val="single" w:sz="4" w:space="0" w:color="auto"/>
              <w:left w:val="single" w:sz="18" w:space="0" w:color="auto"/>
              <w:bottom w:val="nil"/>
              <w:right w:val="single" w:sz="4" w:space="0" w:color="auto"/>
            </w:tcBorders>
          </w:tcPr>
          <w:p w:rsidR="00CB3049" w:rsidRPr="00605684" w:rsidRDefault="001C5F43" w:rsidP="00F57E1C">
            <w:pPr>
              <w:spacing w:before="40" w:after="40"/>
              <w:rPr>
                <w:sz w:val="18"/>
              </w:rPr>
            </w:pPr>
            <w:r>
              <w:rPr>
                <w:sz w:val="18"/>
              </w:rPr>
              <w:lastRenderedPageBreak/>
              <w:t xml:space="preserve">256/2004 ve znění </w:t>
            </w:r>
            <w:r w:rsidR="00F57E1C">
              <w:rPr>
                <w:sz w:val="18"/>
              </w:rPr>
              <w:t>96/2022</w:t>
            </w:r>
          </w:p>
        </w:tc>
        <w:tc>
          <w:tcPr>
            <w:tcW w:w="1104" w:type="dxa"/>
            <w:tcBorders>
              <w:top w:val="single" w:sz="4" w:space="0" w:color="auto"/>
              <w:left w:val="single" w:sz="4" w:space="0" w:color="auto"/>
              <w:bottom w:val="nil"/>
              <w:right w:val="single" w:sz="4" w:space="0" w:color="auto"/>
            </w:tcBorders>
          </w:tcPr>
          <w:p w:rsidR="00FB41BE" w:rsidRPr="00605684" w:rsidRDefault="00F57E1C" w:rsidP="001C5F43">
            <w:pPr>
              <w:spacing w:before="40" w:after="40"/>
              <w:rPr>
                <w:sz w:val="18"/>
              </w:rPr>
            </w:pPr>
            <w:r>
              <w:rPr>
                <w:sz w:val="18"/>
              </w:rPr>
              <w:t>§ 15ca</w:t>
            </w:r>
          </w:p>
        </w:tc>
        <w:tc>
          <w:tcPr>
            <w:tcW w:w="5425" w:type="dxa"/>
            <w:gridSpan w:val="4"/>
            <w:tcBorders>
              <w:top w:val="single" w:sz="4" w:space="0" w:color="auto"/>
              <w:left w:val="single" w:sz="4" w:space="0" w:color="auto"/>
              <w:bottom w:val="nil"/>
              <w:right w:val="single" w:sz="4" w:space="0" w:color="auto"/>
            </w:tcBorders>
          </w:tcPr>
          <w:p w:rsidR="00F57E1C" w:rsidRPr="00F57E1C" w:rsidRDefault="00F57E1C" w:rsidP="00F57E1C">
            <w:pPr>
              <w:spacing w:before="40" w:after="40"/>
              <w:jc w:val="both"/>
              <w:rPr>
                <w:sz w:val="18"/>
              </w:rPr>
            </w:pPr>
            <w:r w:rsidRPr="00F57E1C">
              <w:rPr>
                <w:sz w:val="18"/>
              </w:rPr>
              <w:t>(1) Je-li poskytována společná úplata za provádění pokynů a za výzkum, poskytnutý obchodníkovi s cennými papíry, nepovažuje se tento výzkum za pobídku podle § 15 odst. 3 věty první, pokud</w:t>
            </w:r>
          </w:p>
          <w:p w:rsidR="00F57E1C" w:rsidRPr="00F57E1C" w:rsidRDefault="00F57E1C" w:rsidP="00F57E1C">
            <w:pPr>
              <w:spacing w:before="40" w:after="40"/>
              <w:jc w:val="both"/>
              <w:rPr>
                <w:sz w:val="18"/>
              </w:rPr>
            </w:pPr>
            <w:r w:rsidRPr="00F57E1C">
              <w:rPr>
                <w:sz w:val="18"/>
              </w:rPr>
              <w:t>a)před poskytnutím tohoto výzkumu uzavřel obchodník s cennými papíry s poskytovatelem výzkumu dohodu, v níž je stanoveno, která část společné úplaty se týká výzkumu,</w:t>
            </w:r>
          </w:p>
          <w:p w:rsidR="00F57E1C" w:rsidRPr="00F57E1C" w:rsidRDefault="00F57E1C" w:rsidP="00F57E1C">
            <w:pPr>
              <w:spacing w:before="40" w:after="40"/>
              <w:jc w:val="both"/>
              <w:rPr>
                <w:sz w:val="18"/>
              </w:rPr>
            </w:pPr>
            <w:r w:rsidRPr="00F57E1C">
              <w:rPr>
                <w:sz w:val="18"/>
              </w:rPr>
              <w:t>b)obchodník s cennými papíry informuje své zákazníky o této společné úplatě a</w:t>
            </w:r>
          </w:p>
          <w:p w:rsidR="00F57E1C" w:rsidRPr="00F57E1C" w:rsidRDefault="00F57E1C" w:rsidP="00F57E1C">
            <w:pPr>
              <w:spacing w:before="40" w:after="40"/>
              <w:jc w:val="both"/>
              <w:rPr>
                <w:sz w:val="18"/>
              </w:rPr>
            </w:pPr>
            <w:r w:rsidRPr="00F57E1C">
              <w:rPr>
                <w:sz w:val="18"/>
              </w:rPr>
              <w:t>c)tento výzkum se týká pouze emitentů, jejichž tržní kapitalizace ke konci 3 kalendářních let před poskytnutím výzkumu nepřekročila částku odpovídající 1 000 000 000 EUR.</w:t>
            </w:r>
          </w:p>
          <w:p w:rsidR="00F57E1C" w:rsidRPr="00F57E1C" w:rsidRDefault="00F57E1C" w:rsidP="00F57E1C">
            <w:pPr>
              <w:spacing w:before="40" w:after="40"/>
              <w:jc w:val="both"/>
              <w:rPr>
                <w:sz w:val="18"/>
              </w:rPr>
            </w:pPr>
            <w:r w:rsidRPr="00F57E1C">
              <w:rPr>
                <w:sz w:val="18"/>
              </w:rPr>
              <w:t>(2) Pokud nebyly účastnické cenné papíry vydávané emitentem ke konci kalendářního roku přijaty k obchodování na regulovaném trhu nebo v mnohostranném obchodním systému, považuje se za tržní kapitalizaci podle odstavce 1 písm. c) hodnota vlastního kap</w:t>
            </w:r>
            <w:r>
              <w:rPr>
                <w:sz w:val="18"/>
              </w:rPr>
              <w:t>itálu ke konci účetního období.</w:t>
            </w:r>
          </w:p>
          <w:p w:rsidR="00F57E1C" w:rsidRPr="00F57E1C" w:rsidRDefault="00F57E1C" w:rsidP="00F57E1C">
            <w:pPr>
              <w:spacing w:before="40" w:after="40"/>
              <w:jc w:val="both"/>
              <w:rPr>
                <w:sz w:val="18"/>
              </w:rPr>
            </w:pPr>
            <w:r w:rsidRPr="00F57E1C">
              <w:rPr>
                <w:sz w:val="18"/>
              </w:rPr>
              <w:t>(3) Výzkumem podle odstavce 1 se rozumí služba výzkumu nebo informace z výzkumu týkající se</w:t>
            </w:r>
          </w:p>
          <w:p w:rsidR="00F57E1C" w:rsidRPr="00F57E1C" w:rsidRDefault="00F57E1C" w:rsidP="00F57E1C">
            <w:pPr>
              <w:spacing w:before="40" w:after="40"/>
              <w:jc w:val="both"/>
              <w:rPr>
                <w:sz w:val="18"/>
              </w:rPr>
            </w:pPr>
            <w:r w:rsidRPr="00F57E1C">
              <w:rPr>
                <w:sz w:val="18"/>
              </w:rPr>
              <w:t>a)investičního nástroje nebo jiného aktiva,</w:t>
            </w:r>
          </w:p>
          <w:p w:rsidR="00F57E1C" w:rsidRPr="00F57E1C" w:rsidRDefault="00F57E1C" w:rsidP="00F57E1C">
            <w:pPr>
              <w:spacing w:before="40" w:after="40"/>
              <w:jc w:val="both"/>
              <w:rPr>
                <w:sz w:val="18"/>
              </w:rPr>
            </w:pPr>
            <w:r w:rsidRPr="00F57E1C">
              <w:rPr>
                <w:sz w:val="18"/>
              </w:rPr>
              <w:t>b)emitenta nebo potenciálního emitenta investičního nástroje nebo</w:t>
            </w:r>
          </w:p>
          <w:p w:rsidR="00F57E1C" w:rsidRPr="00F57E1C" w:rsidRDefault="00F57E1C" w:rsidP="00F57E1C">
            <w:pPr>
              <w:spacing w:before="40" w:after="40"/>
              <w:jc w:val="both"/>
              <w:rPr>
                <w:sz w:val="18"/>
              </w:rPr>
            </w:pPr>
            <w:r w:rsidRPr="00F57E1C">
              <w:rPr>
                <w:sz w:val="18"/>
              </w:rPr>
              <w:t xml:space="preserve">c)určitého odvětví nebo trhu takovým způsobem, že pomáhají hodnotit investiční nástroje, aktiva nebo emitenty v rámci daného odvětví nebo </w:t>
            </w:r>
            <w:r w:rsidRPr="00F57E1C">
              <w:rPr>
                <w:sz w:val="18"/>
              </w:rPr>
              <w:lastRenderedPageBreak/>
              <w:t>trhu.</w:t>
            </w:r>
          </w:p>
          <w:p w:rsidR="00F57E1C" w:rsidRPr="00F57E1C" w:rsidRDefault="00F57E1C" w:rsidP="00F57E1C">
            <w:pPr>
              <w:spacing w:before="40" w:after="40"/>
              <w:jc w:val="both"/>
              <w:rPr>
                <w:sz w:val="18"/>
              </w:rPr>
            </w:pPr>
          </w:p>
          <w:p w:rsidR="00FB41BE" w:rsidRPr="000A68D3" w:rsidRDefault="00F57E1C" w:rsidP="00F57E1C">
            <w:pPr>
              <w:spacing w:before="40" w:after="40"/>
              <w:jc w:val="both"/>
              <w:rPr>
                <w:b/>
                <w:sz w:val="18"/>
                <w:u w:val="single"/>
              </w:rPr>
            </w:pPr>
            <w:r w:rsidRPr="00F57E1C">
              <w:rPr>
                <w:sz w:val="18"/>
              </w:rPr>
              <w:t>(4) Výzkumem podle odstavce 1 se dále rozumí služba nebo informace, které výslovně nebo mlčky doporučují nebo navrhují investiční strategii a zahrnují odůvodněné stanovisko ohledně současné nebo budoucí hodnoty či ceny investičního nástroje nebo aktiva nebo zahrnují analýzy a originální vhledy a dochází k závěrům na základě nových či existujících informací, které by mohly být použity k doplnění informací při tvorbě investiční strategie nebo být relevantní a mít přidanou hodnotu pro rozhodnutí obchodníka s cennými papíry na účet zákazníka, kterému je za tento výzkum účtována úplata.</w:t>
            </w:r>
          </w:p>
        </w:tc>
        <w:tc>
          <w:tcPr>
            <w:tcW w:w="818" w:type="dxa"/>
            <w:tcBorders>
              <w:top w:val="single" w:sz="4" w:space="0" w:color="auto"/>
              <w:left w:val="single" w:sz="4" w:space="0" w:color="auto"/>
              <w:bottom w:val="nil"/>
              <w:right w:val="single" w:sz="4" w:space="0" w:color="auto"/>
            </w:tcBorders>
          </w:tcPr>
          <w:p w:rsidR="00CB3049" w:rsidRPr="00605684" w:rsidRDefault="000A68D3" w:rsidP="00605684">
            <w:pPr>
              <w:spacing w:before="40" w:after="40"/>
              <w:rPr>
                <w:sz w:val="18"/>
              </w:rPr>
            </w:pPr>
            <w:r>
              <w:rPr>
                <w:sz w:val="18"/>
              </w:rPr>
              <w:lastRenderedPageBreak/>
              <w:t>P</w:t>
            </w:r>
            <w:r w:rsidR="00B87BE1">
              <w:rPr>
                <w:sz w:val="18"/>
              </w:rPr>
              <w:t>T</w:t>
            </w:r>
          </w:p>
        </w:tc>
        <w:tc>
          <w:tcPr>
            <w:tcW w:w="655" w:type="dxa"/>
            <w:tcBorders>
              <w:top w:val="single" w:sz="4" w:space="0" w:color="auto"/>
              <w:left w:val="single" w:sz="4" w:space="0" w:color="auto"/>
              <w:bottom w:val="nil"/>
              <w:right w:val="single" w:sz="4" w:space="0" w:color="auto"/>
            </w:tcBorders>
          </w:tcPr>
          <w:p w:rsidR="00CB3049" w:rsidRPr="00605684" w:rsidRDefault="00CB3049" w:rsidP="00605684">
            <w:pPr>
              <w:spacing w:before="40" w:after="40"/>
              <w:rPr>
                <w:sz w:val="18"/>
              </w:rPr>
            </w:pPr>
          </w:p>
        </w:tc>
      </w:tr>
      <w:tr w:rsidR="00025712" w:rsidRPr="00605684" w:rsidTr="00B87BE1">
        <w:tc>
          <w:tcPr>
            <w:tcW w:w="1427" w:type="dxa"/>
            <w:gridSpan w:val="2"/>
            <w:tcBorders>
              <w:top w:val="single" w:sz="4" w:space="0" w:color="auto"/>
              <w:left w:val="single" w:sz="4" w:space="0" w:color="auto"/>
              <w:bottom w:val="nil"/>
              <w:right w:val="single" w:sz="4" w:space="0" w:color="auto"/>
            </w:tcBorders>
          </w:tcPr>
          <w:p w:rsidR="003E4656" w:rsidRPr="00605684" w:rsidRDefault="00F93F08" w:rsidP="00F93F08">
            <w:pPr>
              <w:spacing w:before="40" w:after="40"/>
              <w:rPr>
                <w:sz w:val="18"/>
              </w:rPr>
            </w:pPr>
            <w:r>
              <w:rPr>
                <w:sz w:val="18"/>
              </w:rPr>
              <w:t xml:space="preserve">Článek </w:t>
            </w:r>
            <w:r w:rsidR="005C2C98">
              <w:rPr>
                <w:sz w:val="18"/>
              </w:rPr>
              <w:t>1</w:t>
            </w:r>
            <w:r w:rsidR="003E4656" w:rsidRPr="00605684">
              <w:rPr>
                <w:sz w:val="18"/>
              </w:rPr>
              <w:t xml:space="preserve"> </w:t>
            </w:r>
            <w:r w:rsidR="00B93EF4">
              <w:rPr>
                <w:sz w:val="18"/>
              </w:rPr>
              <w:t>bod</w:t>
            </w:r>
            <w:r w:rsidR="00B93EF4" w:rsidRPr="00605684">
              <w:rPr>
                <w:sz w:val="18"/>
              </w:rPr>
              <w:t xml:space="preserve"> </w:t>
            </w:r>
            <w:r w:rsidR="005C2C98">
              <w:rPr>
                <w:sz w:val="18"/>
              </w:rPr>
              <w:t>5</w:t>
            </w:r>
          </w:p>
        </w:tc>
        <w:tc>
          <w:tcPr>
            <w:tcW w:w="5210" w:type="dxa"/>
            <w:gridSpan w:val="3"/>
            <w:tcBorders>
              <w:top w:val="single" w:sz="4" w:space="0" w:color="auto"/>
              <w:left w:val="single" w:sz="4" w:space="0" w:color="auto"/>
              <w:bottom w:val="nil"/>
              <w:right w:val="single" w:sz="18" w:space="0" w:color="auto"/>
            </w:tcBorders>
          </w:tcPr>
          <w:p w:rsidR="00901CDF" w:rsidRPr="00901CDF" w:rsidRDefault="00901CDF" w:rsidP="00901CDF">
            <w:pPr>
              <w:shd w:val="clear" w:color="auto" w:fill="FFFFFF"/>
              <w:spacing w:before="40" w:after="40"/>
              <w:jc w:val="both"/>
              <w:rPr>
                <w:sz w:val="18"/>
                <w:szCs w:val="18"/>
              </w:rPr>
            </w:pPr>
            <w:r>
              <w:rPr>
                <w:sz w:val="18"/>
                <w:szCs w:val="18"/>
              </w:rPr>
              <w:t xml:space="preserve">5) </w:t>
            </w:r>
            <w:r w:rsidRPr="00901CDF">
              <w:rPr>
                <w:sz w:val="18"/>
                <w:szCs w:val="18"/>
              </w:rPr>
              <w:t>V čl. 25 odst. 2 se doplňuje nový pododstavec, který zní:</w:t>
            </w:r>
          </w:p>
          <w:p w:rsidR="003E4656" w:rsidRPr="00605684" w:rsidRDefault="00901CDF" w:rsidP="00901CDF">
            <w:pPr>
              <w:shd w:val="clear" w:color="auto" w:fill="FFFFFF"/>
              <w:spacing w:before="40" w:after="40"/>
              <w:jc w:val="both"/>
              <w:rPr>
                <w:sz w:val="18"/>
                <w:szCs w:val="18"/>
              </w:rPr>
            </w:pPr>
            <w:r w:rsidRPr="00901CDF">
              <w:rPr>
                <w:sz w:val="18"/>
                <w:szCs w:val="18"/>
              </w:rPr>
              <w:t>„Při poskytování buď investičního poradenství, nebo správy portfolia, které zahrnují výměnu finančního nástroje, získají investiční podniky nezbytné informace o zákazníkových investicích a provedou analýzu nákladů a přínosů výměny finančních nástrojů. Při poskytování investičního poradenství informují investiční podniky zákazníka o tom, zda jsou přínosy výměny finančních nástrojů větší než ná</w:t>
            </w:r>
            <w:r>
              <w:rPr>
                <w:sz w:val="18"/>
                <w:szCs w:val="18"/>
              </w:rPr>
              <w:t>klady spojené s touto výměnou.“</w:t>
            </w:r>
          </w:p>
        </w:tc>
        <w:tc>
          <w:tcPr>
            <w:tcW w:w="1292" w:type="dxa"/>
            <w:tcBorders>
              <w:top w:val="single" w:sz="4" w:space="0" w:color="auto"/>
              <w:left w:val="single" w:sz="18" w:space="0" w:color="auto"/>
              <w:bottom w:val="nil"/>
              <w:right w:val="single" w:sz="4" w:space="0" w:color="auto"/>
            </w:tcBorders>
          </w:tcPr>
          <w:p w:rsidR="003E4656" w:rsidRPr="00605684" w:rsidRDefault="001C5F43" w:rsidP="0044239D">
            <w:pPr>
              <w:spacing w:before="40" w:after="40"/>
              <w:rPr>
                <w:sz w:val="18"/>
              </w:rPr>
            </w:pPr>
            <w:r>
              <w:rPr>
                <w:sz w:val="18"/>
              </w:rPr>
              <w:t xml:space="preserve">256/2004 ve znění </w:t>
            </w:r>
            <w:r w:rsidR="00F57E1C">
              <w:rPr>
                <w:sz w:val="18"/>
              </w:rPr>
              <w:t>96/2022</w:t>
            </w:r>
          </w:p>
        </w:tc>
        <w:tc>
          <w:tcPr>
            <w:tcW w:w="1104" w:type="dxa"/>
            <w:tcBorders>
              <w:top w:val="single" w:sz="4" w:space="0" w:color="auto"/>
              <w:left w:val="single" w:sz="4" w:space="0" w:color="auto"/>
              <w:bottom w:val="nil"/>
              <w:right w:val="single" w:sz="4" w:space="0" w:color="auto"/>
            </w:tcBorders>
          </w:tcPr>
          <w:p w:rsidR="003E4656" w:rsidRPr="00605684" w:rsidRDefault="008A62AE" w:rsidP="00605684">
            <w:pPr>
              <w:spacing w:before="40" w:after="40"/>
              <w:rPr>
                <w:sz w:val="18"/>
              </w:rPr>
            </w:pPr>
            <w:r>
              <w:rPr>
                <w:sz w:val="18"/>
              </w:rPr>
              <w:t>§ 15h odst. 4 a 5</w:t>
            </w:r>
          </w:p>
        </w:tc>
        <w:tc>
          <w:tcPr>
            <w:tcW w:w="5425" w:type="dxa"/>
            <w:gridSpan w:val="4"/>
            <w:tcBorders>
              <w:top w:val="single" w:sz="4" w:space="0" w:color="auto"/>
              <w:left w:val="single" w:sz="4" w:space="0" w:color="auto"/>
              <w:bottom w:val="nil"/>
              <w:right w:val="single" w:sz="4" w:space="0" w:color="auto"/>
            </w:tcBorders>
          </w:tcPr>
          <w:p w:rsidR="008A62AE" w:rsidRPr="008A62AE" w:rsidRDefault="008A62AE" w:rsidP="008A62AE">
            <w:pPr>
              <w:spacing w:before="40" w:after="40"/>
              <w:rPr>
                <w:sz w:val="18"/>
              </w:rPr>
            </w:pPr>
            <w:r w:rsidRPr="008A62AE">
              <w:rPr>
                <w:sz w:val="18"/>
              </w:rPr>
              <w:t>(4) Při poskytování hlavní investiční služby uvedené v § 4 odst. 2 písm. d) a e), která zahrnuje výměnu investičního nástroje, musí obchodník s cennými papíry provést analýzu nákladů a přínos</w:t>
            </w:r>
            <w:r>
              <w:rPr>
                <w:sz w:val="18"/>
              </w:rPr>
              <w:t>ů výměny investičního nástroje.</w:t>
            </w:r>
          </w:p>
          <w:p w:rsidR="003E4656" w:rsidRPr="00FB41BE" w:rsidRDefault="008A62AE" w:rsidP="008A62AE">
            <w:pPr>
              <w:spacing w:before="40" w:after="40"/>
              <w:jc w:val="both"/>
              <w:rPr>
                <w:b/>
                <w:sz w:val="18"/>
                <w:u w:val="single"/>
              </w:rPr>
            </w:pPr>
            <w:r w:rsidRPr="008A62AE">
              <w:rPr>
                <w:sz w:val="18"/>
              </w:rPr>
              <w:t>(5) Při poskytování hlavní investiční služby uvedené v § 4 odst. 2 písm. e), která zahrnuje výměnu investičního nástroje, musí obchodník s cennými papíry informovat zákazníka o tom, zda přínosy výměny investičního nástroje převyšují náklady spojené s touto výměnou.</w:t>
            </w:r>
          </w:p>
        </w:tc>
        <w:tc>
          <w:tcPr>
            <w:tcW w:w="818" w:type="dxa"/>
            <w:tcBorders>
              <w:top w:val="single" w:sz="4" w:space="0" w:color="auto"/>
              <w:left w:val="single" w:sz="4" w:space="0" w:color="auto"/>
              <w:bottom w:val="nil"/>
              <w:right w:val="single" w:sz="4" w:space="0" w:color="auto"/>
            </w:tcBorders>
          </w:tcPr>
          <w:p w:rsidR="003E4656" w:rsidRPr="00605684" w:rsidRDefault="00FB41BE" w:rsidP="00605684">
            <w:pPr>
              <w:spacing w:before="40" w:after="40"/>
              <w:rPr>
                <w:sz w:val="18"/>
              </w:rPr>
            </w:pPr>
            <w:r>
              <w:rPr>
                <w:sz w:val="18"/>
              </w:rPr>
              <w:t>P</w:t>
            </w:r>
            <w:r w:rsidR="006822D2" w:rsidRPr="00605684">
              <w:rPr>
                <w:sz w:val="18"/>
              </w:rPr>
              <w:t>T</w:t>
            </w:r>
          </w:p>
        </w:tc>
        <w:tc>
          <w:tcPr>
            <w:tcW w:w="655" w:type="dxa"/>
            <w:tcBorders>
              <w:top w:val="single" w:sz="4" w:space="0" w:color="auto"/>
              <w:left w:val="single" w:sz="4" w:space="0" w:color="auto"/>
              <w:bottom w:val="nil"/>
              <w:right w:val="single" w:sz="4" w:space="0" w:color="auto"/>
            </w:tcBorders>
          </w:tcPr>
          <w:p w:rsidR="003E4656" w:rsidRPr="00605684" w:rsidRDefault="003E4656" w:rsidP="00605684">
            <w:pPr>
              <w:spacing w:before="40" w:after="40"/>
              <w:rPr>
                <w:sz w:val="18"/>
              </w:rPr>
            </w:pPr>
          </w:p>
        </w:tc>
      </w:tr>
      <w:tr w:rsidR="00025712" w:rsidRPr="00605684" w:rsidTr="00B87BE1">
        <w:trPr>
          <w:trHeight w:val="1432"/>
        </w:trPr>
        <w:tc>
          <w:tcPr>
            <w:tcW w:w="1427" w:type="dxa"/>
            <w:gridSpan w:val="2"/>
            <w:tcBorders>
              <w:top w:val="single" w:sz="4" w:space="0" w:color="auto"/>
              <w:left w:val="single" w:sz="4" w:space="0" w:color="auto"/>
              <w:bottom w:val="nil"/>
              <w:right w:val="single" w:sz="4" w:space="0" w:color="auto"/>
            </w:tcBorders>
          </w:tcPr>
          <w:p w:rsidR="003E4656" w:rsidRPr="00605684" w:rsidRDefault="00F93F08" w:rsidP="00F93F08">
            <w:pPr>
              <w:spacing w:before="40" w:after="40"/>
              <w:rPr>
                <w:sz w:val="18"/>
              </w:rPr>
            </w:pPr>
            <w:r>
              <w:rPr>
                <w:sz w:val="18"/>
              </w:rPr>
              <w:t xml:space="preserve">Článek </w:t>
            </w:r>
            <w:r w:rsidR="005C2C98">
              <w:rPr>
                <w:sz w:val="18"/>
              </w:rPr>
              <w:t>1</w:t>
            </w:r>
            <w:r w:rsidR="003E4656" w:rsidRPr="00605684">
              <w:rPr>
                <w:sz w:val="18"/>
              </w:rPr>
              <w:t xml:space="preserve"> </w:t>
            </w:r>
            <w:r w:rsidR="00B93EF4">
              <w:rPr>
                <w:sz w:val="18"/>
              </w:rPr>
              <w:t>bod</w:t>
            </w:r>
            <w:r w:rsidR="00B93EF4" w:rsidRPr="00605684">
              <w:rPr>
                <w:sz w:val="18"/>
              </w:rPr>
              <w:t xml:space="preserve"> </w:t>
            </w:r>
            <w:r w:rsidR="005C2C98">
              <w:rPr>
                <w:sz w:val="18"/>
              </w:rPr>
              <w:t>6</w:t>
            </w:r>
          </w:p>
        </w:tc>
        <w:tc>
          <w:tcPr>
            <w:tcW w:w="5210" w:type="dxa"/>
            <w:gridSpan w:val="3"/>
            <w:tcBorders>
              <w:top w:val="single" w:sz="4" w:space="0" w:color="auto"/>
              <w:left w:val="single" w:sz="4" w:space="0" w:color="auto"/>
              <w:bottom w:val="nil"/>
              <w:right w:val="single" w:sz="18" w:space="0" w:color="auto"/>
            </w:tcBorders>
          </w:tcPr>
          <w:p w:rsidR="00901CDF" w:rsidRPr="00901CDF" w:rsidRDefault="00901CDF" w:rsidP="00901CDF">
            <w:pPr>
              <w:shd w:val="clear" w:color="auto" w:fill="FFFFFF"/>
              <w:spacing w:before="40" w:after="40"/>
              <w:jc w:val="both"/>
              <w:rPr>
                <w:sz w:val="18"/>
                <w:szCs w:val="18"/>
              </w:rPr>
            </w:pPr>
            <w:r>
              <w:rPr>
                <w:sz w:val="18"/>
                <w:szCs w:val="18"/>
              </w:rPr>
              <w:t xml:space="preserve">6) </w:t>
            </w:r>
            <w:r w:rsidRPr="00901CDF">
              <w:rPr>
                <w:sz w:val="18"/>
                <w:szCs w:val="18"/>
              </w:rPr>
              <w:t>V čl. 27 odst. 3 se doplňu</w:t>
            </w:r>
            <w:r>
              <w:rPr>
                <w:sz w:val="18"/>
                <w:szCs w:val="18"/>
              </w:rPr>
              <w:t>je nový pododstavec, který zní:</w:t>
            </w:r>
          </w:p>
          <w:p w:rsidR="003E4656" w:rsidRPr="00605684" w:rsidRDefault="00901CDF" w:rsidP="00DB7B15">
            <w:pPr>
              <w:shd w:val="clear" w:color="auto" w:fill="FFFFFF"/>
              <w:spacing w:before="40" w:after="40"/>
              <w:jc w:val="both"/>
              <w:rPr>
                <w:sz w:val="18"/>
                <w:szCs w:val="18"/>
              </w:rPr>
            </w:pPr>
            <w:r w:rsidRPr="00901CDF">
              <w:rPr>
                <w:sz w:val="18"/>
                <w:szCs w:val="18"/>
              </w:rPr>
              <w:t xml:space="preserve">„Požadavek týkající se pravidelného podávání zpráv veřejnosti stanovený v tomto odstavci se však nepoužije do 28. února 2023. </w:t>
            </w:r>
          </w:p>
        </w:tc>
        <w:tc>
          <w:tcPr>
            <w:tcW w:w="1292" w:type="dxa"/>
            <w:tcBorders>
              <w:top w:val="single" w:sz="4" w:space="0" w:color="auto"/>
              <w:left w:val="single" w:sz="18" w:space="0" w:color="auto"/>
              <w:bottom w:val="nil"/>
              <w:right w:val="single" w:sz="4" w:space="0" w:color="auto"/>
            </w:tcBorders>
          </w:tcPr>
          <w:p w:rsidR="003E4656" w:rsidRPr="00605684" w:rsidRDefault="001C5F43" w:rsidP="00DB7B15">
            <w:pPr>
              <w:spacing w:before="40" w:after="40"/>
              <w:rPr>
                <w:sz w:val="18"/>
              </w:rPr>
            </w:pPr>
            <w:r>
              <w:rPr>
                <w:sz w:val="18"/>
              </w:rPr>
              <w:t xml:space="preserve">256/2004 ve znění </w:t>
            </w:r>
            <w:r w:rsidR="00DB7B15">
              <w:rPr>
                <w:sz w:val="18"/>
              </w:rPr>
              <w:t>96/2022</w:t>
            </w:r>
          </w:p>
        </w:tc>
        <w:tc>
          <w:tcPr>
            <w:tcW w:w="1104" w:type="dxa"/>
            <w:tcBorders>
              <w:top w:val="single" w:sz="4" w:space="0" w:color="auto"/>
              <w:left w:val="single" w:sz="4" w:space="0" w:color="auto"/>
              <w:bottom w:val="nil"/>
              <w:right w:val="single" w:sz="4" w:space="0" w:color="auto"/>
            </w:tcBorders>
          </w:tcPr>
          <w:p w:rsidR="003E4656" w:rsidRPr="00605684" w:rsidRDefault="00DB7B15" w:rsidP="00605684">
            <w:pPr>
              <w:spacing w:before="40" w:after="40"/>
              <w:rPr>
                <w:sz w:val="18"/>
              </w:rPr>
            </w:pPr>
            <w:r w:rsidRPr="00850926">
              <w:rPr>
                <w:sz w:val="18"/>
              </w:rPr>
              <w:t>§ 204d</w:t>
            </w:r>
          </w:p>
        </w:tc>
        <w:tc>
          <w:tcPr>
            <w:tcW w:w="5425" w:type="dxa"/>
            <w:gridSpan w:val="4"/>
            <w:tcBorders>
              <w:top w:val="single" w:sz="4" w:space="0" w:color="auto"/>
              <w:left w:val="single" w:sz="4" w:space="0" w:color="auto"/>
              <w:bottom w:val="nil"/>
              <w:right w:val="single" w:sz="4" w:space="0" w:color="auto"/>
            </w:tcBorders>
          </w:tcPr>
          <w:p w:rsidR="003E4656" w:rsidRPr="00605684" w:rsidRDefault="00DB7B15" w:rsidP="009A0D97">
            <w:pPr>
              <w:spacing w:before="40" w:after="40"/>
              <w:jc w:val="both"/>
              <w:rPr>
                <w:sz w:val="18"/>
              </w:rPr>
            </w:pPr>
            <w:r w:rsidRPr="00DB7B15">
              <w:rPr>
                <w:sz w:val="18"/>
              </w:rPr>
              <w:t>Ustanovení § 73l se do 28. února 2023 nepoužije.</w:t>
            </w:r>
          </w:p>
        </w:tc>
        <w:tc>
          <w:tcPr>
            <w:tcW w:w="818" w:type="dxa"/>
            <w:tcBorders>
              <w:top w:val="single" w:sz="4" w:space="0" w:color="auto"/>
              <w:left w:val="single" w:sz="4" w:space="0" w:color="auto"/>
              <w:bottom w:val="nil"/>
              <w:right w:val="single" w:sz="4" w:space="0" w:color="auto"/>
            </w:tcBorders>
          </w:tcPr>
          <w:p w:rsidR="003E4656" w:rsidRPr="00605684" w:rsidRDefault="00DB7B15" w:rsidP="00605684">
            <w:pPr>
              <w:spacing w:before="40" w:after="40"/>
              <w:rPr>
                <w:sz w:val="18"/>
              </w:rPr>
            </w:pPr>
            <w:r>
              <w:rPr>
                <w:sz w:val="18"/>
              </w:rPr>
              <w:t>P</w:t>
            </w:r>
            <w:r w:rsidR="006822D2" w:rsidRPr="00605684">
              <w:rPr>
                <w:sz w:val="18"/>
              </w:rPr>
              <w:t>T</w:t>
            </w:r>
          </w:p>
        </w:tc>
        <w:tc>
          <w:tcPr>
            <w:tcW w:w="655" w:type="dxa"/>
            <w:tcBorders>
              <w:top w:val="single" w:sz="4" w:space="0" w:color="auto"/>
              <w:left w:val="single" w:sz="4" w:space="0" w:color="auto"/>
              <w:bottom w:val="nil"/>
              <w:right w:val="single" w:sz="4" w:space="0" w:color="auto"/>
            </w:tcBorders>
          </w:tcPr>
          <w:p w:rsidR="003E4656" w:rsidRPr="00605684" w:rsidRDefault="003E4656" w:rsidP="00605684">
            <w:pPr>
              <w:spacing w:before="40" w:after="40"/>
              <w:rPr>
                <w:sz w:val="18"/>
              </w:rPr>
            </w:pPr>
          </w:p>
        </w:tc>
      </w:tr>
      <w:tr w:rsidR="00DB7B15" w:rsidRPr="00605684" w:rsidTr="00B87BE1">
        <w:trPr>
          <w:trHeight w:val="1432"/>
        </w:trPr>
        <w:tc>
          <w:tcPr>
            <w:tcW w:w="1427" w:type="dxa"/>
            <w:gridSpan w:val="2"/>
            <w:tcBorders>
              <w:top w:val="single" w:sz="4" w:space="0" w:color="auto"/>
              <w:left w:val="single" w:sz="4" w:space="0" w:color="auto"/>
              <w:bottom w:val="nil"/>
              <w:right w:val="single" w:sz="4" w:space="0" w:color="auto"/>
            </w:tcBorders>
          </w:tcPr>
          <w:p w:rsidR="00DB7B15" w:rsidRDefault="00DB7B15" w:rsidP="00F93F08">
            <w:pPr>
              <w:spacing w:before="40" w:after="40"/>
              <w:rPr>
                <w:sz w:val="18"/>
              </w:rPr>
            </w:pPr>
            <w:r>
              <w:rPr>
                <w:sz w:val="18"/>
              </w:rPr>
              <w:t>Článek 1</w:t>
            </w:r>
            <w:r w:rsidRPr="00605684">
              <w:rPr>
                <w:sz w:val="18"/>
              </w:rPr>
              <w:t xml:space="preserve"> </w:t>
            </w:r>
            <w:r>
              <w:rPr>
                <w:sz w:val="18"/>
              </w:rPr>
              <w:t>bod</w:t>
            </w:r>
            <w:r w:rsidRPr="00605684">
              <w:rPr>
                <w:sz w:val="18"/>
              </w:rPr>
              <w:t xml:space="preserve"> </w:t>
            </w:r>
            <w:r>
              <w:rPr>
                <w:sz w:val="18"/>
              </w:rPr>
              <w:t>6 druhý pododstavec</w:t>
            </w:r>
          </w:p>
        </w:tc>
        <w:tc>
          <w:tcPr>
            <w:tcW w:w="5210" w:type="dxa"/>
            <w:gridSpan w:val="3"/>
            <w:tcBorders>
              <w:top w:val="single" w:sz="4" w:space="0" w:color="auto"/>
              <w:left w:val="single" w:sz="4" w:space="0" w:color="auto"/>
              <w:bottom w:val="nil"/>
              <w:right w:val="single" w:sz="18" w:space="0" w:color="auto"/>
            </w:tcBorders>
          </w:tcPr>
          <w:p w:rsidR="00DB7B15" w:rsidRDefault="00DB7B15" w:rsidP="00901CDF">
            <w:pPr>
              <w:shd w:val="clear" w:color="auto" w:fill="FFFFFF"/>
              <w:spacing w:before="40" w:after="40"/>
              <w:jc w:val="both"/>
              <w:rPr>
                <w:sz w:val="18"/>
                <w:szCs w:val="18"/>
              </w:rPr>
            </w:pPr>
            <w:r w:rsidRPr="00901CDF">
              <w:rPr>
                <w:sz w:val="18"/>
                <w:szCs w:val="18"/>
              </w:rPr>
              <w:t>Komise komplexně přezkoumá přiměřenost požadavků na podávání zpráv podle tohoto odstavce a do 28. února 2022 předloží Evrops</w:t>
            </w:r>
            <w:r>
              <w:rPr>
                <w:sz w:val="18"/>
                <w:szCs w:val="18"/>
              </w:rPr>
              <w:t>kému parlamentu a Radě zprávu.“</w:t>
            </w:r>
          </w:p>
        </w:tc>
        <w:tc>
          <w:tcPr>
            <w:tcW w:w="1292" w:type="dxa"/>
            <w:tcBorders>
              <w:top w:val="single" w:sz="4" w:space="0" w:color="auto"/>
              <w:left w:val="single" w:sz="18" w:space="0" w:color="auto"/>
              <w:bottom w:val="nil"/>
              <w:right w:val="single" w:sz="4" w:space="0" w:color="auto"/>
            </w:tcBorders>
          </w:tcPr>
          <w:p w:rsidR="00DB7B15" w:rsidRPr="00605684" w:rsidRDefault="00DB7B15" w:rsidP="00605684">
            <w:pPr>
              <w:spacing w:before="40" w:after="40"/>
              <w:rPr>
                <w:sz w:val="18"/>
              </w:rPr>
            </w:pPr>
          </w:p>
        </w:tc>
        <w:tc>
          <w:tcPr>
            <w:tcW w:w="1104" w:type="dxa"/>
            <w:tcBorders>
              <w:top w:val="single" w:sz="4" w:space="0" w:color="auto"/>
              <w:left w:val="single" w:sz="4" w:space="0" w:color="auto"/>
              <w:bottom w:val="nil"/>
              <w:right w:val="single" w:sz="4" w:space="0" w:color="auto"/>
            </w:tcBorders>
          </w:tcPr>
          <w:p w:rsidR="00DB7B15" w:rsidRPr="00605684" w:rsidRDefault="00DB7B15" w:rsidP="00605684">
            <w:pPr>
              <w:spacing w:before="40" w:after="40"/>
              <w:rPr>
                <w:sz w:val="18"/>
              </w:rPr>
            </w:pPr>
          </w:p>
        </w:tc>
        <w:tc>
          <w:tcPr>
            <w:tcW w:w="5425" w:type="dxa"/>
            <w:gridSpan w:val="4"/>
            <w:tcBorders>
              <w:top w:val="single" w:sz="4" w:space="0" w:color="auto"/>
              <w:left w:val="single" w:sz="4" w:space="0" w:color="auto"/>
              <w:bottom w:val="nil"/>
              <w:right w:val="single" w:sz="4" w:space="0" w:color="auto"/>
            </w:tcBorders>
          </w:tcPr>
          <w:p w:rsidR="00DB7B15" w:rsidRPr="00674807" w:rsidRDefault="00DB7B15" w:rsidP="009A0D97">
            <w:pPr>
              <w:spacing w:before="40" w:after="40"/>
              <w:jc w:val="both"/>
              <w:rPr>
                <w:i/>
                <w:sz w:val="18"/>
              </w:rPr>
            </w:pPr>
            <w:r w:rsidRPr="00674807">
              <w:rPr>
                <w:i/>
                <w:sz w:val="18"/>
              </w:rPr>
              <w:t>Nerelevantní z hlediska transpozice. Povinnost je uložena Komisi.</w:t>
            </w:r>
          </w:p>
        </w:tc>
        <w:tc>
          <w:tcPr>
            <w:tcW w:w="818" w:type="dxa"/>
            <w:tcBorders>
              <w:top w:val="single" w:sz="4" w:space="0" w:color="auto"/>
              <w:left w:val="single" w:sz="4" w:space="0" w:color="auto"/>
              <w:bottom w:val="nil"/>
              <w:right w:val="single" w:sz="4" w:space="0" w:color="auto"/>
            </w:tcBorders>
          </w:tcPr>
          <w:p w:rsidR="00DB7B15" w:rsidRPr="00605684" w:rsidRDefault="00DB7B15" w:rsidP="00605684">
            <w:pPr>
              <w:spacing w:before="40" w:after="40"/>
              <w:rPr>
                <w:sz w:val="18"/>
              </w:rPr>
            </w:pPr>
            <w:r>
              <w:rPr>
                <w:sz w:val="18"/>
              </w:rPr>
              <w:t>NT</w:t>
            </w:r>
          </w:p>
        </w:tc>
        <w:tc>
          <w:tcPr>
            <w:tcW w:w="655" w:type="dxa"/>
            <w:tcBorders>
              <w:top w:val="single" w:sz="4" w:space="0" w:color="auto"/>
              <w:left w:val="single" w:sz="4" w:space="0" w:color="auto"/>
              <w:bottom w:val="nil"/>
              <w:right w:val="single" w:sz="4" w:space="0" w:color="auto"/>
            </w:tcBorders>
          </w:tcPr>
          <w:p w:rsidR="00DB7B15" w:rsidRPr="00605684" w:rsidRDefault="00DB7B15" w:rsidP="00605684">
            <w:pPr>
              <w:spacing w:before="40" w:after="40"/>
              <w:rPr>
                <w:sz w:val="18"/>
              </w:rPr>
            </w:pPr>
          </w:p>
        </w:tc>
      </w:tr>
      <w:tr w:rsidR="00025712" w:rsidRPr="00605684" w:rsidTr="007D3DE8">
        <w:tc>
          <w:tcPr>
            <w:tcW w:w="1427" w:type="dxa"/>
            <w:gridSpan w:val="2"/>
            <w:tcBorders>
              <w:top w:val="single" w:sz="4" w:space="0" w:color="auto"/>
              <w:left w:val="single" w:sz="4" w:space="0" w:color="auto"/>
              <w:bottom w:val="nil"/>
              <w:right w:val="single" w:sz="4" w:space="0" w:color="auto"/>
            </w:tcBorders>
          </w:tcPr>
          <w:p w:rsidR="00A42B00" w:rsidRPr="00605684" w:rsidRDefault="00F93F08" w:rsidP="00F93F08">
            <w:pPr>
              <w:spacing w:before="40" w:after="40"/>
              <w:rPr>
                <w:sz w:val="18"/>
              </w:rPr>
            </w:pPr>
            <w:r>
              <w:rPr>
                <w:sz w:val="18"/>
              </w:rPr>
              <w:t xml:space="preserve">Článek </w:t>
            </w:r>
            <w:r w:rsidR="005C2C98">
              <w:rPr>
                <w:sz w:val="18"/>
              </w:rPr>
              <w:t>1</w:t>
            </w:r>
            <w:r w:rsidR="00A42B00" w:rsidRPr="00605684">
              <w:rPr>
                <w:sz w:val="18"/>
              </w:rPr>
              <w:t xml:space="preserve"> </w:t>
            </w:r>
            <w:r w:rsidR="00A42B00">
              <w:rPr>
                <w:sz w:val="18"/>
              </w:rPr>
              <w:t>bod</w:t>
            </w:r>
            <w:r w:rsidR="005C2C98">
              <w:rPr>
                <w:sz w:val="18"/>
              </w:rPr>
              <w:t xml:space="preserve"> 7</w:t>
            </w:r>
          </w:p>
        </w:tc>
        <w:tc>
          <w:tcPr>
            <w:tcW w:w="5210" w:type="dxa"/>
            <w:gridSpan w:val="3"/>
            <w:tcBorders>
              <w:top w:val="single" w:sz="4" w:space="0" w:color="auto"/>
              <w:left w:val="single" w:sz="4" w:space="0" w:color="auto"/>
              <w:bottom w:val="nil"/>
              <w:right w:val="single" w:sz="18" w:space="0" w:color="auto"/>
            </w:tcBorders>
          </w:tcPr>
          <w:p w:rsidR="00901CDF" w:rsidRPr="00901CDF" w:rsidRDefault="00901CDF" w:rsidP="00901CDF">
            <w:pPr>
              <w:shd w:val="clear" w:color="auto" w:fill="FFFFFF"/>
              <w:spacing w:before="40" w:after="40"/>
              <w:jc w:val="both"/>
              <w:rPr>
                <w:sz w:val="18"/>
                <w:szCs w:val="18"/>
              </w:rPr>
            </w:pPr>
            <w:r>
              <w:rPr>
                <w:sz w:val="18"/>
                <w:szCs w:val="18"/>
              </w:rPr>
              <w:t xml:space="preserve">7) </w:t>
            </w:r>
            <w:r w:rsidRPr="00901CDF">
              <w:rPr>
                <w:sz w:val="18"/>
                <w:szCs w:val="18"/>
              </w:rPr>
              <w:t>V čl. 27 odst. 6 se doplňuje nový pododstavec, který zní:</w:t>
            </w:r>
          </w:p>
          <w:p w:rsidR="00A42B00" w:rsidRPr="00605684" w:rsidRDefault="00901CDF" w:rsidP="00605684">
            <w:pPr>
              <w:shd w:val="clear" w:color="auto" w:fill="FFFFFF"/>
              <w:spacing w:before="40" w:after="40"/>
              <w:jc w:val="both"/>
              <w:rPr>
                <w:sz w:val="18"/>
                <w:szCs w:val="18"/>
              </w:rPr>
            </w:pPr>
            <w:r w:rsidRPr="00901CDF">
              <w:rPr>
                <w:sz w:val="18"/>
                <w:szCs w:val="18"/>
              </w:rPr>
              <w:t xml:space="preserve">„Komise komplexně přezkoumá přiměřenost požadavků na pravidelné podávání zpráv podle tohoto odstavce a do 28. února 2022 </w:t>
            </w:r>
            <w:r w:rsidRPr="00901CDF">
              <w:rPr>
                <w:sz w:val="18"/>
                <w:szCs w:val="18"/>
              </w:rPr>
              <w:lastRenderedPageBreak/>
              <w:t>předloží Evrops</w:t>
            </w:r>
            <w:r>
              <w:rPr>
                <w:sz w:val="18"/>
                <w:szCs w:val="18"/>
              </w:rPr>
              <w:t>kému parlamentu a Radě zprávu.“</w:t>
            </w:r>
          </w:p>
        </w:tc>
        <w:tc>
          <w:tcPr>
            <w:tcW w:w="1292" w:type="dxa"/>
            <w:tcBorders>
              <w:top w:val="single" w:sz="4" w:space="0" w:color="auto"/>
              <w:left w:val="single" w:sz="18" w:space="0" w:color="auto"/>
              <w:bottom w:val="nil"/>
              <w:right w:val="single" w:sz="4" w:space="0" w:color="auto"/>
            </w:tcBorders>
          </w:tcPr>
          <w:p w:rsidR="00A42B00" w:rsidRPr="00605684" w:rsidRDefault="00A42B00" w:rsidP="00A42B00">
            <w:pPr>
              <w:spacing w:before="40" w:after="40"/>
              <w:rPr>
                <w:sz w:val="18"/>
              </w:rPr>
            </w:pPr>
          </w:p>
        </w:tc>
        <w:tc>
          <w:tcPr>
            <w:tcW w:w="1104" w:type="dxa"/>
            <w:tcBorders>
              <w:top w:val="single" w:sz="4" w:space="0" w:color="auto"/>
              <w:left w:val="single" w:sz="4" w:space="0" w:color="auto"/>
              <w:bottom w:val="nil"/>
              <w:right w:val="single" w:sz="4" w:space="0" w:color="auto"/>
            </w:tcBorders>
          </w:tcPr>
          <w:p w:rsidR="00A42B00" w:rsidRPr="00605684" w:rsidRDefault="00A42B00" w:rsidP="00605684">
            <w:pPr>
              <w:spacing w:before="40" w:after="40"/>
              <w:rPr>
                <w:sz w:val="18"/>
              </w:rPr>
            </w:pPr>
          </w:p>
        </w:tc>
        <w:tc>
          <w:tcPr>
            <w:tcW w:w="5425" w:type="dxa"/>
            <w:gridSpan w:val="4"/>
            <w:tcBorders>
              <w:top w:val="single" w:sz="4" w:space="0" w:color="auto"/>
              <w:left w:val="single" w:sz="4" w:space="0" w:color="auto"/>
              <w:bottom w:val="nil"/>
              <w:right w:val="single" w:sz="4" w:space="0" w:color="auto"/>
            </w:tcBorders>
          </w:tcPr>
          <w:p w:rsidR="00A42B00" w:rsidRPr="00674807" w:rsidRDefault="00674807" w:rsidP="009A0D97">
            <w:pPr>
              <w:spacing w:before="40" w:after="40"/>
              <w:jc w:val="both"/>
              <w:rPr>
                <w:i/>
                <w:sz w:val="18"/>
              </w:rPr>
            </w:pPr>
            <w:r w:rsidRPr="00674807">
              <w:rPr>
                <w:i/>
                <w:sz w:val="18"/>
              </w:rPr>
              <w:t>Nerelevantní z hlediska transpozice. Povinnost je uložena Komisi.</w:t>
            </w:r>
          </w:p>
        </w:tc>
        <w:tc>
          <w:tcPr>
            <w:tcW w:w="818" w:type="dxa"/>
            <w:tcBorders>
              <w:top w:val="single" w:sz="4" w:space="0" w:color="auto"/>
              <w:left w:val="single" w:sz="4" w:space="0" w:color="auto"/>
              <w:bottom w:val="nil"/>
              <w:right w:val="single" w:sz="4" w:space="0" w:color="auto"/>
            </w:tcBorders>
          </w:tcPr>
          <w:p w:rsidR="00A42B00" w:rsidRPr="00605684" w:rsidRDefault="00A42B00" w:rsidP="00605684">
            <w:pPr>
              <w:spacing w:before="40" w:after="40"/>
              <w:rPr>
                <w:sz w:val="18"/>
              </w:rPr>
            </w:pPr>
            <w:r w:rsidRPr="00605684">
              <w:rPr>
                <w:sz w:val="18"/>
              </w:rPr>
              <w:t>NT</w:t>
            </w:r>
          </w:p>
        </w:tc>
        <w:tc>
          <w:tcPr>
            <w:tcW w:w="655" w:type="dxa"/>
            <w:tcBorders>
              <w:top w:val="single" w:sz="4" w:space="0" w:color="auto"/>
              <w:left w:val="single" w:sz="4" w:space="0" w:color="auto"/>
              <w:bottom w:val="nil"/>
              <w:right w:val="single" w:sz="4" w:space="0" w:color="auto"/>
            </w:tcBorders>
          </w:tcPr>
          <w:p w:rsidR="00A42B00" w:rsidRPr="00605684" w:rsidRDefault="00A42B00" w:rsidP="00605684">
            <w:pPr>
              <w:spacing w:before="40" w:after="40"/>
              <w:rPr>
                <w:sz w:val="18"/>
              </w:rPr>
            </w:pPr>
          </w:p>
        </w:tc>
      </w:tr>
      <w:tr w:rsidR="00025712" w:rsidRPr="00605684" w:rsidTr="001C5F43">
        <w:tc>
          <w:tcPr>
            <w:tcW w:w="1427" w:type="dxa"/>
            <w:gridSpan w:val="2"/>
            <w:tcBorders>
              <w:top w:val="single" w:sz="4" w:space="0" w:color="auto"/>
              <w:left w:val="single" w:sz="4" w:space="0" w:color="auto"/>
              <w:bottom w:val="nil"/>
              <w:right w:val="single" w:sz="4" w:space="0" w:color="auto"/>
            </w:tcBorders>
          </w:tcPr>
          <w:p w:rsidR="00A42B00" w:rsidRPr="00605684" w:rsidRDefault="00F93F08" w:rsidP="00F93F08">
            <w:pPr>
              <w:spacing w:before="40" w:after="40"/>
              <w:rPr>
                <w:sz w:val="18"/>
              </w:rPr>
            </w:pPr>
            <w:r>
              <w:rPr>
                <w:sz w:val="18"/>
              </w:rPr>
              <w:t xml:space="preserve">Článek </w:t>
            </w:r>
            <w:r w:rsidR="005C2C98">
              <w:rPr>
                <w:sz w:val="18"/>
              </w:rPr>
              <w:t>1</w:t>
            </w:r>
            <w:r w:rsidR="00A42B00" w:rsidRPr="00605684">
              <w:rPr>
                <w:sz w:val="18"/>
              </w:rPr>
              <w:t xml:space="preserve"> </w:t>
            </w:r>
            <w:r w:rsidR="00A42B00">
              <w:rPr>
                <w:sz w:val="18"/>
              </w:rPr>
              <w:t>bod</w:t>
            </w:r>
            <w:r w:rsidR="005C2C98">
              <w:rPr>
                <w:sz w:val="18"/>
              </w:rPr>
              <w:t xml:space="preserve"> 8</w:t>
            </w:r>
          </w:p>
        </w:tc>
        <w:tc>
          <w:tcPr>
            <w:tcW w:w="5210" w:type="dxa"/>
            <w:gridSpan w:val="3"/>
            <w:tcBorders>
              <w:top w:val="single" w:sz="4" w:space="0" w:color="auto"/>
              <w:left w:val="single" w:sz="4" w:space="0" w:color="auto"/>
              <w:bottom w:val="nil"/>
              <w:right w:val="single" w:sz="18" w:space="0" w:color="auto"/>
            </w:tcBorders>
          </w:tcPr>
          <w:p w:rsidR="005C2C98" w:rsidRPr="005C2C98" w:rsidRDefault="005C2C98" w:rsidP="005C2C98">
            <w:pPr>
              <w:shd w:val="clear" w:color="auto" w:fill="FFFFFF"/>
              <w:spacing w:before="40" w:after="40"/>
              <w:jc w:val="both"/>
              <w:rPr>
                <w:sz w:val="18"/>
                <w:szCs w:val="18"/>
              </w:rPr>
            </w:pPr>
            <w:r>
              <w:rPr>
                <w:sz w:val="18"/>
                <w:szCs w:val="18"/>
              </w:rPr>
              <w:t xml:space="preserve">8) </w:t>
            </w:r>
            <w:r w:rsidRPr="005C2C98">
              <w:rPr>
                <w:sz w:val="18"/>
                <w:szCs w:val="18"/>
              </w:rPr>
              <w:t>Vkládá se nový článek, který zní:</w:t>
            </w:r>
          </w:p>
          <w:p w:rsidR="005C2C98" w:rsidRPr="005C2C98" w:rsidRDefault="005C2C98" w:rsidP="005C2C98">
            <w:pPr>
              <w:shd w:val="clear" w:color="auto" w:fill="FFFFFF"/>
              <w:spacing w:before="40" w:after="40"/>
              <w:jc w:val="both"/>
              <w:rPr>
                <w:sz w:val="18"/>
                <w:szCs w:val="18"/>
              </w:rPr>
            </w:pPr>
            <w:r w:rsidRPr="005C2C98">
              <w:rPr>
                <w:sz w:val="18"/>
                <w:szCs w:val="18"/>
              </w:rPr>
              <w:t>„Článek 29a</w:t>
            </w:r>
          </w:p>
          <w:p w:rsidR="005C2C98" w:rsidRPr="005C2C98" w:rsidRDefault="005C2C98" w:rsidP="005C2C98">
            <w:pPr>
              <w:shd w:val="clear" w:color="auto" w:fill="FFFFFF"/>
              <w:spacing w:before="40" w:after="40"/>
              <w:jc w:val="both"/>
              <w:rPr>
                <w:sz w:val="18"/>
                <w:szCs w:val="18"/>
              </w:rPr>
            </w:pPr>
            <w:r w:rsidRPr="005C2C98">
              <w:rPr>
                <w:sz w:val="18"/>
                <w:szCs w:val="18"/>
              </w:rPr>
              <w:t>Služby poskytované profesionálním zákazníkům</w:t>
            </w:r>
          </w:p>
          <w:p w:rsidR="005C2C98" w:rsidRDefault="005C2C98" w:rsidP="005C2C98">
            <w:pPr>
              <w:shd w:val="clear" w:color="auto" w:fill="FFFFFF"/>
              <w:spacing w:before="40" w:after="40"/>
              <w:jc w:val="both"/>
              <w:rPr>
                <w:sz w:val="18"/>
                <w:szCs w:val="18"/>
              </w:rPr>
            </w:pPr>
            <w:r w:rsidRPr="005C2C98">
              <w:rPr>
                <w:sz w:val="18"/>
                <w:szCs w:val="18"/>
              </w:rPr>
              <w:t>1.   Požadavky stanovené v čl. 24 odst. 4 písm. c) se nevztahují na jiné služby poskytované profesionálním zákazníkům než na investiční poradenství a správu portfolia.</w:t>
            </w:r>
          </w:p>
          <w:p w:rsidR="005C2C98" w:rsidRPr="005C2C98" w:rsidRDefault="005C2C98" w:rsidP="005C2C98">
            <w:pPr>
              <w:shd w:val="clear" w:color="auto" w:fill="FFFFFF"/>
              <w:spacing w:before="40" w:after="40"/>
              <w:jc w:val="both"/>
              <w:rPr>
                <w:sz w:val="18"/>
                <w:szCs w:val="18"/>
              </w:rPr>
            </w:pPr>
            <w:r w:rsidRPr="005C2C98">
              <w:rPr>
                <w:sz w:val="18"/>
                <w:szCs w:val="18"/>
              </w:rPr>
              <w:t>2.   Požadavky stanovené v čl. 25 odst. 2 třetím pododstavci a v čl. 25 odst. 6 se nevztahují na služby poskytované profesionálním zákazníkům, pokud tito zákazníci investiční podnik buď v elektronické podobě, nebo v papírové podobě neinformují, že si přejí požívat práv stanovených v těchto ustanoveních.</w:t>
            </w:r>
          </w:p>
          <w:p w:rsidR="00A42B00" w:rsidRPr="00605684" w:rsidRDefault="005C2C98" w:rsidP="005C2C98">
            <w:pPr>
              <w:shd w:val="clear" w:color="auto" w:fill="FFFFFF"/>
              <w:spacing w:before="40" w:after="40"/>
              <w:jc w:val="both"/>
              <w:rPr>
                <w:sz w:val="18"/>
                <w:szCs w:val="18"/>
              </w:rPr>
            </w:pPr>
            <w:r w:rsidRPr="005C2C98">
              <w:rPr>
                <w:sz w:val="18"/>
                <w:szCs w:val="18"/>
              </w:rPr>
              <w:t>3.   Členské státy zajistí, aby si investiční podniky vedly záznamy o oznámeních záka</w:t>
            </w:r>
            <w:r>
              <w:rPr>
                <w:sz w:val="18"/>
                <w:szCs w:val="18"/>
              </w:rPr>
              <w:t>zníkům uvedených v odstavci 2.“</w:t>
            </w:r>
          </w:p>
        </w:tc>
        <w:tc>
          <w:tcPr>
            <w:tcW w:w="1292" w:type="dxa"/>
            <w:tcBorders>
              <w:top w:val="single" w:sz="4" w:space="0" w:color="auto"/>
              <w:left w:val="single" w:sz="18" w:space="0" w:color="auto"/>
              <w:bottom w:val="nil"/>
              <w:right w:val="single" w:sz="4" w:space="0" w:color="auto"/>
            </w:tcBorders>
          </w:tcPr>
          <w:p w:rsidR="00B541B5" w:rsidRPr="00605684" w:rsidRDefault="00F57E1C" w:rsidP="00B81329">
            <w:pPr>
              <w:spacing w:before="40" w:after="40"/>
              <w:rPr>
                <w:sz w:val="18"/>
              </w:rPr>
            </w:pPr>
            <w:r>
              <w:rPr>
                <w:sz w:val="18"/>
              </w:rPr>
              <w:t>256/2</w:t>
            </w:r>
            <w:r w:rsidR="001C5F43">
              <w:rPr>
                <w:sz w:val="18"/>
              </w:rPr>
              <w:t xml:space="preserve">004 ve znění </w:t>
            </w:r>
            <w:r w:rsidR="00B81329">
              <w:rPr>
                <w:sz w:val="18"/>
              </w:rPr>
              <w:t xml:space="preserve">204/2017 </w:t>
            </w:r>
            <w:r>
              <w:rPr>
                <w:sz w:val="18"/>
              </w:rPr>
              <w:t>96/2022</w:t>
            </w:r>
          </w:p>
        </w:tc>
        <w:tc>
          <w:tcPr>
            <w:tcW w:w="1104" w:type="dxa"/>
            <w:tcBorders>
              <w:top w:val="single" w:sz="4" w:space="0" w:color="auto"/>
              <w:left w:val="single" w:sz="4" w:space="0" w:color="auto"/>
              <w:bottom w:val="nil"/>
              <w:right w:val="single" w:sz="4" w:space="0" w:color="auto"/>
            </w:tcBorders>
          </w:tcPr>
          <w:p w:rsidR="00237928" w:rsidRPr="00605684" w:rsidRDefault="00237928" w:rsidP="00605684">
            <w:pPr>
              <w:spacing w:before="40" w:after="40"/>
              <w:rPr>
                <w:sz w:val="18"/>
              </w:rPr>
            </w:pPr>
            <w:r>
              <w:rPr>
                <w:sz w:val="18"/>
              </w:rPr>
              <w:t>§ 15d odst. 1 písm. e)</w:t>
            </w:r>
          </w:p>
        </w:tc>
        <w:tc>
          <w:tcPr>
            <w:tcW w:w="5425" w:type="dxa"/>
            <w:gridSpan w:val="4"/>
            <w:tcBorders>
              <w:top w:val="single" w:sz="4" w:space="0" w:color="auto"/>
              <w:left w:val="single" w:sz="4" w:space="0" w:color="auto"/>
              <w:bottom w:val="nil"/>
              <w:right w:val="single" w:sz="4" w:space="0" w:color="auto"/>
            </w:tcBorders>
          </w:tcPr>
          <w:p w:rsidR="00237928" w:rsidRDefault="000A68D3" w:rsidP="009A0D97">
            <w:pPr>
              <w:spacing w:before="40" w:after="40"/>
              <w:jc w:val="both"/>
              <w:rPr>
                <w:sz w:val="18"/>
              </w:rPr>
            </w:pPr>
            <w:r w:rsidRPr="000A68D3">
              <w:rPr>
                <w:sz w:val="18"/>
              </w:rPr>
              <w:t xml:space="preserve">(1) Obchodník s cennými papíry je povinen informovat zákazníka v dostatečném časovém předstihu před </w:t>
            </w:r>
            <w:r w:rsidR="00237928">
              <w:rPr>
                <w:sz w:val="18"/>
              </w:rPr>
              <w:t>poskytnutím investiční služby o</w:t>
            </w:r>
          </w:p>
          <w:p w:rsidR="00FB41BE" w:rsidRPr="004764A0" w:rsidRDefault="003D0B22" w:rsidP="009A0D97">
            <w:pPr>
              <w:spacing w:before="40" w:after="40"/>
              <w:jc w:val="both"/>
              <w:rPr>
                <w:sz w:val="18"/>
              </w:rPr>
            </w:pPr>
            <w:r>
              <w:rPr>
                <w:sz w:val="18"/>
              </w:rPr>
              <w:t>e)</w:t>
            </w:r>
            <w:r w:rsidR="000A68D3" w:rsidRPr="000A68D3">
              <w:rPr>
                <w:sz w:val="18"/>
              </w:rPr>
              <w:t>veškerých nákladech a souvisejících úplatách</w:t>
            </w:r>
            <w:r w:rsidR="000A68D3" w:rsidRPr="00237928">
              <w:rPr>
                <w:sz w:val="18"/>
              </w:rPr>
              <w:t>, nejde-li o investiční službu poskytovanou profesionálnímu zákazníkovi jinou než uvedenou v § 4 odst. 2 písm. d) a e), a</w:t>
            </w:r>
          </w:p>
        </w:tc>
        <w:tc>
          <w:tcPr>
            <w:tcW w:w="818" w:type="dxa"/>
            <w:tcBorders>
              <w:top w:val="single" w:sz="4" w:space="0" w:color="auto"/>
              <w:left w:val="single" w:sz="4" w:space="0" w:color="auto"/>
              <w:bottom w:val="nil"/>
              <w:right w:val="single" w:sz="4" w:space="0" w:color="auto"/>
            </w:tcBorders>
          </w:tcPr>
          <w:p w:rsidR="00A42B00" w:rsidRPr="00605684" w:rsidRDefault="000A68D3" w:rsidP="00605684">
            <w:pPr>
              <w:spacing w:before="40" w:after="40"/>
              <w:rPr>
                <w:sz w:val="18"/>
              </w:rPr>
            </w:pPr>
            <w:r>
              <w:rPr>
                <w:sz w:val="18"/>
              </w:rPr>
              <w:t>P</w:t>
            </w:r>
            <w:r w:rsidR="00A42B00" w:rsidRPr="00605684">
              <w:rPr>
                <w:sz w:val="18"/>
              </w:rPr>
              <w:t>T</w:t>
            </w:r>
          </w:p>
        </w:tc>
        <w:tc>
          <w:tcPr>
            <w:tcW w:w="655" w:type="dxa"/>
            <w:tcBorders>
              <w:top w:val="single" w:sz="4" w:space="0" w:color="auto"/>
              <w:left w:val="single" w:sz="4" w:space="0" w:color="auto"/>
              <w:bottom w:val="nil"/>
              <w:right w:val="single" w:sz="4" w:space="0" w:color="auto"/>
            </w:tcBorders>
          </w:tcPr>
          <w:p w:rsidR="00A42B00" w:rsidRPr="00605684" w:rsidRDefault="00A42B00" w:rsidP="00605684">
            <w:pPr>
              <w:spacing w:before="40" w:after="40"/>
              <w:rPr>
                <w:sz w:val="18"/>
              </w:rPr>
            </w:pPr>
          </w:p>
        </w:tc>
      </w:tr>
      <w:tr w:rsidR="001C5F43" w:rsidRPr="00605684" w:rsidTr="001C5F43">
        <w:tc>
          <w:tcPr>
            <w:tcW w:w="1427" w:type="dxa"/>
            <w:gridSpan w:val="2"/>
            <w:tcBorders>
              <w:top w:val="nil"/>
              <w:left w:val="single" w:sz="4" w:space="0" w:color="auto"/>
              <w:bottom w:val="nil"/>
              <w:right w:val="single" w:sz="4" w:space="0" w:color="auto"/>
            </w:tcBorders>
          </w:tcPr>
          <w:p w:rsidR="001C5F43" w:rsidRDefault="001C5F43" w:rsidP="00F93F08">
            <w:pPr>
              <w:spacing w:before="40" w:after="40"/>
              <w:rPr>
                <w:sz w:val="18"/>
              </w:rPr>
            </w:pPr>
          </w:p>
        </w:tc>
        <w:tc>
          <w:tcPr>
            <w:tcW w:w="5210" w:type="dxa"/>
            <w:gridSpan w:val="3"/>
            <w:tcBorders>
              <w:top w:val="nil"/>
              <w:left w:val="single" w:sz="4" w:space="0" w:color="auto"/>
              <w:bottom w:val="nil"/>
              <w:right w:val="single" w:sz="18" w:space="0" w:color="auto"/>
            </w:tcBorders>
          </w:tcPr>
          <w:p w:rsidR="001C5F43" w:rsidRDefault="001C5F43" w:rsidP="004532F2">
            <w:pPr>
              <w:shd w:val="clear" w:color="auto" w:fill="FFFFFF"/>
              <w:spacing w:before="40" w:after="40"/>
              <w:jc w:val="both"/>
              <w:rPr>
                <w:sz w:val="18"/>
                <w:szCs w:val="18"/>
              </w:rPr>
            </w:pPr>
          </w:p>
        </w:tc>
        <w:tc>
          <w:tcPr>
            <w:tcW w:w="1292" w:type="dxa"/>
            <w:tcBorders>
              <w:top w:val="nil"/>
              <w:left w:val="single" w:sz="18" w:space="0" w:color="auto"/>
              <w:bottom w:val="nil"/>
              <w:right w:val="single" w:sz="4" w:space="0" w:color="auto"/>
            </w:tcBorders>
          </w:tcPr>
          <w:p w:rsidR="001C5F43" w:rsidRDefault="001C5F43" w:rsidP="00B81329">
            <w:pPr>
              <w:spacing w:before="40" w:after="40"/>
              <w:rPr>
                <w:sz w:val="18"/>
              </w:rPr>
            </w:pPr>
            <w:r>
              <w:rPr>
                <w:sz w:val="18"/>
              </w:rPr>
              <w:t>256/2004 ve znění 96/2022</w:t>
            </w:r>
          </w:p>
        </w:tc>
        <w:tc>
          <w:tcPr>
            <w:tcW w:w="1104" w:type="dxa"/>
            <w:tcBorders>
              <w:top w:val="nil"/>
              <w:left w:val="single" w:sz="4" w:space="0" w:color="auto"/>
              <w:bottom w:val="nil"/>
              <w:right w:val="single" w:sz="4" w:space="0" w:color="auto"/>
            </w:tcBorders>
          </w:tcPr>
          <w:p w:rsidR="001C5F43" w:rsidRDefault="004764A0" w:rsidP="00A42B00">
            <w:pPr>
              <w:spacing w:before="40" w:after="40"/>
              <w:rPr>
                <w:sz w:val="18"/>
              </w:rPr>
            </w:pPr>
            <w:r>
              <w:rPr>
                <w:sz w:val="18"/>
              </w:rPr>
              <w:t>§ 15e odst. 5</w:t>
            </w:r>
          </w:p>
        </w:tc>
        <w:tc>
          <w:tcPr>
            <w:tcW w:w="5425" w:type="dxa"/>
            <w:gridSpan w:val="4"/>
            <w:tcBorders>
              <w:top w:val="nil"/>
              <w:left w:val="single" w:sz="4" w:space="0" w:color="auto"/>
              <w:bottom w:val="nil"/>
              <w:right w:val="single" w:sz="4" w:space="0" w:color="auto"/>
            </w:tcBorders>
          </w:tcPr>
          <w:p w:rsidR="001C5F43" w:rsidRPr="00615E43" w:rsidRDefault="001C5F43" w:rsidP="009A0D97">
            <w:pPr>
              <w:spacing w:before="40" w:after="40"/>
              <w:jc w:val="both"/>
              <w:rPr>
                <w:sz w:val="18"/>
              </w:rPr>
            </w:pPr>
            <w:r w:rsidRPr="008B003B">
              <w:rPr>
                <w:sz w:val="18"/>
              </w:rPr>
              <w:t>(5) Odstavce 3 a 4 se nepoužijí při poskytování hlavní investiční služby uvedené v § 4 odst. 2 písm. e) profesionálnímu zákazníkovi, ledaže profesionální zákazník sdělí obchodníkovi s cennými papíry na trvalém nosiči dat, že na plnění těchto povinností trvá</w:t>
            </w:r>
            <w:r>
              <w:rPr>
                <w:sz w:val="18"/>
              </w:rPr>
              <w:t>.</w:t>
            </w:r>
          </w:p>
        </w:tc>
        <w:tc>
          <w:tcPr>
            <w:tcW w:w="818" w:type="dxa"/>
            <w:tcBorders>
              <w:top w:val="nil"/>
              <w:left w:val="single" w:sz="4" w:space="0" w:color="auto"/>
              <w:bottom w:val="nil"/>
              <w:right w:val="single" w:sz="4" w:space="0" w:color="auto"/>
            </w:tcBorders>
          </w:tcPr>
          <w:p w:rsidR="001C5F43" w:rsidRDefault="001C5F43" w:rsidP="00605684">
            <w:pPr>
              <w:spacing w:before="40" w:after="40"/>
              <w:rPr>
                <w:sz w:val="18"/>
              </w:rPr>
            </w:pPr>
          </w:p>
        </w:tc>
        <w:tc>
          <w:tcPr>
            <w:tcW w:w="655" w:type="dxa"/>
            <w:tcBorders>
              <w:top w:val="nil"/>
              <w:left w:val="single" w:sz="4" w:space="0" w:color="auto"/>
              <w:bottom w:val="nil"/>
              <w:right w:val="single" w:sz="4" w:space="0" w:color="auto"/>
            </w:tcBorders>
          </w:tcPr>
          <w:p w:rsidR="001C5F43" w:rsidRPr="00605684" w:rsidRDefault="001C5F43" w:rsidP="00605684">
            <w:pPr>
              <w:spacing w:before="40" w:after="40"/>
              <w:rPr>
                <w:sz w:val="18"/>
              </w:rPr>
            </w:pPr>
          </w:p>
        </w:tc>
      </w:tr>
      <w:tr w:rsidR="001C5F43" w:rsidRPr="00605684" w:rsidTr="001C5F43">
        <w:tc>
          <w:tcPr>
            <w:tcW w:w="1427" w:type="dxa"/>
            <w:gridSpan w:val="2"/>
            <w:tcBorders>
              <w:top w:val="nil"/>
              <w:left w:val="single" w:sz="4" w:space="0" w:color="auto"/>
              <w:bottom w:val="nil"/>
              <w:right w:val="single" w:sz="4" w:space="0" w:color="auto"/>
            </w:tcBorders>
          </w:tcPr>
          <w:p w:rsidR="001C5F43" w:rsidRDefault="001C5F43" w:rsidP="00F93F08">
            <w:pPr>
              <w:spacing w:before="40" w:after="40"/>
              <w:rPr>
                <w:sz w:val="18"/>
              </w:rPr>
            </w:pPr>
          </w:p>
        </w:tc>
        <w:tc>
          <w:tcPr>
            <w:tcW w:w="5210" w:type="dxa"/>
            <w:gridSpan w:val="3"/>
            <w:tcBorders>
              <w:top w:val="nil"/>
              <w:left w:val="single" w:sz="4" w:space="0" w:color="auto"/>
              <w:bottom w:val="nil"/>
              <w:right w:val="single" w:sz="18" w:space="0" w:color="auto"/>
            </w:tcBorders>
          </w:tcPr>
          <w:p w:rsidR="001C5F43" w:rsidRDefault="001C5F43" w:rsidP="004532F2">
            <w:pPr>
              <w:shd w:val="clear" w:color="auto" w:fill="FFFFFF"/>
              <w:spacing w:before="40" w:after="40"/>
              <w:jc w:val="both"/>
              <w:rPr>
                <w:sz w:val="18"/>
                <w:szCs w:val="18"/>
              </w:rPr>
            </w:pPr>
          </w:p>
        </w:tc>
        <w:tc>
          <w:tcPr>
            <w:tcW w:w="1292" w:type="dxa"/>
            <w:tcBorders>
              <w:top w:val="nil"/>
              <w:left w:val="single" w:sz="18" w:space="0" w:color="auto"/>
              <w:bottom w:val="nil"/>
              <w:right w:val="single" w:sz="4" w:space="0" w:color="auto"/>
            </w:tcBorders>
          </w:tcPr>
          <w:p w:rsidR="001C5F43" w:rsidRDefault="001C5F43" w:rsidP="00615E43">
            <w:pPr>
              <w:spacing w:before="40" w:after="40"/>
              <w:rPr>
                <w:sz w:val="18"/>
              </w:rPr>
            </w:pPr>
            <w:r>
              <w:rPr>
                <w:sz w:val="18"/>
              </w:rPr>
              <w:t>256/2004 ve znění 96/2022</w:t>
            </w:r>
          </w:p>
        </w:tc>
        <w:tc>
          <w:tcPr>
            <w:tcW w:w="1104" w:type="dxa"/>
            <w:tcBorders>
              <w:top w:val="nil"/>
              <w:left w:val="single" w:sz="4" w:space="0" w:color="auto"/>
              <w:bottom w:val="nil"/>
              <w:right w:val="single" w:sz="4" w:space="0" w:color="auto"/>
            </w:tcBorders>
          </w:tcPr>
          <w:p w:rsidR="001C5F43" w:rsidRDefault="001C5F43" w:rsidP="00A42B00">
            <w:pPr>
              <w:spacing w:before="40" w:after="40"/>
              <w:rPr>
                <w:sz w:val="18"/>
              </w:rPr>
            </w:pPr>
            <w:r>
              <w:rPr>
                <w:sz w:val="18"/>
              </w:rPr>
              <w:t>§ 15g odst. 5</w:t>
            </w:r>
          </w:p>
        </w:tc>
        <w:tc>
          <w:tcPr>
            <w:tcW w:w="5425" w:type="dxa"/>
            <w:gridSpan w:val="4"/>
            <w:tcBorders>
              <w:top w:val="nil"/>
              <w:left w:val="single" w:sz="4" w:space="0" w:color="auto"/>
              <w:bottom w:val="nil"/>
              <w:right w:val="single" w:sz="4" w:space="0" w:color="auto"/>
            </w:tcBorders>
          </w:tcPr>
          <w:p w:rsidR="001C5F43" w:rsidRPr="00615E43" w:rsidRDefault="001C5F43" w:rsidP="009A0D97">
            <w:pPr>
              <w:spacing w:before="40" w:after="40"/>
              <w:jc w:val="both"/>
              <w:rPr>
                <w:sz w:val="18"/>
              </w:rPr>
            </w:pPr>
            <w:r w:rsidRPr="008B003B">
              <w:rPr>
                <w:sz w:val="18"/>
              </w:rPr>
              <w:t>(5) Odstavce 1, 2 a 4 se nepoužijí při poskytování investičních služeb profesionálnímu zákazníkovi, ledaže profesionální zákazník sdělí obchodníkovi s cennými papíry na trvalém nosiči dat, že na</w:t>
            </w:r>
            <w:r w:rsidR="004764A0">
              <w:rPr>
                <w:sz w:val="18"/>
              </w:rPr>
              <w:t xml:space="preserve"> plnění těchto povinností trvá.</w:t>
            </w:r>
          </w:p>
        </w:tc>
        <w:tc>
          <w:tcPr>
            <w:tcW w:w="818" w:type="dxa"/>
            <w:tcBorders>
              <w:top w:val="nil"/>
              <w:left w:val="single" w:sz="4" w:space="0" w:color="auto"/>
              <w:bottom w:val="nil"/>
              <w:right w:val="single" w:sz="4" w:space="0" w:color="auto"/>
            </w:tcBorders>
          </w:tcPr>
          <w:p w:rsidR="001C5F43" w:rsidRDefault="001C5F43" w:rsidP="00605684">
            <w:pPr>
              <w:spacing w:before="40" w:after="40"/>
              <w:rPr>
                <w:sz w:val="18"/>
              </w:rPr>
            </w:pPr>
          </w:p>
        </w:tc>
        <w:tc>
          <w:tcPr>
            <w:tcW w:w="655" w:type="dxa"/>
            <w:tcBorders>
              <w:top w:val="nil"/>
              <w:left w:val="single" w:sz="4" w:space="0" w:color="auto"/>
              <w:bottom w:val="nil"/>
              <w:right w:val="single" w:sz="4" w:space="0" w:color="auto"/>
            </w:tcBorders>
          </w:tcPr>
          <w:p w:rsidR="001C5F43" w:rsidRPr="00605684" w:rsidRDefault="001C5F43" w:rsidP="00605684">
            <w:pPr>
              <w:spacing w:before="40" w:after="40"/>
              <w:rPr>
                <w:sz w:val="18"/>
              </w:rPr>
            </w:pPr>
          </w:p>
        </w:tc>
      </w:tr>
      <w:tr w:rsidR="001C5F43" w:rsidRPr="00605684" w:rsidTr="001C5F43">
        <w:tc>
          <w:tcPr>
            <w:tcW w:w="1427" w:type="dxa"/>
            <w:gridSpan w:val="2"/>
            <w:tcBorders>
              <w:top w:val="nil"/>
              <w:left w:val="single" w:sz="4" w:space="0" w:color="auto"/>
              <w:bottom w:val="single" w:sz="4" w:space="0" w:color="auto"/>
              <w:right w:val="single" w:sz="4" w:space="0" w:color="auto"/>
            </w:tcBorders>
          </w:tcPr>
          <w:p w:rsidR="001C5F43" w:rsidRDefault="001C5F43" w:rsidP="00F93F08">
            <w:pPr>
              <w:spacing w:before="40" w:after="40"/>
              <w:rPr>
                <w:sz w:val="18"/>
              </w:rPr>
            </w:pPr>
          </w:p>
        </w:tc>
        <w:tc>
          <w:tcPr>
            <w:tcW w:w="5210" w:type="dxa"/>
            <w:gridSpan w:val="3"/>
            <w:tcBorders>
              <w:top w:val="nil"/>
              <w:left w:val="single" w:sz="4" w:space="0" w:color="auto"/>
              <w:bottom w:val="single" w:sz="4" w:space="0" w:color="auto"/>
              <w:right w:val="single" w:sz="18" w:space="0" w:color="auto"/>
            </w:tcBorders>
          </w:tcPr>
          <w:p w:rsidR="001C5F43" w:rsidRDefault="001C5F43" w:rsidP="004532F2">
            <w:pPr>
              <w:shd w:val="clear" w:color="auto" w:fill="FFFFFF"/>
              <w:spacing w:before="40" w:after="40"/>
              <w:jc w:val="both"/>
              <w:rPr>
                <w:sz w:val="18"/>
                <w:szCs w:val="18"/>
              </w:rPr>
            </w:pPr>
          </w:p>
        </w:tc>
        <w:tc>
          <w:tcPr>
            <w:tcW w:w="1292" w:type="dxa"/>
            <w:tcBorders>
              <w:top w:val="nil"/>
              <w:left w:val="single" w:sz="18" w:space="0" w:color="auto"/>
              <w:bottom w:val="single" w:sz="4" w:space="0" w:color="auto"/>
              <w:right w:val="single" w:sz="4" w:space="0" w:color="auto"/>
            </w:tcBorders>
          </w:tcPr>
          <w:p w:rsidR="001C5F43" w:rsidRDefault="001C5F43" w:rsidP="001C5F43">
            <w:pPr>
              <w:spacing w:before="40" w:after="40"/>
              <w:rPr>
                <w:sz w:val="18"/>
              </w:rPr>
            </w:pPr>
            <w:r>
              <w:rPr>
                <w:sz w:val="18"/>
              </w:rPr>
              <w:t>256/2004 ve znění 96/2022</w:t>
            </w:r>
          </w:p>
        </w:tc>
        <w:tc>
          <w:tcPr>
            <w:tcW w:w="1104" w:type="dxa"/>
            <w:tcBorders>
              <w:top w:val="nil"/>
              <w:left w:val="single" w:sz="4" w:space="0" w:color="auto"/>
              <w:bottom w:val="single" w:sz="4" w:space="0" w:color="auto"/>
              <w:right w:val="single" w:sz="4" w:space="0" w:color="auto"/>
            </w:tcBorders>
          </w:tcPr>
          <w:p w:rsidR="001C5F43" w:rsidRDefault="001C5F43" w:rsidP="00A42B00">
            <w:pPr>
              <w:spacing w:before="40" w:after="40"/>
              <w:rPr>
                <w:sz w:val="18"/>
              </w:rPr>
            </w:pPr>
            <w:r>
              <w:rPr>
                <w:sz w:val="18"/>
              </w:rPr>
              <w:t>§ 15h odst. 7</w:t>
            </w:r>
          </w:p>
        </w:tc>
        <w:tc>
          <w:tcPr>
            <w:tcW w:w="5425" w:type="dxa"/>
            <w:gridSpan w:val="4"/>
            <w:tcBorders>
              <w:top w:val="nil"/>
              <w:left w:val="single" w:sz="4" w:space="0" w:color="auto"/>
              <w:bottom w:val="single" w:sz="4" w:space="0" w:color="auto"/>
              <w:right w:val="single" w:sz="4" w:space="0" w:color="auto"/>
            </w:tcBorders>
          </w:tcPr>
          <w:p w:rsidR="001C5F43" w:rsidRPr="00615E43" w:rsidRDefault="004764A0" w:rsidP="009A0D97">
            <w:pPr>
              <w:spacing w:before="40" w:after="40"/>
              <w:jc w:val="both"/>
              <w:rPr>
                <w:sz w:val="18"/>
              </w:rPr>
            </w:pPr>
            <w:r w:rsidRPr="008B003B">
              <w:rPr>
                <w:sz w:val="18"/>
              </w:rPr>
              <w:t>(7) Odstavce 1 až 6 se nepoužijí při poskytování investičních služeb profesionálnímu zákazníkovi, ledaže profesionální zákazník sdělí obchodníkovi s cennými papíry na trvalém nosiči dat, že na plnění těchto povinností trvá.</w:t>
            </w:r>
          </w:p>
        </w:tc>
        <w:tc>
          <w:tcPr>
            <w:tcW w:w="818" w:type="dxa"/>
            <w:tcBorders>
              <w:top w:val="nil"/>
              <w:left w:val="single" w:sz="4" w:space="0" w:color="auto"/>
              <w:bottom w:val="single" w:sz="4" w:space="0" w:color="auto"/>
              <w:right w:val="single" w:sz="4" w:space="0" w:color="auto"/>
            </w:tcBorders>
          </w:tcPr>
          <w:p w:rsidR="001C5F43" w:rsidRDefault="001C5F43" w:rsidP="00605684">
            <w:pPr>
              <w:spacing w:before="40" w:after="40"/>
              <w:rPr>
                <w:sz w:val="18"/>
              </w:rPr>
            </w:pPr>
          </w:p>
        </w:tc>
        <w:tc>
          <w:tcPr>
            <w:tcW w:w="655" w:type="dxa"/>
            <w:tcBorders>
              <w:top w:val="nil"/>
              <w:left w:val="single" w:sz="4" w:space="0" w:color="auto"/>
              <w:bottom w:val="single" w:sz="4" w:space="0" w:color="auto"/>
              <w:right w:val="single" w:sz="4" w:space="0" w:color="auto"/>
            </w:tcBorders>
          </w:tcPr>
          <w:p w:rsidR="001C5F43" w:rsidRPr="00605684" w:rsidRDefault="001C5F43" w:rsidP="00605684">
            <w:pPr>
              <w:spacing w:before="40" w:after="40"/>
              <w:rPr>
                <w:sz w:val="18"/>
              </w:rPr>
            </w:pPr>
          </w:p>
        </w:tc>
      </w:tr>
      <w:tr w:rsidR="00025712" w:rsidRPr="00605684" w:rsidTr="001C5F43">
        <w:tc>
          <w:tcPr>
            <w:tcW w:w="1427" w:type="dxa"/>
            <w:gridSpan w:val="2"/>
            <w:tcBorders>
              <w:top w:val="single" w:sz="4" w:space="0" w:color="auto"/>
              <w:left w:val="single" w:sz="4" w:space="0" w:color="auto"/>
              <w:bottom w:val="nil"/>
              <w:right w:val="single" w:sz="4" w:space="0" w:color="auto"/>
            </w:tcBorders>
          </w:tcPr>
          <w:p w:rsidR="00A42B00" w:rsidRPr="00605684" w:rsidRDefault="00F93F08" w:rsidP="00F93F08">
            <w:pPr>
              <w:spacing w:before="40" w:after="40"/>
              <w:rPr>
                <w:sz w:val="18"/>
              </w:rPr>
            </w:pPr>
            <w:r>
              <w:rPr>
                <w:sz w:val="18"/>
              </w:rPr>
              <w:t xml:space="preserve">Článek </w:t>
            </w:r>
            <w:r w:rsidR="005C2C98">
              <w:rPr>
                <w:sz w:val="18"/>
              </w:rPr>
              <w:t>1</w:t>
            </w:r>
            <w:r w:rsidR="00A42B00" w:rsidRPr="00605684">
              <w:rPr>
                <w:sz w:val="18"/>
              </w:rPr>
              <w:t xml:space="preserve"> </w:t>
            </w:r>
            <w:r w:rsidR="00A42B00">
              <w:rPr>
                <w:sz w:val="18"/>
              </w:rPr>
              <w:t>bod</w:t>
            </w:r>
            <w:r w:rsidR="005C2C98">
              <w:rPr>
                <w:sz w:val="18"/>
              </w:rPr>
              <w:t xml:space="preserve"> 9</w:t>
            </w:r>
          </w:p>
        </w:tc>
        <w:tc>
          <w:tcPr>
            <w:tcW w:w="5210" w:type="dxa"/>
            <w:gridSpan w:val="3"/>
            <w:tcBorders>
              <w:top w:val="single" w:sz="4" w:space="0" w:color="auto"/>
              <w:left w:val="single" w:sz="4" w:space="0" w:color="auto"/>
              <w:bottom w:val="nil"/>
              <w:right w:val="single" w:sz="18" w:space="0" w:color="auto"/>
            </w:tcBorders>
          </w:tcPr>
          <w:p w:rsidR="004532F2" w:rsidRDefault="004532F2" w:rsidP="004532F2">
            <w:pPr>
              <w:shd w:val="clear" w:color="auto" w:fill="FFFFFF"/>
              <w:spacing w:before="40" w:after="40"/>
              <w:jc w:val="both"/>
              <w:rPr>
                <w:sz w:val="18"/>
                <w:szCs w:val="18"/>
              </w:rPr>
            </w:pPr>
            <w:r>
              <w:rPr>
                <w:sz w:val="18"/>
                <w:szCs w:val="18"/>
              </w:rPr>
              <w:t xml:space="preserve">9. </w:t>
            </w:r>
            <w:r w:rsidRPr="004532F2">
              <w:rPr>
                <w:sz w:val="18"/>
                <w:szCs w:val="18"/>
              </w:rPr>
              <w:t>V čl. 30 odst. 1 se první pododstavec nahrazuje tímto:</w:t>
            </w:r>
          </w:p>
          <w:p w:rsidR="00A42B00" w:rsidRPr="00605684" w:rsidRDefault="004532F2" w:rsidP="004532F2">
            <w:pPr>
              <w:shd w:val="clear" w:color="auto" w:fill="FFFFFF"/>
              <w:spacing w:before="40" w:after="40"/>
              <w:jc w:val="both"/>
              <w:rPr>
                <w:sz w:val="18"/>
                <w:szCs w:val="18"/>
              </w:rPr>
            </w:pPr>
            <w:r w:rsidRPr="004532F2">
              <w:rPr>
                <w:sz w:val="18"/>
                <w:szCs w:val="18"/>
              </w:rPr>
              <w:t>„1.   Členské státy zajistí, aby investiční podniky s povolením provádět pokyny na účet zákazníka, nebo obchodovat na vlastní účet či přijímat a předávat pokyny měly možnost vyvolat nebo uzavírat obchody se způsobilými protistranami, aniž by musely pro tyto obchody nebo jakékoli doplňující služby s těmito obchody přímo související splňovat povinnosti podle článku 24, s výjimkou odstavce 5a uvedeného článku, a čl</w:t>
            </w:r>
            <w:r>
              <w:rPr>
                <w:sz w:val="18"/>
                <w:szCs w:val="18"/>
              </w:rPr>
              <w:t>ánků 25 a 27 a čl. 28 odst. 1.“</w:t>
            </w:r>
          </w:p>
        </w:tc>
        <w:tc>
          <w:tcPr>
            <w:tcW w:w="1292" w:type="dxa"/>
            <w:tcBorders>
              <w:top w:val="single" w:sz="4" w:space="0" w:color="auto"/>
              <w:left w:val="single" w:sz="18" w:space="0" w:color="auto"/>
              <w:bottom w:val="nil"/>
              <w:right w:val="single" w:sz="4" w:space="0" w:color="auto"/>
            </w:tcBorders>
          </w:tcPr>
          <w:p w:rsidR="00A42B00" w:rsidRPr="004764A0" w:rsidRDefault="004764A0" w:rsidP="00C240CC">
            <w:pPr>
              <w:spacing w:before="40" w:after="40"/>
              <w:rPr>
                <w:sz w:val="18"/>
              </w:rPr>
            </w:pPr>
            <w:r>
              <w:rPr>
                <w:sz w:val="18"/>
              </w:rPr>
              <w:t xml:space="preserve">256/2004 ve znění 204/2017 </w:t>
            </w:r>
            <w:r w:rsidR="00615E43">
              <w:rPr>
                <w:sz w:val="18"/>
              </w:rPr>
              <w:t>96/20</w:t>
            </w:r>
            <w:r>
              <w:rPr>
                <w:sz w:val="18"/>
              </w:rPr>
              <w:t>22</w:t>
            </w:r>
          </w:p>
        </w:tc>
        <w:tc>
          <w:tcPr>
            <w:tcW w:w="1104" w:type="dxa"/>
            <w:tcBorders>
              <w:top w:val="single" w:sz="4" w:space="0" w:color="auto"/>
              <w:left w:val="single" w:sz="4" w:space="0" w:color="auto"/>
              <w:bottom w:val="nil"/>
              <w:right w:val="single" w:sz="4" w:space="0" w:color="auto"/>
            </w:tcBorders>
          </w:tcPr>
          <w:p w:rsidR="00A42B00" w:rsidRPr="00605684" w:rsidRDefault="00615E43" w:rsidP="00A42B00">
            <w:pPr>
              <w:spacing w:before="40" w:after="40"/>
              <w:rPr>
                <w:sz w:val="18"/>
              </w:rPr>
            </w:pPr>
            <w:r>
              <w:rPr>
                <w:sz w:val="18"/>
              </w:rPr>
              <w:t>§ 2d odst. 4</w:t>
            </w:r>
          </w:p>
        </w:tc>
        <w:tc>
          <w:tcPr>
            <w:tcW w:w="5425" w:type="dxa"/>
            <w:gridSpan w:val="4"/>
            <w:tcBorders>
              <w:top w:val="single" w:sz="4" w:space="0" w:color="auto"/>
              <w:left w:val="single" w:sz="4" w:space="0" w:color="auto"/>
              <w:bottom w:val="nil"/>
              <w:right w:val="single" w:sz="4" w:space="0" w:color="auto"/>
            </w:tcBorders>
          </w:tcPr>
          <w:p w:rsidR="00A42B00" w:rsidRPr="00605684" w:rsidRDefault="00615E43" w:rsidP="009A0D97">
            <w:pPr>
              <w:spacing w:before="40" w:after="40"/>
              <w:jc w:val="both"/>
              <w:rPr>
                <w:sz w:val="18"/>
              </w:rPr>
            </w:pPr>
            <w:r w:rsidRPr="00615E43">
              <w:rPr>
                <w:sz w:val="18"/>
              </w:rPr>
              <w:t>(4) Obchodník s cennými papíry je při poskytování hlavních investičních služeb uvedených v § 4 odst. 2 písm. a), b) nebo c) povinen jednat ve vztahu k profesionálnímu zákazníkovi, vůči kterému neplní povinnosti stanovené v § 15 až 15r ve smyslu odstavce 1 nebo 2 (dále jen „způsobilá protistrana“), kvalifikovaně, čestně a spravedlivě a nesmí používat při komunikaci s ním nejasné, nepravdivé, zavádějící nebo klamavé informace; současně dodržuje požadavky podle § 15da.</w:t>
            </w:r>
          </w:p>
        </w:tc>
        <w:tc>
          <w:tcPr>
            <w:tcW w:w="818" w:type="dxa"/>
            <w:tcBorders>
              <w:top w:val="single" w:sz="4" w:space="0" w:color="auto"/>
              <w:left w:val="single" w:sz="4" w:space="0" w:color="auto"/>
              <w:bottom w:val="nil"/>
              <w:right w:val="single" w:sz="4" w:space="0" w:color="auto"/>
            </w:tcBorders>
          </w:tcPr>
          <w:p w:rsidR="00A42B00" w:rsidRPr="00605684" w:rsidRDefault="00615E43" w:rsidP="00605684">
            <w:pPr>
              <w:spacing w:before="40" w:after="40"/>
              <w:rPr>
                <w:sz w:val="18"/>
              </w:rPr>
            </w:pPr>
            <w:r>
              <w:rPr>
                <w:sz w:val="18"/>
              </w:rPr>
              <w:t>P</w:t>
            </w:r>
            <w:r w:rsidR="00A42B00" w:rsidRPr="00605684">
              <w:rPr>
                <w:sz w:val="18"/>
              </w:rPr>
              <w:t>T</w:t>
            </w:r>
          </w:p>
        </w:tc>
        <w:tc>
          <w:tcPr>
            <w:tcW w:w="655" w:type="dxa"/>
            <w:tcBorders>
              <w:top w:val="single" w:sz="4" w:space="0" w:color="auto"/>
              <w:left w:val="single" w:sz="4" w:space="0" w:color="auto"/>
              <w:bottom w:val="nil"/>
              <w:right w:val="single" w:sz="4" w:space="0" w:color="auto"/>
            </w:tcBorders>
          </w:tcPr>
          <w:p w:rsidR="00A42B00" w:rsidRPr="00605684" w:rsidRDefault="00A42B00" w:rsidP="00605684">
            <w:pPr>
              <w:spacing w:before="40" w:after="40"/>
              <w:rPr>
                <w:sz w:val="18"/>
              </w:rPr>
            </w:pPr>
          </w:p>
        </w:tc>
      </w:tr>
      <w:tr w:rsidR="00025712" w:rsidRPr="00605684" w:rsidTr="00674807">
        <w:tc>
          <w:tcPr>
            <w:tcW w:w="1427" w:type="dxa"/>
            <w:gridSpan w:val="2"/>
            <w:tcBorders>
              <w:top w:val="single" w:sz="4" w:space="0" w:color="auto"/>
              <w:left w:val="single" w:sz="4" w:space="0" w:color="auto"/>
              <w:bottom w:val="nil"/>
              <w:right w:val="single" w:sz="4" w:space="0" w:color="auto"/>
            </w:tcBorders>
          </w:tcPr>
          <w:p w:rsidR="00A42B00" w:rsidRPr="00605684" w:rsidRDefault="00F93F08" w:rsidP="00F93F08">
            <w:pPr>
              <w:spacing w:before="40" w:after="40"/>
              <w:rPr>
                <w:sz w:val="18"/>
              </w:rPr>
            </w:pPr>
            <w:r>
              <w:rPr>
                <w:sz w:val="18"/>
              </w:rPr>
              <w:t xml:space="preserve">Článek </w:t>
            </w:r>
            <w:r w:rsidR="004532F2">
              <w:rPr>
                <w:sz w:val="18"/>
              </w:rPr>
              <w:t>1</w:t>
            </w:r>
            <w:r w:rsidR="00A42B00" w:rsidRPr="00605684">
              <w:rPr>
                <w:sz w:val="18"/>
              </w:rPr>
              <w:t xml:space="preserve"> </w:t>
            </w:r>
            <w:r w:rsidR="00A42B00">
              <w:rPr>
                <w:sz w:val="18"/>
              </w:rPr>
              <w:t>bod</w:t>
            </w:r>
            <w:r w:rsidR="004532F2">
              <w:rPr>
                <w:sz w:val="18"/>
              </w:rPr>
              <w:t xml:space="preserve"> 10 písm. a)</w:t>
            </w:r>
          </w:p>
        </w:tc>
        <w:tc>
          <w:tcPr>
            <w:tcW w:w="5210" w:type="dxa"/>
            <w:gridSpan w:val="3"/>
            <w:tcBorders>
              <w:top w:val="single" w:sz="4" w:space="0" w:color="auto"/>
              <w:left w:val="single" w:sz="4" w:space="0" w:color="auto"/>
              <w:bottom w:val="nil"/>
              <w:right w:val="single" w:sz="18" w:space="0" w:color="auto"/>
            </w:tcBorders>
          </w:tcPr>
          <w:p w:rsidR="004532F2" w:rsidRPr="004532F2" w:rsidRDefault="004532F2" w:rsidP="004532F2">
            <w:pPr>
              <w:shd w:val="clear" w:color="auto" w:fill="FFFFFF"/>
              <w:spacing w:before="40" w:after="40"/>
              <w:jc w:val="both"/>
              <w:rPr>
                <w:sz w:val="18"/>
                <w:szCs w:val="18"/>
              </w:rPr>
            </w:pPr>
            <w:r>
              <w:rPr>
                <w:sz w:val="18"/>
                <w:szCs w:val="18"/>
              </w:rPr>
              <w:t xml:space="preserve">10. </w:t>
            </w:r>
            <w:r w:rsidRPr="004532F2">
              <w:rPr>
                <w:sz w:val="18"/>
                <w:szCs w:val="18"/>
              </w:rPr>
              <w:t>Článek 57 se mění takto:</w:t>
            </w:r>
          </w:p>
          <w:p w:rsidR="004532F2" w:rsidRPr="004532F2" w:rsidRDefault="004532F2" w:rsidP="004532F2">
            <w:pPr>
              <w:shd w:val="clear" w:color="auto" w:fill="FFFFFF"/>
              <w:spacing w:before="40" w:after="40"/>
              <w:jc w:val="both"/>
              <w:rPr>
                <w:sz w:val="18"/>
                <w:szCs w:val="18"/>
              </w:rPr>
            </w:pPr>
            <w:r>
              <w:rPr>
                <w:sz w:val="18"/>
                <w:szCs w:val="18"/>
              </w:rPr>
              <w:t xml:space="preserve">a) </w:t>
            </w:r>
            <w:r w:rsidRPr="004532F2">
              <w:rPr>
                <w:sz w:val="18"/>
                <w:szCs w:val="18"/>
              </w:rPr>
              <w:t>odstavec 1 se nahrazuje tímto:</w:t>
            </w:r>
          </w:p>
          <w:p w:rsidR="004532F2" w:rsidRPr="004532F2" w:rsidRDefault="004532F2" w:rsidP="004532F2">
            <w:pPr>
              <w:shd w:val="clear" w:color="auto" w:fill="FFFFFF"/>
              <w:spacing w:before="40" w:after="40"/>
              <w:jc w:val="both"/>
              <w:rPr>
                <w:sz w:val="18"/>
                <w:szCs w:val="18"/>
              </w:rPr>
            </w:pPr>
            <w:r w:rsidRPr="004532F2">
              <w:rPr>
                <w:sz w:val="18"/>
                <w:szCs w:val="18"/>
              </w:rPr>
              <w:t xml:space="preserve">„1.   Členské státy zajistí, aby příslušné orgány podle metodiky </w:t>
            </w:r>
            <w:r w:rsidRPr="004532F2">
              <w:rPr>
                <w:sz w:val="18"/>
                <w:szCs w:val="18"/>
              </w:rPr>
              <w:lastRenderedPageBreak/>
              <w:t>výpočtu určené orgánem ESMA v regulačních technických normách přijatých v souladu s odstavcem 3 stanovily a uplatňovaly limity velikosti čisté pozice, kterou může osoba kdykoli držet v derivátech zemědělských komodit a v zásadních nebo významných komoditních derivátech obchodovaných v obchodních systémech a v ekonomicky rovnocenných OTC smlouvách. Komoditní deriváty se považují za zásadní nebo významné, pokud součet všech čistých pozic konečných držitelů pozic představuje objem jejich čistých otevřených pozic a dosahuje průměrně alespoň 300 000 lotů za období jednoho roku. Tyto limity jsou stanoveny na základě všech pozic držených osobou a pozic, které jsou jménem této osoby drženy na úrovni celé skupiny, s cílem:</w:t>
            </w:r>
          </w:p>
          <w:p w:rsidR="004532F2" w:rsidRPr="004532F2" w:rsidRDefault="004532F2" w:rsidP="004532F2">
            <w:pPr>
              <w:shd w:val="clear" w:color="auto" w:fill="FFFFFF"/>
              <w:spacing w:before="40" w:after="40"/>
              <w:jc w:val="both"/>
              <w:rPr>
                <w:sz w:val="18"/>
                <w:szCs w:val="18"/>
              </w:rPr>
            </w:pPr>
            <w:r>
              <w:rPr>
                <w:sz w:val="18"/>
                <w:szCs w:val="18"/>
              </w:rPr>
              <w:t>a) zabránit zneužívání trhu;</w:t>
            </w:r>
          </w:p>
          <w:p w:rsidR="004532F2" w:rsidRPr="004532F2" w:rsidRDefault="004532F2" w:rsidP="004532F2">
            <w:pPr>
              <w:shd w:val="clear" w:color="auto" w:fill="FFFFFF"/>
              <w:spacing w:before="40" w:after="40"/>
              <w:jc w:val="both"/>
              <w:rPr>
                <w:sz w:val="18"/>
                <w:szCs w:val="18"/>
              </w:rPr>
            </w:pPr>
            <w:r>
              <w:rPr>
                <w:sz w:val="18"/>
                <w:szCs w:val="18"/>
              </w:rPr>
              <w:t xml:space="preserve">b) </w:t>
            </w:r>
            <w:r w:rsidRPr="004532F2">
              <w:rPr>
                <w:sz w:val="18"/>
                <w:szCs w:val="18"/>
              </w:rPr>
              <w:t>podpořit řádné stanovení cen a podmínky vypořádání, včetně předcházení vytváření pozic narušujících trh, a zejména zajistit sbližování mezi cenami derivátů v měsíci plnění a okamžitými cenami podkladové komodity, aniž je dotčeno určování cen podkladové komodity na trhu.</w:t>
            </w:r>
          </w:p>
          <w:p w:rsidR="004532F2" w:rsidRPr="004532F2" w:rsidRDefault="004532F2" w:rsidP="004532F2">
            <w:pPr>
              <w:shd w:val="clear" w:color="auto" w:fill="FFFFFF"/>
              <w:spacing w:before="40" w:after="40"/>
              <w:jc w:val="both"/>
              <w:rPr>
                <w:sz w:val="18"/>
                <w:szCs w:val="18"/>
              </w:rPr>
            </w:pPr>
            <w:r>
              <w:rPr>
                <w:sz w:val="18"/>
                <w:szCs w:val="18"/>
              </w:rPr>
              <w:t xml:space="preserve"> </w:t>
            </w:r>
            <w:r w:rsidRPr="004532F2">
              <w:rPr>
                <w:sz w:val="18"/>
                <w:szCs w:val="18"/>
              </w:rPr>
              <w:t>Limity pozic uvedené v odstavci 1 se nepoužijí na:</w:t>
            </w:r>
          </w:p>
          <w:p w:rsidR="004532F2" w:rsidRPr="004532F2" w:rsidRDefault="004532F2" w:rsidP="004532F2">
            <w:pPr>
              <w:shd w:val="clear" w:color="auto" w:fill="FFFFFF"/>
              <w:spacing w:before="40" w:after="40"/>
              <w:jc w:val="both"/>
              <w:rPr>
                <w:sz w:val="18"/>
                <w:szCs w:val="18"/>
              </w:rPr>
            </w:pPr>
            <w:r>
              <w:rPr>
                <w:sz w:val="18"/>
                <w:szCs w:val="18"/>
              </w:rPr>
              <w:t xml:space="preserve">a) </w:t>
            </w:r>
            <w:r w:rsidRPr="004532F2">
              <w:rPr>
                <w:sz w:val="18"/>
                <w:szCs w:val="18"/>
              </w:rPr>
              <w:t>pozice držené nefinančním subjektem nebo jeho jménem, které jsou objektivně měřitelné jako snižující rizika přímo související s obchodní činností tohoto nefinančního subjektu;</w:t>
            </w:r>
          </w:p>
          <w:p w:rsidR="004532F2" w:rsidRPr="004532F2" w:rsidRDefault="004532F2" w:rsidP="004532F2">
            <w:pPr>
              <w:shd w:val="clear" w:color="auto" w:fill="FFFFFF"/>
              <w:spacing w:before="40" w:after="40"/>
              <w:jc w:val="both"/>
              <w:rPr>
                <w:sz w:val="18"/>
                <w:szCs w:val="18"/>
              </w:rPr>
            </w:pPr>
            <w:r>
              <w:rPr>
                <w:sz w:val="18"/>
                <w:szCs w:val="18"/>
              </w:rPr>
              <w:t xml:space="preserve">b) </w:t>
            </w:r>
            <w:r w:rsidRPr="004532F2">
              <w:rPr>
                <w:sz w:val="18"/>
                <w:szCs w:val="18"/>
              </w:rPr>
              <w:t>pozice držené finančním subjektem, který je součástí převážně obchodní skupiny a jedná jménem nefinančního subjektu této převážně obchodní skupiny, nebo jeho jménem, pokud jsou tyto pozice objektivně měřitelné jako snižující rizika přímo související s obchodní činností tohoto nefinančního subjektu;</w:t>
            </w:r>
          </w:p>
          <w:p w:rsidR="004532F2" w:rsidRPr="004532F2" w:rsidRDefault="004532F2" w:rsidP="004532F2">
            <w:pPr>
              <w:shd w:val="clear" w:color="auto" w:fill="FFFFFF"/>
              <w:spacing w:before="40" w:after="40"/>
              <w:jc w:val="both"/>
              <w:rPr>
                <w:sz w:val="18"/>
                <w:szCs w:val="18"/>
              </w:rPr>
            </w:pPr>
            <w:r>
              <w:rPr>
                <w:sz w:val="18"/>
                <w:szCs w:val="18"/>
              </w:rPr>
              <w:t xml:space="preserve">c) </w:t>
            </w:r>
            <w:r w:rsidRPr="004532F2">
              <w:rPr>
                <w:sz w:val="18"/>
                <w:szCs w:val="18"/>
              </w:rPr>
              <w:t>pozice držené finančními a nefinančními protistranami, které jsou objektivně měřitelné jako vyplývající z obchodů, které byly uzavřeny za účelem splnění povinnosti poskytnout likviditu v obchodním systému, jak je uvedeno v čl. 2 odst. 4 čtvrtém pododstavci písm. c);</w:t>
            </w:r>
          </w:p>
          <w:p w:rsidR="004532F2" w:rsidRPr="004532F2" w:rsidRDefault="004532F2" w:rsidP="004532F2">
            <w:pPr>
              <w:shd w:val="clear" w:color="auto" w:fill="FFFFFF"/>
              <w:spacing w:before="40" w:after="40"/>
              <w:jc w:val="both"/>
              <w:rPr>
                <w:sz w:val="18"/>
                <w:szCs w:val="18"/>
              </w:rPr>
            </w:pPr>
            <w:r>
              <w:rPr>
                <w:sz w:val="18"/>
                <w:szCs w:val="18"/>
              </w:rPr>
              <w:t xml:space="preserve">d) </w:t>
            </w:r>
            <w:r w:rsidRPr="004532F2">
              <w:rPr>
                <w:sz w:val="18"/>
                <w:szCs w:val="18"/>
              </w:rPr>
              <w:t>všechny ostatní cenné papíry uvedené v čl. 4 odst. 1 bodě 44 písm. c), které souvisí s komoditou nebo podkladovým aktivem uvedeným v bodě 10 oddílu C přílohy I.</w:t>
            </w:r>
          </w:p>
          <w:p w:rsidR="004532F2" w:rsidRPr="004532F2" w:rsidRDefault="004532F2" w:rsidP="004532F2">
            <w:pPr>
              <w:shd w:val="clear" w:color="auto" w:fill="FFFFFF"/>
              <w:spacing w:before="40" w:after="40"/>
              <w:jc w:val="both"/>
              <w:rPr>
                <w:sz w:val="18"/>
                <w:szCs w:val="18"/>
              </w:rPr>
            </w:pPr>
            <w:r>
              <w:rPr>
                <w:sz w:val="18"/>
                <w:szCs w:val="18"/>
              </w:rPr>
              <w:t xml:space="preserve"> </w:t>
            </w:r>
            <w:r w:rsidRPr="004532F2">
              <w:rPr>
                <w:sz w:val="18"/>
                <w:szCs w:val="18"/>
              </w:rPr>
              <w:t xml:space="preserve">Orgán ESMA vypracuje návrh technických regulačních norem k určení postupu, jakým mohou finanční subjekty, které jsou součástí převážně obchodní skupiny, požádat o výjimku pro zajištění pro pozice držené těmito finančními subjekty, které jsou objektivně měřitelné jako snižující riziko přímo související s obchodní činností </w:t>
            </w:r>
            <w:r w:rsidRPr="004532F2">
              <w:rPr>
                <w:sz w:val="18"/>
                <w:szCs w:val="18"/>
              </w:rPr>
              <w:lastRenderedPageBreak/>
              <w:t>nefinančních subjektů skupiny.</w:t>
            </w:r>
          </w:p>
          <w:p w:rsidR="004532F2" w:rsidRPr="004532F2" w:rsidRDefault="004532F2" w:rsidP="004532F2">
            <w:pPr>
              <w:shd w:val="clear" w:color="auto" w:fill="FFFFFF"/>
              <w:spacing w:before="40" w:after="40"/>
              <w:jc w:val="both"/>
              <w:rPr>
                <w:sz w:val="18"/>
                <w:szCs w:val="18"/>
              </w:rPr>
            </w:pPr>
            <w:r w:rsidRPr="004532F2">
              <w:rPr>
                <w:sz w:val="18"/>
                <w:szCs w:val="18"/>
              </w:rPr>
              <w:t>Orgán ESMA vypracuje návrh regulačních technických norem k určení postupu, jakým mohou osoby požádat o výjimku pro pozice vyplývající z obchodů provedených za účelem splnění povinnosti poskytnout likviditu v obchodním systému.</w:t>
            </w:r>
          </w:p>
          <w:p w:rsidR="004532F2" w:rsidRPr="004532F2" w:rsidRDefault="004532F2" w:rsidP="004532F2">
            <w:pPr>
              <w:shd w:val="clear" w:color="auto" w:fill="FFFFFF"/>
              <w:spacing w:before="40" w:after="40"/>
              <w:jc w:val="both"/>
              <w:rPr>
                <w:sz w:val="18"/>
                <w:szCs w:val="18"/>
              </w:rPr>
            </w:pPr>
            <w:r w:rsidRPr="004532F2">
              <w:rPr>
                <w:sz w:val="18"/>
                <w:szCs w:val="18"/>
              </w:rPr>
              <w:t>Orgán ESMA předloží návrhy regulačních technických norem uvedené ve třetím a čtvrtém pododstavci Komisi do 28. listopadu 2021.</w:t>
            </w:r>
          </w:p>
          <w:p w:rsidR="00A42B00" w:rsidRPr="000D5D7C" w:rsidRDefault="004532F2" w:rsidP="00605684">
            <w:pPr>
              <w:shd w:val="clear" w:color="auto" w:fill="FFFFFF"/>
              <w:spacing w:before="40" w:after="40"/>
              <w:jc w:val="both"/>
              <w:rPr>
                <w:sz w:val="18"/>
                <w:szCs w:val="18"/>
              </w:rPr>
            </w:pPr>
            <w:r w:rsidRPr="004532F2">
              <w:rPr>
                <w:sz w:val="18"/>
                <w:szCs w:val="18"/>
              </w:rPr>
              <w:t xml:space="preserve">Na Komisi je přenesena pravomoc doplnit tuto směrnici přijetím regulačních technických norem uvedených ve třetím a čtvrtém pododstavci tohoto odstavce postupem v souladu s články 10 až </w:t>
            </w:r>
            <w:r>
              <w:rPr>
                <w:sz w:val="18"/>
                <w:szCs w:val="18"/>
              </w:rPr>
              <w:t>14 nařízení (EU) č. 1095/2010.“</w:t>
            </w:r>
          </w:p>
        </w:tc>
        <w:tc>
          <w:tcPr>
            <w:tcW w:w="1292" w:type="dxa"/>
            <w:tcBorders>
              <w:top w:val="single" w:sz="4" w:space="0" w:color="auto"/>
              <w:left w:val="single" w:sz="18" w:space="0" w:color="auto"/>
              <w:bottom w:val="nil"/>
              <w:right w:val="single" w:sz="4" w:space="0" w:color="auto"/>
            </w:tcBorders>
          </w:tcPr>
          <w:p w:rsidR="00A42B00" w:rsidRPr="00605684" w:rsidRDefault="004764A0" w:rsidP="009417BB">
            <w:pPr>
              <w:spacing w:before="40" w:after="40"/>
              <w:rPr>
                <w:sz w:val="18"/>
              </w:rPr>
            </w:pPr>
            <w:r>
              <w:rPr>
                <w:sz w:val="18"/>
              </w:rPr>
              <w:lastRenderedPageBreak/>
              <w:t xml:space="preserve">256/2004 </w:t>
            </w:r>
            <w:r w:rsidR="009417BB">
              <w:rPr>
                <w:sz w:val="18"/>
              </w:rPr>
              <w:t>ve znění</w:t>
            </w:r>
            <w:r>
              <w:rPr>
                <w:sz w:val="18"/>
              </w:rPr>
              <w:t xml:space="preserve"> 204/2017 </w:t>
            </w:r>
            <w:r w:rsidR="009417BB">
              <w:rPr>
                <w:sz w:val="18"/>
              </w:rPr>
              <w:t>96/2022</w:t>
            </w:r>
          </w:p>
        </w:tc>
        <w:tc>
          <w:tcPr>
            <w:tcW w:w="1104" w:type="dxa"/>
            <w:tcBorders>
              <w:top w:val="single" w:sz="4" w:space="0" w:color="auto"/>
              <w:left w:val="single" w:sz="4" w:space="0" w:color="auto"/>
              <w:bottom w:val="nil"/>
              <w:right w:val="single" w:sz="4" w:space="0" w:color="auto"/>
            </w:tcBorders>
          </w:tcPr>
          <w:p w:rsidR="00A42B00" w:rsidRPr="00605684" w:rsidRDefault="009417BB" w:rsidP="00605684">
            <w:pPr>
              <w:spacing w:before="40" w:after="40"/>
              <w:rPr>
                <w:sz w:val="18"/>
              </w:rPr>
            </w:pPr>
            <w:r>
              <w:rPr>
                <w:sz w:val="18"/>
              </w:rPr>
              <w:t xml:space="preserve">§ </w:t>
            </w:r>
            <w:r w:rsidR="00E87F18">
              <w:rPr>
                <w:sz w:val="18"/>
              </w:rPr>
              <w:t>134a</w:t>
            </w:r>
          </w:p>
        </w:tc>
        <w:tc>
          <w:tcPr>
            <w:tcW w:w="5425" w:type="dxa"/>
            <w:gridSpan w:val="4"/>
            <w:tcBorders>
              <w:top w:val="single" w:sz="4" w:space="0" w:color="auto"/>
              <w:left w:val="single" w:sz="4" w:space="0" w:color="auto"/>
              <w:bottom w:val="nil"/>
              <w:right w:val="single" w:sz="4" w:space="0" w:color="auto"/>
            </w:tcBorders>
          </w:tcPr>
          <w:p w:rsidR="00E87F18" w:rsidRDefault="00E87F18" w:rsidP="009417BB">
            <w:pPr>
              <w:keepNext/>
              <w:keepLines/>
              <w:jc w:val="both"/>
              <w:rPr>
                <w:sz w:val="18"/>
              </w:rPr>
            </w:pPr>
            <w:r w:rsidRPr="00E87F18">
              <w:rPr>
                <w:sz w:val="18"/>
              </w:rPr>
              <w:t xml:space="preserve">(1) Česká národní banka opatřením obecné povahy stanoví limity velikosti čisté pozice, kterou může osoba kdykoli držet v derivátech zemědělských komodit a v zásadních nebo významných komoditních </w:t>
            </w:r>
            <w:r w:rsidRPr="00E87F18">
              <w:rPr>
                <w:sz w:val="18"/>
              </w:rPr>
              <w:lastRenderedPageBreak/>
              <w:t xml:space="preserve">derivátech obchodovaných v obchodních systémech a v ekonomicky rovnocenných OTC derivátech. </w:t>
            </w:r>
          </w:p>
          <w:p w:rsidR="009417BB" w:rsidRPr="009417BB" w:rsidRDefault="009417BB" w:rsidP="009417BB">
            <w:pPr>
              <w:keepNext/>
              <w:keepLines/>
              <w:jc w:val="both"/>
              <w:rPr>
                <w:sz w:val="18"/>
              </w:rPr>
            </w:pPr>
            <w:r w:rsidRPr="009417BB">
              <w:rPr>
                <w:sz w:val="18"/>
              </w:rPr>
              <w:t>(2) Zásadním nebo významným komoditním derivátem podle odstavce 1 se rozumí komoditní derivát, u kterého součet objemu všech čistých otevřených pozic konečných držitelů pozic dosahuje průměrně alespoň 300 000 lotů za období jednoho kalendářního roku.</w:t>
            </w:r>
          </w:p>
          <w:p w:rsidR="009417BB" w:rsidRPr="009417BB" w:rsidRDefault="009417BB" w:rsidP="009417BB">
            <w:pPr>
              <w:keepNext/>
              <w:keepLines/>
              <w:jc w:val="both"/>
              <w:rPr>
                <w:sz w:val="18"/>
              </w:rPr>
            </w:pPr>
            <w:r w:rsidRPr="009417BB">
              <w:rPr>
                <w:sz w:val="18"/>
              </w:rPr>
              <w:t>(3) Limity podle odstavce 1 jsou stanoveny na základě všech pozic držených osobou a pozic, které jsou jménem této osoby drženy na úrovni celé skupiny, s cílem</w:t>
            </w:r>
          </w:p>
          <w:p w:rsidR="009417BB" w:rsidRPr="009417BB" w:rsidRDefault="009417BB" w:rsidP="009417BB">
            <w:pPr>
              <w:keepNext/>
              <w:keepLines/>
              <w:ind w:left="284" w:hanging="284"/>
              <w:jc w:val="both"/>
              <w:rPr>
                <w:sz w:val="18"/>
              </w:rPr>
            </w:pPr>
            <w:r w:rsidRPr="009417BB">
              <w:rPr>
                <w:sz w:val="18"/>
              </w:rPr>
              <w:t>a)</w:t>
            </w:r>
            <w:r w:rsidRPr="009417BB">
              <w:rPr>
                <w:sz w:val="18"/>
              </w:rPr>
              <w:tab/>
              <w:t>zabránit zneužívání trhu a</w:t>
            </w:r>
          </w:p>
          <w:p w:rsidR="009417BB" w:rsidRPr="009417BB" w:rsidRDefault="009417BB" w:rsidP="00E87F18">
            <w:pPr>
              <w:keepNext/>
              <w:keepLines/>
              <w:ind w:left="284" w:hanging="284"/>
              <w:jc w:val="both"/>
              <w:rPr>
                <w:sz w:val="18"/>
              </w:rPr>
            </w:pPr>
            <w:r w:rsidRPr="009417BB">
              <w:rPr>
                <w:sz w:val="18"/>
              </w:rPr>
              <w:t>b)</w:t>
            </w:r>
            <w:r w:rsidRPr="009417BB">
              <w:rPr>
                <w:sz w:val="18"/>
              </w:rPr>
              <w:tab/>
              <w:t>podpořit řádné stanovení cen a podmínky vypořádání, včetně předcházení vytváření pozic narušujících trh, a zejména zajistit sbližování mezi cenami derivátů v měsíci plnění a okamžitými cenami podkladové komodity, k níž se hodnota derivátů vztahuje, aniž je dotčeno určování cen této komodity na trhu.</w:t>
            </w:r>
          </w:p>
          <w:p w:rsidR="009417BB" w:rsidRPr="009417BB" w:rsidRDefault="009417BB" w:rsidP="00E87F18">
            <w:pPr>
              <w:keepNext/>
              <w:keepLines/>
              <w:contextualSpacing/>
              <w:jc w:val="both"/>
              <w:rPr>
                <w:sz w:val="18"/>
              </w:rPr>
            </w:pPr>
            <w:r w:rsidRPr="009417BB">
              <w:rPr>
                <w:sz w:val="18"/>
              </w:rPr>
              <w:t>(4) Limity podle odstavce 1 se nepoužijí na</w:t>
            </w:r>
          </w:p>
          <w:p w:rsidR="009417BB" w:rsidRPr="009417BB" w:rsidRDefault="009417BB" w:rsidP="009417BB">
            <w:pPr>
              <w:keepNext/>
              <w:keepLines/>
              <w:ind w:left="284" w:hanging="284"/>
              <w:jc w:val="both"/>
              <w:rPr>
                <w:sz w:val="18"/>
              </w:rPr>
            </w:pPr>
            <w:r w:rsidRPr="009417BB">
              <w:rPr>
                <w:sz w:val="18"/>
              </w:rPr>
              <w:t>a)</w:t>
            </w:r>
            <w:r w:rsidRPr="009417BB">
              <w:rPr>
                <w:sz w:val="18"/>
              </w:rPr>
              <w:tab/>
              <w:t>pozice držené nefinančním subjektem nebo jeho jménem, které jsou objektivně měřitelné jako snižující rizika přímo související s obchodní činností tohoto nefinančního subjektu, pokud o to subjekt požádá Českou národní banku,</w:t>
            </w:r>
          </w:p>
          <w:p w:rsidR="009417BB" w:rsidRPr="009417BB" w:rsidRDefault="009417BB" w:rsidP="009417BB">
            <w:pPr>
              <w:keepNext/>
              <w:keepLines/>
              <w:ind w:left="284" w:hanging="284"/>
              <w:jc w:val="both"/>
              <w:rPr>
                <w:sz w:val="18"/>
              </w:rPr>
            </w:pPr>
            <w:r w:rsidRPr="009417BB">
              <w:rPr>
                <w:sz w:val="18"/>
              </w:rPr>
              <w:t>b)</w:t>
            </w:r>
            <w:r w:rsidRPr="009417BB">
              <w:rPr>
                <w:sz w:val="18"/>
              </w:rPr>
              <w:tab/>
              <w:t>pozice držené finančním subjektem, který je součástí převážně obchodní skupiny a jedná jménem nebo na účet nefinančního subjektu této skupiny, jsou-li tyto pozice objektivně měřitelné jako pozice snižující rizika přímo související s obchodní činností tohoto nefinančního subjektu,</w:t>
            </w:r>
          </w:p>
          <w:p w:rsidR="009417BB" w:rsidRPr="009417BB" w:rsidRDefault="009417BB" w:rsidP="009417BB">
            <w:pPr>
              <w:keepNext/>
              <w:keepLines/>
              <w:ind w:left="284" w:hanging="284"/>
              <w:jc w:val="both"/>
              <w:rPr>
                <w:sz w:val="18"/>
              </w:rPr>
            </w:pPr>
            <w:r w:rsidRPr="009417BB">
              <w:rPr>
                <w:sz w:val="18"/>
              </w:rPr>
              <w:t>c)</w:t>
            </w:r>
            <w:r w:rsidRPr="009417BB">
              <w:rPr>
                <w:sz w:val="18"/>
              </w:rPr>
              <w:tab/>
              <w:t>pozice držené finančními a nefinančními protistranami, které jsou objektivně měřitelné jako vyplývající z obchodů, které byly uzavřeny za účelem splnění povinnosti poskytnout likviditu v obchodním systému, pokud splnění této povinnosti vyžadují příslušné orgány nebo obchodní systémy, a</w:t>
            </w:r>
          </w:p>
          <w:p w:rsidR="009417BB" w:rsidRPr="009417BB" w:rsidRDefault="009417BB" w:rsidP="009417BB">
            <w:pPr>
              <w:keepNext/>
              <w:keepLines/>
              <w:ind w:left="284" w:hanging="284"/>
              <w:jc w:val="both"/>
              <w:rPr>
                <w:sz w:val="18"/>
              </w:rPr>
            </w:pPr>
            <w:r w:rsidRPr="009417BB">
              <w:rPr>
                <w:sz w:val="18"/>
              </w:rPr>
              <w:t>d)</w:t>
            </w:r>
            <w:r w:rsidRPr="009417BB">
              <w:rPr>
                <w:sz w:val="18"/>
              </w:rPr>
              <w:tab/>
              <w:t>investiční cenné papíry uvedené v § 3 odst. 2 písm. d) a e), které souvisí s komoditou nebo s podkladovým aktivem uvedeným v § 3 odst. 1 písm. j).</w:t>
            </w:r>
          </w:p>
          <w:p w:rsidR="009417BB" w:rsidRPr="009417BB" w:rsidRDefault="009417BB" w:rsidP="009417BB">
            <w:pPr>
              <w:keepNext/>
              <w:keepLines/>
              <w:jc w:val="both"/>
              <w:rPr>
                <w:sz w:val="18"/>
              </w:rPr>
            </w:pPr>
            <w:r w:rsidRPr="009417BB">
              <w:rPr>
                <w:sz w:val="18"/>
              </w:rPr>
              <w:t>(5) Limity podle odstavce 1 jasně určí množstevní prahové hodnoty maximální velikosti pozice v komoditním derivátu, jež mohou osoby držet.</w:t>
            </w:r>
          </w:p>
          <w:p w:rsidR="009417BB" w:rsidRPr="009417BB" w:rsidRDefault="009417BB" w:rsidP="009417BB">
            <w:pPr>
              <w:keepNext/>
              <w:keepLines/>
              <w:jc w:val="both"/>
              <w:rPr>
                <w:sz w:val="18"/>
              </w:rPr>
            </w:pPr>
            <w:r w:rsidRPr="009417BB">
              <w:rPr>
                <w:sz w:val="18"/>
              </w:rPr>
              <w:t>(6) Limity podle odstavce 1 Česká národní banka stanoví s ohledem na ustanovení § 136 odst. 1 písm. q).</w:t>
            </w:r>
          </w:p>
          <w:p w:rsidR="009417BB" w:rsidRPr="009417BB" w:rsidRDefault="009417BB" w:rsidP="009417BB">
            <w:pPr>
              <w:keepNext/>
              <w:keepLines/>
              <w:jc w:val="both"/>
              <w:rPr>
                <w:sz w:val="18"/>
              </w:rPr>
            </w:pPr>
            <w:r w:rsidRPr="009417BB">
              <w:rPr>
                <w:sz w:val="18"/>
              </w:rPr>
              <w:t xml:space="preserve">(7) Dojde-li k významné změně na trhu včetně významné změny v reálné nabídce nebo v čistých otevřených pozicích nebo k jakékoli jiné významné změně na trhu, Česká národní banka na základě vlastního </w:t>
            </w:r>
            <w:r w:rsidRPr="009417BB">
              <w:rPr>
                <w:sz w:val="18"/>
              </w:rPr>
              <w:lastRenderedPageBreak/>
              <w:t>zjištění reálné nabídky a čistých otevřených pozic přezkoumá limity podle odstavce 1 a stanoví nové limity pozic v souladu s metodikou výpočtu vypracovanou Evropským orgánem pro cenné papíry a trhy.</w:t>
            </w:r>
          </w:p>
          <w:p w:rsidR="009417BB" w:rsidRPr="009417BB" w:rsidRDefault="009417BB" w:rsidP="009417BB">
            <w:pPr>
              <w:keepNext/>
              <w:keepLines/>
              <w:jc w:val="both"/>
              <w:rPr>
                <w:sz w:val="18"/>
              </w:rPr>
            </w:pPr>
            <w:r w:rsidRPr="009417BB">
              <w:rPr>
                <w:sz w:val="18"/>
              </w:rPr>
              <w:t>(8) Jestliže jsou limity podle odstavce 1 posouzeny Evropským orgánem pro cenné papíry a trhy jako neslučitelné s cíli podle odstavce 2 a se stanovenou metodikou výpočtu, Česká národní banka</w:t>
            </w:r>
          </w:p>
          <w:p w:rsidR="009417BB" w:rsidRPr="009417BB" w:rsidRDefault="009417BB" w:rsidP="009417BB">
            <w:pPr>
              <w:keepNext/>
              <w:keepLines/>
              <w:ind w:left="284" w:hanging="284"/>
              <w:jc w:val="both"/>
              <w:rPr>
                <w:sz w:val="18"/>
              </w:rPr>
            </w:pPr>
            <w:r w:rsidRPr="009417BB">
              <w:rPr>
                <w:sz w:val="18"/>
              </w:rPr>
              <w:t>a)</w:t>
            </w:r>
            <w:r w:rsidRPr="009417BB">
              <w:rPr>
                <w:sz w:val="18"/>
              </w:rPr>
              <w:tab/>
              <w:t>upraví limity pozic v souladu se stanoviskem Evropského orgánu pro cenné papíry a trhy, nebo</w:t>
            </w:r>
          </w:p>
          <w:p w:rsidR="009417BB" w:rsidRPr="009417BB" w:rsidRDefault="009417BB" w:rsidP="009417BB">
            <w:pPr>
              <w:keepNext/>
              <w:keepLines/>
              <w:ind w:left="284" w:hanging="284"/>
              <w:jc w:val="both"/>
              <w:rPr>
                <w:sz w:val="18"/>
              </w:rPr>
            </w:pPr>
            <w:r w:rsidRPr="009417BB">
              <w:rPr>
                <w:sz w:val="18"/>
              </w:rPr>
              <w:t>b)</w:t>
            </w:r>
            <w:r w:rsidRPr="009417BB">
              <w:rPr>
                <w:sz w:val="18"/>
              </w:rPr>
              <w:tab/>
              <w:t>bez zbytečného odkladu zveřejní na svých internetových stránkách důvody, proč tuto úpravu nepovažuje za nezbytnou.</w:t>
            </w:r>
          </w:p>
          <w:p w:rsidR="009417BB" w:rsidRPr="009417BB" w:rsidRDefault="009417BB" w:rsidP="009417BB">
            <w:pPr>
              <w:keepNext/>
              <w:keepLines/>
              <w:jc w:val="both"/>
              <w:rPr>
                <w:sz w:val="18"/>
              </w:rPr>
            </w:pPr>
            <w:r w:rsidRPr="009417BB">
              <w:rPr>
                <w:sz w:val="18"/>
              </w:rPr>
              <w:t>(9) Pravidla pro výpočet čisté pozice držené určitou osobou v komoditním derivátu a metodiku výpočtu limitů pozice vztahujících se na velikost této pozice pro účely odstavců 1 až 8 a § 134b až 134d upravují čl. 2 až 21 nařízení Komise v přenesené pravomoci (EU) 2017/591</w:t>
            </w:r>
            <w:r w:rsidRPr="009417BB">
              <w:rPr>
                <w:sz w:val="18"/>
                <w:vertAlign w:val="superscript"/>
              </w:rPr>
              <w:t>103)</w:t>
            </w:r>
            <w:r w:rsidRPr="009417BB">
              <w:rPr>
                <w:sz w:val="18"/>
              </w:rPr>
              <w:t>.</w:t>
            </w:r>
          </w:p>
          <w:p w:rsidR="009417BB" w:rsidRPr="009417BB" w:rsidRDefault="009417BB" w:rsidP="009417BB">
            <w:pPr>
              <w:keepNext/>
              <w:keepLines/>
              <w:jc w:val="both"/>
              <w:rPr>
                <w:sz w:val="18"/>
              </w:rPr>
            </w:pPr>
            <w:r w:rsidRPr="009417BB">
              <w:rPr>
                <w:sz w:val="18"/>
              </w:rPr>
              <w:t>______________</w:t>
            </w:r>
          </w:p>
          <w:p w:rsidR="009417BB" w:rsidRPr="009417BB" w:rsidRDefault="009417BB" w:rsidP="009417BB">
            <w:pPr>
              <w:keepNext/>
              <w:keepLines/>
              <w:ind w:firstLine="708"/>
              <w:jc w:val="both"/>
              <w:rPr>
                <w:sz w:val="18"/>
              </w:rPr>
            </w:pPr>
          </w:p>
          <w:p w:rsidR="00FB41BE" w:rsidRPr="004764A0" w:rsidRDefault="009417BB" w:rsidP="004764A0">
            <w:pPr>
              <w:pStyle w:val="Novelizanbod"/>
              <w:widowControl w:val="0"/>
              <w:numPr>
                <w:ilvl w:val="0"/>
                <w:numId w:val="0"/>
              </w:numPr>
              <w:tabs>
                <w:tab w:val="num" w:pos="709"/>
              </w:tabs>
              <w:spacing w:before="0" w:after="0"/>
              <w:ind w:left="284" w:hanging="284"/>
              <w:rPr>
                <w:sz w:val="18"/>
                <w:szCs w:val="24"/>
              </w:rPr>
            </w:pPr>
            <w:r w:rsidRPr="009417BB">
              <w:rPr>
                <w:sz w:val="18"/>
                <w:szCs w:val="24"/>
              </w:rPr>
              <w:t>103) Nařízení Komise v přenesené pravomoci (EU) 2017/591 ze dne 1. prosince 2016, kterým se doplňuje směrnice Evropského parlamentu a Rady 2014/65/EU, pokud jde o regulační technické normy pro uplatňování limi</w:t>
            </w:r>
            <w:r w:rsidR="004764A0">
              <w:rPr>
                <w:sz w:val="18"/>
                <w:szCs w:val="24"/>
              </w:rPr>
              <w:t>tů pozic na komoditní deriváty.</w:t>
            </w:r>
          </w:p>
        </w:tc>
        <w:tc>
          <w:tcPr>
            <w:tcW w:w="818" w:type="dxa"/>
            <w:tcBorders>
              <w:top w:val="single" w:sz="4" w:space="0" w:color="auto"/>
              <w:left w:val="single" w:sz="4" w:space="0" w:color="auto"/>
              <w:bottom w:val="nil"/>
              <w:right w:val="single" w:sz="4" w:space="0" w:color="auto"/>
            </w:tcBorders>
          </w:tcPr>
          <w:p w:rsidR="00A42B00" w:rsidRPr="00605684" w:rsidRDefault="00FB41BE" w:rsidP="00605684">
            <w:pPr>
              <w:spacing w:before="40" w:after="40"/>
              <w:rPr>
                <w:sz w:val="18"/>
              </w:rPr>
            </w:pPr>
            <w:r>
              <w:rPr>
                <w:sz w:val="18"/>
              </w:rPr>
              <w:lastRenderedPageBreak/>
              <w:t>P</w:t>
            </w:r>
            <w:r w:rsidR="00A42B00" w:rsidRPr="00605684">
              <w:rPr>
                <w:sz w:val="18"/>
              </w:rPr>
              <w:t>T</w:t>
            </w:r>
          </w:p>
        </w:tc>
        <w:tc>
          <w:tcPr>
            <w:tcW w:w="655" w:type="dxa"/>
            <w:tcBorders>
              <w:top w:val="single" w:sz="4" w:space="0" w:color="auto"/>
              <w:left w:val="single" w:sz="4" w:space="0" w:color="auto"/>
              <w:bottom w:val="nil"/>
              <w:right w:val="single" w:sz="4" w:space="0" w:color="auto"/>
            </w:tcBorders>
          </w:tcPr>
          <w:p w:rsidR="00A42B00" w:rsidRPr="00605684" w:rsidRDefault="00A42B00" w:rsidP="00605684">
            <w:pPr>
              <w:spacing w:before="40" w:after="40"/>
              <w:rPr>
                <w:sz w:val="18"/>
              </w:rPr>
            </w:pPr>
          </w:p>
        </w:tc>
      </w:tr>
      <w:tr w:rsidR="00025712" w:rsidRPr="00605684" w:rsidTr="00674807">
        <w:tc>
          <w:tcPr>
            <w:tcW w:w="1427" w:type="dxa"/>
            <w:gridSpan w:val="2"/>
            <w:tcBorders>
              <w:top w:val="single" w:sz="4" w:space="0" w:color="auto"/>
              <w:left w:val="single" w:sz="4" w:space="0" w:color="auto"/>
              <w:bottom w:val="nil"/>
              <w:right w:val="single" w:sz="4" w:space="0" w:color="auto"/>
            </w:tcBorders>
          </w:tcPr>
          <w:p w:rsidR="00A42B00" w:rsidRPr="00605684" w:rsidRDefault="007D3DE8" w:rsidP="00F93F08">
            <w:pPr>
              <w:spacing w:before="40" w:after="40"/>
              <w:rPr>
                <w:sz w:val="18"/>
              </w:rPr>
            </w:pPr>
            <w:r>
              <w:rPr>
                <w:sz w:val="18"/>
              </w:rPr>
              <w:lastRenderedPageBreak/>
              <w:t>Článek 1</w:t>
            </w:r>
            <w:r w:rsidRPr="00605684">
              <w:rPr>
                <w:sz w:val="18"/>
              </w:rPr>
              <w:t xml:space="preserve"> </w:t>
            </w:r>
            <w:r>
              <w:rPr>
                <w:sz w:val="18"/>
              </w:rPr>
              <w:t>bod 10 písm. b)</w:t>
            </w:r>
          </w:p>
        </w:tc>
        <w:tc>
          <w:tcPr>
            <w:tcW w:w="5210" w:type="dxa"/>
            <w:gridSpan w:val="3"/>
            <w:tcBorders>
              <w:top w:val="single" w:sz="4" w:space="0" w:color="auto"/>
              <w:left w:val="single" w:sz="4" w:space="0" w:color="auto"/>
              <w:bottom w:val="nil"/>
              <w:right w:val="single" w:sz="18" w:space="0" w:color="auto"/>
            </w:tcBorders>
          </w:tcPr>
          <w:p w:rsidR="00C15B74" w:rsidRPr="00C15B74" w:rsidRDefault="00C15B74" w:rsidP="00C15B74">
            <w:pPr>
              <w:shd w:val="clear" w:color="auto" w:fill="FFFFFF"/>
              <w:spacing w:before="40" w:after="40"/>
              <w:jc w:val="both"/>
              <w:rPr>
                <w:sz w:val="18"/>
                <w:szCs w:val="18"/>
              </w:rPr>
            </w:pPr>
            <w:r>
              <w:rPr>
                <w:sz w:val="18"/>
                <w:szCs w:val="18"/>
              </w:rPr>
              <w:t>10. Článek 57 se mění takto:</w:t>
            </w:r>
          </w:p>
          <w:p w:rsidR="00C15B74" w:rsidRPr="00C15B74" w:rsidRDefault="00C15B74" w:rsidP="00C15B74">
            <w:pPr>
              <w:shd w:val="clear" w:color="auto" w:fill="FFFFFF"/>
              <w:spacing w:before="40" w:after="40"/>
              <w:jc w:val="both"/>
              <w:rPr>
                <w:sz w:val="18"/>
                <w:szCs w:val="18"/>
              </w:rPr>
            </w:pPr>
            <w:r>
              <w:rPr>
                <w:sz w:val="18"/>
                <w:szCs w:val="18"/>
              </w:rPr>
              <w:t xml:space="preserve">b) </w:t>
            </w:r>
            <w:r w:rsidRPr="00C15B74">
              <w:rPr>
                <w:sz w:val="18"/>
                <w:szCs w:val="18"/>
              </w:rPr>
              <w:t>ods</w:t>
            </w:r>
            <w:r>
              <w:rPr>
                <w:sz w:val="18"/>
                <w:szCs w:val="18"/>
              </w:rPr>
              <w:t>tavce 3 a 4 se nahrazují tímto:</w:t>
            </w:r>
          </w:p>
          <w:p w:rsidR="00C15B74" w:rsidRPr="00C15B74" w:rsidRDefault="00C15B74" w:rsidP="00C15B74">
            <w:pPr>
              <w:shd w:val="clear" w:color="auto" w:fill="FFFFFF"/>
              <w:spacing w:before="40" w:after="40"/>
              <w:jc w:val="both"/>
              <w:rPr>
                <w:sz w:val="18"/>
                <w:szCs w:val="18"/>
              </w:rPr>
            </w:pPr>
            <w:r w:rsidRPr="00C15B74">
              <w:rPr>
                <w:sz w:val="18"/>
                <w:szCs w:val="18"/>
              </w:rPr>
              <w:t>„3.   Orgán ESMA navrhne seznam zásadních nebo významných komoditních derivátů uvedených v odstavci 1 a vypracuje návrhy regulačních technických norem k určení metodiky výpočtu, kterou příslušné orgány mají používat pro stanovení spotových měsíčních limitů pozic a jiných měsíčních limitů pozic pro komoditní deriváty vypořádávané fyzicky a v hotovosti, které jsou založeny na charakteristice daného derivátu.</w:t>
            </w:r>
          </w:p>
          <w:p w:rsidR="00C15B74" w:rsidRPr="00C15B74" w:rsidRDefault="00C15B74" w:rsidP="00C15B74">
            <w:pPr>
              <w:shd w:val="clear" w:color="auto" w:fill="FFFFFF"/>
              <w:spacing w:before="40" w:after="40"/>
              <w:jc w:val="both"/>
              <w:rPr>
                <w:sz w:val="18"/>
                <w:szCs w:val="18"/>
              </w:rPr>
            </w:pPr>
          </w:p>
          <w:p w:rsidR="00C15B74" w:rsidRPr="00C15B74" w:rsidRDefault="00C15B74" w:rsidP="00C15B74">
            <w:pPr>
              <w:shd w:val="clear" w:color="auto" w:fill="FFFFFF"/>
              <w:spacing w:before="40" w:after="40"/>
              <w:jc w:val="both"/>
              <w:rPr>
                <w:sz w:val="18"/>
                <w:szCs w:val="18"/>
              </w:rPr>
            </w:pPr>
            <w:r w:rsidRPr="00C15B74">
              <w:rPr>
                <w:sz w:val="18"/>
                <w:szCs w:val="18"/>
              </w:rPr>
              <w:t>Při vypracovávání seznamu zásadních nebo významných komoditních derivátů uvedeného v odstavci 1 orgán ESMA zohlední tyto faktory:</w:t>
            </w:r>
          </w:p>
          <w:p w:rsidR="00C15B74" w:rsidRPr="00C15B74" w:rsidRDefault="00C15B74" w:rsidP="00C15B74">
            <w:pPr>
              <w:shd w:val="clear" w:color="auto" w:fill="FFFFFF"/>
              <w:spacing w:before="40" w:after="40"/>
              <w:jc w:val="both"/>
              <w:rPr>
                <w:sz w:val="18"/>
                <w:szCs w:val="18"/>
              </w:rPr>
            </w:pPr>
            <w:r>
              <w:rPr>
                <w:sz w:val="18"/>
                <w:szCs w:val="18"/>
              </w:rPr>
              <w:t xml:space="preserve">a) </w:t>
            </w:r>
            <w:r w:rsidRPr="00C15B74">
              <w:rPr>
                <w:sz w:val="18"/>
                <w:szCs w:val="18"/>
              </w:rPr>
              <w:t>počet účastníků trhu;</w:t>
            </w:r>
          </w:p>
          <w:p w:rsidR="00C15B74" w:rsidRDefault="00C15B74" w:rsidP="00C15B74">
            <w:pPr>
              <w:shd w:val="clear" w:color="auto" w:fill="FFFFFF"/>
              <w:spacing w:before="40" w:after="40"/>
              <w:jc w:val="both"/>
              <w:rPr>
                <w:sz w:val="18"/>
                <w:szCs w:val="18"/>
              </w:rPr>
            </w:pPr>
            <w:r>
              <w:rPr>
                <w:sz w:val="18"/>
                <w:szCs w:val="18"/>
              </w:rPr>
              <w:t xml:space="preserve">b) </w:t>
            </w:r>
            <w:r w:rsidRPr="00C15B74">
              <w:rPr>
                <w:sz w:val="18"/>
                <w:szCs w:val="18"/>
              </w:rPr>
              <w:t>komoditu sloužící jako podklad daného derivátu.</w:t>
            </w:r>
          </w:p>
          <w:p w:rsidR="00C15B74" w:rsidRPr="00C15B74" w:rsidRDefault="00C15B74" w:rsidP="00C15B74">
            <w:pPr>
              <w:shd w:val="clear" w:color="auto" w:fill="FFFFFF"/>
              <w:spacing w:before="40" w:after="40"/>
              <w:jc w:val="both"/>
              <w:rPr>
                <w:sz w:val="18"/>
                <w:szCs w:val="18"/>
              </w:rPr>
            </w:pPr>
          </w:p>
          <w:p w:rsidR="00C15B74" w:rsidRPr="00C15B74" w:rsidRDefault="00C15B74" w:rsidP="00C15B74">
            <w:pPr>
              <w:shd w:val="clear" w:color="auto" w:fill="FFFFFF"/>
              <w:spacing w:before="40" w:after="40"/>
              <w:jc w:val="both"/>
              <w:rPr>
                <w:sz w:val="18"/>
                <w:szCs w:val="18"/>
              </w:rPr>
            </w:pPr>
            <w:r>
              <w:rPr>
                <w:sz w:val="18"/>
                <w:szCs w:val="18"/>
              </w:rPr>
              <w:t xml:space="preserve"> </w:t>
            </w:r>
            <w:r w:rsidRPr="00C15B74">
              <w:rPr>
                <w:sz w:val="18"/>
                <w:szCs w:val="18"/>
              </w:rPr>
              <w:t>Při určení metodiky výpočtu uvedené v prvním pododstavci orgán ESMA zohlední tyto faktory:</w:t>
            </w:r>
          </w:p>
          <w:p w:rsidR="00C15B74" w:rsidRPr="00C15B74" w:rsidRDefault="00C15B74" w:rsidP="00C15B74">
            <w:pPr>
              <w:shd w:val="clear" w:color="auto" w:fill="FFFFFF"/>
              <w:spacing w:before="40" w:after="40"/>
              <w:jc w:val="both"/>
              <w:rPr>
                <w:sz w:val="18"/>
                <w:szCs w:val="18"/>
              </w:rPr>
            </w:pPr>
            <w:r>
              <w:rPr>
                <w:sz w:val="18"/>
                <w:szCs w:val="18"/>
              </w:rPr>
              <w:t xml:space="preserve">a) </w:t>
            </w:r>
            <w:r w:rsidRPr="00C15B74">
              <w:rPr>
                <w:sz w:val="18"/>
                <w:szCs w:val="18"/>
              </w:rPr>
              <w:t>reáln</w:t>
            </w:r>
            <w:r>
              <w:rPr>
                <w:sz w:val="18"/>
                <w:szCs w:val="18"/>
              </w:rPr>
              <w:t>ou nabídku podkladové komodity;</w:t>
            </w:r>
          </w:p>
          <w:p w:rsidR="00C15B74" w:rsidRPr="00C15B74" w:rsidRDefault="00C15B74" w:rsidP="00C15B74">
            <w:pPr>
              <w:shd w:val="clear" w:color="auto" w:fill="FFFFFF"/>
              <w:spacing w:before="40" w:after="40"/>
              <w:jc w:val="both"/>
              <w:rPr>
                <w:sz w:val="18"/>
                <w:szCs w:val="18"/>
              </w:rPr>
            </w:pPr>
            <w:r>
              <w:rPr>
                <w:sz w:val="18"/>
                <w:szCs w:val="18"/>
              </w:rPr>
              <w:lastRenderedPageBreak/>
              <w:t xml:space="preserve">b) </w:t>
            </w:r>
            <w:r w:rsidRPr="00C15B74">
              <w:rPr>
                <w:sz w:val="18"/>
                <w:szCs w:val="18"/>
              </w:rPr>
              <w:t>celkovou čistou otevřenou pozici v uvedeném derivátu a celkovou čistou otevřenou pozici v dalších finančních nástrojích se stejnou podkladovou komoditou;</w:t>
            </w:r>
          </w:p>
          <w:p w:rsidR="00C15B74" w:rsidRPr="00C15B74" w:rsidRDefault="00C15B74" w:rsidP="00C15B74">
            <w:pPr>
              <w:shd w:val="clear" w:color="auto" w:fill="FFFFFF"/>
              <w:spacing w:before="40" w:after="40"/>
              <w:jc w:val="both"/>
              <w:rPr>
                <w:sz w:val="18"/>
                <w:szCs w:val="18"/>
              </w:rPr>
            </w:pPr>
            <w:r>
              <w:rPr>
                <w:sz w:val="18"/>
                <w:szCs w:val="18"/>
              </w:rPr>
              <w:t xml:space="preserve">c) </w:t>
            </w:r>
            <w:r w:rsidRPr="00C15B74">
              <w:rPr>
                <w:sz w:val="18"/>
                <w:szCs w:val="18"/>
              </w:rPr>
              <w:t>počet a velikost účastníků trhu;</w:t>
            </w:r>
          </w:p>
          <w:p w:rsidR="00C15B74" w:rsidRPr="00C15B74" w:rsidRDefault="00C15B74" w:rsidP="00C15B74">
            <w:pPr>
              <w:shd w:val="clear" w:color="auto" w:fill="FFFFFF"/>
              <w:spacing w:before="40" w:after="40"/>
              <w:jc w:val="both"/>
              <w:rPr>
                <w:sz w:val="18"/>
                <w:szCs w:val="18"/>
              </w:rPr>
            </w:pPr>
            <w:r>
              <w:rPr>
                <w:sz w:val="18"/>
                <w:szCs w:val="18"/>
              </w:rPr>
              <w:t xml:space="preserve">d) </w:t>
            </w:r>
            <w:r w:rsidRPr="00C15B74">
              <w:rPr>
                <w:sz w:val="18"/>
                <w:szCs w:val="18"/>
              </w:rPr>
              <w:t>vlastnosti trhu s podkladovou komoditou, včetně modelů výroby, spotřeby a převozu na trh;</w:t>
            </w:r>
          </w:p>
          <w:p w:rsidR="00C15B74" w:rsidRPr="00C15B74" w:rsidRDefault="00C15B74" w:rsidP="00C15B74">
            <w:pPr>
              <w:shd w:val="clear" w:color="auto" w:fill="FFFFFF"/>
              <w:spacing w:before="40" w:after="40"/>
              <w:jc w:val="both"/>
              <w:rPr>
                <w:sz w:val="18"/>
                <w:szCs w:val="18"/>
              </w:rPr>
            </w:pPr>
            <w:r>
              <w:rPr>
                <w:sz w:val="18"/>
                <w:szCs w:val="18"/>
              </w:rPr>
              <w:t xml:space="preserve">e) </w:t>
            </w:r>
            <w:r w:rsidRPr="00C15B74">
              <w:rPr>
                <w:sz w:val="18"/>
                <w:szCs w:val="18"/>
              </w:rPr>
              <w:t>výv</w:t>
            </w:r>
            <w:r>
              <w:rPr>
                <w:sz w:val="18"/>
                <w:szCs w:val="18"/>
              </w:rPr>
              <w:t>oj nových komoditních derivátů;</w:t>
            </w:r>
          </w:p>
          <w:p w:rsidR="00C15B74" w:rsidRPr="00C15B74" w:rsidRDefault="00C15B74" w:rsidP="00C15B74">
            <w:pPr>
              <w:shd w:val="clear" w:color="auto" w:fill="FFFFFF"/>
              <w:spacing w:before="40" w:after="40"/>
              <w:jc w:val="both"/>
              <w:rPr>
                <w:sz w:val="18"/>
                <w:szCs w:val="18"/>
              </w:rPr>
            </w:pPr>
            <w:r>
              <w:rPr>
                <w:sz w:val="18"/>
                <w:szCs w:val="18"/>
              </w:rPr>
              <w:t xml:space="preserve">f) </w:t>
            </w:r>
            <w:r w:rsidRPr="00C15B74">
              <w:rPr>
                <w:sz w:val="18"/>
                <w:szCs w:val="18"/>
              </w:rPr>
              <w:t xml:space="preserve">zkušenosti s limity pozic investičních podniků nebo organizátorů trhu provozujících obchodní systém a </w:t>
            </w:r>
            <w:r>
              <w:rPr>
                <w:sz w:val="18"/>
                <w:szCs w:val="18"/>
              </w:rPr>
              <w:t>jiných jurisdikcí.</w:t>
            </w:r>
          </w:p>
          <w:p w:rsidR="00C15B74" w:rsidRDefault="00C15B74" w:rsidP="00C15B74">
            <w:pPr>
              <w:shd w:val="clear" w:color="auto" w:fill="FFFFFF"/>
              <w:spacing w:before="40" w:after="40"/>
              <w:jc w:val="both"/>
              <w:rPr>
                <w:sz w:val="18"/>
                <w:szCs w:val="18"/>
              </w:rPr>
            </w:pPr>
          </w:p>
          <w:p w:rsidR="00C15B74" w:rsidRPr="00C15B74" w:rsidRDefault="00C15B74" w:rsidP="00C15B74">
            <w:pPr>
              <w:shd w:val="clear" w:color="auto" w:fill="FFFFFF"/>
              <w:spacing w:before="40" w:after="40"/>
              <w:jc w:val="both"/>
              <w:rPr>
                <w:sz w:val="18"/>
                <w:szCs w:val="18"/>
              </w:rPr>
            </w:pPr>
            <w:r w:rsidRPr="00C15B74">
              <w:rPr>
                <w:sz w:val="18"/>
                <w:szCs w:val="18"/>
              </w:rPr>
              <w:t>Orgán ESMA předloží tyto návrhy regulačních technických nore</w:t>
            </w:r>
            <w:r>
              <w:rPr>
                <w:sz w:val="18"/>
                <w:szCs w:val="18"/>
              </w:rPr>
              <w:t>m Komisi do 28. listopadu 2021.</w:t>
            </w:r>
          </w:p>
          <w:p w:rsidR="00C15B74" w:rsidRDefault="00C15B74" w:rsidP="00C15B74">
            <w:pPr>
              <w:shd w:val="clear" w:color="auto" w:fill="FFFFFF"/>
              <w:spacing w:before="40" w:after="40"/>
              <w:jc w:val="both"/>
              <w:rPr>
                <w:sz w:val="18"/>
                <w:szCs w:val="18"/>
              </w:rPr>
            </w:pPr>
          </w:p>
          <w:p w:rsidR="00C15B74" w:rsidRPr="00C15B74" w:rsidRDefault="00C15B74" w:rsidP="00C15B74">
            <w:pPr>
              <w:shd w:val="clear" w:color="auto" w:fill="FFFFFF"/>
              <w:spacing w:before="40" w:after="40"/>
              <w:jc w:val="both"/>
              <w:rPr>
                <w:sz w:val="18"/>
                <w:szCs w:val="18"/>
              </w:rPr>
            </w:pPr>
            <w:r w:rsidRPr="00C15B74">
              <w:rPr>
                <w:sz w:val="18"/>
                <w:szCs w:val="18"/>
              </w:rPr>
              <w:t>Na Komisi je přenesena pravomoc doplnit tuto směrnici přijetím regulačních technických norem uvedených v prvním pododstavci tohoto odstavce v souladu s články 10 až</w:t>
            </w:r>
            <w:r>
              <w:rPr>
                <w:sz w:val="18"/>
                <w:szCs w:val="18"/>
              </w:rPr>
              <w:t xml:space="preserve"> 14 nařízení (EU) č. 1095/2010.</w:t>
            </w:r>
          </w:p>
          <w:p w:rsidR="00C15B74" w:rsidRPr="00C15B74" w:rsidRDefault="00C15B74" w:rsidP="00C15B74">
            <w:pPr>
              <w:shd w:val="clear" w:color="auto" w:fill="FFFFFF"/>
              <w:spacing w:before="40" w:after="40"/>
              <w:jc w:val="both"/>
              <w:rPr>
                <w:sz w:val="18"/>
                <w:szCs w:val="18"/>
              </w:rPr>
            </w:pPr>
            <w:r w:rsidRPr="00C15B74">
              <w:rPr>
                <w:sz w:val="18"/>
                <w:szCs w:val="18"/>
              </w:rPr>
              <w:t>4.   Příslušný orgán stanoví limity pozic pro zásadní nebo významné komoditní deriváty a pro deriváty zemědělských komodit, které jsou obchodovány v obchodních systémech, a to na základě metodiky výpočtu určené v regulačních technických normách přijatých orgánem ESMA v souladu s odstavcem 3. Tyto limity pozic budou zahrnovat ekonomicky rovnocenné OTC smlouvy.</w:t>
            </w:r>
          </w:p>
          <w:p w:rsidR="00A42B00" w:rsidRPr="000D5D7C" w:rsidRDefault="00C15B74" w:rsidP="00C15B74">
            <w:pPr>
              <w:shd w:val="clear" w:color="auto" w:fill="FFFFFF"/>
              <w:spacing w:before="40" w:after="40"/>
              <w:jc w:val="both"/>
              <w:rPr>
                <w:sz w:val="18"/>
                <w:szCs w:val="18"/>
              </w:rPr>
            </w:pPr>
            <w:r w:rsidRPr="00C15B74">
              <w:rPr>
                <w:sz w:val="18"/>
                <w:szCs w:val="18"/>
              </w:rPr>
              <w:t>Příslušný orgán přezkoumá limity pozic uvedené v prvním pododstavci, dojde-li k významné změně na trhu včetně významné změny v reálné nabídce nebo v čistých otevřených pozicích, a to na základě vlastního zjištění reálné nabídky a čistých otevřených pozic, a stanoví nové limity pozic v souladu s metodikou výpočtu určenou v regulačních technických normách přijatých Ko</w:t>
            </w:r>
            <w:r>
              <w:rPr>
                <w:sz w:val="18"/>
                <w:szCs w:val="18"/>
              </w:rPr>
              <w:t>misí v souladu s odstavcem 3.“;</w:t>
            </w:r>
          </w:p>
        </w:tc>
        <w:tc>
          <w:tcPr>
            <w:tcW w:w="1292" w:type="dxa"/>
            <w:tcBorders>
              <w:top w:val="single" w:sz="4" w:space="0" w:color="auto"/>
              <w:left w:val="single" w:sz="18" w:space="0" w:color="auto"/>
              <w:bottom w:val="nil"/>
              <w:right w:val="single" w:sz="4" w:space="0" w:color="auto"/>
            </w:tcBorders>
          </w:tcPr>
          <w:p w:rsidR="00A42B00" w:rsidRPr="00605684" w:rsidRDefault="004764A0" w:rsidP="00E87F18">
            <w:pPr>
              <w:spacing w:before="40" w:after="40"/>
              <w:rPr>
                <w:sz w:val="18"/>
              </w:rPr>
            </w:pPr>
            <w:r>
              <w:rPr>
                <w:sz w:val="18"/>
              </w:rPr>
              <w:lastRenderedPageBreak/>
              <w:t xml:space="preserve">256/2004 ve znění 204/2017 </w:t>
            </w:r>
            <w:r w:rsidR="00E87F18">
              <w:rPr>
                <w:sz w:val="18"/>
              </w:rPr>
              <w:t>96/2022</w:t>
            </w:r>
          </w:p>
        </w:tc>
        <w:tc>
          <w:tcPr>
            <w:tcW w:w="1104" w:type="dxa"/>
            <w:tcBorders>
              <w:top w:val="single" w:sz="4" w:space="0" w:color="auto"/>
              <w:left w:val="single" w:sz="4" w:space="0" w:color="auto"/>
              <w:bottom w:val="nil"/>
              <w:right w:val="single" w:sz="4" w:space="0" w:color="auto"/>
            </w:tcBorders>
          </w:tcPr>
          <w:p w:rsidR="00A42B00" w:rsidRPr="00605684" w:rsidRDefault="00E87F18" w:rsidP="00605684">
            <w:pPr>
              <w:spacing w:before="40" w:after="40"/>
              <w:rPr>
                <w:sz w:val="18"/>
              </w:rPr>
            </w:pPr>
            <w:r>
              <w:rPr>
                <w:sz w:val="18"/>
              </w:rPr>
              <w:t>§ 134a</w:t>
            </w:r>
          </w:p>
        </w:tc>
        <w:tc>
          <w:tcPr>
            <w:tcW w:w="5425" w:type="dxa"/>
            <w:gridSpan w:val="4"/>
            <w:tcBorders>
              <w:top w:val="single" w:sz="4" w:space="0" w:color="auto"/>
              <w:left w:val="single" w:sz="4" w:space="0" w:color="auto"/>
              <w:bottom w:val="nil"/>
              <w:right w:val="single" w:sz="4" w:space="0" w:color="auto"/>
            </w:tcBorders>
          </w:tcPr>
          <w:p w:rsidR="00E87F18" w:rsidRDefault="00E87F18" w:rsidP="00E87F18">
            <w:pPr>
              <w:keepNext/>
              <w:keepLines/>
              <w:jc w:val="both"/>
              <w:rPr>
                <w:sz w:val="18"/>
              </w:rPr>
            </w:pPr>
            <w:r w:rsidRPr="00E87F18">
              <w:rPr>
                <w:sz w:val="18"/>
              </w:rPr>
              <w:t xml:space="preserve">(1) Česká národní banka opatřením obecné povahy stanoví limity velikosti čisté pozice, kterou může osoba kdykoli držet v derivátech zemědělských komodit a v zásadních nebo významných komoditních derivátech obchodovaných v obchodních systémech a v ekonomicky rovnocenných OTC derivátech. </w:t>
            </w:r>
          </w:p>
          <w:p w:rsidR="00E87F18" w:rsidRPr="009417BB" w:rsidRDefault="00E87F18" w:rsidP="00E87F18">
            <w:pPr>
              <w:keepNext/>
              <w:keepLines/>
              <w:jc w:val="both"/>
              <w:rPr>
                <w:sz w:val="18"/>
              </w:rPr>
            </w:pPr>
            <w:r w:rsidRPr="009417BB">
              <w:rPr>
                <w:sz w:val="18"/>
              </w:rPr>
              <w:t>(2) Zásadním nebo významným komoditním derivátem podle odstavce 1 se rozumí komoditní derivát, u kterého součet objemu všech čistých otevřených pozic konečných držitelů pozic dosahuje průměrně alespoň 300 000 lotů za období jednoho kalendářního roku.</w:t>
            </w:r>
          </w:p>
          <w:p w:rsidR="00E87F18" w:rsidRPr="009417BB" w:rsidRDefault="00E87F18" w:rsidP="00E87F18">
            <w:pPr>
              <w:keepNext/>
              <w:keepLines/>
              <w:jc w:val="both"/>
              <w:rPr>
                <w:sz w:val="18"/>
              </w:rPr>
            </w:pPr>
            <w:r w:rsidRPr="009417BB">
              <w:rPr>
                <w:sz w:val="18"/>
              </w:rPr>
              <w:t>(3) Limity podle odstavce 1 jsou stanoveny na základě všech pozic držených osobou a pozic, které jsou jménem této osoby drženy na úrovni celé skupiny, s cílem</w:t>
            </w:r>
          </w:p>
          <w:p w:rsidR="00E87F18" w:rsidRPr="009417BB" w:rsidRDefault="00E87F18" w:rsidP="00E87F18">
            <w:pPr>
              <w:keepNext/>
              <w:keepLines/>
              <w:ind w:left="284" w:hanging="284"/>
              <w:jc w:val="both"/>
              <w:rPr>
                <w:sz w:val="18"/>
              </w:rPr>
            </w:pPr>
            <w:r w:rsidRPr="009417BB">
              <w:rPr>
                <w:sz w:val="18"/>
              </w:rPr>
              <w:t>a)</w:t>
            </w:r>
            <w:r w:rsidRPr="009417BB">
              <w:rPr>
                <w:sz w:val="18"/>
              </w:rPr>
              <w:tab/>
              <w:t>zabránit zneužívání trhu a</w:t>
            </w:r>
          </w:p>
          <w:p w:rsidR="00E87F18" w:rsidRPr="009417BB" w:rsidRDefault="00E87F18" w:rsidP="00E87F18">
            <w:pPr>
              <w:keepNext/>
              <w:keepLines/>
              <w:ind w:left="284" w:hanging="284"/>
              <w:jc w:val="both"/>
              <w:rPr>
                <w:sz w:val="18"/>
              </w:rPr>
            </w:pPr>
            <w:r w:rsidRPr="009417BB">
              <w:rPr>
                <w:sz w:val="18"/>
              </w:rPr>
              <w:t>b)</w:t>
            </w:r>
            <w:r w:rsidRPr="009417BB">
              <w:rPr>
                <w:sz w:val="18"/>
              </w:rPr>
              <w:tab/>
              <w:t>podpořit řádné stanovení cen a podmínky vypořádání, včetně předcházení vytváření pozic narušujících trh, a zejména zajistit sbližování mezi cenami derivátů v měsíci plnění a okamžitými cenami podkladové komodity, k níž se hodnota derivátů vztahuje, aniž je dotčeno určování cen této komodity na trhu.</w:t>
            </w:r>
          </w:p>
          <w:p w:rsidR="00E87F18" w:rsidRPr="009417BB" w:rsidRDefault="00E87F18" w:rsidP="00E87F18">
            <w:pPr>
              <w:keepNext/>
              <w:keepLines/>
              <w:contextualSpacing/>
              <w:jc w:val="both"/>
              <w:rPr>
                <w:sz w:val="18"/>
              </w:rPr>
            </w:pPr>
            <w:r w:rsidRPr="009417BB">
              <w:rPr>
                <w:sz w:val="18"/>
              </w:rPr>
              <w:t>(4) Limity podle odstavce 1 se nepoužijí na</w:t>
            </w:r>
          </w:p>
          <w:p w:rsidR="00E87F18" w:rsidRPr="009417BB" w:rsidRDefault="00E87F18" w:rsidP="00E87F18">
            <w:pPr>
              <w:keepNext/>
              <w:keepLines/>
              <w:ind w:left="284" w:hanging="284"/>
              <w:jc w:val="both"/>
              <w:rPr>
                <w:sz w:val="18"/>
              </w:rPr>
            </w:pPr>
            <w:r w:rsidRPr="009417BB">
              <w:rPr>
                <w:sz w:val="18"/>
              </w:rPr>
              <w:t>a)</w:t>
            </w:r>
            <w:r w:rsidRPr="009417BB">
              <w:rPr>
                <w:sz w:val="18"/>
              </w:rPr>
              <w:tab/>
              <w:t xml:space="preserve">pozice držené nefinančním subjektem nebo jeho jménem, které jsou </w:t>
            </w:r>
            <w:r w:rsidRPr="009417BB">
              <w:rPr>
                <w:sz w:val="18"/>
              </w:rPr>
              <w:lastRenderedPageBreak/>
              <w:t>objektivně měřitelné jako snižující rizika přímo související s obchodní činností tohoto nefinančního subjektu, pokud o to subjekt požádá Českou národní banku,</w:t>
            </w:r>
          </w:p>
          <w:p w:rsidR="00E87F18" w:rsidRPr="009417BB" w:rsidRDefault="00E87F18" w:rsidP="00E87F18">
            <w:pPr>
              <w:keepNext/>
              <w:keepLines/>
              <w:ind w:left="284" w:hanging="284"/>
              <w:jc w:val="both"/>
              <w:rPr>
                <w:sz w:val="18"/>
              </w:rPr>
            </w:pPr>
            <w:r w:rsidRPr="009417BB">
              <w:rPr>
                <w:sz w:val="18"/>
              </w:rPr>
              <w:t>b)</w:t>
            </w:r>
            <w:r w:rsidRPr="009417BB">
              <w:rPr>
                <w:sz w:val="18"/>
              </w:rPr>
              <w:tab/>
              <w:t>pozice držené finančním subjektem, který je součástí převážně obchodní skupiny a jedná jménem nebo na účet nefinančního subjektu této skupiny, jsou-li tyto pozice objektivně měřitelné jako pozice snižující rizika přímo související s obchodní činností tohoto nefinančního subjektu,</w:t>
            </w:r>
          </w:p>
          <w:p w:rsidR="00E87F18" w:rsidRPr="009417BB" w:rsidRDefault="00E87F18" w:rsidP="00E87F18">
            <w:pPr>
              <w:keepNext/>
              <w:keepLines/>
              <w:ind w:left="284" w:hanging="284"/>
              <w:jc w:val="both"/>
              <w:rPr>
                <w:sz w:val="18"/>
              </w:rPr>
            </w:pPr>
            <w:r w:rsidRPr="009417BB">
              <w:rPr>
                <w:sz w:val="18"/>
              </w:rPr>
              <w:t>c)</w:t>
            </w:r>
            <w:r w:rsidRPr="009417BB">
              <w:rPr>
                <w:sz w:val="18"/>
              </w:rPr>
              <w:tab/>
              <w:t>pozice držené finančními a nefinančními protistranami, které jsou objektivně měřitelné jako vyplývající z obchodů, které byly uzavřeny za účelem splnění povinnosti poskytnout likviditu v obchodním systému, pokud splnění této povinnosti vyžadují příslušné orgány nebo obchodní systémy, a</w:t>
            </w:r>
          </w:p>
          <w:p w:rsidR="00E87F18" w:rsidRPr="009417BB" w:rsidRDefault="00E87F18" w:rsidP="00E87F18">
            <w:pPr>
              <w:keepNext/>
              <w:keepLines/>
              <w:ind w:left="284" w:hanging="284"/>
              <w:jc w:val="both"/>
              <w:rPr>
                <w:sz w:val="18"/>
              </w:rPr>
            </w:pPr>
            <w:r w:rsidRPr="009417BB">
              <w:rPr>
                <w:sz w:val="18"/>
              </w:rPr>
              <w:t>d)</w:t>
            </w:r>
            <w:r w:rsidRPr="009417BB">
              <w:rPr>
                <w:sz w:val="18"/>
              </w:rPr>
              <w:tab/>
              <w:t>investiční cenné papíry uvedené v § 3 odst. 2 písm. d) a e), které souvisí s komoditou nebo s podkladovým aktivem uvedeným v § 3 odst. 1 písm. j).</w:t>
            </w:r>
          </w:p>
          <w:p w:rsidR="00E87F18" w:rsidRPr="009417BB" w:rsidRDefault="00E87F18" w:rsidP="00E87F18">
            <w:pPr>
              <w:keepNext/>
              <w:keepLines/>
              <w:jc w:val="both"/>
              <w:rPr>
                <w:sz w:val="18"/>
              </w:rPr>
            </w:pPr>
            <w:r w:rsidRPr="009417BB">
              <w:rPr>
                <w:sz w:val="18"/>
              </w:rPr>
              <w:t>(5) Limity podle odstavce 1 jasně určí množstevní prahové hodnoty maximální velikosti pozice v komoditním derivátu, jež mohou osoby držet.</w:t>
            </w:r>
          </w:p>
          <w:p w:rsidR="00E87F18" w:rsidRPr="009417BB" w:rsidRDefault="00E87F18" w:rsidP="00E87F18">
            <w:pPr>
              <w:keepNext/>
              <w:keepLines/>
              <w:jc w:val="both"/>
              <w:rPr>
                <w:sz w:val="18"/>
              </w:rPr>
            </w:pPr>
            <w:r w:rsidRPr="009417BB">
              <w:rPr>
                <w:sz w:val="18"/>
              </w:rPr>
              <w:t>(6) Limity podle odstavce 1 Česká národní banka stanoví s ohledem na ustanovení § 136 odst. 1 písm. q).</w:t>
            </w:r>
          </w:p>
          <w:p w:rsidR="00E87F18" w:rsidRPr="009417BB" w:rsidRDefault="00E87F18" w:rsidP="00E87F18">
            <w:pPr>
              <w:keepNext/>
              <w:keepLines/>
              <w:jc w:val="both"/>
              <w:rPr>
                <w:sz w:val="18"/>
              </w:rPr>
            </w:pPr>
            <w:r w:rsidRPr="009417BB">
              <w:rPr>
                <w:sz w:val="18"/>
              </w:rPr>
              <w:t>(7) Dojde-li k významné změně na trhu včetně významné změny v reálné nabídce nebo v čistých otevřených pozicích nebo k jakékoli jiné významné změně na trhu, Česká národní banka na základě vlastního zjištění reálné nabídky a čistých otevřených pozic přezkoumá limity podle odstavce 1 a stanoví nové limity pozic v souladu s metodikou výpočtu vypracovanou Evropským orgánem pro cenné papíry a trhy.</w:t>
            </w:r>
          </w:p>
          <w:p w:rsidR="00E87F18" w:rsidRPr="009417BB" w:rsidRDefault="00E87F18" w:rsidP="00E87F18">
            <w:pPr>
              <w:keepNext/>
              <w:keepLines/>
              <w:jc w:val="both"/>
              <w:rPr>
                <w:sz w:val="18"/>
              </w:rPr>
            </w:pPr>
            <w:r w:rsidRPr="009417BB">
              <w:rPr>
                <w:sz w:val="18"/>
              </w:rPr>
              <w:t>(8) Jestliže jsou limity podle odstavce 1 posouzeny Evropským orgánem pro cenné papíry a trhy jako neslučitelné s cíli podle odstavce 2 a se stanovenou metodikou výpočtu, Česká národní banka</w:t>
            </w:r>
          </w:p>
          <w:p w:rsidR="00E87F18" w:rsidRPr="009417BB" w:rsidRDefault="00E87F18" w:rsidP="00E87F18">
            <w:pPr>
              <w:keepNext/>
              <w:keepLines/>
              <w:ind w:left="284" w:hanging="284"/>
              <w:jc w:val="both"/>
              <w:rPr>
                <w:sz w:val="18"/>
              </w:rPr>
            </w:pPr>
            <w:r w:rsidRPr="009417BB">
              <w:rPr>
                <w:sz w:val="18"/>
              </w:rPr>
              <w:t>a)</w:t>
            </w:r>
            <w:r w:rsidRPr="009417BB">
              <w:rPr>
                <w:sz w:val="18"/>
              </w:rPr>
              <w:tab/>
              <w:t>upraví limity pozic v souladu se stanoviskem Evropského orgánu pro cenné papíry a trhy, nebo</w:t>
            </w:r>
          </w:p>
          <w:p w:rsidR="00E87F18" w:rsidRPr="009417BB" w:rsidRDefault="00E87F18" w:rsidP="00E87F18">
            <w:pPr>
              <w:keepNext/>
              <w:keepLines/>
              <w:ind w:left="284" w:hanging="284"/>
              <w:jc w:val="both"/>
              <w:rPr>
                <w:sz w:val="18"/>
              </w:rPr>
            </w:pPr>
            <w:r w:rsidRPr="009417BB">
              <w:rPr>
                <w:sz w:val="18"/>
              </w:rPr>
              <w:t>b)</w:t>
            </w:r>
            <w:r w:rsidRPr="009417BB">
              <w:rPr>
                <w:sz w:val="18"/>
              </w:rPr>
              <w:tab/>
              <w:t>bez zbytečného odkladu zveřejní na svých internetových stránkách důvody, proč tuto úpravu nepovažuje za nezbytnou.</w:t>
            </w:r>
          </w:p>
          <w:p w:rsidR="00E87F18" w:rsidRPr="009417BB" w:rsidRDefault="00E87F18" w:rsidP="00E87F18">
            <w:pPr>
              <w:keepNext/>
              <w:keepLines/>
              <w:jc w:val="both"/>
              <w:rPr>
                <w:sz w:val="18"/>
              </w:rPr>
            </w:pPr>
            <w:r w:rsidRPr="009417BB">
              <w:rPr>
                <w:sz w:val="18"/>
              </w:rPr>
              <w:t>(9) Pravidla pro výpočet čisté pozice držené určitou osobou v komoditním derivátu a metodiku výpočtu limitů pozice vztahujících se na velikost této pozice pro účely odstavců 1 až 8 a § 134b až 134d upravují čl. 2 až 21 nařízení Komise v přenesené pravomoci (EU) 2017/591</w:t>
            </w:r>
            <w:r w:rsidRPr="009417BB">
              <w:rPr>
                <w:sz w:val="18"/>
                <w:vertAlign w:val="superscript"/>
              </w:rPr>
              <w:t>103)</w:t>
            </w:r>
            <w:r w:rsidRPr="009417BB">
              <w:rPr>
                <w:sz w:val="18"/>
              </w:rPr>
              <w:t>.</w:t>
            </w:r>
          </w:p>
          <w:p w:rsidR="00E87F18" w:rsidRPr="009417BB" w:rsidRDefault="00E87F18" w:rsidP="00E87F18">
            <w:pPr>
              <w:keepNext/>
              <w:keepLines/>
              <w:jc w:val="both"/>
              <w:rPr>
                <w:sz w:val="18"/>
              </w:rPr>
            </w:pPr>
            <w:r w:rsidRPr="009417BB">
              <w:rPr>
                <w:sz w:val="18"/>
              </w:rPr>
              <w:t>______________</w:t>
            </w:r>
          </w:p>
          <w:p w:rsidR="00E87F18" w:rsidRPr="009417BB" w:rsidRDefault="00E87F18" w:rsidP="00E87F18">
            <w:pPr>
              <w:keepNext/>
              <w:keepLines/>
              <w:ind w:firstLine="708"/>
              <w:jc w:val="both"/>
              <w:rPr>
                <w:sz w:val="18"/>
              </w:rPr>
            </w:pPr>
          </w:p>
          <w:p w:rsidR="0095332C" w:rsidRPr="00E87F18" w:rsidRDefault="00E87F18" w:rsidP="00E87F18">
            <w:pPr>
              <w:pStyle w:val="Novelizanbod"/>
              <w:widowControl w:val="0"/>
              <w:numPr>
                <w:ilvl w:val="0"/>
                <w:numId w:val="0"/>
              </w:numPr>
              <w:tabs>
                <w:tab w:val="num" w:pos="709"/>
              </w:tabs>
              <w:spacing w:before="0" w:after="0"/>
              <w:ind w:left="284" w:hanging="284"/>
              <w:rPr>
                <w:sz w:val="18"/>
                <w:szCs w:val="24"/>
              </w:rPr>
            </w:pPr>
            <w:r w:rsidRPr="009417BB">
              <w:rPr>
                <w:sz w:val="18"/>
                <w:szCs w:val="24"/>
              </w:rPr>
              <w:lastRenderedPageBreak/>
              <w:t>103) Nařízení Komise v přenesené pravomoci (EU) 2017/591 ze dne 1. prosince 2016, kterým se doplňuje směrnice Evropského parlamentu a Rady 2014/65/EU, pokud jde o regulační technické normy pro uplatňování limitů pozic na komoditní deriváty.</w:t>
            </w:r>
          </w:p>
        </w:tc>
        <w:tc>
          <w:tcPr>
            <w:tcW w:w="818" w:type="dxa"/>
            <w:tcBorders>
              <w:top w:val="single" w:sz="4" w:space="0" w:color="auto"/>
              <w:left w:val="single" w:sz="4" w:space="0" w:color="auto"/>
              <w:bottom w:val="nil"/>
              <w:right w:val="single" w:sz="4" w:space="0" w:color="auto"/>
            </w:tcBorders>
          </w:tcPr>
          <w:p w:rsidR="00A42B00" w:rsidRPr="00605684" w:rsidRDefault="00FB41BE" w:rsidP="00605684">
            <w:pPr>
              <w:spacing w:before="40" w:after="40"/>
              <w:rPr>
                <w:sz w:val="18"/>
              </w:rPr>
            </w:pPr>
            <w:r>
              <w:rPr>
                <w:sz w:val="18"/>
              </w:rPr>
              <w:lastRenderedPageBreak/>
              <w:t>P</w:t>
            </w:r>
            <w:r w:rsidR="00A42B00" w:rsidRPr="00605684">
              <w:rPr>
                <w:sz w:val="18"/>
              </w:rPr>
              <w:t>T</w:t>
            </w:r>
          </w:p>
        </w:tc>
        <w:tc>
          <w:tcPr>
            <w:tcW w:w="655" w:type="dxa"/>
            <w:tcBorders>
              <w:top w:val="single" w:sz="4" w:space="0" w:color="auto"/>
              <w:left w:val="single" w:sz="4" w:space="0" w:color="auto"/>
              <w:bottom w:val="nil"/>
              <w:right w:val="single" w:sz="4" w:space="0" w:color="auto"/>
            </w:tcBorders>
          </w:tcPr>
          <w:p w:rsidR="00A42B00" w:rsidRPr="00605684" w:rsidRDefault="00A42B00" w:rsidP="00605684">
            <w:pPr>
              <w:spacing w:before="40" w:after="40"/>
              <w:rPr>
                <w:sz w:val="18"/>
              </w:rPr>
            </w:pPr>
          </w:p>
        </w:tc>
      </w:tr>
      <w:tr w:rsidR="00025712" w:rsidRPr="00605684" w:rsidTr="004764A0">
        <w:tc>
          <w:tcPr>
            <w:tcW w:w="1427" w:type="dxa"/>
            <w:gridSpan w:val="2"/>
            <w:tcBorders>
              <w:top w:val="single" w:sz="4" w:space="0" w:color="auto"/>
              <w:left w:val="single" w:sz="4" w:space="0" w:color="auto"/>
              <w:bottom w:val="nil"/>
              <w:right w:val="single" w:sz="4" w:space="0" w:color="auto"/>
            </w:tcBorders>
          </w:tcPr>
          <w:p w:rsidR="00A42B00" w:rsidRPr="00605684" w:rsidRDefault="00F93F08" w:rsidP="00EC20D4">
            <w:pPr>
              <w:spacing w:before="40" w:after="40"/>
              <w:rPr>
                <w:sz w:val="18"/>
              </w:rPr>
            </w:pPr>
            <w:r>
              <w:rPr>
                <w:sz w:val="18"/>
              </w:rPr>
              <w:lastRenderedPageBreak/>
              <w:t xml:space="preserve">Článek </w:t>
            </w:r>
            <w:r w:rsidR="00EC20D4">
              <w:rPr>
                <w:sz w:val="18"/>
              </w:rPr>
              <w:t>1</w:t>
            </w:r>
            <w:r w:rsidR="00A42B00" w:rsidRPr="00605684">
              <w:rPr>
                <w:sz w:val="18"/>
              </w:rPr>
              <w:t xml:space="preserve"> </w:t>
            </w:r>
            <w:r w:rsidR="00A42B00">
              <w:rPr>
                <w:sz w:val="18"/>
              </w:rPr>
              <w:t>bod</w:t>
            </w:r>
            <w:r w:rsidR="00A42B00" w:rsidRPr="00605684">
              <w:rPr>
                <w:sz w:val="18"/>
              </w:rPr>
              <w:t xml:space="preserve"> </w:t>
            </w:r>
            <w:r w:rsidR="00EC20D4">
              <w:rPr>
                <w:sz w:val="18"/>
              </w:rPr>
              <w:t>10 písm. c)</w:t>
            </w:r>
          </w:p>
        </w:tc>
        <w:tc>
          <w:tcPr>
            <w:tcW w:w="5210" w:type="dxa"/>
            <w:gridSpan w:val="3"/>
            <w:tcBorders>
              <w:top w:val="single" w:sz="4" w:space="0" w:color="auto"/>
              <w:left w:val="single" w:sz="4" w:space="0" w:color="auto"/>
              <w:bottom w:val="nil"/>
              <w:right w:val="single" w:sz="18" w:space="0" w:color="auto"/>
            </w:tcBorders>
          </w:tcPr>
          <w:p w:rsidR="00EC20D4" w:rsidRDefault="00EC20D4" w:rsidP="000A36DF">
            <w:pPr>
              <w:shd w:val="clear" w:color="auto" w:fill="FFFFFF"/>
              <w:spacing w:before="40" w:after="40"/>
              <w:jc w:val="both"/>
              <w:rPr>
                <w:sz w:val="18"/>
                <w:szCs w:val="18"/>
              </w:rPr>
            </w:pPr>
            <w:r>
              <w:rPr>
                <w:sz w:val="18"/>
                <w:szCs w:val="18"/>
              </w:rPr>
              <w:t>10. Článek 57 se mění takto:</w:t>
            </w:r>
          </w:p>
          <w:p w:rsidR="000A36DF" w:rsidRPr="000A36DF" w:rsidRDefault="000A36DF" w:rsidP="000A36DF">
            <w:pPr>
              <w:shd w:val="clear" w:color="auto" w:fill="FFFFFF"/>
              <w:spacing w:before="40" w:after="40"/>
              <w:jc w:val="both"/>
              <w:rPr>
                <w:sz w:val="18"/>
                <w:szCs w:val="18"/>
              </w:rPr>
            </w:pPr>
            <w:r w:rsidRPr="000A36DF">
              <w:rPr>
                <w:sz w:val="18"/>
                <w:szCs w:val="18"/>
              </w:rPr>
              <w:t>c)</w:t>
            </w:r>
            <w:r>
              <w:rPr>
                <w:sz w:val="18"/>
                <w:szCs w:val="18"/>
              </w:rPr>
              <w:t xml:space="preserve"> </w:t>
            </w:r>
            <w:r w:rsidRPr="000A36DF">
              <w:rPr>
                <w:sz w:val="18"/>
                <w:szCs w:val="18"/>
              </w:rPr>
              <w:t>odstavce 6, 7 a 8 se nahrazují tímto:</w:t>
            </w:r>
          </w:p>
          <w:p w:rsidR="000A36DF" w:rsidRPr="000A36DF" w:rsidRDefault="004764A0" w:rsidP="000A36DF">
            <w:pPr>
              <w:shd w:val="clear" w:color="auto" w:fill="FFFFFF"/>
              <w:spacing w:before="40" w:after="40"/>
              <w:jc w:val="both"/>
              <w:rPr>
                <w:sz w:val="18"/>
                <w:szCs w:val="18"/>
              </w:rPr>
            </w:pPr>
            <w:r>
              <w:rPr>
                <w:sz w:val="18"/>
                <w:szCs w:val="18"/>
              </w:rPr>
              <w:t xml:space="preserve">„6. </w:t>
            </w:r>
            <w:r w:rsidR="000A36DF" w:rsidRPr="000A36DF">
              <w:rPr>
                <w:sz w:val="18"/>
                <w:szCs w:val="18"/>
              </w:rPr>
              <w:t>Pokud jsou deriváty zemědělských komodit, které jsou založeny na stejném podkladovém aktivu a sdílí stejné charakteristiky, obchodovány ve významném množství v obchodních systémech ve více než jedné jurisdikci, nebo pokud jsou zásadní nebo významné komoditní deriváty, které jsou založeny na stejném podkladovém aktivu a sdílí stejné charakteristiky, obchodovány v obchodních systémech ve více než jedné jurisdikci, příslušný orgán obchodního systému, v němž je obchodováno největší množství (dále jen „ústřední příslušný orgán“), stanoví jednotný limit pozice, který se použije na veškeré obchodování uvedených derivátů. Ústřední příslušný orgán tento jednotný limit pozice, který má být použit, a jakékoli revize tohoto jednotného limitu pozice konzultuje s příslušnými orgány dalších obchodních systémů, v nichž jsou deriváty zemědělských komodit obchodovány ve významném množství nebo v nichž jsou obchodovány uvedené zásadní nebo významné komoditní deriváty.</w:t>
            </w:r>
          </w:p>
          <w:p w:rsidR="000A36DF" w:rsidRPr="000A36DF" w:rsidRDefault="000A36DF" w:rsidP="000A36DF">
            <w:pPr>
              <w:shd w:val="clear" w:color="auto" w:fill="FFFFFF"/>
              <w:spacing w:before="40" w:after="40"/>
              <w:jc w:val="both"/>
              <w:rPr>
                <w:sz w:val="18"/>
                <w:szCs w:val="18"/>
              </w:rPr>
            </w:pPr>
            <w:r w:rsidRPr="000A36DF">
              <w:rPr>
                <w:sz w:val="18"/>
                <w:szCs w:val="18"/>
              </w:rPr>
              <w:t>Příslušné orgány, které se stanovením jednotného limitu pozice ústředním příslušným orgánem nesouhlasí, uvedou v písemné podobě plné a podrobné odůvodnění toho, proč se domnívají, že nejsou splněny požadavky stanovené odstavcem 1. Orgán ESMA urovná jakýkoli spor mezi příslušnými orgány v souladu se svými pravomocemi podle článku 19 nařízení (EU) č. 1095/2010.</w:t>
            </w:r>
          </w:p>
          <w:p w:rsidR="000A36DF" w:rsidRDefault="000A36DF" w:rsidP="000A36DF">
            <w:pPr>
              <w:shd w:val="clear" w:color="auto" w:fill="FFFFFF"/>
              <w:spacing w:before="40" w:after="40"/>
              <w:jc w:val="both"/>
              <w:rPr>
                <w:sz w:val="18"/>
                <w:szCs w:val="18"/>
              </w:rPr>
            </w:pPr>
            <w:r w:rsidRPr="000A36DF">
              <w:rPr>
                <w:sz w:val="18"/>
                <w:szCs w:val="18"/>
              </w:rPr>
              <w:t>Příslušné orgány obchodních systémů, v nichž jsou obchodovány ve významném množství deriváty zemědělských komodit, které jsou založeny na stejném podkladovém aktivu a sdílí stejné charakteristiky, nebo zásadní či významné komoditní deriváty, které jsou založeny na stejném podkladovém aktivu a sdílí stejné charakteristiky, a příslušné orgány držitelů pozice v těchto derivátech vzájemně spolupracují, mimo jiné prostřednictvím vzájemné výměny příslušných údajů s cílem umožnit sledování a vymáhání dodržování t</w:t>
            </w:r>
            <w:r>
              <w:rPr>
                <w:sz w:val="18"/>
                <w:szCs w:val="18"/>
              </w:rPr>
              <w:t>ohoto jednotného limitu pozice.</w:t>
            </w:r>
          </w:p>
          <w:p w:rsidR="000A36DF" w:rsidRPr="000A36DF" w:rsidRDefault="000A36DF" w:rsidP="000A36DF">
            <w:pPr>
              <w:shd w:val="clear" w:color="auto" w:fill="FFFFFF"/>
              <w:spacing w:before="40" w:after="40"/>
              <w:jc w:val="both"/>
              <w:rPr>
                <w:sz w:val="18"/>
                <w:szCs w:val="18"/>
              </w:rPr>
            </w:pPr>
          </w:p>
          <w:p w:rsidR="000A36DF" w:rsidRDefault="004764A0" w:rsidP="000A36DF">
            <w:pPr>
              <w:shd w:val="clear" w:color="auto" w:fill="FFFFFF"/>
              <w:spacing w:before="40" w:after="40"/>
              <w:jc w:val="both"/>
              <w:rPr>
                <w:sz w:val="18"/>
                <w:szCs w:val="18"/>
              </w:rPr>
            </w:pPr>
            <w:r>
              <w:rPr>
                <w:sz w:val="18"/>
                <w:szCs w:val="18"/>
              </w:rPr>
              <w:t xml:space="preserve">7. </w:t>
            </w:r>
            <w:r w:rsidR="000A36DF" w:rsidRPr="000A36DF">
              <w:rPr>
                <w:sz w:val="18"/>
                <w:szCs w:val="18"/>
              </w:rPr>
              <w:t xml:space="preserve">Orgán ESMA alespoň jednou za rok sleduje, jakým způsobem </w:t>
            </w:r>
            <w:r w:rsidR="000A36DF" w:rsidRPr="000A36DF">
              <w:rPr>
                <w:sz w:val="18"/>
                <w:szCs w:val="18"/>
              </w:rPr>
              <w:lastRenderedPageBreak/>
              <w:t>příslušné orgány provedly limity pozic stanovené v souladu s metodikou výpočtu určenou orgánem ESMA podle odstavce 3. Orgán ESMA zároveň zajistí, aby byl jednotný limit pozice účinně uplatňován na deriváty zemědělských komodit a na zásadní nebo významné smlouvy, které jsou založeny na stejném podkladovém aktivu a sdílí stejné charakteristiky, a to bez ohledu na to, kde jsou obchodovány v souladu s odstavcem 6.</w:t>
            </w:r>
          </w:p>
          <w:p w:rsidR="000A36DF" w:rsidRPr="000A36DF" w:rsidRDefault="000A36DF" w:rsidP="000A36DF">
            <w:pPr>
              <w:shd w:val="clear" w:color="auto" w:fill="FFFFFF"/>
              <w:spacing w:before="40" w:after="40"/>
              <w:jc w:val="both"/>
              <w:rPr>
                <w:sz w:val="18"/>
                <w:szCs w:val="18"/>
              </w:rPr>
            </w:pPr>
          </w:p>
          <w:p w:rsidR="000A36DF" w:rsidRPr="000A36DF" w:rsidRDefault="004764A0" w:rsidP="000A36DF">
            <w:pPr>
              <w:shd w:val="clear" w:color="auto" w:fill="FFFFFF"/>
              <w:spacing w:before="40" w:after="40"/>
              <w:jc w:val="both"/>
              <w:rPr>
                <w:sz w:val="18"/>
                <w:szCs w:val="18"/>
              </w:rPr>
            </w:pPr>
            <w:r>
              <w:rPr>
                <w:sz w:val="18"/>
                <w:szCs w:val="18"/>
              </w:rPr>
              <w:t xml:space="preserve">8. </w:t>
            </w:r>
            <w:r w:rsidR="000A36DF" w:rsidRPr="000A36DF">
              <w:rPr>
                <w:sz w:val="18"/>
                <w:szCs w:val="18"/>
              </w:rPr>
              <w:t>Členské státy zajistí, aby investiční podnik nebo organizátor trhu provozující obchodní systém, v němž se obchodují komoditní deriváty, uplatňoval kontroly pro řízení pozic, které zahrnují pravomoci obchodního systému:</w:t>
            </w:r>
          </w:p>
          <w:p w:rsidR="000A36DF" w:rsidRPr="000A36DF" w:rsidRDefault="000A36DF" w:rsidP="000A36DF">
            <w:pPr>
              <w:shd w:val="clear" w:color="auto" w:fill="FFFFFF"/>
              <w:spacing w:before="40" w:after="40"/>
              <w:jc w:val="both"/>
              <w:rPr>
                <w:sz w:val="18"/>
                <w:szCs w:val="18"/>
              </w:rPr>
            </w:pPr>
            <w:r>
              <w:rPr>
                <w:sz w:val="18"/>
                <w:szCs w:val="18"/>
              </w:rPr>
              <w:t xml:space="preserve">a) </w:t>
            </w:r>
            <w:r w:rsidRPr="000A36DF">
              <w:rPr>
                <w:sz w:val="18"/>
                <w:szCs w:val="18"/>
              </w:rPr>
              <w:t>sledovat čisté otevřené pozice osob;</w:t>
            </w:r>
          </w:p>
          <w:p w:rsidR="000A36DF" w:rsidRPr="000A36DF" w:rsidRDefault="000A36DF" w:rsidP="000A36DF">
            <w:pPr>
              <w:shd w:val="clear" w:color="auto" w:fill="FFFFFF"/>
              <w:spacing w:before="40" w:after="40"/>
              <w:jc w:val="both"/>
              <w:rPr>
                <w:sz w:val="18"/>
                <w:szCs w:val="18"/>
              </w:rPr>
            </w:pPr>
            <w:r>
              <w:rPr>
                <w:sz w:val="18"/>
                <w:szCs w:val="18"/>
              </w:rPr>
              <w:t xml:space="preserve">b) </w:t>
            </w:r>
            <w:r w:rsidRPr="000A36DF">
              <w:rPr>
                <w:sz w:val="18"/>
                <w:szCs w:val="18"/>
              </w:rPr>
              <w:t>získávat od osob informace, včetně veškeré příslušné dokumentace, týkající se velikosti a účelu uzavřené expozice nebo pozice, informace o skutečných vlastnících, jakýchkoli dohodách o jednání ve shodě a jakýchkoli souvisejících aktivech nebo pasivech na základním trhu, a to případně včetně informací o pozicích držených v komoditních derivátech, které jsou založeny na stejném podkladovém aktivu a sdílí stejné charakteristiky v jiných obchodních systémech a v ekonomicky rovnocenných OTC smlouvách prostřednictvím členů a účastníků;</w:t>
            </w:r>
          </w:p>
          <w:p w:rsidR="000A36DF" w:rsidRDefault="000A36DF" w:rsidP="000A36DF">
            <w:pPr>
              <w:shd w:val="clear" w:color="auto" w:fill="FFFFFF"/>
              <w:spacing w:before="40" w:after="40"/>
              <w:jc w:val="both"/>
              <w:rPr>
                <w:sz w:val="18"/>
                <w:szCs w:val="18"/>
              </w:rPr>
            </w:pPr>
            <w:r>
              <w:rPr>
                <w:sz w:val="18"/>
                <w:szCs w:val="18"/>
              </w:rPr>
              <w:t xml:space="preserve">c) </w:t>
            </w:r>
            <w:r w:rsidRPr="000A36DF">
              <w:rPr>
                <w:sz w:val="18"/>
                <w:szCs w:val="18"/>
              </w:rPr>
              <w:t>požadovat, aby určitá osoba ukončila pozici nebo omezila její velikost, a to dočasně nebo trvale, a jednostranně přijímat opatření k zajištění tohoto ukončení nebo omezení pozice, pokud d</w:t>
            </w:r>
            <w:r>
              <w:rPr>
                <w:sz w:val="18"/>
                <w:szCs w:val="18"/>
              </w:rPr>
              <w:t>aná osoba požadavku nevyhoví; a</w:t>
            </w:r>
          </w:p>
          <w:p w:rsidR="000A36DF" w:rsidRPr="000A36DF" w:rsidRDefault="000A36DF" w:rsidP="000A36DF">
            <w:pPr>
              <w:shd w:val="clear" w:color="auto" w:fill="FFFFFF"/>
              <w:spacing w:before="40" w:after="40"/>
              <w:jc w:val="both"/>
              <w:rPr>
                <w:sz w:val="18"/>
                <w:szCs w:val="18"/>
              </w:rPr>
            </w:pPr>
            <w:r>
              <w:rPr>
                <w:sz w:val="18"/>
                <w:szCs w:val="18"/>
              </w:rPr>
              <w:t xml:space="preserve">d) </w:t>
            </w:r>
            <w:r w:rsidRPr="000A36DF">
              <w:rPr>
                <w:sz w:val="18"/>
                <w:szCs w:val="18"/>
              </w:rPr>
              <w:t>požadovat, aby osoba dočasně vrátila na trh likviditu za dohodnutou cenu a v dohodnutém objemu s výslovným záměrem zmírnit vliv</w:t>
            </w:r>
            <w:r>
              <w:rPr>
                <w:sz w:val="18"/>
                <w:szCs w:val="18"/>
              </w:rPr>
              <w:t>y velké nebo dominantní pozice.</w:t>
            </w:r>
          </w:p>
          <w:p w:rsidR="000A36DF" w:rsidRPr="000A36DF" w:rsidRDefault="000A36DF" w:rsidP="000A36DF">
            <w:pPr>
              <w:shd w:val="clear" w:color="auto" w:fill="FFFFFF"/>
              <w:spacing w:before="40" w:after="40"/>
              <w:jc w:val="both"/>
              <w:rPr>
                <w:sz w:val="18"/>
                <w:szCs w:val="18"/>
              </w:rPr>
            </w:pPr>
            <w:r w:rsidRPr="000A36DF">
              <w:rPr>
                <w:sz w:val="18"/>
                <w:szCs w:val="18"/>
              </w:rPr>
              <w:t>Orgán ESMA vypracuje návrhy regulačních technických norem k upřesnění obsahu kontrol pro řízení pozic, přičemž zohlední charakteristiky dotčených obchodních systémů.</w:t>
            </w:r>
          </w:p>
          <w:p w:rsidR="000A36DF" w:rsidRPr="000A36DF" w:rsidRDefault="000A36DF" w:rsidP="000A36DF">
            <w:pPr>
              <w:shd w:val="clear" w:color="auto" w:fill="FFFFFF"/>
              <w:spacing w:before="40" w:after="40"/>
              <w:jc w:val="both"/>
              <w:rPr>
                <w:sz w:val="18"/>
                <w:szCs w:val="18"/>
              </w:rPr>
            </w:pPr>
            <w:r w:rsidRPr="000A36DF">
              <w:rPr>
                <w:sz w:val="18"/>
                <w:szCs w:val="18"/>
              </w:rPr>
              <w:t>Orgán ESMA předloží tyto návrhy regulačních technických norem Komisi do 28. listopadu 2021.</w:t>
            </w:r>
          </w:p>
          <w:p w:rsidR="000A36DF" w:rsidRPr="000D5D7C" w:rsidRDefault="000A36DF" w:rsidP="00C15B74">
            <w:pPr>
              <w:shd w:val="clear" w:color="auto" w:fill="FFFFFF"/>
              <w:spacing w:before="40" w:after="40"/>
              <w:jc w:val="both"/>
              <w:rPr>
                <w:sz w:val="18"/>
                <w:szCs w:val="18"/>
              </w:rPr>
            </w:pPr>
            <w:r w:rsidRPr="000A36DF">
              <w:rPr>
                <w:sz w:val="18"/>
                <w:szCs w:val="18"/>
              </w:rPr>
              <w:t>Na Komisi je přenesena pravomoc doplnit tuto směrnici přijetím regulačních technických norem uvedených ve druhém pododstavci tohoto odstavce v souladu s články 10 až 1</w:t>
            </w:r>
            <w:r>
              <w:rPr>
                <w:sz w:val="18"/>
                <w:szCs w:val="18"/>
              </w:rPr>
              <w:t>4 nařízení (EU) č. 1095/2010.“;</w:t>
            </w:r>
          </w:p>
        </w:tc>
        <w:tc>
          <w:tcPr>
            <w:tcW w:w="1292" w:type="dxa"/>
            <w:tcBorders>
              <w:top w:val="single" w:sz="4" w:space="0" w:color="auto"/>
              <w:left w:val="single" w:sz="18" w:space="0" w:color="auto"/>
              <w:bottom w:val="nil"/>
              <w:right w:val="single" w:sz="4" w:space="0" w:color="auto"/>
            </w:tcBorders>
          </w:tcPr>
          <w:p w:rsidR="00B541B5" w:rsidRPr="00605684" w:rsidRDefault="000F671D" w:rsidP="00822831">
            <w:pPr>
              <w:spacing w:before="40" w:after="40"/>
              <w:rPr>
                <w:sz w:val="18"/>
              </w:rPr>
            </w:pPr>
            <w:r>
              <w:rPr>
                <w:sz w:val="18"/>
              </w:rPr>
              <w:lastRenderedPageBreak/>
              <w:t xml:space="preserve">256/2004 ve znění </w:t>
            </w:r>
            <w:r w:rsidR="00E87F18">
              <w:rPr>
                <w:sz w:val="18"/>
              </w:rPr>
              <w:t>96/2022</w:t>
            </w:r>
          </w:p>
        </w:tc>
        <w:tc>
          <w:tcPr>
            <w:tcW w:w="1104" w:type="dxa"/>
            <w:tcBorders>
              <w:top w:val="single" w:sz="4" w:space="0" w:color="auto"/>
              <w:left w:val="single" w:sz="4" w:space="0" w:color="auto"/>
              <w:bottom w:val="nil"/>
              <w:right w:val="single" w:sz="4" w:space="0" w:color="auto"/>
            </w:tcBorders>
          </w:tcPr>
          <w:p w:rsidR="00B541B5" w:rsidRPr="00605684" w:rsidRDefault="00E87F18" w:rsidP="00605684">
            <w:pPr>
              <w:spacing w:before="40" w:after="40"/>
              <w:rPr>
                <w:sz w:val="18"/>
              </w:rPr>
            </w:pPr>
            <w:r>
              <w:rPr>
                <w:sz w:val="18"/>
              </w:rPr>
              <w:t>§ 134b</w:t>
            </w:r>
          </w:p>
        </w:tc>
        <w:tc>
          <w:tcPr>
            <w:tcW w:w="5425" w:type="dxa"/>
            <w:gridSpan w:val="4"/>
            <w:tcBorders>
              <w:top w:val="single" w:sz="4" w:space="0" w:color="auto"/>
              <w:left w:val="single" w:sz="4" w:space="0" w:color="auto"/>
              <w:bottom w:val="nil"/>
              <w:right w:val="single" w:sz="4" w:space="0" w:color="auto"/>
            </w:tcBorders>
          </w:tcPr>
          <w:p w:rsidR="00E87F18" w:rsidRPr="00E87F18" w:rsidRDefault="00E87F18" w:rsidP="00E87F18">
            <w:pPr>
              <w:spacing w:before="40" w:after="40"/>
              <w:jc w:val="both"/>
              <w:rPr>
                <w:sz w:val="18"/>
              </w:rPr>
            </w:pPr>
            <w:r w:rsidRPr="00E87F18">
              <w:rPr>
                <w:sz w:val="18"/>
              </w:rPr>
              <w:t>(1) Česká národní banka opatřením obecné povahy stanoví jednotný limit pozice, který se použije na veškeré obchodování dotčených derivátů, je-li v obchodním systému provozovaném osobou se sídlem v České republice obchodováno největší množství těchto derivátů, a jsou-li</w:t>
            </w:r>
          </w:p>
          <w:p w:rsidR="00E87F18" w:rsidRPr="00E87F18" w:rsidRDefault="00E87F18" w:rsidP="00E87F18">
            <w:pPr>
              <w:spacing w:before="40" w:after="40"/>
              <w:jc w:val="both"/>
              <w:rPr>
                <w:sz w:val="18"/>
              </w:rPr>
            </w:pPr>
            <w:r w:rsidRPr="00E87F18">
              <w:rPr>
                <w:sz w:val="18"/>
              </w:rPr>
              <w:t>a)deriváty zemědělských komodit, které jsou založeny na stejném podkladovém aktivu a sdílí stejné charakteristiky, obchodovány ve významném množství v obchodních systémech ve více státech nebo</w:t>
            </w:r>
          </w:p>
          <w:p w:rsidR="00E87F18" w:rsidRPr="00E87F18" w:rsidRDefault="00B541B5" w:rsidP="00E87F18">
            <w:pPr>
              <w:spacing w:before="40" w:after="40"/>
              <w:jc w:val="both"/>
              <w:rPr>
                <w:sz w:val="18"/>
              </w:rPr>
            </w:pPr>
            <w:r>
              <w:rPr>
                <w:sz w:val="18"/>
              </w:rPr>
              <w:t>b)</w:t>
            </w:r>
            <w:r w:rsidR="00E87F18" w:rsidRPr="00E87F18">
              <w:rPr>
                <w:sz w:val="18"/>
              </w:rPr>
              <w:t>významné nebo zásadní komoditní deriváty, které jsou založeny na stejném podkladovém aktivu a sdílí stejné charakteristiky, obchodovány v obchodních systémech ve více státech.</w:t>
            </w:r>
          </w:p>
          <w:p w:rsidR="0095332C" w:rsidRPr="004764A0" w:rsidRDefault="00E87F18" w:rsidP="004764A0">
            <w:pPr>
              <w:spacing w:before="40" w:after="40"/>
              <w:jc w:val="both"/>
              <w:rPr>
                <w:sz w:val="18"/>
              </w:rPr>
            </w:pPr>
            <w:r w:rsidRPr="00E87F18">
              <w:rPr>
                <w:sz w:val="18"/>
              </w:rPr>
              <w:t>(2) Česká národní banka jednotný limit pozice podle odstavce 1 a jakékoli jeho změny konzultuje s příslušnými provozovateli obchodních systémů, v nichž jsou deriváty zemědělských komodit uvedené v odstavci 1 písm. a) obchodovány ve významném množství nebo v nichž jsou obchodovány zásadní nebo významné komoditní deriváty uvedené v odstavci 1 písm. b).</w:t>
            </w:r>
          </w:p>
        </w:tc>
        <w:tc>
          <w:tcPr>
            <w:tcW w:w="818" w:type="dxa"/>
            <w:tcBorders>
              <w:top w:val="single" w:sz="4" w:space="0" w:color="auto"/>
              <w:left w:val="single" w:sz="4" w:space="0" w:color="auto"/>
              <w:bottom w:val="nil"/>
              <w:right w:val="single" w:sz="4" w:space="0" w:color="auto"/>
            </w:tcBorders>
          </w:tcPr>
          <w:p w:rsidR="00A42B00" w:rsidRPr="00605684" w:rsidRDefault="0095332C" w:rsidP="00605684">
            <w:pPr>
              <w:spacing w:before="40" w:after="40"/>
              <w:rPr>
                <w:sz w:val="18"/>
              </w:rPr>
            </w:pPr>
            <w:r>
              <w:rPr>
                <w:sz w:val="18"/>
              </w:rPr>
              <w:t>P</w:t>
            </w:r>
            <w:r w:rsidR="00A42B00" w:rsidRPr="00605684">
              <w:rPr>
                <w:sz w:val="18"/>
              </w:rPr>
              <w:t>T</w:t>
            </w:r>
          </w:p>
        </w:tc>
        <w:tc>
          <w:tcPr>
            <w:tcW w:w="655" w:type="dxa"/>
            <w:tcBorders>
              <w:top w:val="single" w:sz="4" w:space="0" w:color="auto"/>
              <w:left w:val="single" w:sz="4" w:space="0" w:color="auto"/>
              <w:bottom w:val="nil"/>
              <w:right w:val="single" w:sz="4" w:space="0" w:color="auto"/>
            </w:tcBorders>
          </w:tcPr>
          <w:p w:rsidR="00A42B00" w:rsidRPr="00605684" w:rsidRDefault="00A42B00" w:rsidP="00605684">
            <w:pPr>
              <w:spacing w:before="40" w:after="40"/>
              <w:rPr>
                <w:sz w:val="18"/>
              </w:rPr>
            </w:pPr>
          </w:p>
        </w:tc>
      </w:tr>
      <w:tr w:rsidR="004764A0" w:rsidRPr="00605684" w:rsidTr="004764A0">
        <w:tc>
          <w:tcPr>
            <w:tcW w:w="1427" w:type="dxa"/>
            <w:gridSpan w:val="2"/>
            <w:tcBorders>
              <w:top w:val="nil"/>
              <w:left w:val="single" w:sz="4" w:space="0" w:color="auto"/>
              <w:bottom w:val="single" w:sz="4" w:space="0" w:color="auto"/>
              <w:right w:val="single" w:sz="4" w:space="0" w:color="auto"/>
            </w:tcBorders>
          </w:tcPr>
          <w:p w:rsidR="004764A0" w:rsidRDefault="004764A0" w:rsidP="00F93F08">
            <w:pPr>
              <w:spacing w:before="40" w:after="40"/>
              <w:rPr>
                <w:sz w:val="18"/>
              </w:rPr>
            </w:pPr>
          </w:p>
        </w:tc>
        <w:tc>
          <w:tcPr>
            <w:tcW w:w="5210" w:type="dxa"/>
            <w:gridSpan w:val="3"/>
            <w:tcBorders>
              <w:top w:val="nil"/>
              <w:left w:val="single" w:sz="4" w:space="0" w:color="auto"/>
              <w:bottom w:val="single" w:sz="4" w:space="0" w:color="auto"/>
              <w:right w:val="single" w:sz="18" w:space="0" w:color="auto"/>
            </w:tcBorders>
          </w:tcPr>
          <w:p w:rsidR="004764A0" w:rsidRDefault="004764A0" w:rsidP="00EC20D4">
            <w:pPr>
              <w:shd w:val="clear" w:color="auto" w:fill="FFFFFF"/>
              <w:spacing w:before="40" w:after="40"/>
              <w:jc w:val="both"/>
              <w:rPr>
                <w:sz w:val="18"/>
                <w:szCs w:val="18"/>
              </w:rPr>
            </w:pPr>
          </w:p>
        </w:tc>
        <w:tc>
          <w:tcPr>
            <w:tcW w:w="1292" w:type="dxa"/>
            <w:tcBorders>
              <w:top w:val="nil"/>
              <w:left w:val="single" w:sz="18" w:space="0" w:color="auto"/>
              <w:bottom w:val="single" w:sz="4" w:space="0" w:color="auto"/>
              <w:right w:val="single" w:sz="4" w:space="0" w:color="auto"/>
            </w:tcBorders>
          </w:tcPr>
          <w:p w:rsidR="004764A0" w:rsidRPr="00C30837" w:rsidRDefault="004764A0" w:rsidP="004764A0">
            <w:pPr>
              <w:spacing w:before="40" w:after="40"/>
              <w:rPr>
                <w:sz w:val="18"/>
              </w:rPr>
            </w:pPr>
            <w:r>
              <w:rPr>
                <w:sz w:val="18"/>
              </w:rPr>
              <w:t xml:space="preserve">256/2004 ve znění 204/2017 </w:t>
            </w:r>
            <w:r>
              <w:rPr>
                <w:sz w:val="18"/>
              </w:rPr>
              <w:lastRenderedPageBreak/>
              <w:t>96/2022</w:t>
            </w:r>
          </w:p>
        </w:tc>
        <w:tc>
          <w:tcPr>
            <w:tcW w:w="1104" w:type="dxa"/>
            <w:tcBorders>
              <w:top w:val="nil"/>
              <w:left w:val="single" w:sz="4" w:space="0" w:color="auto"/>
              <w:bottom w:val="single" w:sz="4" w:space="0" w:color="auto"/>
              <w:right w:val="single" w:sz="4" w:space="0" w:color="auto"/>
            </w:tcBorders>
          </w:tcPr>
          <w:p w:rsidR="004764A0" w:rsidRDefault="004764A0" w:rsidP="00605684">
            <w:pPr>
              <w:spacing w:before="40" w:after="40"/>
              <w:rPr>
                <w:sz w:val="18"/>
              </w:rPr>
            </w:pPr>
            <w:r>
              <w:rPr>
                <w:sz w:val="18"/>
              </w:rPr>
              <w:lastRenderedPageBreak/>
              <w:t>§ 134c</w:t>
            </w:r>
          </w:p>
        </w:tc>
        <w:tc>
          <w:tcPr>
            <w:tcW w:w="5425" w:type="dxa"/>
            <w:gridSpan w:val="4"/>
            <w:tcBorders>
              <w:top w:val="nil"/>
              <w:left w:val="single" w:sz="4" w:space="0" w:color="auto"/>
              <w:bottom w:val="single" w:sz="4" w:space="0" w:color="auto"/>
              <w:right w:val="single" w:sz="4" w:space="0" w:color="auto"/>
            </w:tcBorders>
          </w:tcPr>
          <w:p w:rsidR="004764A0" w:rsidRPr="00B541B5" w:rsidRDefault="004764A0" w:rsidP="004764A0">
            <w:pPr>
              <w:keepNext/>
              <w:keepLines/>
              <w:rPr>
                <w:color w:val="000000" w:themeColor="text1"/>
                <w:sz w:val="18"/>
                <w:szCs w:val="18"/>
              </w:rPr>
            </w:pPr>
            <w:r w:rsidRPr="00B541B5">
              <w:rPr>
                <w:color w:val="000000" w:themeColor="text1"/>
                <w:sz w:val="18"/>
                <w:szCs w:val="18"/>
              </w:rPr>
              <w:t xml:space="preserve">(1) Provozovatel obchodního systému, na němž se obchodují komoditní deriváty, uplatňuje limity podle § 134a odst. 1 a § 134b odst. 1; při tomto </w:t>
            </w:r>
            <w:r w:rsidRPr="00B541B5">
              <w:rPr>
                <w:color w:val="000000" w:themeColor="text1"/>
                <w:sz w:val="18"/>
                <w:szCs w:val="18"/>
              </w:rPr>
              <w:lastRenderedPageBreak/>
              <w:t>uplatňování může</w:t>
            </w:r>
          </w:p>
          <w:p w:rsidR="004764A0" w:rsidRPr="00B541B5" w:rsidRDefault="004764A0" w:rsidP="004764A0">
            <w:pPr>
              <w:keepNext/>
              <w:keepLines/>
              <w:ind w:left="284" w:hanging="284"/>
              <w:contextualSpacing/>
              <w:jc w:val="both"/>
              <w:rPr>
                <w:color w:val="000000" w:themeColor="text1"/>
                <w:sz w:val="18"/>
                <w:szCs w:val="18"/>
              </w:rPr>
            </w:pPr>
            <w:r w:rsidRPr="00B541B5">
              <w:rPr>
                <w:color w:val="000000" w:themeColor="text1"/>
                <w:sz w:val="18"/>
                <w:szCs w:val="18"/>
              </w:rPr>
              <w:t>a)</w:t>
            </w:r>
            <w:r w:rsidRPr="00B541B5">
              <w:rPr>
                <w:color w:val="000000" w:themeColor="text1"/>
                <w:sz w:val="18"/>
                <w:szCs w:val="18"/>
              </w:rPr>
              <w:tab/>
              <w:t>sledovat čisté otevřené pozice osob,</w:t>
            </w:r>
          </w:p>
          <w:p w:rsidR="004764A0" w:rsidRPr="00B541B5" w:rsidRDefault="004764A0" w:rsidP="004764A0">
            <w:pPr>
              <w:keepNext/>
              <w:keepLines/>
              <w:ind w:left="284" w:hanging="284"/>
              <w:contextualSpacing/>
              <w:jc w:val="both"/>
              <w:rPr>
                <w:color w:val="000000" w:themeColor="text1"/>
                <w:sz w:val="18"/>
                <w:szCs w:val="18"/>
              </w:rPr>
            </w:pPr>
            <w:r w:rsidRPr="00B541B5">
              <w:rPr>
                <w:color w:val="000000" w:themeColor="text1"/>
                <w:sz w:val="18"/>
                <w:szCs w:val="18"/>
              </w:rPr>
              <w:t>b) získávat od osob informace, včetně veškeré příslušné dokumentace, týkající se velikosti a účelu uzavřené expozice nebo pozice, informace o skutečných vlastnících, jakýchkoli dohodách o jednání ve shodě a jakýchkoli souvisejících aktivech nebo pasivech na základním trhu, a to případně včetně informací o pozicích držených v komoditních derivátech, které jsou založeny na stejném podkladovém aktivu a sdílí stejné charakteristiky, v jiných obchodních systémech a v ekonomicky rovnocenných OTC derivátech prostřednictvím členů a účastníků,</w:t>
            </w:r>
          </w:p>
          <w:p w:rsidR="004764A0" w:rsidRPr="00B541B5" w:rsidRDefault="004764A0" w:rsidP="004764A0">
            <w:pPr>
              <w:keepNext/>
              <w:keepLines/>
              <w:ind w:left="284" w:hanging="284"/>
              <w:contextualSpacing/>
              <w:jc w:val="both"/>
              <w:rPr>
                <w:color w:val="000000" w:themeColor="text1"/>
                <w:sz w:val="18"/>
                <w:szCs w:val="18"/>
              </w:rPr>
            </w:pPr>
            <w:r w:rsidRPr="00B541B5">
              <w:rPr>
                <w:color w:val="000000" w:themeColor="text1"/>
                <w:sz w:val="18"/>
                <w:szCs w:val="18"/>
              </w:rPr>
              <w:t>c)</w:t>
            </w:r>
            <w:r w:rsidRPr="00B541B5">
              <w:rPr>
                <w:color w:val="000000" w:themeColor="text1"/>
                <w:sz w:val="18"/>
                <w:szCs w:val="18"/>
              </w:rPr>
              <w:tab/>
              <w:t>požadovat, aby určitá osoba ukončila pozici nebo omezila její velikost, a to dočasně nebo trvale a jednostranně přijímat opatření k zajištění tohoto ukončení nebo omezení pozice, pokud daná osoba požadavku nevyhoví, a</w:t>
            </w:r>
          </w:p>
          <w:p w:rsidR="004764A0" w:rsidRPr="00B541B5" w:rsidRDefault="004764A0" w:rsidP="004764A0">
            <w:pPr>
              <w:keepNext/>
              <w:keepLines/>
              <w:ind w:left="284" w:hanging="284"/>
              <w:contextualSpacing/>
              <w:jc w:val="both"/>
              <w:rPr>
                <w:color w:val="000000" w:themeColor="text1"/>
                <w:sz w:val="18"/>
                <w:szCs w:val="18"/>
              </w:rPr>
            </w:pPr>
            <w:r w:rsidRPr="00B541B5">
              <w:rPr>
                <w:color w:val="000000" w:themeColor="text1"/>
                <w:sz w:val="18"/>
                <w:szCs w:val="18"/>
              </w:rPr>
              <w:t>d)</w:t>
            </w:r>
            <w:r w:rsidRPr="00B541B5">
              <w:rPr>
                <w:color w:val="000000" w:themeColor="text1"/>
                <w:sz w:val="18"/>
                <w:szCs w:val="18"/>
              </w:rPr>
              <w:tab/>
              <w:t>požadovat, aby osoba dočasně vrátila na trh likviditu za dohodnutou cenu a v dohodnutém objemu s výslovným záměrem zmírnit vlivy velké nebo dominantní pozice.</w:t>
            </w:r>
          </w:p>
          <w:p w:rsidR="004764A0" w:rsidRPr="00B541B5" w:rsidRDefault="004764A0" w:rsidP="004764A0">
            <w:pPr>
              <w:keepNext/>
              <w:keepLines/>
              <w:jc w:val="both"/>
              <w:rPr>
                <w:color w:val="000000" w:themeColor="text1"/>
                <w:sz w:val="18"/>
                <w:szCs w:val="18"/>
              </w:rPr>
            </w:pPr>
            <w:r w:rsidRPr="00B541B5">
              <w:rPr>
                <w:color w:val="000000" w:themeColor="text1"/>
                <w:sz w:val="18"/>
                <w:szCs w:val="18"/>
              </w:rPr>
              <w:t>(2) Limity podle § 134a odst. 1 a jejich uplatňování podle odstavce 1 musí být transparentní a nediskriminační, musí uvádět, jak se u osob uplatňují, a zohledňovat povahu a složení účastníků trhu a způsob, jakým využívají obchodované deriváty.</w:t>
            </w:r>
          </w:p>
          <w:p w:rsidR="004764A0" w:rsidRPr="004764A0" w:rsidRDefault="004764A0" w:rsidP="004764A0">
            <w:pPr>
              <w:keepNext/>
              <w:keepLines/>
              <w:jc w:val="both"/>
              <w:rPr>
                <w:color w:val="000000" w:themeColor="text1"/>
                <w:sz w:val="18"/>
                <w:szCs w:val="18"/>
              </w:rPr>
            </w:pPr>
            <w:r w:rsidRPr="00B541B5">
              <w:rPr>
                <w:color w:val="000000" w:themeColor="text1"/>
                <w:sz w:val="18"/>
                <w:szCs w:val="18"/>
              </w:rPr>
              <w:t>(3) Provozovatel obchodního systému oznámí České národní bance podrobnosti uplatňování limitů podle §</w:t>
            </w:r>
            <w:r>
              <w:rPr>
                <w:color w:val="000000" w:themeColor="text1"/>
                <w:sz w:val="18"/>
                <w:szCs w:val="18"/>
              </w:rPr>
              <w:t xml:space="preserve"> 134a odst. 1 a § 134b odst. 1.</w:t>
            </w:r>
          </w:p>
        </w:tc>
        <w:tc>
          <w:tcPr>
            <w:tcW w:w="818" w:type="dxa"/>
            <w:tcBorders>
              <w:top w:val="nil"/>
              <w:left w:val="single" w:sz="4" w:space="0" w:color="auto"/>
              <w:bottom w:val="single" w:sz="4" w:space="0" w:color="auto"/>
              <w:right w:val="single" w:sz="4" w:space="0" w:color="auto"/>
            </w:tcBorders>
          </w:tcPr>
          <w:p w:rsidR="004764A0" w:rsidRDefault="004764A0" w:rsidP="00605684">
            <w:pPr>
              <w:spacing w:before="40" w:after="40"/>
              <w:rPr>
                <w:sz w:val="18"/>
              </w:rPr>
            </w:pPr>
          </w:p>
        </w:tc>
        <w:tc>
          <w:tcPr>
            <w:tcW w:w="655" w:type="dxa"/>
            <w:tcBorders>
              <w:top w:val="nil"/>
              <w:left w:val="single" w:sz="4" w:space="0" w:color="auto"/>
              <w:bottom w:val="single" w:sz="4" w:space="0" w:color="auto"/>
              <w:right w:val="single" w:sz="4" w:space="0" w:color="auto"/>
            </w:tcBorders>
          </w:tcPr>
          <w:p w:rsidR="004764A0" w:rsidRPr="00605684" w:rsidRDefault="004764A0" w:rsidP="00605684">
            <w:pPr>
              <w:spacing w:before="40" w:after="40"/>
              <w:rPr>
                <w:sz w:val="18"/>
              </w:rPr>
            </w:pPr>
          </w:p>
        </w:tc>
      </w:tr>
      <w:tr w:rsidR="00025712" w:rsidRPr="00605684" w:rsidTr="004764A0">
        <w:tc>
          <w:tcPr>
            <w:tcW w:w="1427" w:type="dxa"/>
            <w:gridSpan w:val="2"/>
            <w:tcBorders>
              <w:top w:val="single" w:sz="4" w:space="0" w:color="auto"/>
              <w:left w:val="single" w:sz="4" w:space="0" w:color="auto"/>
              <w:bottom w:val="nil"/>
              <w:right w:val="single" w:sz="4" w:space="0" w:color="auto"/>
            </w:tcBorders>
          </w:tcPr>
          <w:p w:rsidR="00A42B00" w:rsidRPr="00605684" w:rsidRDefault="00F93F08" w:rsidP="00F93F08">
            <w:pPr>
              <w:spacing w:before="40" w:after="40"/>
              <w:rPr>
                <w:sz w:val="18"/>
              </w:rPr>
            </w:pPr>
            <w:r>
              <w:rPr>
                <w:sz w:val="18"/>
              </w:rPr>
              <w:t xml:space="preserve">Článek </w:t>
            </w:r>
            <w:r w:rsidR="00EC20D4">
              <w:rPr>
                <w:sz w:val="18"/>
              </w:rPr>
              <w:t>1</w:t>
            </w:r>
            <w:r w:rsidR="00A42B00" w:rsidRPr="00605684">
              <w:rPr>
                <w:sz w:val="18"/>
              </w:rPr>
              <w:t xml:space="preserve"> </w:t>
            </w:r>
            <w:r w:rsidR="00A42B00">
              <w:rPr>
                <w:sz w:val="18"/>
              </w:rPr>
              <w:t>bod</w:t>
            </w:r>
            <w:r w:rsidR="00EC20D4">
              <w:rPr>
                <w:sz w:val="18"/>
              </w:rPr>
              <w:t xml:space="preserve"> 10 písm. d)</w:t>
            </w:r>
          </w:p>
        </w:tc>
        <w:tc>
          <w:tcPr>
            <w:tcW w:w="5210" w:type="dxa"/>
            <w:gridSpan w:val="3"/>
            <w:tcBorders>
              <w:top w:val="single" w:sz="4" w:space="0" w:color="auto"/>
              <w:left w:val="single" w:sz="4" w:space="0" w:color="auto"/>
              <w:bottom w:val="nil"/>
              <w:right w:val="single" w:sz="18" w:space="0" w:color="auto"/>
            </w:tcBorders>
          </w:tcPr>
          <w:p w:rsidR="00EC20D4" w:rsidRDefault="00F85AFE" w:rsidP="00EC20D4">
            <w:pPr>
              <w:shd w:val="clear" w:color="auto" w:fill="FFFFFF"/>
              <w:spacing w:before="40" w:after="40"/>
              <w:jc w:val="both"/>
              <w:rPr>
                <w:sz w:val="18"/>
                <w:szCs w:val="18"/>
              </w:rPr>
            </w:pPr>
            <w:r>
              <w:rPr>
                <w:sz w:val="18"/>
                <w:szCs w:val="18"/>
              </w:rPr>
              <w:t>10)</w:t>
            </w:r>
            <w:r w:rsidR="00EC20D4">
              <w:rPr>
                <w:sz w:val="18"/>
                <w:szCs w:val="18"/>
              </w:rPr>
              <w:t xml:space="preserve"> Článek 57 se mění takto:</w:t>
            </w:r>
          </w:p>
          <w:p w:rsidR="00EC20D4" w:rsidRPr="00EC20D4" w:rsidRDefault="00EC20D4" w:rsidP="00EC20D4">
            <w:pPr>
              <w:shd w:val="clear" w:color="auto" w:fill="FFFFFF"/>
              <w:spacing w:before="40" w:after="40"/>
              <w:jc w:val="both"/>
              <w:rPr>
                <w:sz w:val="18"/>
                <w:szCs w:val="18"/>
              </w:rPr>
            </w:pPr>
            <w:r>
              <w:rPr>
                <w:sz w:val="18"/>
                <w:szCs w:val="18"/>
              </w:rPr>
              <w:t xml:space="preserve">d) </w:t>
            </w:r>
            <w:r w:rsidRPr="00EC20D4">
              <w:rPr>
                <w:sz w:val="18"/>
                <w:szCs w:val="18"/>
              </w:rPr>
              <w:t>v odstavci 12 se písmeno d) nahrazuje tímto:</w:t>
            </w:r>
          </w:p>
          <w:p w:rsidR="00A42B00" w:rsidRPr="00605684" w:rsidRDefault="00EC20D4" w:rsidP="00EC20D4">
            <w:pPr>
              <w:shd w:val="clear" w:color="auto" w:fill="FFFFFF"/>
              <w:spacing w:before="40" w:after="40"/>
              <w:jc w:val="both"/>
              <w:rPr>
                <w:sz w:val="18"/>
                <w:szCs w:val="18"/>
              </w:rPr>
            </w:pPr>
            <w:r>
              <w:rPr>
                <w:sz w:val="18"/>
                <w:szCs w:val="18"/>
              </w:rPr>
              <w:t xml:space="preserve">„d) </w:t>
            </w:r>
            <w:r w:rsidRPr="00EC20D4">
              <w:rPr>
                <w:sz w:val="18"/>
                <w:szCs w:val="18"/>
              </w:rPr>
              <w:t>definice významného množství po</w:t>
            </w:r>
            <w:r>
              <w:rPr>
                <w:sz w:val="18"/>
                <w:szCs w:val="18"/>
              </w:rPr>
              <w:t>dle odstavce 6 tohoto článku;“.</w:t>
            </w:r>
          </w:p>
        </w:tc>
        <w:tc>
          <w:tcPr>
            <w:tcW w:w="1292" w:type="dxa"/>
            <w:tcBorders>
              <w:top w:val="single" w:sz="4" w:space="0" w:color="auto"/>
              <w:left w:val="single" w:sz="18" w:space="0" w:color="auto"/>
              <w:bottom w:val="nil"/>
              <w:right w:val="single" w:sz="4" w:space="0" w:color="auto"/>
            </w:tcBorders>
          </w:tcPr>
          <w:p w:rsidR="00A42B00" w:rsidRPr="00605684" w:rsidRDefault="004764A0" w:rsidP="00CD6A8C">
            <w:pPr>
              <w:spacing w:before="40" w:after="40"/>
              <w:rPr>
                <w:sz w:val="18"/>
              </w:rPr>
            </w:pPr>
            <w:r>
              <w:rPr>
                <w:sz w:val="18"/>
              </w:rPr>
              <w:t xml:space="preserve">256/2004 </w:t>
            </w:r>
            <w:r w:rsidR="003E4A8F" w:rsidRPr="00C30837">
              <w:rPr>
                <w:sz w:val="18"/>
              </w:rPr>
              <w:t>ve znění 96/2022</w:t>
            </w:r>
          </w:p>
        </w:tc>
        <w:tc>
          <w:tcPr>
            <w:tcW w:w="1104" w:type="dxa"/>
            <w:tcBorders>
              <w:top w:val="single" w:sz="4" w:space="0" w:color="auto"/>
              <w:left w:val="single" w:sz="4" w:space="0" w:color="auto"/>
              <w:bottom w:val="nil"/>
              <w:right w:val="single" w:sz="4" w:space="0" w:color="auto"/>
            </w:tcBorders>
          </w:tcPr>
          <w:p w:rsidR="00A42B00" w:rsidRPr="00605684" w:rsidRDefault="00C30837" w:rsidP="00605684">
            <w:pPr>
              <w:spacing w:before="40" w:after="40"/>
              <w:rPr>
                <w:sz w:val="18"/>
              </w:rPr>
            </w:pPr>
            <w:r>
              <w:rPr>
                <w:sz w:val="18"/>
              </w:rPr>
              <w:t>§ 134b</w:t>
            </w:r>
          </w:p>
        </w:tc>
        <w:tc>
          <w:tcPr>
            <w:tcW w:w="5425" w:type="dxa"/>
            <w:gridSpan w:val="4"/>
            <w:tcBorders>
              <w:top w:val="single" w:sz="4" w:space="0" w:color="auto"/>
              <w:left w:val="single" w:sz="4" w:space="0" w:color="auto"/>
              <w:bottom w:val="nil"/>
              <w:right w:val="single" w:sz="4" w:space="0" w:color="auto"/>
            </w:tcBorders>
          </w:tcPr>
          <w:p w:rsidR="00C30837" w:rsidRPr="00C30837" w:rsidRDefault="00C30837" w:rsidP="00C30837">
            <w:pPr>
              <w:spacing w:before="40" w:after="40"/>
              <w:jc w:val="both"/>
              <w:rPr>
                <w:sz w:val="18"/>
              </w:rPr>
            </w:pPr>
            <w:r w:rsidRPr="00C30837">
              <w:rPr>
                <w:sz w:val="18"/>
              </w:rPr>
              <w:t>(1) Česká národní banka opatřením obecné povahy stanoví jednotný limit pozice, který se použije na veškeré obchodování dotčených derivátů, je-li v obchodním systému provozovaném osobou se sídlem v České republice obchodováno největší množství těchto derivá</w:t>
            </w:r>
            <w:r w:rsidR="00850926">
              <w:rPr>
                <w:sz w:val="18"/>
              </w:rPr>
              <w:t>tů, a jsou-li</w:t>
            </w:r>
          </w:p>
          <w:p w:rsidR="00C30837" w:rsidRPr="00C30837" w:rsidRDefault="00850926" w:rsidP="00C30837">
            <w:pPr>
              <w:spacing w:before="40" w:after="40"/>
              <w:jc w:val="both"/>
              <w:rPr>
                <w:sz w:val="18"/>
              </w:rPr>
            </w:pPr>
            <w:r>
              <w:rPr>
                <w:sz w:val="18"/>
              </w:rPr>
              <w:t>a)</w:t>
            </w:r>
            <w:r w:rsidR="00C30837" w:rsidRPr="00C30837">
              <w:rPr>
                <w:sz w:val="18"/>
              </w:rPr>
              <w:t>deriváty zemědělských komodit, které jsou založeny na stejném podkladovém aktivu a sdílí stejné charakteristiky, obchodovány ve významném množství v obchodních systémech ve více státech nebo</w:t>
            </w:r>
          </w:p>
          <w:p w:rsidR="00C30837" w:rsidRPr="00C30837" w:rsidRDefault="00850926" w:rsidP="00C30837">
            <w:pPr>
              <w:spacing w:before="40" w:after="40"/>
              <w:jc w:val="both"/>
              <w:rPr>
                <w:sz w:val="18"/>
              </w:rPr>
            </w:pPr>
            <w:r>
              <w:rPr>
                <w:sz w:val="18"/>
              </w:rPr>
              <w:t>b)</w:t>
            </w:r>
            <w:r w:rsidR="00C30837" w:rsidRPr="00C30837">
              <w:rPr>
                <w:sz w:val="18"/>
              </w:rPr>
              <w:t>významné nebo zásadní komoditní deriváty, které jsou založeny na stejném podkladovém aktivu a sdílí stejné charakteristiky, obchodovány v obchod</w:t>
            </w:r>
            <w:r>
              <w:rPr>
                <w:sz w:val="18"/>
              </w:rPr>
              <w:t>ních systémech ve více státech.</w:t>
            </w:r>
          </w:p>
          <w:p w:rsidR="00A42B00" w:rsidRPr="00605684" w:rsidRDefault="00C30837" w:rsidP="00C30837">
            <w:pPr>
              <w:spacing w:before="40" w:after="40"/>
              <w:jc w:val="both"/>
              <w:rPr>
                <w:sz w:val="18"/>
              </w:rPr>
            </w:pPr>
            <w:r w:rsidRPr="00C30837">
              <w:rPr>
                <w:sz w:val="18"/>
              </w:rPr>
              <w:t>(2) Česká národní banka jednotný limit pozice podle odstavce 1 a jakékoli jeho změny konzultuje s příslušnými provozovateli obchodních systémů, v nichž jsou deriváty zemědělských komodit uvedené v odstavci 1 písm. a) obchodovány ve významném množství nebo v nichž jsou obchodovány zásadní nebo významné komoditní deriváty uvedené v odstavci 1 písm. b).</w:t>
            </w:r>
          </w:p>
        </w:tc>
        <w:tc>
          <w:tcPr>
            <w:tcW w:w="818" w:type="dxa"/>
            <w:tcBorders>
              <w:top w:val="single" w:sz="4" w:space="0" w:color="auto"/>
              <w:left w:val="single" w:sz="4" w:space="0" w:color="auto"/>
              <w:bottom w:val="nil"/>
              <w:right w:val="single" w:sz="4" w:space="0" w:color="auto"/>
            </w:tcBorders>
          </w:tcPr>
          <w:p w:rsidR="00A42B00" w:rsidRPr="00605684" w:rsidRDefault="00C30837" w:rsidP="00605684">
            <w:pPr>
              <w:spacing w:before="40" w:after="40"/>
              <w:rPr>
                <w:sz w:val="18"/>
              </w:rPr>
            </w:pPr>
            <w:r>
              <w:rPr>
                <w:sz w:val="18"/>
              </w:rPr>
              <w:t>P</w:t>
            </w:r>
            <w:r w:rsidR="00A42B00" w:rsidRPr="00605684">
              <w:rPr>
                <w:sz w:val="18"/>
              </w:rPr>
              <w:t>T</w:t>
            </w:r>
          </w:p>
        </w:tc>
        <w:tc>
          <w:tcPr>
            <w:tcW w:w="655" w:type="dxa"/>
            <w:tcBorders>
              <w:top w:val="single" w:sz="4" w:space="0" w:color="auto"/>
              <w:left w:val="single" w:sz="4" w:space="0" w:color="auto"/>
              <w:bottom w:val="nil"/>
              <w:right w:val="single" w:sz="4" w:space="0" w:color="auto"/>
            </w:tcBorders>
          </w:tcPr>
          <w:p w:rsidR="00A42B00" w:rsidRPr="00605684" w:rsidRDefault="00A42B00" w:rsidP="00605684">
            <w:pPr>
              <w:spacing w:before="40" w:after="40"/>
              <w:rPr>
                <w:sz w:val="18"/>
              </w:rPr>
            </w:pPr>
          </w:p>
        </w:tc>
      </w:tr>
      <w:tr w:rsidR="00025712" w:rsidRPr="00605684" w:rsidTr="00674807">
        <w:tc>
          <w:tcPr>
            <w:tcW w:w="1427" w:type="dxa"/>
            <w:gridSpan w:val="2"/>
            <w:tcBorders>
              <w:top w:val="single" w:sz="4" w:space="0" w:color="auto"/>
              <w:left w:val="single" w:sz="4" w:space="0" w:color="auto"/>
              <w:bottom w:val="nil"/>
              <w:right w:val="single" w:sz="4" w:space="0" w:color="auto"/>
            </w:tcBorders>
          </w:tcPr>
          <w:p w:rsidR="00A42B00" w:rsidRPr="00605684" w:rsidRDefault="00F93F08" w:rsidP="00F93F08">
            <w:pPr>
              <w:spacing w:before="40" w:after="40"/>
              <w:rPr>
                <w:sz w:val="18"/>
              </w:rPr>
            </w:pPr>
            <w:r>
              <w:rPr>
                <w:sz w:val="18"/>
              </w:rPr>
              <w:lastRenderedPageBreak/>
              <w:t xml:space="preserve">Článek </w:t>
            </w:r>
            <w:r w:rsidR="00EC20D4">
              <w:rPr>
                <w:sz w:val="18"/>
              </w:rPr>
              <w:t>1</w:t>
            </w:r>
            <w:r w:rsidR="00A42B00" w:rsidRPr="00605684">
              <w:rPr>
                <w:sz w:val="18"/>
              </w:rPr>
              <w:t xml:space="preserve"> </w:t>
            </w:r>
            <w:r w:rsidR="00A42B00">
              <w:rPr>
                <w:sz w:val="18"/>
              </w:rPr>
              <w:t>bod</w:t>
            </w:r>
            <w:r w:rsidR="00EC20D4">
              <w:rPr>
                <w:sz w:val="18"/>
              </w:rPr>
              <w:t xml:space="preserve"> 11 písm. a)</w:t>
            </w:r>
          </w:p>
        </w:tc>
        <w:tc>
          <w:tcPr>
            <w:tcW w:w="5210" w:type="dxa"/>
            <w:gridSpan w:val="3"/>
            <w:tcBorders>
              <w:top w:val="single" w:sz="4" w:space="0" w:color="auto"/>
              <w:left w:val="single" w:sz="4" w:space="0" w:color="auto"/>
              <w:bottom w:val="nil"/>
              <w:right w:val="single" w:sz="18" w:space="0" w:color="auto"/>
            </w:tcBorders>
          </w:tcPr>
          <w:p w:rsidR="00EC20D4" w:rsidRDefault="00F85AFE" w:rsidP="00EC20D4">
            <w:pPr>
              <w:shd w:val="clear" w:color="auto" w:fill="FFFFFF"/>
              <w:spacing w:before="40" w:after="40"/>
              <w:jc w:val="both"/>
              <w:rPr>
                <w:sz w:val="18"/>
                <w:szCs w:val="18"/>
              </w:rPr>
            </w:pPr>
            <w:r>
              <w:rPr>
                <w:sz w:val="18"/>
                <w:szCs w:val="18"/>
              </w:rPr>
              <w:t xml:space="preserve">11. </w:t>
            </w:r>
            <w:r w:rsidR="00EC20D4">
              <w:rPr>
                <w:sz w:val="18"/>
                <w:szCs w:val="18"/>
              </w:rPr>
              <w:t>Článek 58 se mění takto:</w:t>
            </w:r>
          </w:p>
          <w:p w:rsidR="00EC20D4" w:rsidRPr="00EC20D4" w:rsidRDefault="00EC20D4" w:rsidP="00EC20D4">
            <w:pPr>
              <w:shd w:val="clear" w:color="auto" w:fill="FFFFFF"/>
              <w:spacing w:before="40" w:after="40"/>
              <w:jc w:val="both"/>
              <w:rPr>
                <w:sz w:val="18"/>
                <w:szCs w:val="18"/>
              </w:rPr>
            </w:pPr>
            <w:r>
              <w:rPr>
                <w:sz w:val="18"/>
                <w:szCs w:val="18"/>
              </w:rPr>
              <w:t xml:space="preserve">a) </w:t>
            </w:r>
            <w:r w:rsidRPr="00EC20D4">
              <w:rPr>
                <w:sz w:val="18"/>
                <w:szCs w:val="18"/>
              </w:rPr>
              <w:t>v odstavci 1 se doplňuje nový pododstavec, který zní:</w:t>
            </w:r>
          </w:p>
          <w:p w:rsidR="00A42B00" w:rsidRPr="00605684" w:rsidRDefault="00EC20D4" w:rsidP="00EC20D4">
            <w:pPr>
              <w:shd w:val="clear" w:color="auto" w:fill="FFFFFF"/>
              <w:spacing w:before="40" w:after="40"/>
              <w:jc w:val="both"/>
              <w:rPr>
                <w:sz w:val="18"/>
                <w:szCs w:val="18"/>
              </w:rPr>
            </w:pPr>
            <w:r w:rsidRPr="00EC20D4">
              <w:rPr>
                <w:sz w:val="18"/>
                <w:szCs w:val="18"/>
              </w:rPr>
              <w:t>„Podávání zpráv o pozicích se nevztahuje na všechny ostatní cenné papíry uvedené v čl. 4 odst. 1 bodě 44 písm. c), které souvisí s komoditou nebo podkladovým aktivem uvedeným</w:t>
            </w:r>
            <w:r w:rsidR="00F85AFE">
              <w:rPr>
                <w:sz w:val="18"/>
                <w:szCs w:val="18"/>
              </w:rPr>
              <w:t xml:space="preserve"> v bodě 10 oddílu C přílohy I.“</w:t>
            </w:r>
          </w:p>
        </w:tc>
        <w:tc>
          <w:tcPr>
            <w:tcW w:w="1292" w:type="dxa"/>
            <w:tcBorders>
              <w:top w:val="single" w:sz="4" w:space="0" w:color="auto"/>
              <w:left w:val="single" w:sz="18" w:space="0" w:color="auto"/>
              <w:bottom w:val="nil"/>
              <w:right w:val="single" w:sz="4" w:space="0" w:color="auto"/>
            </w:tcBorders>
          </w:tcPr>
          <w:p w:rsidR="00A42B00" w:rsidRPr="00605684" w:rsidRDefault="004764A0" w:rsidP="00170F03">
            <w:pPr>
              <w:spacing w:before="40" w:after="40"/>
              <w:rPr>
                <w:sz w:val="18"/>
              </w:rPr>
            </w:pPr>
            <w:r>
              <w:rPr>
                <w:sz w:val="18"/>
              </w:rPr>
              <w:t xml:space="preserve">256/2004 </w:t>
            </w:r>
            <w:r w:rsidR="00170F03" w:rsidRPr="00170F03">
              <w:rPr>
                <w:sz w:val="18"/>
              </w:rPr>
              <w:t xml:space="preserve">ve znění </w:t>
            </w:r>
            <w:r w:rsidR="00580EE1">
              <w:rPr>
                <w:sz w:val="18"/>
              </w:rPr>
              <w:t>204/2017</w:t>
            </w:r>
            <w:r>
              <w:rPr>
                <w:sz w:val="18"/>
              </w:rPr>
              <w:t xml:space="preserve"> </w:t>
            </w:r>
            <w:r w:rsidR="00170F03" w:rsidRPr="00170F03">
              <w:rPr>
                <w:sz w:val="18"/>
              </w:rPr>
              <w:t>96/2022</w:t>
            </w:r>
          </w:p>
        </w:tc>
        <w:tc>
          <w:tcPr>
            <w:tcW w:w="1104" w:type="dxa"/>
            <w:tcBorders>
              <w:top w:val="single" w:sz="4" w:space="0" w:color="auto"/>
              <w:left w:val="single" w:sz="4" w:space="0" w:color="auto"/>
              <w:bottom w:val="nil"/>
              <w:right w:val="single" w:sz="4" w:space="0" w:color="auto"/>
            </w:tcBorders>
          </w:tcPr>
          <w:p w:rsidR="00A42B00" w:rsidRPr="00605684" w:rsidRDefault="00170F03" w:rsidP="004568E8">
            <w:pPr>
              <w:spacing w:before="40" w:after="40"/>
              <w:rPr>
                <w:sz w:val="18"/>
              </w:rPr>
            </w:pPr>
            <w:r>
              <w:rPr>
                <w:sz w:val="18"/>
              </w:rPr>
              <w:t>§ 134</w:t>
            </w:r>
            <w:r w:rsidR="00580EE1">
              <w:rPr>
                <w:sz w:val="18"/>
              </w:rPr>
              <w:t>e</w:t>
            </w:r>
          </w:p>
        </w:tc>
        <w:tc>
          <w:tcPr>
            <w:tcW w:w="5425" w:type="dxa"/>
            <w:gridSpan w:val="4"/>
            <w:tcBorders>
              <w:top w:val="single" w:sz="4" w:space="0" w:color="auto"/>
              <w:left w:val="single" w:sz="4" w:space="0" w:color="auto"/>
              <w:bottom w:val="nil"/>
              <w:right w:val="single" w:sz="4" w:space="0" w:color="auto"/>
            </w:tcBorders>
          </w:tcPr>
          <w:p w:rsidR="00170F03" w:rsidRPr="00170F03" w:rsidRDefault="00170F03" w:rsidP="00170F03">
            <w:pPr>
              <w:spacing w:before="40" w:after="40"/>
              <w:jc w:val="both"/>
              <w:rPr>
                <w:sz w:val="18"/>
              </w:rPr>
            </w:pPr>
            <w:r w:rsidRPr="00170F03">
              <w:rPr>
                <w:sz w:val="18"/>
              </w:rPr>
              <w:t>(1) Provozovatel obchodního systému, na němž se obchodují komoditní deriváty nebo povolenky na emise skleníkov</w:t>
            </w:r>
            <w:r>
              <w:rPr>
                <w:sz w:val="18"/>
              </w:rPr>
              <w:t>ých plynů nebo jejich deriváty,</w:t>
            </w:r>
          </w:p>
          <w:p w:rsidR="00170F03" w:rsidRPr="00170F03" w:rsidRDefault="00170F03" w:rsidP="00170F03">
            <w:pPr>
              <w:spacing w:before="40" w:after="40"/>
              <w:jc w:val="both"/>
              <w:rPr>
                <w:sz w:val="18"/>
              </w:rPr>
            </w:pPr>
            <w:r>
              <w:rPr>
                <w:sz w:val="18"/>
              </w:rPr>
              <w:t>a)</w:t>
            </w:r>
            <w:r w:rsidRPr="00170F03">
              <w:rPr>
                <w:sz w:val="18"/>
              </w:rPr>
              <w:t>překročí-li počet osob i jejich otevřených pozic minimální prahové hodnoty, zveřejňuje týdenní zprávu se souhrnnými pozicemi, jež v jednotlivých komoditních derivátech nebo v povolenkách na emise skleníkových plynů nebo jejich derivátech obchodovaných v jeho obchodním systému drží jednotlivé kategorie osob, s uvedením počtu dlouhých a krátkých pozic podle těchto kategorií, jejich změn od předchozí zprávy, procentního podílu celkových čistých otevřených pozic podle kategorií a počtu osob držících pozice v jednotlivých kategoriích v souladu s odstavcem 3, a předává tuto zprávu České národní bance a Evropskému orgánu pro cenné papíry a trhy, a</w:t>
            </w:r>
          </w:p>
          <w:p w:rsidR="00170F03" w:rsidRPr="00170F03" w:rsidRDefault="00170F03" w:rsidP="00170F03">
            <w:pPr>
              <w:spacing w:before="40" w:after="40"/>
              <w:jc w:val="both"/>
              <w:rPr>
                <w:sz w:val="18"/>
              </w:rPr>
            </w:pPr>
            <w:r>
              <w:rPr>
                <w:sz w:val="18"/>
              </w:rPr>
              <w:t>b)</w:t>
            </w:r>
            <w:r w:rsidRPr="00170F03">
              <w:rPr>
                <w:sz w:val="18"/>
              </w:rPr>
              <w:t>alespoň jednou denně poskytne České národní bance úplný rozpis pozic držených všemi osobami v daném obchodním systému, včetn</w:t>
            </w:r>
            <w:r>
              <w:rPr>
                <w:sz w:val="18"/>
              </w:rPr>
              <w:t>ě účastníků a jejich zákazníků.</w:t>
            </w:r>
          </w:p>
          <w:p w:rsidR="00170F03" w:rsidRPr="00170F03" w:rsidRDefault="00170F03" w:rsidP="00170F03">
            <w:pPr>
              <w:spacing w:before="40" w:after="40"/>
              <w:jc w:val="both"/>
              <w:rPr>
                <w:sz w:val="18"/>
              </w:rPr>
            </w:pPr>
            <w:r w:rsidRPr="00170F03">
              <w:rPr>
                <w:sz w:val="18"/>
              </w:rPr>
              <w:t>(2) Obchodník s cennými papíry, který obchoduje s komoditními deriváty nebo povolenkami na emise skleníkových plynů a jejich deriváty, poskytne alespoň jednou denně úplný rozpis svých pozic získaných v komoditních derivátech nebo v povolenkách na emise skleníkových plynů nebo jejich derivátech obchodovaných v obchodním systému a v ekonomicky rovnocenných OTC derivátech, jakož i pozic zákazníků a jejich zákazníků, a to až po koncového zákazníka, v souladu s čl. 26 nařízení Evropského parlamentu a Rady (EU) č. 600/2014, a pokud se použije, s čl. 8 nařízení Evropského parlamentu a Rady (EU) č. 1227/2011,</w:t>
            </w:r>
          </w:p>
          <w:p w:rsidR="00170F03" w:rsidRPr="00170F03" w:rsidRDefault="00170F03" w:rsidP="00170F03">
            <w:pPr>
              <w:spacing w:before="40" w:after="40"/>
              <w:jc w:val="both"/>
              <w:rPr>
                <w:sz w:val="18"/>
              </w:rPr>
            </w:pPr>
            <w:r>
              <w:rPr>
                <w:sz w:val="18"/>
              </w:rPr>
              <w:t>a)</w:t>
            </w:r>
            <w:r w:rsidRPr="00170F03">
              <w:rPr>
                <w:sz w:val="18"/>
              </w:rPr>
              <w:t>orgánu dohledu členského státu Evropské unie, který udělil povolení provozovateli obchodního systému, kde jsou tyto komoditní deriváty nebo povolenky na emise skleníkových plynů a jejich deriváty obvykle obchodovány, nebo</w:t>
            </w:r>
          </w:p>
          <w:p w:rsidR="00170F03" w:rsidRPr="00170F03" w:rsidRDefault="00170F03" w:rsidP="00170F03">
            <w:pPr>
              <w:spacing w:before="40" w:after="40"/>
              <w:jc w:val="both"/>
              <w:rPr>
                <w:sz w:val="18"/>
              </w:rPr>
            </w:pPr>
            <w:r>
              <w:rPr>
                <w:sz w:val="18"/>
              </w:rPr>
              <w:t>b)</w:t>
            </w:r>
            <w:r w:rsidRPr="00170F03">
              <w:rPr>
                <w:sz w:val="18"/>
              </w:rPr>
              <w:t>jsou-li komoditní deriváty nebo povolenky na emise skleníkových plynů nebo jejich deriváty obchodovány ve významném množství v obchodních systémech ve více státech, orgánu dohledu členského státu Evropské unie, který udělil povolení provozovateli obchodního systému, kde je obchodováno nej</w:t>
            </w:r>
            <w:r>
              <w:rPr>
                <w:sz w:val="18"/>
              </w:rPr>
              <w:t>větší množství tohoto derivátu.</w:t>
            </w:r>
          </w:p>
          <w:p w:rsidR="00170F03" w:rsidRPr="00170F03" w:rsidRDefault="00170F03" w:rsidP="00170F03">
            <w:pPr>
              <w:spacing w:before="40" w:after="40"/>
              <w:jc w:val="both"/>
              <w:rPr>
                <w:sz w:val="18"/>
              </w:rPr>
            </w:pPr>
            <w:r w:rsidRPr="00170F03">
              <w:rPr>
                <w:sz w:val="18"/>
              </w:rPr>
              <w:t xml:space="preserve">(2) Obchodník s cennými papíry, který obchoduje s komoditními deriváty nebo s povolenkami na emise skleníkových plynů nebo jejich deriváty, poskytne alespoň jednou denně úplný rozpis svých pozic získaných v ekonomicky rovnocenných OTC derivátech, a případně v komoditních derivátech nebo v povolenkách na emise skleníkových </w:t>
            </w:r>
            <w:r w:rsidRPr="00170F03">
              <w:rPr>
                <w:sz w:val="18"/>
              </w:rPr>
              <w:lastRenderedPageBreak/>
              <w:t>plynů nebo jejich derivátech obchodovaných v obchodním systému, jakož i pozic zákazníků a jejich zákazníků, a to až po koncového zákazníka, v souladu s čl. 26 nařízení Evropského parlamentu a Rady (EU) č. 600/201453), a pokud se použije, s čl. 8 nařízení Evropského parla</w:t>
            </w:r>
            <w:r>
              <w:rPr>
                <w:sz w:val="18"/>
              </w:rPr>
              <w:t>mentu a Rady (EU) č. 1227/2011,</w:t>
            </w:r>
          </w:p>
          <w:p w:rsidR="00170F03" w:rsidRPr="00170F03" w:rsidRDefault="00170F03" w:rsidP="00170F03">
            <w:pPr>
              <w:spacing w:before="40" w:after="40"/>
              <w:jc w:val="both"/>
              <w:rPr>
                <w:sz w:val="18"/>
              </w:rPr>
            </w:pPr>
            <w:r>
              <w:rPr>
                <w:sz w:val="18"/>
              </w:rPr>
              <w:t>a)</w:t>
            </w:r>
            <w:r w:rsidRPr="00170F03">
              <w:rPr>
                <w:sz w:val="18"/>
              </w:rPr>
              <w:t>orgánu dohledu členského státu Evropské unie, který udělil povolení provozovateli obchodního systému, kde je obchodováno největší množství těchto derivátů, nebo</w:t>
            </w:r>
          </w:p>
          <w:p w:rsidR="00170F03" w:rsidRDefault="00170F03" w:rsidP="00170F03">
            <w:pPr>
              <w:spacing w:before="40" w:after="40"/>
              <w:jc w:val="both"/>
              <w:rPr>
                <w:sz w:val="18"/>
              </w:rPr>
            </w:pPr>
            <w:r>
              <w:rPr>
                <w:sz w:val="18"/>
              </w:rPr>
              <w:t>b)</w:t>
            </w:r>
            <w:r w:rsidRPr="00170F03">
              <w:rPr>
                <w:sz w:val="18"/>
              </w:rPr>
              <w:t>pokud orgán dohledu členského státu Evropské unie podle písmene a) neexistuje, orgánu dohledu členského státu Evropské unie, který udělil povolení provozovateli obchodního systému, kde jsou tyto komoditní deriváty nebo povolenky na emise skleníkových plynů nebo jejich deriváty obvykle obchodovány.</w:t>
            </w:r>
          </w:p>
          <w:p w:rsidR="00170F03" w:rsidRPr="00170F03" w:rsidRDefault="00170F03" w:rsidP="00170F03">
            <w:pPr>
              <w:spacing w:before="40" w:after="40"/>
              <w:jc w:val="both"/>
              <w:rPr>
                <w:sz w:val="18"/>
              </w:rPr>
            </w:pPr>
            <w:r w:rsidRPr="00170F03">
              <w:rPr>
                <w:sz w:val="18"/>
              </w:rPr>
              <w:t>(3) Provozovatel obchodního systému zařadí osoby podle odstavce 1 písm. a) podle povahy jejich hlavní podnikatelské činnosti, s přihlédnutím k jakémukoliv platnému po</w:t>
            </w:r>
            <w:r>
              <w:rPr>
                <w:sz w:val="18"/>
              </w:rPr>
              <w:t>volení, jako</w:t>
            </w:r>
          </w:p>
          <w:p w:rsidR="00170F03" w:rsidRPr="00170F03" w:rsidRDefault="00170F03" w:rsidP="00170F03">
            <w:pPr>
              <w:spacing w:before="40" w:after="40"/>
              <w:jc w:val="both"/>
              <w:rPr>
                <w:sz w:val="18"/>
              </w:rPr>
            </w:pPr>
            <w:r>
              <w:rPr>
                <w:sz w:val="18"/>
              </w:rPr>
              <w:t>a)</w:t>
            </w:r>
            <w:r w:rsidRPr="00170F03">
              <w:rPr>
                <w:sz w:val="18"/>
              </w:rPr>
              <w:t>obchodníka s cennými papíry, banku, spořitelní a úvěrní družstvo, nebo obdobnou zahraniční osobu se sídlem nebo skutečným sídlem v jiném členském státě Evropské unie,</w:t>
            </w:r>
          </w:p>
          <w:p w:rsidR="00170F03" w:rsidRPr="00170F03" w:rsidRDefault="00170F03" w:rsidP="00170F03">
            <w:pPr>
              <w:spacing w:before="40" w:after="40"/>
              <w:jc w:val="both"/>
              <w:rPr>
                <w:sz w:val="18"/>
              </w:rPr>
            </w:pPr>
            <w:r>
              <w:rPr>
                <w:sz w:val="18"/>
              </w:rPr>
              <w:t>b)</w:t>
            </w:r>
            <w:r w:rsidRPr="00170F03">
              <w:rPr>
                <w:sz w:val="18"/>
              </w:rPr>
              <w:t>investiční fond nebo zahraniční investiční fond, s rozlišením, zda jde o standardní fond nebo srovnatelný zahraniční investiční fond, nebo o jiný investiční fond nebo zahraniční investiční fond,</w:t>
            </w:r>
          </w:p>
          <w:p w:rsidR="00170F03" w:rsidRPr="00170F03" w:rsidRDefault="00170F03" w:rsidP="00170F03">
            <w:pPr>
              <w:spacing w:before="40" w:after="40"/>
              <w:jc w:val="both"/>
              <w:rPr>
                <w:sz w:val="18"/>
              </w:rPr>
            </w:pPr>
            <w:r>
              <w:rPr>
                <w:sz w:val="18"/>
              </w:rPr>
              <w:t>c)</w:t>
            </w:r>
            <w:r w:rsidRPr="00170F03">
              <w:rPr>
                <w:sz w:val="18"/>
              </w:rPr>
              <w:t>jinou povolenou nebo regulovanou finanční instituci, včetně pojišťovny, zajišťovny, instituce penzijního pojištění se státním příspěvkem nebo obdobnou zahraniční osobu se sídlem nebo skutečným sídlem v jiném členském státě Evropské unie, včetně institucí zaměstnaneckého penzijního pojištění,</w:t>
            </w:r>
          </w:p>
          <w:p w:rsidR="00170F03" w:rsidRPr="00170F03" w:rsidRDefault="00170F03" w:rsidP="00170F03">
            <w:pPr>
              <w:spacing w:before="40" w:after="40"/>
              <w:jc w:val="both"/>
              <w:rPr>
                <w:sz w:val="18"/>
              </w:rPr>
            </w:pPr>
            <w:r>
              <w:rPr>
                <w:sz w:val="18"/>
              </w:rPr>
              <w:t>d)</w:t>
            </w:r>
            <w:r w:rsidRPr="00170F03">
              <w:rPr>
                <w:sz w:val="18"/>
              </w:rPr>
              <w:t>jiného podnikatele, nebo</w:t>
            </w:r>
          </w:p>
          <w:p w:rsidR="00170F03" w:rsidRPr="00170F03" w:rsidRDefault="00170F03" w:rsidP="00170F03">
            <w:pPr>
              <w:spacing w:before="40" w:after="40"/>
              <w:jc w:val="both"/>
              <w:rPr>
                <w:sz w:val="18"/>
              </w:rPr>
            </w:pPr>
            <w:r>
              <w:rPr>
                <w:sz w:val="18"/>
              </w:rPr>
              <w:t>e)</w:t>
            </w:r>
            <w:r w:rsidRPr="00170F03">
              <w:rPr>
                <w:sz w:val="18"/>
              </w:rPr>
              <w:t>provozovatele zařízení nebo letadla povinného dodržovat požadavky zákona upravujícího podmínky obchodování s povolenkami na emise skleníkových plynů nebo obdobných ustanovení práva jiného členského státu Evropské unie, jde-li o povolenky na emise sklení</w:t>
            </w:r>
            <w:r>
              <w:rPr>
                <w:sz w:val="18"/>
              </w:rPr>
              <w:t>kových plynů a jejich deriváty.</w:t>
            </w:r>
          </w:p>
          <w:p w:rsidR="00A42B00" w:rsidRPr="00170F03" w:rsidRDefault="00170F03" w:rsidP="009A0D97">
            <w:pPr>
              <w:spacing w:before="40" w:after="40"/>
              <w:jc w:val="both"/>
              <w:rPr>
                <w:sz w:val="18"/>
              </w:rPr>
            </w:pPr>
            <w:r w:rsidRPr="00170F03">
              <w:rPr>
                <w:sz w:val="18"/>
              </w:rPr>
              <w:t>(4) Povinnost podávat zprávy o pozicích podle odstavce 1 se nevztahuje na investiční cenné papíry uvedené v § 3 odst. 2 písm. d) a e), které souvisí s komoditou nebo s podkladovým aktivem uvedeným v § 3 odst. 1 písm. j).</w:t>
            </w:r>
          </w:p>
        </w:tc>
        <w:tc>
          <w:tcPr>
            <w:tcW w:w="818" w:type="dxa"/>
            <w:tcBorders>
              <w:top w:val="single" w:sz="4" w:space="0" w:color="auto"/>
              <w:left w:val="single" w:sz="4" w:space="0" w:color="auto"/>
              <w:bottom w:val="nil"/>
              <w:right w:val="single" w:sz="4" w:space="0" w:color="auto"/>
            </w:tcBorders>
          </w:tcPr>
          <w:p w:rsidR="00A42B00" w:rsidRPr="00605684" w:rsidRDefault="0095332C" w:rsidP="00605684">
            <w:pPr>
              <w:spacing w:before="40" w:after="40"/>
              <w:rPr>
                <w:sz w:val="18"/>
              </w:rPr>
            </w:pPr>
            <w:r>
              <w:rPr>
                <w:sz w:val="18"/>
              </w:rPr>
              <w:lastRenderedPageBreak/>
              <w:t>P</w:t>
            </w:r>
            <w:r w:rsidR="00A42B00" w:rsidRPr="00605684">
              <w:rPr>
                <w:sz w:val="18"/>
              </w:rPr>
              <w:t>T</w:t>
            </w:r>
          </w:p>
        </w:tc>
        <w:tc>
          <w:tcPr>
            <w:tcW w:w="655" w:type="dxa"/>
            <w:tcBorders>
              <w:top w:val="single" w:sz="4" w:space="0" w:color="auto"/>
              <w:left w:val="single" w:sz="4" w:space="0" w:color="auto"/>
              <w:bottom w:val="nil"/>
              <w:right w:val="single" w:sz="4" w:space="0" w:color="auto"/>
            </w:tcBorders>
          </w:tcPr>
          <w:p w:rsidR="00A42B00" w:rsidRPr="00605684" w:rsidRDefault="00A42B00" w:rsidP="00605684">
            <w:pPr>
              <w:spacing w:before="40" w:after="40"/>
              <w:rPr>
                <w:sz w:val="18"/>
              </w:rPr>
            </w:pPr>
          </w:p>
        </w:tc>
      </w:tr>
      <w:tr w:rsidR="00025712" w:rsidRPr="00605684" w:rsidTr="00717329">
        <w:tc>
          <w:tcPr>
            <w:tcW w:w="1427" w:type="dxa"/>
            <w:gridSpan w:val="2"/>
            <w:tcBorders>
              <w:top w:val="single" w:sz="4" w:space="0" w:color="auto"/>
              <w:left w:val="single" w:sz="4" w:space="0" w:color="auto"/>
              <w:bottom w:val="nil"/>
              <w:right w:val="single" w:sz="4" w:space="0" w:color="auto"/>
            </w:tcBorders>
          </w:tcPr>
          <w:p w:rsidR="00A42B00" w:rsidRPr="00605684" w:rsidRDefault="00F93F08" w:rsidP="00F93F08">
            <w:pPr>
              <w:spacing w:before="40" w:after="40"/>
              <w:rPr>
                <w:sz w:val="18"/>
              </w:rPr>
            </w:pPr>
            <w:r>
              <w:rPr>
                <w:sz w:val="18"/>
              </w:rPr>
              <w:t xml:space="preserve">Článek </w:t>
            </w:r>
            <w:r w:rsidR="00F85AFE">
              <w:rPr>
                <w:sz w:val="18"/>
              </w:rPr>
              <w:t>1</w:t>
            </w:r>
            <w:r w:rsidR="00A42B00" w:rsidRPr="00605684">
              <w:rPr>
                <w:sz w:val="18"/>
              </w:rPr>
              <w:t xml:space="preserve"> </w:t>
            </w:r>
            <w:r w:rsidR="00A42B00">
              <w:rPr>
                <w:sz w:val="18"/>
              </w:rPr>
              <w:t>bod</w:t>
            </w:r>
            <w:r w:rsidR="00F85AFE">
              <w:rPr>
                <w:sz w:val="18"/>
              </w:rPr>
              <w:t xml:space="preserve"> 11 písm. b)</w:t>
            </w:r>
          </w:p>
        </w:tc>
        <w:tc>
          <w:tcPr>
            <w:tcW w:w="5210" w:type="dxa"/>
            <w:gridSpan w:val="3"/>
            <w:tcBorders>
              <w:top w:val="single" w:sz="4" w:space="0" w:color="auto"/>
              <w:left w:val="single" w:sz="4" w:space="0" w:color="auto"/>
              <w:bottom w:val="nil"/>
              <w:right w:val="single" w:sz="18" w:space="0" w:color="auto"/>
            </w:tcBorders>
          </w:tcPr>
          <w:p w:rsidR="00F85AFE" w:rsidRDefault="00F85AFE" w:rsidP="00F85AFE">
            <w:pPr>
              <w:shd w:val="clear" w:color="auto" w:fill="FFFFFF"/>
              <w:spacing w:before="40" w:after="40"/>
              <w:jc w:val="both"/>
              <w:rPr>
                <w:sz w:val="18"/>
                <w:szCs w:val="18"/>
              </w:rPr>
            </w:pPr>
            <w:r w:rsidRPr="00F85AFE">
              <w:rPr>
                <w:sz w:val="18"/>
                <w:szCs w:val="18"/>
              </w:rPr>
              <w:t>11. Článek 58 se mění takto:</w:t>
            </w:r>
          </w:p>
          <w:p w:rsidR="00F85AFE" w:rsidRPr="00EC20D4" w:rsidRDefault="00F85AFE" w:rsidP="00F85AFE">
            <w:pPr>
              <w:shd w:val="clear" w:color="auto" w:fill="FFFFFF"/>
              <w:spacing w:before="40" w:after="40"/>
              <w:jc w:val="both"/>
              <w:rPr>
                <w:sz w:val="18"/>
                <w:szCs w:val="18"/>
              </w:rPr>
            </w:pPr>
            <w:r>
              <w:rPr>
                <w:sz w:val="18"/>
                <w:szCs w:val="18"/>
              </w:rPr>
              <w:lastRenderedPageBreak/>
              <w:t xml:space="preserve">b) </w:t>
            </w:r>
            <w:r w:rsidRPr="00EC20D4">
              <w:rPr>
                <w:sz w:val="18"/>
                <w:szCs w:val="18"/>
              </w:rPr>
              <w:t>odstavec 2 se nahrazuje tímto:</w:t>
            </w:r>
          </w:p>
          <w:p w:rsidR="00A42B00" w:rsidRPr="00605684" w:rsidRDefault="00F85AFE" w:rsidP="00605684">
            <w:pPr>
              <w:shd w:val="clear" w:color="auto" w:fill="FFFFFF"/>
              <w:spacing w:before="40" w:after="40"/>
              <w:jc w:val="both"/>
              <w:rPr>
                <w:sz w:val="18"/>
                <w:szCs w:val="18"/>
              </w:rPr>
            </w:pPr>
            <w:r w:rsidRPr="00EC20D4">
              <w:rPr>
                <w:sz w:val="18"/>
                <w:szCs w:val="18"/>
              </w:rPr>
              <w:t>„2.   Členské státy zajistí, aby investiční podniky obchodující s komoditními deriváty nebo povolenkami na emise či jejich deriváty mimo obchodní systém poskytly ústřednímu příslušnému orgánu uvedenému v čl. 57 odst. 6 nebo – pokud ústřední příslušný orgán neexistuje – příslušnému orgánu obchodního systému, kde jsou obchodovány komoditní deriváty nebo povolenky na emise či jejich deriváty, alespoň jednou denně úplný rozpis svých pozic získaných v ekonomicky rovnocenných OTC smlouvách, a případně v komoditních derivátech nebo povolenkách na emise či jejich derivátech obchodovaných v obchodním systému, jakož i pozic svých zákazníků a zákazníků jejich zákazníků až po konečného zákazníka, v souladu s článkem 26 nařízení (EU) č. 600/2014, a pokud se použije, s článkem</w:t>
            </w:r>
            <w:r>
              <w:rPr>
                <w:sz w:val="18"/>
                <w:szCs w:val="18"/>
              </w:rPr>
              <w:t xml:space="preserve"> 8 nařízení (EU) č. 1227/2011.“</w:t>
            </w:r>
          </w:p>
        </w:tc>
        <w:tc>
          <w:tcPr>
            <w:tcW w:w="1292" w:type="dxa"/>
            <w:tcBorders>
              <w:top w:val="single" w:sz="4" w:space="0" w:color="auto"/>
              <w:left w:val="single" w:sz="18" w:space="0" w:color="auto"/>
              <w:bottom w:val="nil"/>
              <w:right w:val="single" w:sz="4" w:space="0" w:color="auto"/>
            </w:tcBorders>
          </w:tcPr>
          <w:p w:rsidR="00A42B00" w:rsidRPr="00605684" w:rsidRDefault="004D36A3" w:rsidP="00170F03">
            <w:pPr>
              <w:spacing w:before="40" w:after="40"/>
              <w:rPr>
                <w:sz w:val="18"/>
              </w:rPr>
            </w:pPr>
            <w:r>
              <w:rPr>
                <w:sz w:val="18"/>
              </w:rPr>
              <w:lastRenderedPageBreak/>
              <w:t xml:space="preserve">256/2004 </w:t>
            </w:r>
            <w:r w:rsidR="00170F03" w:rsidRPr="00170F03">
              <w:rPr>
                <w:sz w:val="18"/>
              </w:rPr>
              <w:t xml:space="preserve">ve znění </w:t>
            </w:r>
            <w:r w:rsidR="00580EE1">
              <w:rPr>
                <w:sz w:val="18"/>
              </w:rPr>
              <w:t>204/2017</w:t>
            </w:r>
            <w:r>
              <w:rPr>
                <w:sz w:val="18"/>
              </w:rPr>
              <w:t xml:space="preserve"> </w:t>
            </w:r>
            <w:r w:rsidR="00170F03" w:rsidRPr="00170F03">
              <w:rPr>
                <w:sz w:val="18"/>
              </w:rPr>
              <w:lastRenderedPageBreak/>
              <w:t>96/2022</w:t>
            </w:r>
          </w:p>
        </w:tc>
        <w:tc>
          <w:tcPr>
            <w:tcW w:w="1104" w:type="dxa"/>
            <w:tcBorders>
              <w:top w:val="single" w:sz="4" w:space="0" w:color="auto"/>
              <w:left w:val="single" w:sz="4" w:space="0" w:color="auto"/>
              <w:bottom w:val="nil"/>
              <w:right w:val="single" w:sz="4" w:space="0" w:color="auto"/>
            </w:tcBorders>
          </w:tcPr>
          <w:p w:rsidR="00A42B00" w:rsidRPr="00605684" w:rsidRDefault="00170F03" w:rsidP="00605684">
            <w:pPr>
              <w:spacing w:before="40" w:after="40"/>
              <w:rPr>
                <w:sz w:val="18"/>
              </w:rPr>
            </w:pPr>
            <w:r>
              <w:rPr>
                <w:sz w:val="18"/>
              </w:rPr>
              <w:lastRenderedPageBreak/>
              <w:t>§ 134</w:t>
            </w:r>
            <w:r w:rsidR="00580EE1">
              <w:rPr>
                <w:sz w:val="18"/>
              </w:rPr>
              <w:t>e</w:t>
            </w:r>
          </w:p>
        </w:tc>
        <w:tc>
          <w:tcPr>
            <w:tcW w:w="5425" w:type="dxa"/>
            <w:gridSpan w:val="4"/>
            <w:tcBorders>
              <w:top w:val="single" w:sz="4" w:space="0" w:color="auto"/>
              <w:left w:val="single" w:sz="4" w:space="0" w:color="auto"/>
              <w:bottom w:val="nil"/>
              <w:right w:val="single" w:sz="4" w:space="0" w:color="auto"/>
            </w:tcBorders>
          </w:tcPr>
          <w:p w:rsidR="00170F03" w:rsidRPr="00170F03" w:rsidRDefault="00170F03" w:rsidP="00170F03">
            <w:pPr>
              <w:spacing w:before="40" w:after="40"/>
              <w:jc w:val="both"/>
              <w:rPr>
                <w:sz w:val="18"/>
              </w:rPr>
            </w:pPr>
            <w:r w:rsidRPr="00170F03">
              <w:rPr>
                <w:sz w:val="18"/>
              </w:rPr>
              <w:t>(1) Provozovatel obchodního systému, na němž se obchodují komoditní deriváty nebo povolenky na emise skleníkov</w:t>
            </w:r>
            <w:r>
              <w:rPr>
                <w:sz w:val="18"/>
              </w:rPr>
              <w:t xml:space="preserve">ých plynů nebo jejich </w:t>
            </w:r>
            <w:r>
              <w:rPr>
                <w:sz w:val="18"/>
              </w:rPr>
              <w:lastRenderedPageBreak/>
              <w:t>deriváty,</w:t>
            </w:r>
          </w:p>
          <w:p w:rsidR="00170F03" w:rsidRPr="00170F03" w:rsidRDefault="00170F03" w:rsidP="00170F03">
            <w:pPr>
              <w:spacing w:before="40" w:after="40"/>
              <w:jc w:val="both"/>
              <w:rPr>
                <w:sz w:val="18"/>
              </w:rPr>
            </w:pPr>
            <w:r>
              <w:rPr>
                <w:sz w:val="18"/>
              </w:rPr>
              <w:t>a)</w:t>
            </w:r>
            <w:r w:rsidRPr="00170F03">
              <w:rPr>
                <w:sz w:val="18"/>
              </w:rPr>
              <w:t>překročí-li počet osob i jejich otevřených pozic minimální prahové hodnoty, zveřejňuje týdenní zprávu se souhrnnými pozicemi, jež v jednotlivých komoditních derivátech nebo v povolenkách na emise skleníkových plynů nebo jejich derivátech obchodovaných v jeho obchodním systému drží jednotlivé kategorie osob, s uvedením počtu dlouhých a krátkých pozic podle těchto kategorií, jejich změn od předchozí zprávy, procentního podílu celkových čistých otevřených pozic podle kategorií a počtu osob držících pozice v jednotlivých kategoriích v souladu s odstavcem 3, a předává tuto zprávu České národní bance a Evropskému orgánu pro cenné papíry a trhy, a</w:t>
            </w:r>
          </w:p>
          <w:p w:rsidR="00170F03" w:rsidRPr="00170F03" w:rsidRDefault="00170F03" w:rsidP="00170F03">
            <w:pPr>
              <w:spacing w:before="40" w:after="40"/>
              <w:jc w:val="both"/>
              <w:rPr>
                <w:sz w:val="18"/>
              </w:rPr>
            </w:pPr>
            <w:r>
              <w:rPr>
                <w:sz w:val="18"/>
              </w:rPr>
              <w:t>b)</w:t>
            </w:r>
            <w:r w:rsidRPr="00170F03">
              <w:rPr>
                <w:sz w:val="18"/>
              </w:rPr>
              <w:t>alespoň jednou denně poskytne České národní bance úplný rozpis pozic držených všemi osobami v daném obchodním systému, včetn</w:t>
            </w:r>
            <w:r>
              <w:rPr>
                <w:sz w:val="18"/>
              </w:rPr>
              <w:t>ě účastníků a jejich zákazníků.</w:t>
            </w:r>
          </w:p>
          <w:p w:rsidR="00170F03" w:rsidRPr="00170F03" w:rsidRDefault="00170F03" w:rsidP="00170F03">
            <w:pPr>
              <w:spacing w:before="40" w:after="40"/>
              <w:jc w:val="both"/>
              <w:rPr>
                <w:sz w:val="18"/>
              </w:rPr>
            </w:pPr>
            <w:r w:rsidRPr="00170F03">
              <w:rPr>
                <w:sz w:val="18"/>
              </w:rPr>
              <w:t>(2) Obchodník s cennými papíry, který obchoduje s komoditními deriváty nebo povolenkami na emise skleníkových plynů a jejich deriváty, poskytne alespoň jednou denně úplný rozpis svých pozic získaných v komoditních derivátech nebo v povolenkách na emise skleníkových plynů nebo jejich derivátech obchodovaných v obchodním systému a v ekonomicky rovnocenných OTC derivátech, jakož i pozic zákazníků a jejich zákazníků, a to až po koncového zákazníka, v souladu s čl. 26 nařízení Evropského parlamentu a Rady (EU) č. 600/2014, a pokud se použije, s čl. 8 nařízení Evropského parlamentu a Rady (EU) č. 1227/2011,</w:t>
            </w:r>
          </w:p>
          <w:p w:rsidR="00170F03" w:rsidRPr="00170F03" w:rsidRDefault="00170F03" w:rsidP="00170F03">
            <w:pPr>
              <w:spacing w:before="40" w:after="40"/>
              <w:jc w:val="both"/>
              <w:rPr>
                <w:sz w:val="18"/>
              </w:rPr>
            </w:pPr>
            <w:r>
              <w:rPr>
                <w:sz w:val="18"/>
              </w:rPr>
              <w:t>a)</w:t>
            </w:r>
            <w:r w:rsidRPr="00170F03">
              <w:rPr>
                <w:sz w:val="18"/>
              </w:rPr>
              <w:t>orgánu dohledu členského státu Evropské unie, který udělil povolení provozovateli obchodního systému, kde jsou tyto komoditní deriváty nebo povolenky na emise skleníkových plynů a jejich deriváty obvykle obchodovány, nebo</w:t>
            </w:r>
          </w:p>
          <w:p w:rsidR="00170F03" w:rsidRPr="00170F03" w:rsidRDefault="00170F03" w:rsidP="00170F03">
            <w:pPr>
              <w:spacing w:before="40" w:after="40"/>
              <w:jc w:val="both"/>
              <w:rPr>
                <w:sz w:val="18"/>
              </w:rPr>
            </w:pPr>
            <w:r>
              <w:rPr>
                <w:sz w:val="18"/>
              </w:rPr>
              <w:t>b)</w:t>
            </w:r>
            <w:r w:rsidRPr="00170F03">
              <w:rPr>
                <w:sz w:val="18"/>
              </w:rPr>
              <w:t>jsou-li komoditní deriváty nebo povolenky na emise skleníkových plynů nebo jejich deriváty obchodovány ve významném množství v obchodních systémech ve více státech, orgánu dohledu členského státu Evropské unie, který udělil povolení provozovateli obchodního systému, kde je obchodováno nej</w:t>
            </w:r>
            <w:r>
              <w:rPr>
                <w:sz w:val="18"/>
              </w:rPr>
              <w:t>větší množství tohoto derivátu.</w:t>
            </w:r>
          </w:p>
          <w:p w:rsidR="00170F03" w:rsidRPr="00170F03" w:rsidRDefault="00170F03" w:rsidP="00170F03">
            <w:pPr>
              <w:spacing w:before="40" w:after="40"/>
              <w:jc w:val="both"/>
              <w:rPr>
                <w:sz w:val="18"/>
              </w:rPr>
            </w:pPr>
            <w:r w:rsidRPr="00170F03">
              <w:rPr>
                <w:sz w:val="18"/>
              </w:rPr>
              <w:t xml:space="preserve">(2) Obchodník s cennými papíry, který obchoduje s komoditními deriváty nebo s povolenkami na emise skleníkových plynů nebo jejich deriváty, poskytne alespoň jednou denně úplný rozpis svých pozic získaných v ekonomicky rovnocenných OTC derivátech, a případně v komoditních derivátech nebo v povolenkách na emise skleníkových plynů nebo jejich derivátech obchodovaných v obchodním systému, jakož i pozic zákazníků a jejich zákazníků, a to až po koncového </w:t>
            </w:r>
            <w:r w:rsidRPr="00170F03">
              <w:rPr>
                <w:sz w:val="18"/>
              </w:rPr>
              <w:lastRenderedPageBreak/>
              <w:t>zákazníka, v souladu s čl. 26 nařízení Evropského parlamentu a Rady (EU) č. 600/201453), a pokud se použije, s čl. 8 nařízení Evropského parla</w:t>
            </w:r>
            <w:r>
              <w:rPr>
                <w:sz w:val="18"/>
              </w:rPr>
              <w:t>mentu a Rady (EU) č. 1227/2011,</w:t>
            </w:r>
          </w:p>
          <w:p w:rsidR="00170F03" w:rsidRPr="00170F03" w:rsidRDefault="00170F03" w:rsidP="00170F03">
            <w:pPr>
              <w:spacing w:before="40" w:after="40"/>
              <w:jc w:val="both"/>
              <w:rPr>
                <w:sz w:val="18"/>
              </w:rPr>
            </w:pPr>
            <w:r>
              <w:rPr>
                <w:sz w:val="18"/>
              </w:rPr>
              <w:t>a)</w:t>
            </w:r>
            <w:r w:rsidRPr="00170F03">
              <w:rPr>
                <w:sz w:val="18"/>
              </w:rPr>
              <w:t>orgánu dohledu členského státu Evropské unie, který udělil povolení provozovateli obchodního systému, kde je obchodováno největší množství těchto derivátů, nebo</w:t>
            </w:r>
          </w:p>
          <w:p w:rsidR="00170F03" w:rsidRDefault="00170F03" w:rsidP="00170F03">
            <w:pPr>
              <w:spacing w:before="40" w:after="40"/>
              <w:jc w:val="both"/>
              <w:rPr>
                <w:sz w:val="18"/>
              </w:rPr>
            </w:pPr>
            <w:r>
              <w:rPr>
                <w:sz w:val="18"/>
              </w:rPr>
              <w:t>b)</w:t>
            </w:r>
            <w:r w:rsidRPr="00170F03">
              <w:rPr>
                <w:sz w:val="18"/>
              </w:rPr>
              <w:t>pokud orgán dohledu členského státu Evropské unie podle písmene a) neexistuje, orgánu dohledu členského státu Evropské unie, který udělil povolení provozovateli obchodního systému, kde jsou tyto komoditní deriváty nebo povolenky na emise skleníkových plynů nebo jejich deriváty obvykle obchodovány.</w:t>
            </w:r>
          </w:p>
          <w:p w:rsidR="00170F03" w:rsidRPr="00170F03" w:rsidRDefault="00170F03" w:rsidP="00170F03">
            <w:pPr>
              <w:spacing w:before="40" w:after="40"/>
              <w:jc w:val="both"/>
              <w:rPr>
                <w:sz w:val="18"/>
              </w:rPr>
            </w:pPr>
            <w:r w:rsidRPr="00170F03">
              <w:rPr>
                <w:sz w:val="18"/>
              </w:rPr>
              <w:t>(3) Provozovatel obchodního systému zařadí osoby podle odstavce 1 písm. a) podle povahy jejich hlavní podnikatelské činnosti, s přihlédnutím k jakémukoliv platnému po</w:t>
            </w:r>
            <w:r>
              <w:rPr>
                <w:sz w:val="18"/>
              </w:rPr>
              <w:t>volení, jako</w:t>
            </w:r>
          </w:p>
          <w:p w:rsidR="00170F03" w:rsidRPr="00170F03" w:rsidRDefault="00170F03" w:rsidP="00170F03">
            <w:pPr>
              <w:spacing w:before="40" w:after="40"/>
              <w:jc w:val="both"/>
              <w:rPr>
                <w:sz w:val="18"/>
              </w:rPr>
            </w:pPr>
            <w:r>
              <w:rPr>
                <w:sz w:val="18"/>
              </w:rPr>
              <w:t>a)</w:t>
            </w:r>
            <w:r w:rsidRPr="00170F03">
              <w:rPr>
                <w:sz w:val="18"/>
              </w:rPr>
              <w:t>obchodníka s cennými papíry, banku, spořitelní a úvěrní družstvo, nebo obdobnou zahraniční osobu se sídlem nebo skutečným sídlem v jiném členském státě Evropské unie,</w:t>
            </w:r>
          </w:p>
          <w:p w:rsidR="00170F03" w:rsidRPr="00170F03" w:rsidRDefault="00170F03" w:rsidP="00170F03">
            <w:pPr>
              <w:spacing w:before="40" w:after="40"/>
              <w:jc w:val="both"/>
              <w:rPr>
                <w:sz w:val="18"/>
              </w:rPr>
            </w:pPr>
            <w:r>
              <w:rPr>
                <w:sz w:val="18"/>
              </w:rPr>
              <w:t>b)</w:t>
            </w:r>
            <w:r w:rsidRPr="00170F03">
              <w:rPr>
                <w:sz w:val="18"/>
              </w:rPr>
              <w:t>investiční fond nebo zahraniční investiční fond, s rozlišením, zda jde o standardní fond nebo srovnatelný zahraniční investiční fond, nebo o jiný investiční fond nebo zahraniční investiční fond,</w:t>
            </w:r>
          </w:p>
          <w:p w:rsidR="00170F03" w:rsidRPr="00170F03" w:rsidRDefault="00170F03" w:rsidP="00170F03">
            <w:pPr>
              <w:spacing w:before="40" w:after="40"/>
              <w:jc w:val="both"/>
              <w:rPr>
                <w:sz w:val="18"/>
              </w:rPr>
            </w:pPr>
            <w:r>
              <w:rPr>
                <w:sz w:val="18"/>
              </w:rPr>
              <w:t>c)</w:t>
            </w:r>
            <w:r w:rsidRPr="00170F03">
              <w:rPr>
                <w:sz w:val="18"/>
              </w:rPr>
              <w:t>jinou povolenou nebo regulovanou finanční instituci, včetně pojišťovny, zajišťovny, instituce penzijního pojištění se státním příspěvkem nebo obdobnou zahraniční osobu se sídlem nebo skutečným sídlem v jiném členském státě Evropské unie, včetně institucí zaměstnaneckého penzijního pojištění,</w:t>
            </w:r>
          </w:p>
          <w:p w:rsidR="00170F03" w:rsidRPr="00170F03" w:rsidRDefault="00170F03" w:rsidP="00170F03">
            <w:pPr>
              <w:spacing w:before="40" w:after="40"/>
              <w:jc w:val="both"/>
              <w:rPr>
                <w:sz w:val="18"/>
              </w:rPr>
            </w:pPr>
            <w:r>
              <w:rPr>
                <w:sz w:val="18"/>
              </w:rPr>
              <w:t>d)</w:t>
            </w:r>
            <w:r w:rsidRPr="00170F03">
              <w:rPr>
                <w:sz w:val="18"/>
              </w:rPr>
              <w:t>jiného podnikatele, nebo</w:t>
            </w:r>
          </w:p>
          <w:p w:rsidR="00170F03" w:rsidRPr="00170F03" w:rsidRDefault="00170F03" w:rsidP="00170F03">
            <w:pPr>
              <w:spacing w:before="40" w:after="40"/>
              <w:jc w:val="both"/>
              <w:rPr>
                <w:sz w:val="18"/>
              </w:rPr>
            </w:pPr>
            <w:r>
              <w:rPr>
                <w:sz w:val="18"/>
              </w:rPr>
              <w:t>e)</w:t>
            </w:r>
            <w:r w:rsidRPr="00170F03">
              <w:rPr>
                <w:sz w:val="18"/>
              </w:rPr>
              <w:t>provozovatele zařízení nebo letadla povinného dodržovat požadavky zákona upravujícího podmínky obchodování s povolenkami na emise skleníkových plynů nebo obdobných ustanovení práva jiného členského státu Evropské unie, jde-li o povolenky na emise sklení</w:t>
            </w:r>
            <w:r>
              <w:rPr>
                <w:sz w:val="18"/>
              </w:rPr>
              <w:t>kových plynů a jejich deriváty.</w:t>
            </w:r>
          </w:p>
          <w:p w:rsidR="00A42B00" w:rsidRPr="0095332C" w:rsidRDefault="00170F03" w:rsidP="00170F03">
            <w:pPr>
              <w:spacing w:before="40" w:after="40"/>
              <w:jc w:val="both"/>
              <w:rPr>
                <w:b/>
                <w:sz w:val="18"/>
                <w:u w:val="single"/>
              </w:rPr>
            </w:pPr>
            <w:r w:rsidRPr="00170F03">
              <w:rPr>
                <w:sz w:val="18"/>
              </w:rPr>
              <w:t>(4) Povinnost podávat zprávy o pozicích podle odstavce 1 se nevztahuje na investiční cenné papíry uvedené v § 3 odst. 2 písm. d) a e), které souvisí s komoditou nebo s podkladovým aktivem uvedeným v § 3 odst. 1 písm. j).</w:t>
            </w:r>
          </w:p>
        </w:tc>
        <w:tc>
          <w:tcPr>
            <w:tcW w:w="818" w:type="dxa"/>
            <w:tcBorders>
              <w:top w:val="single" w:sz="4" w:space="0" w:color="auto"/>
              <w:left w:val="single" w:sz="4" w:space="0" w:color="auto"/>
              <w:bottom w:val="nil"/>
              <w:right w:val="single" w:sz="4" w:space="0" w:color="auto"/>
            </w:tcBorders>
          </w:tcPr>
          <w:p w:rsidR="00A42B00" w:rsidRPr="00605684" w:rsidRDefault="0095332C" w:rsidP="00605684">
            <w:pPr>
              <w:spacing w:before="40" w:after="40"/>
              <w:rPr>
                <w:sz w:val="18"/>
              </w:rPr>
            </w:pPr>
            <w:r>
              <w:rPr>
                <w:sz w:val="18"/>
              </w:rPr>
              <w:lastRenderedPageBreak/>
              <w:t>P</w:t>
            </w:r>
            <w:r w:rsidR="00A42B00" w:rsidRPr="00605684">
              <w:rPr>
                <w:sz w:val="18"/>
              </w:rPr>
              <w:t>T</w:t>
            </w:r>
          </w:p>
        </w:tc>
        <w:tc>
          <w:tcPr>
            <w:tcW w:w="655" w:type="dxa"/>
            <w:tcBorders>
              <w:top w:val="single" w:sz="4" w:space="0" w:color="auto"/>
              <w:left w:val="single" w:sz="4" w:space="0" w:color="auto"/>
              <w:bottom w:val="nil"/>
              <w:right w:val="single" w:sz="4" w:space="0" w:color="auto"/>
            </w:tcBorders>
          </w:tcPr>
          <w:p w:rsidR="00A42B00" w:rsidRPr="00605684" w:rsidRDefault="00A42B00" w:rsidP="00605684">
            <w:pPr>
              <w:spacing w:before="40" w:after="40"/>
              <w:rPr>
                <w:sz w:val="18"/>
              </w:rPr>
            </w:pPr>
          </w:p>
        </w:tc>
      </w:tr>
      <w:tr w:rsidR="00025712" w:rsidRPr="00605684" w:rsidTr="00717329">
        <w:tc>
          <w:tcPr>
            <w:tcW w:w="1427" w:type="dxa"/>
            <w:gridSpan w:val="2"/>
            <w:tcBorders>
              <w:top w:val="single" w:sz="4" w:space="0" w:color="auto"/>
              <w:left w:val="single" w:sz="4" w:space="0" w:color="auto"/>
              <w:bottom w:val="nil"/>
              <w:right w:val="single" w:sz="4" w:space="0" w:color="auto"/>
            </w:tcBorders>
          </w:tcPr>
          <w:p w:rsidR="00A42B00" w:rsidRPr="00605684" w:rsidRDefault="00F93F08" w:rsidP="00F93F08">
            <w:pPr>
              <w:spacing w:before="40" w:after="40"/>
              <w:rPr>
                <w:sz w:val="18"/>
              </w:rPr>
            </w:pPr>
            <w:r>
              <w:rPr>
                <w:sz w:val="18"/>
              </w:rPr>
              <w:lastRenderedPageBreak/>
              <w:t xml:space="preserve">Článek </w:t>
            </w:r>
            <w:r w:rsidR="00F85AFE">
              <w:rPr>
                <w:sz w:val="18"/>
              </w:rPr>
              <w:t>1</w:t>
            </w:r>
            <w:r w:rsidR="00A42B00" w:rsidRPr="00605684">
              <w:rPr>
                <w:sz w:val="18"/>
              </w:rPr>
              <w:t xml:space="preserve"> </w:t>
            </w:r>
            <w:r w:rsidR="00A42B00">
              <w:rPr>
                <w:sz w:val="18"/>
              </w:rPr>
              <w:t>bod</w:t>
            </w:r>
            <w:r w:rsidR="00A42B00" w:rsidRPr="00605684">
              <w:rPr>
                <w:sz w:val="18"/>
              </w:rPr>
              <w:t xml:space="preserve"> </w:t>
            </w:r>
            <w:r w:rsidR="00F85AFE">
              <w:rPr>
                <w:sz w:val="18"/>
              </w:rPr>
              <w:t>12</w:t>
            </w:r>
          </w:p>
        </w:tc>
        <w:tc>
          <w:tcPr>
            <w:tcW w:w="5210" w:type="dxa"/>
            <w:gridSpan w:val="3"/>
            <w:tcBorders>
              <w:top w:val="single" w:sz="4" w:space="0" w:color="auto"/>
              <w:left w:val="single" w:sz="4" w:space="0" w:color="auto"/>
              <w:bottom w:val="nil"/>
              <w:right w:val="single" w:sz="18" w:space="0" w:color="auto"/>
            </w:tcBorders>
          </w:tcPr>
          <w:p w:rsidR="00F85AFE" w:rsidRPr="00F85AFE" w:rsidRDefault="00F85AFE" w:rsidP="00F85AFE">
            <w:pPr>
              <w:shd w:val="clear" w:color="auto" w:fill="FFFFFF"/>
              <w:spacing w:before="40" w:after="40"/>
              <w:jc w:val="both"/>
              <w:rPr>
                <w:sz w:val="18"/>
                <w:szCs w:val="18"/>
              </w:rPr>
            </w:pPr>
            <w:r>
              <w:rPr>
                <w:sz w:val="18"/>
                <w:szCs w:val="18"/>
              </w:rPr>
              <w:t xml:space="preserve">12. </w:t>
            </w:r>
            <w:r w:rsidRPr="00F85AFE">
              <w:rPr>
                <w:sz w:val="18"/>
                <w:szCs w:val="18"/>
              </w:rPr>
              <w:t>V článku 73 se odstavec 2 nahrazuje tímto:</w:t>
            </w:r>
          </w:p>
          <w:p w:rsidR="00A42B00" w:rsidRPr="000D5D7C" w:rsidRDefault="00F85AFE" w:rsidP="00605684">
            <w:pPr>
              <w:shd w:val="clear" w:color="auto" w:fill="FFFFFF"/>
              <w:spacing w:before="40" w:after="40"/>
              <w:jc w:val="both"/>
              <w:rPr>
                <w:sz w:val="18"/>
                <w:szCs w:val="18"/>
              </w:rPr>
            </w:pPr>
            <w:r w:rsidRPr="00F85AFE">
              <w:rPr>
                <w:sz w:val="18"/>
                <w:szCs w:val="18"/>
              </w:rPr>
              <w:t xml:space="preserve">„2.   Členské státy vyžadují, aby investiční podniky, organizátoři trhu, schválené systémy pro uveřejňování informací a schválené mechanismy pro hlášení obchodů povolené v souladu s nařízením </w:t>
            </w:r>
            <w:r w:rsidRPr="00F85AFE">
              <w:rPr>
                <w:sz w:val="18"/>
                <w:szCs w:val="18"/>
              </w:rPr>
              <w:lastRenderedPageBreak/>
              <w:t>(EU) č. 600/2014, které mají výjimku v souladu s čl. 2 odst. 3 uvedeného nařízení, úvěrové instituce v souvislosti s investičními službami nebo činnostmi a doplňkovými službami a pobočky podniků ze třetích zemí měli zavedeny vhodné postupy, aby jejich zaměstnanci mohli interně prostřednictvím zvláštního, nezávislého a samostatného komunikačního kanálu oznamovat potenciální neb</w:t>
            </w:r>
            <w:r>
              <w:rPr>
                <w:sz w:val="18"/>
                <w:szCs w:val="18"/>
              </w:rPr>
              <w:t>o skutečná porušení předpisů.“;</w:t>
            </w:r>
          </w:p>
        </w:tc>
        <w:tc>
          <w:tcPr>
            <w:tcW w:w="1292" w:type="dxa"/>
            <w:tcBorders>
              <w:top w:val="single" w:sz="4" w:space="0" w:color="auto"/>
              <w:left w:val="single" w:sz="18" w:space="0" w:color="auto"/>
              <w:bottom w:val="nil"/>
              <w:right w:val="single" w:sz="4" w:space="0" w:color="auto"/>
            </w:tcBorders>
          </w:tcPr>
          <w:p w:rsidR="00A42B00" w:rsidRPr="00605684" w:rsidRDefault="004D36A3" w:rsidP="006962CB">
            <w:pPr>
              <w:spacing w:before="40" w:after="40"/>
              <w:rPr>
                <w:sz w:val="18"/>
              </w:rPr>
            </w:pPr>
            <w:r>
              <w:rPr>
                <w:sz w:val="18"/>
              </w:rPr>
              <w:lastRenderedPageBreak/>
              <w:t xml:space="preserve">256/2004 </w:t>
            </w:r>
            <w:r w:rsidR="006962CB" w:rsidRPr="00170F03">
              <w:rPr>
                <w:sz w:val="18"/>
              </w:rPr>
              <w:t xml:space="preserve">ve znění </w:t>
            </w:r>
            <w:r w:rsidR="00580EE1">
              <w:rPr>
                <w:sz w:val="18"/>
              </w:rPr>
              <w:t>204/2017</w:t>
            </w:r>
            <w:r>
              <w:rPr>
                <w:sz w:val="18"/>
              </w:rPr>
              <w:t xml:space="preserve"> </w:t>
            </w:r>
            <w:r w:rsidR="006962CB" w:rsidRPr="00170F03">
              <w:rPr>
                <w:sz w:val="18"/>
              </w:rPr>
              <w:t>96/2022</w:t>
            </w:r>
          </w:p>
        </w:tc>
        <w:tc>
          <w:tcPr>
            <w:tcW w:w="1104" w:type="dxa"/>
            <w:tcBorders>
              <w:top w:val="single" w:sz="4" w:space="0" w:color="auto"/>
              <w:left w:val="single" w:sz="4" w:space="0" w:color="auto"/>
              <w:bottom w:val="nil"/>
              <w:right w:val="single" w:sz="4" w:space="0" w:color="auto"/>
            </w:tcBorders>
          </w:tcPr>
          <w:p w:rsidR="00A42B00" w:rsidRPr="00605684" w:rsidRDefault="006962CB" w:rsidP="00605684">
            <w:pPr>
              <w:spacing w:before="40" w:after="40"/>
              <w:rPr>
                <w:sz w:val="18"/>
              </w:rPr>
            </w:pPr>
            <w:r>
              <w:rPr>
                <w:sz w:val="18"/>
              </w:rPr>
              <w:t>§ 12i odst. 1</w:t>
            </w:r>
          </w:p>
        </w:tc>
        <w:tc>
          <w:tcPr>
            <w:tcW w:w="5425" w:type="dxa"/>
            <w:gridSpan w:val="4"/>
            <w:tcBorders>
              <w:top w:val="single" w:sz="4" w:space="0" w:color="auto"/>
              <w:left w:val="single" w:sz="4" w:space="0" w:color="auto"/>
              <w:bottom w:val="nil"/>
              <w:right w:val="single" w:sz="4" w:space="0" w:color="auto"/>
            </w:tcBorders>
          </w:tcPr>
          <w:p w:rsidR="006962CB" w:rsidRPr="006962CB" w:rsidRDefault="006962CB" w:rsidP="006962CB">
            <w:pPr>
              <w:keepNext/>
              <w:keepLines/>
              <w:jc w:val="both"/>
              <w:rPr>
                <w:sz w:val="18"/>
                <w:szCs w:val="18"/>
              </w:rPr>
            </w:pPr>
            <w:r w:rsidRPr="006962CB">
              <w:rPr>
                <w:sz w:val="18"/>
                <w:szCs w:val="18"/>
              </w:rPr>
              <w:t xml:space="preserve">(1) Obchodník s cennými papíry zavede, udržuje a uplatňuje pro své pracovníky účinný mechanismus k hlášení porušení nebo hrozícího porušení tohoto zákona, právních předpisů jej provádějících a přímo použitelného předpisu Evropské unie v oblasti činností na finančních </w:t>
            </w:r>
            <w:r w:rsidRPr="006962CB">
              <w:rPr>
                <w:sz w:val="18"/>
                <w:szCs w:val="18"/>
              </w:rPr>
              <w:lastRenderedPageBreak/>
              <w:t>trzích</w:t>
            </w:r>
            <w:r w:rsidRPr="006962CB">
              <w:rPr>
                <w:sz w:val="18"/>
                <w:szCs w:val="18"/>
                <w:vertAlign w:val="superscript"/>
              </w:rPr>
              <w:t>2)</w:t>
            </w:r>
            <w:r w:rsidRPr="006962CB">
              <w:rPr>
                <w:sz w:val="18"/>
                <w:szCs w:val="18"/>
              </w:rPr>
              <w:t xml:space="preserve"> prostřednictvím zvláštního, nezávislého a samostatného komunikačního kanálu. Tento mechanismus k hlášení může být stanoven sociálními partnery při zajištění stejné míry ochrany, jako je vyžadována podle odstavce 2 písm. b) a c).</w:t>
            </w:r>
          </w:p>
          <w:p w:rsidR="00A42B00" w:rsidRPr="00605684" w:rsidRDefault="00A42B00" w:rsidP="009A0D97">
            <w:pPr>
              <w:spacing w:before="40" w:after="40"/>
              <w:jc w:val="both"/>
              <w:rPr>
                <w:sz w:val="18"/>
              </w:rPr>
            </w:pPr>
          </w:p>
        </w:tc>
        <w:tc>
          <w:tcPr>
            <w:tcW w:w="818" w:type="dxa"/>
            <w:tcBorders>
              <w:top w:val="single" w:sz="4" w:space="0" w:color="auto"/>
              <w:left w:val="single" w:sz="4" w:space="0" w:color="auto"/>
              <w:bottom w:val="nil"/>
              <w:right w:val="single" w:sz="4" w:space="0" w:color="auto"/>
            </w:tcBorders>
          </w:tcPr>
          <w:p w:rsidR="00A42B00" w:rsidRPr="00605684" w:rsidRDefault="00170F03" w:rsidP="00605684">
            <w:pPr>
              <w:spacing w:before="40" w:after="40"/>
              <w:rPr>
                <w:sz w:val="18"/>
              </w:rPr>
            </w:pPr>
            <w:r>
              <w:rPr>
                <w:sz w:val="18"/>
              </w:rPr>
              <w:lastRenderedPageBreak/>
              <w:t>P</w:t>
            </w:r>
            <w:r w:rsidR="00A42B00" w:rsidRPr="00605684">
              <w:rPr>
                <w:sz w:val="18"/>
              </w:rPr>
              <w:t>T</w:t>
            </w:r>
          </w:p>
        </w:tc>
        <w:tc>
          <w:tcPr>
            <w:tcW w:w="655" w:type="dxa"/>
            <w:tcBorders>
              <w:top w:val="single" w:sz="4" w:space="0" w:color="auto"/>
              <w:left w:val="single" w:sz="4" w:space="0" w:color="auto"/>
              <w:bottom w:val="nil"/>
              <w:right w:val="single" w:sz="4" w:space="0" w:color="auto"/>
            </w:tcBorders>
          </w:tcPr>
          <w:p w:rsidR="00A42B00" w:rsidRPr="00605684" w:rsidRDefault="00A42B00" w:rsidP="00605684">
            <w:pPr>
              <w:spacing w:before="40" w:after="40"/>
              <w:rPr>
                <w:sz w:val="18"/>
              </w:rPr>
            </w:pPr>
          </w:p>
        </w:tc>
      </w:tr>
      <w:tr w:rsidR="00025712" w:rsidRPr="00605684" w:rsidTr="00717329">
        <w:tc>
          <w:tcPr>
            <w:tcW w:w="1427" w:type="dxa"/>
            <w:gridSpan w:val="2"/>
            <w:tcBorders>
              <w:top w:val="single" w:sz="4" w:space="0" w:color="auto"/>
              <w:left w:val="single" w:sz="4" w:space="0" w:color="auto"/>
              <w:bottom w:val="nil"/>
              <w:right w:val="single" w:sz="4" w:space="0" w:color="auto"/>
            </w:tcBorders>
          </w:tcPr>
          <w:p w:rsidR="00A42B00" w:rsidRPr="00605684" w:rsidRDefault="00F93F08" w:rsidP="00F85AFE">
            <w:pPr>
              <w:spacing w:before="40" w:after="40"/>
              <w:rPr>
                <w:sz w:val="18"/>
              </w:rPr>
            </w:pPr>
            <w:r>
              <w:rPr>
                <w:sz w:val="18"/>
              </w:rPr>
              <w:t xml:space="preserve">Článek </w:t>
            </w:r>
            <w:r w:rsidR="00F85AFE">
              <w:rPr>
                <w:sz w:val="18"/>
              </w:rPr>
              <w:t>1</w:t>
            </w:r>
            <w:r w:rsidR="00A42B00" w:rsidRPr="00605684">
              <w:rPr>
                <w:sz w:val="18"/>
              </w:rPr>
              <w:t xml:space="preserve"> </w:t>
            </w:r>
            <w:r w:rsidR="00A42B00">
              <w:rPr>
                <w:sz w:val="18"/>
              </w:rPr>
              <w:t>bod</w:t>
            </w:r>
            <w:r w:rsidR="00A42B00" w:rsidRPr="00605684">
              <w:rPr>
                <w:sz w:val="18"/>
              </w:rPr>
              <w:t xml:space="preserve"> </w:t>
            </w:r>
            <w:r w:rsidR="00F85AFE">
              <w:rPr>
                <w:sz w:val="18"/>
              </w:rPr>
              <w:t>13</w:t>
            </w:r>
          </w:p>
        </w:tc>
        <w:tc>
          <w:tcPr>
            <w:tcW w:w="5210" w:type="dxa"/>
            <w:gridSpan w:val="3"/>
            <w:tcBorders>
              <w:top w:val="single" w:sz="4" w:space="0" w:color="auto"/>
              <w:left w:val="single" w:sz="4" w:space="0" w:color="auto"/>
              <w:bottom w:val="nil"/>
              <w:right w:val="single" w:sz="18" w:space="0" w:color="auto"/>
            </w:tcBorders>
          </w:tcPr>
          <w:p w:rsidR="00F85AFE" w:rsidRPr="00F85AFE" w:rsidRDefault="00F85AFE" w:rsidP="00F85AFE">
            <w:pPr>
              <w:shd w:val="clear" w:color="auto" w:fill="FFFFFF"/>
              <w:spacing w:before="40" w:after="40"/>
              <w:jc w:val="both"/>
              <w:rPr>
                <w:sz w:val="18"/>
                <w:szCs w:val="18"/>
              </w:rPr>
            </w:pPr>
            <w:r>
              <w:rPr>
                <w:sz w:val="18"/>
                <w:szCs w:val="18"/>
              </w:rPr>
              <w:t xml:space="preserve">13. </w:t>
            </w:r>
            <w:r w:rsidRPr="00F85AFE">
              <w:rPr>
                <w:sz w:val="18"/>
                <w:szCs w:val="18"/>
              </w:rPr>
              <w:t>V článku 89 se o</w:t>
            </w:r>
            <w:r>
              <w:rPr>
                <w:sz w:val="18"/>
                <w:szCs w:val="18"/>
              </w:rPr>
              <w:t>dstavce 2 až 5 nahrazují tímto:</w:t>
            </w:r>
          </w:p>
          <w:p w:rsidR="00F85AFE" w:rsidRPr="00F85AFE" w:rsidRDefault="00F85AFE" w:rsidP="00F85AFE">
            <w:pPr>
              <w:shd w:val="clear" w:color="auto" w:fill="FFFFFF"/>
              <w:spacing w:before="40" w:after="40"/>
              <w:jc w:val="both"/>
              <w:rPr>
                <w:sz w:val="18"/>
                <w:szCs w:val="18"/>
              </w:rPr>
            </w:pPr>
            <w:r w:rsidRPr="00F85AFE">
              <w:rPr>
                <w:sz w:val="18"/>
                <w:szCs w:val="18"/>
              </w:rPr>
              <w:t>„2.   Přenesení pravomoci uvedené v čl. 2 odst. 3, čl. 2 odst. 4, čl. 4 odst. 1 bodě 2 druhém pododstavci, čl. 4 odst. 2, čl. 13 odst. 1, čl. 16 odst. 12, čl. 23 odst. 4, čl. 24 odst. 13, čl. 25 odst. 8, čl. 27 odst. 9, čl. 28 odst. 3, čl. 30 odst. 5, čl. 31 odst. 4, čl. 32 odst. 4, čl. 33 odst. 8, čl. 52 odst. 4, čl. 54 odst. 4, čl. 58 odst. 6, čl. 64 odst. 7, čl. 65 odst. 7 a čl. 79 odst. 8 je svěřeno Komisi na dobu</w:t>
            </w:r>
            <w:r>
              <w:rPr>
                <w:sz w:val="18"/>
                <w:szCs w:val="18"/>
              </w:rPr>
              <w:t xml:space="preserve"> neurčitou od 2. července 2014.</w:t>
            </w:r>
          </w:p>
          <w:p w:rsidR="00F85AFE" w:rsidRPr="00F85AFE" w:rsidRDefault="00F85AFE" w:rsidP="00F85AFE">
            <w:pPr>
              <w:shd w:val="clear" w:color="auto" w:fill="FFFFFF"/>
              <w:spacing w:before="40" w:after="40"/>
              <w:jc w:val="both"/>
              <w:rPr>
                <w:sz w:val="18"/>
                <w:szCs w:val="18"/>
              </w:rPr>
            </w:pPr>
            <w:r w:rsidRPr="00F85AFE">
              <w:rPr>
                <w:sz w:val="18"/>
                <w:szCs w:val="18"/>
              </w:rPr>
              <w:t>3.   Evropský parlament nebo Rada mohou přenesení pravomoci uvedené v čl. 2 odst. 3, čl. 2 odst. 4, čl. 4 odst. 1 bodě 2 druhém pododstavci, čl. 4 odst. 2, čl. 13 odst. 1, čl. 16 odst. 12, čl. 23 odst. 4, čl. 24 odst. 13, čl. 25 odst. 8, čl. 27 odst. 9, čl. 28 odst. 3, čl. 30 odst. 5, čl. 31 odst. 4, čl. 32 odst. 4, čl. 33 odst. 8, čl. 52 odst. 4, čl. 54 odst. 4, čl. 58 odst. 6, čl. 64 odst. 7, čl. 65 odst. 7 a čl. 79 odst. 8 kdykoli zrušit. Rozhodnutím o zrušení se ukončuje přenesení pravomoci v něm blíže určené. Rozhodnutí nabývá účinku prvním dnem po zveřejnění v Úředním věstníku Evropské unie, nebo k pozdějšímu dni, který je v něm upřesněn. Nedotýká se platnosti již platn</w:t>
            </w:r>
            <w:r>
              <w:rPr>
                <w:sz w:val="18"/>
                <w:szCs w:val="18"/>
              </w:rPr>
              <w:t>ých aktů v přenesené pravomoci.</w:t>
            </w:r>
          </w:p>
          <w:p w:rsidR="00F85AFE" w:rsidRPr="00F85AFE" w:rsidRDefault="00F85AFE" w:rsidP="00F85AFE">
            <w:pPr>
              <w:shd w:val="clear" w:color="auto" w:fill="FFFFFF"/>
              <w:spacing w:before="40" w:after="40"/>
              <w:jc w:val="both"/>
              <w:rPr>
                <w:sz w:val="18"/>
                <w:szCs w:val="18"/>
              </w:rPr>
            </w:pPr>
            <w:r w:rsidRPr="00F85AFE">
              <w:rPr>
                <w:sz w:val="18"/>
                <w:szCs w:val="18"/>
              </w:rPr>
              <w:t>4.   Přijetí aktu v přenesené pravomoci Komise neprodleně oznámí současn</w:t>
            </w:r>
            <w:r>
              <w:rPr>
                <w:sz w:val="18"/>
                <w:szCs w:val="18"/>
              </w:rPr>
              <w:t>ě Evropskému parlamentu a Radě.</w:t>
            </w:r>
          </w:p>
          <w:p w:rsidR="00A42B00" w:rsidRPr="00605684" w:rsidRDefault="00F85AFE" w:rsidP="00F85AFE">
            <w:pPr>
              <w:shd w:val="clear" w:color="auto" w:fill="FFFFFF"/>
              <w:spacing w:before="40" w:after="40"/>
              <w:jc w:val="both"/>
              <w:rPr>
                <w:sz w:val="18"/>
                <w:szCs w:val="18"/>
              </w:rPr>
            </w:pPr>
            <w:r w:rsidRPr="00F85AFE">
              <w:rPr>
                <w:sz w:val="18"/>
                <w:szCs w:val="18"/>
              </w:rPr>
              <w:t>5.   Akt v přenesené pravomoci přijatý podle čl. 2 odst. 3, čl. 2 odst. 4, čl. 4 odst. 1 bodě 2 druhého pododstavce, čl. 4 odst. 2, čl. 13 odst. 1, čl. 16 odst. 12, čl. 23 odst. 4, čl. 24 odst. 13, čl. 25 odst. 8, čl. 27 odst. 9, čl. 28 odst. 3, čl. 30 odst. 5, čl. 31 odst. 4, čl. 32 odst. 4, čl. 33 odst. 8, čl. 52 odst. 4, čl. 54 odst. 4, čl. 58 odst. 6, čl. 64 odst. 7, čl. 65 odst. 7 nebo čl. 79 odst. 8 vstoupí v platnost, pouze pokud vůči němu Evropský parlament ani Rada nevysloví námitky ve lhůtě tří měsíců ode dne, kdy jim byl tento akt oznámen, nebo pokud Evropský parlament i Rada před uplynutím této lhůty informují Komisi o tom, že námitky nevysloví. Z podnětu Evropského parlamentu nebo Rady se tato</w:t>
            </w:r>
            <w:r>
              <w:rPr>
                <w:sz w:val="18"/>
                <w:szCs w:val="18"/>
              </w:rPr>
              <w:t xml:space="preserve"> lhůta prodlouží o tři měsíce.“</w:t>
            </w:r>
          </w:p>
        </w:tc>
        <w:tc>
          <w:tcPr>
            <w:tcW w:w="1292" w:type="dxa"/>
            <w:tcBorders>
              <w:top w:val="single" w:sz="4" w:space="0" w:color="auto"/>
              <w:left w:val="single" w:sz="18" w:space="0" w:color="auto"/>
              <w:bottom w:val="nil"/>
              <w:right w:val="single" w:sz="4" w:space="0" w:color="auto"/>
            </w:tcBorders>
          </w:tcPr>
          <w:p w:rsidR="00A42B00" w:rsidRPr="00605684" w:rsidRDefault="00A42B00" w:rsidP="00605684">
            <w:pPr>
              <w:spacing w:before="40" w:after="40"/>
              <w:rPr>
                <w:sz w:val="18"/>
              </w:rPr>
            </w:pPr>
          </w:p>
        </w:tc>
        <w:tc>
          <w:tcPr>
            <w:tcW w:w="1104" w:type="dxa"/>
            <w:tcBorders>
              <w:top w:val="single" w:sz="4" w:space="0" w:color="auto"/>
              <w:left w:val="single" w:sz="4" w:space="0" w:color="auto"/>
              <w:bottom w:val="nil"/>
              <w:right w:val="single" w:sz="4" w:space="0" w:color="auto"/>
            </w:tcBorders>
          </w:tcPr>
          <w:p w:rsidR="00A42B00" w:rsidRPr="00605684" w:rsidRDefault="00A42B00" w:rsidP="00605684">
            <w:pPr>
              <w:spacing w:before="40" w:after="40"/>
              <w:rPr>
                <w:sz w:val="18"/>
              </w:rPr>
            </w:pPr>
          </w:p>
        </w:tc>
        <w:tc>
          <w:tcPr>
            <w:tcW w:w="5425" w:type="dxa"/>
            <w:gridSpan w:val="4"/>
            <w:tcBorders>
              <w:top w:val="single" w:sz="4" w:space="0" w:color="auto"/>
              <w:left w:val="single" w:sz="4" w:space="0" w:color="auto"/>
              <w:bottom w:val="nil"/>
              <w:right w:val="single" w:sz="4" w:space="0" w:color="auto"/>
            </w:tcBorders>
          </w:tcPr>
          <w:p w:rsidR="00A42B00" w:rsidRPr="00092BB3" w:rsidRDefault="00092BB3" w:rsidP="004568E8">
            <w:pPr>
              <w:spacing w:before="40" w:after="40"/>
              <w:jc w:val="both"/>
              <w:rPr>
                <w:i/>
                <w:sz w:val="18"/>
              </w:rPr>
            </w:pPr>
            <w:r w:rsidRPr="00092BB3">
              <w:rPr>
                <w:i/>
                <w:sz w:val="18"/>
              </w:rPr>
              <w:t>Nerelevantní z hlediska transpozice. Povinnost je uložena Komisi.</w:t>
            </w:r>
          </w:p>
        </w:tc>
        <w:tc>
          <w:tcPr>
            <w:tcW w:w="818" w:type="dxa"/>
            <w:tcBorders>
              <w:top w:val="single" w:sz="4" w:space="0" w:color="auto"/>
              <w:left w:val="single" w:sz="4" w:space="0" w:color="auto"/>
              <w:bottom w:val="nil"/>
              <w:right w:val="single" w:sz="4" w:space="0" w:color="auto"/>
            </w:tcBorders>
          </w:tcPr>
          <w:p w:rsidR="00A42B00" w:rsidRPr="00605684" w:rsidRDefault="00092BB3" w:rsidP="00605684">
            <w:pPr>
              <w:spacing w:before="40" w:after="40"/>
              <w:rPr>
                <w:sz w:val="18"/>
              </w:rPr>
            </w:pPr>
            <w:r>
              <w:rPr>
                <w:sz w:val="18"/>
              </w:rPr>
              <w:t>N</w:t>
            </w:r>
            <w:r w:rsidR="00A42B00" w:rsidRPr="00605684">
              <w:rPr>
                <w:sz w:val="18"/>
              </w:rPr>
              <w:t>T</w:t>
            </w:r>
          </w:p>
        </w:tc>
        <w:tc>
          <w:tcPr>
            <w:tcW w:w="655" w:type="dxa"/>
            <w:tcBorders>
              <w:top w:val="single" w:sz="4" w:space="0" w:color="auto"/>
              <w:left w:val="single" w:sz="4" w:space="0" w:color="auto"/>
              <w:bottom w:val="nil"/>
              <w:right w:val="single" w:sz="4" w:space="0" w:color="auto"/>
            </w:tcBorders>
          </w:tcPr>
          <w:p w:rsidR="00A42B00" w:rsidRPr="00605684" w:rsidRDefault="00A42B00" w:rsidP="00605684">
            <w:pPr>
              <w:spacing w:before="40" w:after="40"/>
              <w:rPr>
                <w:sz w:val="18"/>
              </w:rPr>
            </w:pPr>
          </w:p>
        </w:tc>
      </w:tr>
      <w:tr w:rsidR="00025712" w:rsidRPr="00605684" w:rsidTr="007D3DE8">
        <w:tc>
          <w:tcPr>
            <w:tcW w:w="1427" w:type="dxa"/>
            <w:gridSpan w:val="2"/>
            <w:tcBorders>
              <w:top w:val="single" w:sz="4" w:space="0" w:color="auto"/>
              <w:left w:val="single" w:sz="4" w:space="0" w:color="auto"/>
              <w:bottom w:val="nil"/>
              <w:right w:val="single" w:sz="4" w:space="0" w:color="auto"/>
            </w:tcBorders>
          </w:tcPr>
          <w:p w:rsidR="00A42B00" w:rsidRPr="00605684" w:rsidRDefault="00F93F08" w:rsidP="00F93F08">
            <w:pPr>
              <w:spacing w:before="40" w:after="40"/>
              <w:rPr>
                <w:sz w:val="18"/>
              </w:rPr>
            </w:pPr>
            <w:r>
              <w:rPr>
                <w:sz w:val="18"/>
              </w:rPr>
              <w:lastRenderedPageBreak/>
              <w:t xml:space="preserve">Článek </w:t>
            </w:r>
            <w:r w:rsidR="00280355">
              <w:rPr>
                <w:sz w:val="18"/>
              </w:rPr>
              <w:t>1 bod 14</w:t>
            </w:r>
          </w:p>
        </w:tc>
        <w:tc>
          <w:tcPr>
            <w:tcW w:w="5210" w:type="dxa"/>
            <w:gridSpan w:val="3"/>
            <w:tcBorders>
              <w:top w:val="single" w:sz="4" w:space="0" w:color="auto"/>
              <w:left w:val="single" w:sz="4" w:space="0" w:color="auto"/>
              <w:bottom w:val="nil"/>
              <w:right w:val="single" w:sz="18" w:space="0" w:color="auto"/>
            </w:tcBorders>
          </w:tcPr>
          <w:p w:rsidR="00280355" w:rsidRPr="00280355" w:rsidRDefault="00280355" w:rsidP="00280355">
            <w:pPr>
              <w:shd w:val="clear" w:color="auto" w:fill="FFFFFF"/>
              <w:spacing w:before="40" w:after="40"/>
              <w:jc w:val="both"/>
              <w:rPr>
                <w:sz w:val="18"/>
                <w:szCs w:val="18"/>
              </w:rPr>
            </w:pPr>
            <w:r>
              <w:rPr>
                <w:sz w:val="18"/>
                <w:szCs w:val="18"/>
              </w:rPr>
              <w:t xml:space="preserve">14. </w:t>
            </w:r>
            <w:r w:rsidRPr="00280355">
              <w:rPr>
                <w:sz w:val="18"/>
                <w:szCs w:val="18"/>
              </w:rPr>
              <w:t>V článku 90 se vkládá nový odstavec, který zní:</w:t>
            </w:r>
          </w:p>
          <w:p w:rsidR="00A42B00" w:rsidRPr="000D5D7C" w:rsidRDefault="00280355" w:rsidP="000D5D7C">
            <w:pPr>
              <w:shd w:val="clear" w:color="auto" w:fill="FFFFFF"/>
              <w:spacing w:before="40" w:after="40"/>
              <w:jc w:val="both"/>
              <w:rPr>
                <w:sz w:val="18"/>
                <w:szCs w:val="18"/>
              </w:rPr>
            </w:pPr>
            <w:r w:rsidRPr="00280355">
              <w:rPr>
                <w:sz w:val="18"/>
                <w:szCs w:val="18"/>
              </w:rPr>
              <w:t>„1a.   Do 31. prosince 2021 Komise provede přezkum dopadu výjimky stanovené v čl. 2 odst. 1 písm. j), pokud jde o povolenky na emise či jejich deriváty, a tento přezkum případně doprovodí legislativním návrhem na změnu této výjimky. V této souvislosti Komise posoudí obchodování s povolenkami na emise či s jejich deriváty v Unii a ve třetích zemích, dopad výjimky stanovené v čl. 2 odst. 1 písm. j) na ochranu investorů, integritu a transparentnost trhů s povolenkami na emise a s jejich deriváty a také to, zda by měla být přijata opatření v souvislosti s obchodováním, ke kterému dochází v obch</w:t>
            </w:r>
            <w:r>
              <w:rPr>
                <w:sz w:val="18"/>
                <w:szCs w:val="18"/>
              </w:rPr>
              <w:t>odních systémech třetích zemí.“</w:t>
            </w:r>
          </w:p>
        </w:tc>
        <w:tc>
          <w:tcPr>
            <w:tcW w:w="1292" w:type="dxa"/>
            <w:tcBorders>
              <w:top w:val="single" w:sz="4" w:space="0" w:color="auto"/>
              <w:left w:val="single" w:sz="18" w:space="0" w:color="auto"/>
              <w:bottom w:val="nil"/>
              <w:right w:val="single" w:sz="4" w:space="0" w:color="auto"/>
            </w:tcBorders>
          </w:tcPr>
          <w:p w:rsidR="00A42B00" w:rsidRPr="00605684" w:rsidRDefault="00A42B00" w:rsidP="009E393F">
            <w:pPr>
              <w:spacing w:before="40" w:after="40"/>
              <w:rPr>
                <w:sz w:val="18"/>
              </w:rPr>
            </w:pPr>
          </w:p>
        </w:tc>
        <w:tc>
          <w:tcPr>
            <w:tcW w:w="1104" w:type="dxa"/>
            <w:tcBorders>
              <w:top w:val="single" w:sz="4" w:space="0" w:color="auto"/>
              <w:left w:val="single" w:sz="4" w:space="0" w:color="auto"/>
              <w:bottom w:val="nil"/>
              <w:right w:val="single" w:sz="4" w:space="0" w:color="auto"/>
            </w:tcBorders>
          </w:tcPr>
          <w:p w:rsidR="00A42B00" w:rsidRPr="00605684" w:rsidRDefault="00A42B00" w:rsidP="003E0AD8">
            <w:pPr>
              <w:spacing w:before="40" w:after="40"/>
              <w:rPr>
                <w:sz w:val="18"/>
              </w:rPr>
            </w:pPr>
          </w:p>
        </w:tc>
        <w:tc>
          <w:tcPr>
            <w:tcW w:w="5425" w:type="dxa"/>
            <w:gridSpan w:val="4"/>
            <w:tcBorders>
              <w:top w:val="single" w:sz="4" w:space="0" w:color="auto"/>
              <w:left w:val="single" w:sz="4" w:space="0" w:color="auto"/>
              <w:bottom w:val="nil"/>
              <w:right w:val="single" w:sz="4" w:space="0" w:color="auto"/>
            </w:tcBorders>
          </w:tcPr>
          <w:p w:rsidR="00A42B00" w:rsidRPr="00605684" w:rsidRDefault="00677288" w:rsidP="00FB72AE">
            <w:pPr>
              <w:spacing w:before="40" w:after="40"/>
              <w:jc w:val="both"/>
              <w:rPr>
                <w:sz w:val="18"/>
              </w:rPr>
            </w:pPr>
            <w:r>
              <w:rPr>
                <w:i/>
                <w:sz w:val="18"/>
              </w:rPr>
              <w:t xml:space="preserve">Nerelevantní z hlediska </w:t>
            </w:r>
            <w:r w:rsidR="00FB72AE">
              <w:rPr>
                <w:i/>
                <w:sz w:val="18"/>
              </w:rPr>
              <w:t>transpozice.</w:t>
            </w:r>
            <w:r>
              <w:rPr>
                <w:i/>
                <w:sz w:val="18"/>
              </w:rPr>
              <w:t xml:space="preserve"> </w:t>
            </w:r>
            <w:r w:rsidR="00FB72AE">
              <w:rPr>
                <w:i/>
                <w:sz w:val="18"/>
              </w:rPr>
              <w:t>Povinnost</w:t>
            </w:r>
            <w:r>
              <w:rPr>
                <w:i/>
                <w:sz w:val="18"/>
              </w:rPr>
              <w:t xml:space="preserve"> j</w:t>
            </w:r>
            <w:r w:rsidR="00FB72AE">
              <w:rPr>
                <w:i/>
                <w:sz w:val="18"/>
              </w:rPr>
              <w:t>e uložena</w:t>
            </w:r>
            <w:r>
              <w:rPr>
                <w:i/>
                <w:sz w:val="18"/>
              </w:rPr>
              <w:t xml:space="preserve"> Komisi.</w:t>
            </w:r>
          </w:p>
        </w:tc>
        <w:tc>
          <w:tcPr>
            <w:tcW w:w="818" w:type="dxa"/>
            <w:tcBorders>
              <w:top w:val="single" w:sz="4" w:space="0" w:color="auto"/>
              <w:left w:val="single" w:sz="4" w:space="0" w:color="auto"/>
              <w:bottom w:val="nil"/>
              <w:right w:val="single" w:sz="4" w:space="0" w:color="auto"/>
            </w:tcBorders>
          </w:tcPr>
          <w:p w:rsidR="00A42B00" w:rsidRPr="00605684" w:rsidRDefault="00821F49" w:rsidP="00605684">
            <w:pPr>
              <w:spacing w:before="40" w:after="40"/>
              <w:rPr>
                <w:sz w:val="18"/>
              </w:rPr>
            </w:pPr>
            <w:r>
              <w:rPr>
                <w:sz w:val="18"/>
              </w:rPr>
              <w:t>N</w:t>
            </w:r>
            <w:r w:rsidR="00A42B00" w:rsidRPr="00605684">
              <w:rPr>
                <w:sz w:val="18"/>
              </w:rPr>
              <w:t>T</w:t>
            </w:r>
          </w:p>
        </w:tc>
        <w:tc>
          <w:tcPr>
            <w:tcW w:w="655" w:type="dxa"/>
            <w:tcBorders>
              <w:top w:val="single" w:sz="4" w:space="0" w:color="auto"/>
              <w:left w:val="single" w:sz="4" w:space="0" w:color="auto"/>
              <w:bottom w:val="nil"/>
              <w:right w:val="single" w:sz="4" w:space="0" w:color="auto"/>
            </w:tcBorders>
          </w:tcPr>
          <w:p w:rsidR="00A42B00" w:rsidRPr="00605684" w:rsidRDefault="00A42B00" w:rsidP="00605684">
            <w:pPr>
              <w:spacing w:before="40" w:after="40"/>
              <w:rPr>
                <w:sz w:val="18"/>
              </w:rPr>
            </w:pPr>
          </w:p>
        </w:tc>
      </w:tr>
      <w:tr w:rsidR="00B228DA" w:rsidRPr="00605684" w:rsidTr="004D36A3">
        <w:tc>
          <w:tcPr>
            <w:tcW w:w="1427" w:type="dxa"/>
            <w:gridSpan w:val="2"/>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r>
              <w:rPr>
                <w:sz w:val="18"/>
              </w:rPr>
              <w:t xml:space="preserve">Článek 2 </w:t>
            </w:r>
          </w:p>
        </w:tc>
        <w:tc>
          <w:tcPr>
            <w:tcW w:w="5210" w:type="dxa"/>
            <w:gridSpan w:val="3"/>
            <w:tcBorders>
              <w:top w:val="single" w:sz="4" w:space="0" w:color="auto"/>
              <w:left w:val="single" w:sz="4" w:space="0" w:color="auto"/>
              <w:bottom w:val="nil"/>
              <w:right w:val="single" w:sz="18" w:space="0" w:color="auto"/>
            </w:tcBorders>
          </w:tcPr>
          <w:p w:rsidR="00B228DA" w:rsidRPr="00280355" w:rsidRDefault="00B228DA" w:rsidP="00B228DA">
            <w:pPr>
              <w:shd w:val="clear" w:color="auto" w:fill="FFFFFF"/>
              <w:spacing w:before="40" w:after="40"/>
              <w:jc w:val="center"/>
              <w:rPr>
                <w:b/>
                <w:sz w:val="18"/>
                <w:szCs w:val="18"/>
              </w:rPr>
            </w:pPr>
            <w:r w:rsidRPr="00280355">
              <w:rPr>
                <w:b/>
                <w:sz w:val="18"/>
                <w:szCs w:val="18"/>
              </w:rPr>
              <w:t>Změny směrnice (EU) 2019/878</w:t>
            </w:r>
          </w:p>
          <w:p w:rsidR="00B228DA" w:rsidRPr="00280355" w:rsidRDefault="00B228DA" w:rsidP="00B228DA">
            <w:pPr>
              <w:shd w:val="clear" w:color="auto" w:fill="FFFFFF"/>
              <w:spacing w:before="40" w:after="40"/>
              <w:jc w:val="both"/>
              <w:rPr>
                <w:sz w:val="18"/>
                <w:szCs w:val="18"/>
              </w:rPr>
            </w:pPr>
            <w:r w:rsidRPr="00280355">
              <w:rPr>
                <w:sz w:val="18"/>
                <w:szCs w:val="18"/>
              </w:rPr>
              <w:t>V článku 2</w:t>
            </w:r>
            <w:r>
              <w:rPr>
                <w:sz w:val="18"/>
                <w:szCs w:val="18"/>
              </w:rPr>
              <w:t xml:space="preserve"> se odstavec 1 nahrazuje tímto:</w:t>
            </w:r>
          </w:p>
          <w:p w:rsidR="00B228DA" w:rsidRPr="00280355" w:rsidRDefault="00B228DA" w:rsidP="00B228DA">
            <w:pPr>
              <w:shd w:val="clear" w:color="auto" w:fill="FFFFFF"/>
              <w:spacing w:before="40" w:after="40"/>
              <w:jc w:val="both"/>
              <w:rPr>
                <w:sz w:val="18"/>
                <w:szCs w:val="18"/>
              </w:rPr>
            </w:pPr>
            <w:r w:rsidRPr="00280355">
              <w:rPr>
                <w:sz w:val="18"/>
                <w:szCs w:val="18"/>
              </w:rPr>
              <w:t>„1.   Členské státy do 28. prosince 2020 přijmou a zveřejní opatření nezbytná pro dosažení souladu s:</w:t>
            </w:r>
          </w:p>
          <w:p w:rsidR="00B228DA" w:rsidRPr="00280355" w:rsidRDefault="00B228DA" w:rsidP="00B228DA">
            <w:pPr>
              <w:shd w:val="clear" w:color="auto" w:fill="FFFFFF"/>
              <w:spacing w:before="40" w:after="40"/>
              <w:jc w:val="both"/>
              <w:rPr>
                <w:sz w:val="18"/>
                <w:szCs w:val="18"/>
              </w:rPr>
            </w:pPr>
            <w:r w:rsidRPr="00280355">
              <w:rPr>
                <w:sz w:val="18"/>
                <w:szCs w:val="18"/>
              </w:rPr>
              <w:t>a)</w:t>
            </w:r>
            <w:r>
              <w:rPr>
                <w:sz w:val="18"/>
                <w:szCs w:val="18"/>
              </w:rPr>
              <w:t xml:space="preserve"> </w:t>
            </w:r>
            <w:r w:rsidRPr="00280355">
              <w:rPr>
                <w:sz w:val="18"/>
                <w:szCs w:val="18"/>
              </w:rPr>
              <w:t>ustanoveními této směrnice, v rozsahu, v jakém se týkají úvěrových institucí;</w:t>
            </w:r>
          </w:p>
          <w:p w:rsidR="00B228DA" w:rsidRPr="00280355" w:rsidRDefault="00B228DA" w:rsidP="00B228DA">
            <w:pPr>
              <w:shd w:val="clear" w:color="auto" w:fill="FFFFFF"/>
              <w:spacing w:before="40" w:after="40"/>
              <w:jc w:val="both"/>
              <w:rPr>
                <w:sz w:val="18"/>
                <w:szCs w:val="18"/>
              </w:rPr>
            </w:pPr>
            <w:r w:rsidRPr="00280355">
              <w:rPr>
                <w:sz w:val="18"/>
                <w:szCs w:val="18"/>
              </w:rPr>
              <w:t>b)</w:t>
            </w:r>
            <w:r>
              <w:rPr>
                <w:sz w:val="18"/>
                <w:szCs w:val="18"/>
              </w:rPr>
              <w:t xml:space="preserve"> </w:t>
            </w:r>
            <w:r w:rsidRPr="00280355">
              <w:rPr>
                <w:sz w:val="18"/>
                <w:szCs w:val="18"/>
              </w:rPr>
              <w:t>ustanoveními čl. 1 bodů 1 a 9 této směrnice, pokud jde o čl. 2 odst. 5 a 6 a článek 21b směrnice 2013/36/EU, v rozsahu, v jakém se týkají úvěrových in</w:t>
            </w:r>
            <w:r>
              <w:rPr>
                <w:sz w:val="18"/>
                <w:szCs w:val="18"/>
              </w:rPr>
              <w:t>stitucí a investičních podniků.</w:t>
            </w:r>
          </w:p>
          <w:p w:rsidR="00B228DA" w:rsidRDefault="00B228DA" w:rsidP="00B228DA">
            <w:pPr>
              <w:shd w:val="clear" w:color="auto" w:fill="FFFFFF"/>
              <w:spacing w:before="40" w:after="40"/>
              <w:jc w:val="both"/>
              <w:rPr>
                <w:sz w:val="18"/>
                <w:szCs w:val="18"/>
              </w:rPr>
            </w:pPr>
            <w:r w:rsidRPr="00280355">
              <w:rPr>
                <w:sz w:val="18"/>
                <w:szCs w:val="18"/>
              </w:rPr>
              <w:t>Neprodleně o nich uvědomí Komisi.</w:t>
            </w:r>
            <w:r>
              <w:rPr>
                <w:sz w:val="18"/>
                <w:szCs w:val="18"/>
              </w:rPr>
              <w:t xml:space="preserve"> </w:t>
            </w:r>
          </w:p>
          <w:p w:rsidR="00B228DA" w:rsidRPr="00280355" w:rsidRDefault="00B228DA" w:rsidP="00B228DA">
            <w:pPr>
              <w:shd w:val="clear" w:color="auto" w:fill="FFFFFF"/>
              <w:spacing w:before="40" w:after="40"/>
              <w:jc w:val="both"/>
              <w:rPr>
                <w:sz w:val="18"/>
                <w:szCs w:val="18"/>
              </w:rPr>
            </w:pPr>
            <w:r w:rsidRPr="00280355">
              <w:rPr>
                <w:sz w:val="18"/>
                <w:szCs w:val="18"/>
              </w:rPr>
              <w:t>Použijí tato opatření ode dne 29. prosince 2020. Ustanovení nezbytná pro dosažení souladu se změnami stanovenými v čl. 1 bodě 21 a 29 písm. a), b) a c) této směrnice, pokud jde o článek 84 a čl. 98 odst. 5 a 5a směrnice 2013/36/EU, se však použijí ode dne 28. června 2021 a ustanovení nezbytná pro dosažení souladu se změnami stanovenými v čl. 1 bodech 52 a 53 této směrnice, pokud jde o články 141b, 141c a čl. 142 odst. 1 směrnice 2013/36/EU, se použijí ode dne 1. ledna 2022.</w:t>
            </w:r>
          </w:p>
          <w:p w:rsidR="00B228DA" w:rsidRPr="00280355" w:rsidRDefault="00B228DA" w:rsidP="00B228DA">
            <w:pPr>
              <w:shd w:val="clear" w:color="auto" w:fill="FFFFFF"/>
              <w:spacing w:before="40" w:after="40"/>
              <w:jc w:val="both"/>
              <w:rPr>
                <w:sz w:val="18"/>
                <w:szCs w:val="18"/>
              </w:rPr>
            </w:pPr>
            <w:r w:rsidRPr="00280355">
              <w:rPr>
                <w:sz w:val="18"/>
                <w:szCs w:val="18"/>
              </w:rPr>
              <w:t>Členské státy přijmou, zveřejní a použijí do 26. června 2021 opatření nezbytná pro dosažení souladu s touto směrnicí, pokud se týkají investičních podniků, s výjimkou opatření uvedených v prvním pododstavci písm. b).</w:t>
            </w:r>
          </w:p>
          <w:p w:rsidR="00B228DA" w:rsidRPr="000D5D7C" w:rsidRDefault="00B228DA" w:rsidP="00B228DA">
            <w:pPr>
              <w:shd w:val="clear" w:color="auto" w:fill="FFFFFF"/>
              <w:spacing w:before="40" w:after="40"/>
              <w:jc w:val="both"/>
              <w:rPr>
                <w:sz w:val="18"/>
                <w:szCs w:val="18"/>
              </w:rPr>
            </w:pPr>
            <w:r w:rsidRPr="00280355">
              <w:rPr>
                <w:sz w:val="18"/>
                <w:szCs w:val="18"/>
              </w:rPr>
              <w:t>Tato opatření přijatá členskými státy musí obsahovat odkaz na tuto směrnici nebo musí být takový odkaz učiněn při jejich úředním vyhlášení. Způsob odkazu si stanoví členské státy.“</w:t>
            </w:r>
          </w:p>
        </w:tc>
        <w:tc>
          <w:tcPr>
            <w:tcW w:w="1292" w:type="dxa"/>
            <w:tcBorders>
              <w:top w:val="single" w:sz="4" w:space="0" w:color="auto"/>
              <w:left w:val="single" w:sz="18" w:space="0" w:color="auto"/>
              <w:bottom w:val="nil"/>
              <w:right w:val="single" w:sz="4" w:space="0" w:color="auto"/>
            </w:tcBorders>
          </w:tcPr>
          <w:p w:rsidR="00B228DA" w:rsidRPr="00605684" w:rsidRDefault="00B228DA" w:rsidP="00B228DA">
            <w:pPr>
              <w:spacing w:before="40" w:after="40"/>
              <w:rPr>
                <w:sz w:val="18"/>
              </w:rPr>
            </w:pPr>
            <w:r>
              <w:rPr>
                <w:sz w:val="18"/>
              </w:rPr>
              <w:t>256/</w:t>
            </w:r>
            <w:r w:rsidR="004D36A3">
              <w:rPr>
                <w:sz w:val="18"/>
              </w:rPr>
              <w:t xml:space="preserve">2004 ve znění 230/2008 </w:t>
            </w:r>
            <w:r w:rsidR="00FA4A0A">
              <w:rPr>
                <w:sz w:val="18"/>
              </w:rPr>
              <w:t>16</w:t>
            </w:r>
            <w:r w:rsidR="00FB338F">
              <w:rPr>
                <w:sz w:val="18"/>
              </w:rPr>
              <w:t>0</w:t>
            </w:r>
            <w:r w:rsidR="004D36A3">
              <w:rPr>
                <w:sz w:val="18"/>
              </w:rPr>
              <w:t>/2010 41/2011</w:t>
            </w:r>
            <w:r w:rsidR="00346C3F">
              <w:rPr>
                <w:sz w:val="18"/>
              </w:rPr>
              <w:t xml:space="preserve"> 37/2012 254/2012 241/2013 303/2013 148/2016 183/2017 204/2017 307/2018</w:t>
            </w:r>
            <w:r w:rsidR="004D36A3">
              <w:rPr>
                <w:sz w:val="18"/>
              </w:rPr>
              <w:t xml:space="preserve"> 119/2020 </w:t>
            </w:r>
            <w:r>
              <w:rPr>
                <w:sz w:val="18"/>
              </w:rPr>
              <w:t>96/2022</w:t>
            </w:r>
          </w:p>
        </w:tc>
        <w:tc>
          <w:tcPr>
            <w:tcW w:w="1104" w:type="dxa"/>
            <w:tcBorders>
              <w:top w:val="single" w:sz="4" w:space="0" w:color="auto"/>
              <w:left w:val="single" w:sz="4" w:space="0" w:color="auto"/>
              <w:bottom w:val="nil"/>
              <w:right w:val="single" w:sz="4" w:space="0" w:color="auto"/>
            </w:tcBorders>
          </w:tcPr>
          <w:p w:rsidR="004A47F5" w:rsidRPr="00605684" w:rsidRDefault="004D36A3" w:rsidP="004D36A3">
            <w:pPr>
              <w:spacing w:before="40" w:after="40"/>
              <w:rPr>
                <w:sz w:val="18"/>
              </w:rPr>
            </w:pPr>
            <w:r>
              <w:rPr>
                <w:sz w:val="18"/>
              </w:rPr>
              <w:t>§ 1</w:t>
            </w:r>
          </w:p>
        </w:tc>
        <w:tc>
          <w:tcPr>
            <w:tcW w:w="5425" w:type="dxa"/>
            <w:gridSpan w:val="4"/>
            <w:tcBorders>
              <w:top w:val="single" w:sz="4" w:space="0" w:color="auto"/>
              <w:left w:val="single" w:sz="4" w:space="0" w:color="auto"/>
              <w:bottom w:val="nil"/>
              <w:right w:val="single" w:sz="4" w:space="0" w:color="auto"/>
            </w:tcBorders>
          </w:tcPr>
          <w:p w:rsidR="004A47F5" w:rsidRPr="004A47F5" w:rsidRDefault="004A47F5" w:rsidP="004A47F5">
            <w:pPr>
              <w:keepNext/>
              <w:keepLines/>
              <w:jc w:val="both"/>
              <w:rPr>
                <w:color w:val="000000" w:themeColor="text1"/>
                <w:sz w:val="18"/>
                <w:szCs w:val="18"/>
              </w:rPr>
            </w:pPr>
            <w:r w:rsidRPr="004A47F5">
              <w:rPr>
                <w:color w:val="000000" w:themeColor="text1"/>
                <w:sz w:val="18"/>
                <w:szCs w:val="18"/>
              </w:rPr>
              <w:t>(1) Tento zákon zapracovává příslušné předpisy Evropské unie</w:t>
            </w:r>
            <w:r w:rsidRPr="004A47F5">
              <w:rPr>
                <w:color w:val="000000" w:themeColor="text1"/>
                <w:sz w:val="18"/>
                <w:szCs w:val="18"/>
                <w:vertAlign w:val="superscript"/>
              </w:rPr>
              <w:t>1)</w:t>
            </w:r>
            <w:r w:rsidRPr="004A47F5">
              <w:rPr>
                <w:color w:val="000000" w:themeColor="text1"/>
                <w:sz w:val="18"/>
                <w:szCs w:val="18"/>
              </w:rPr>
              <w:t>, zároveň navazuje na přímo použitelné předpisy Evropské unie</w:t>
            </w:r>
            <w:r w:rsidRPr="004A47F5">
              <w:rPr>
                <w:color w:val="000000" w:themeColor="text1"/>
                <w:sz w:val="18"/>
                <w:szCs w:val="18"/>
                <w:vertAlign w:val="superscript"/>
              </w:rPr>
              <w:t xml:space="preserve">2) </w:t>
            </w:r>
            <w:r w:rsidRPr="004A47F5">
              <w:rPr>
                <w:color w:val="000000" w:themeColor="text1"/>
                <w:sz w:val="18"/>
                <w:szCs w:val="18"/>
              </w:rPr>
              <w:t>a upravuje poskytování služeb v oblasti kapitálového trhu a ochranu kapitálového trhu a investorů.</w:t>
            </w:r>
          </w:p>
          <w:p w:rsidR="004A47F5" w:rsidRPr="004A47F5" w:rsidRDefault="004A47F5" w:rsidP="004A47F5">
            <w:pPr>
              <w:keepNext/>
              <w:keepLines/>
              <w:jc w:val="both"/>
              <w:rPr>
                <w:color w:val="000000" w:themeColor="text1"/>
                <w:sz w:val="18"/>
                <w:szCs w:val="18"/>
              </w:rPr>
            </w:pPr>
            <w:r w:rsidRPr="004A47F5">
              <w:rPr>
                <w:color w:val="000000" w:themeColor="text1"/>
                <w:sz w:val="18"/>
                <w:szCs w:val="18"/>
              </w:rPr>
              <w:t>(2) Tento zákon zapracovává též příslušné předpisy Evropské unie upravující závěrečné vyrovnání</w:t>
            </w:r>
            <w:r w:rsidRPr="004A47F5">
              <w:rPr>
                <w:color w:val="000000" w:themeColor="text1"/>
                <w:sz w:val="18"/>
                <w:szCs w:val="18"/>
                <w:vertAlign w:val="superscript"/>
              </w:rPr>
              <w:t>24)</w:t>
            </w:r>
            <w:r w:rsidRPr="004A47F5">
              <w:rPr>
                <w:color w:val="000000" w:themeColor="text1"/>
                <w:sz w:val="18"/>
                <w:szCs w:val="18"/>
              </w:rPr>
              <w:t xml:space="preserve"> a upravuje právní režim závěrečného vyrovnání.</w:t>
            </w:r>
          </w:p>
          <w:p w:rsidR="004A47F5" w:rsidRPr="004A47F5" w:rsidRDefault="004A47F5" w:rsidP="004A47F5">
            <w:pPr>
              <w:keepNext/>
              <w:keepLines/>
              <w:jc w:val="both"/>
              <w:rPr>
                <w:color w:val="000000" w:themeColor="text1"/>
                <w:sz w:val="18"/>
                <w:szCs w:val="18"/>
              </w:rPr>
            </w:pPr>
            <w:r w:rsidRPr="004A47F5">
              <w:rPr>
                <w:color w:val="000000" w:themeColor="text1"/>
                <w:sz w:val="18"/>
                <w:szCs w:val="18"/>
              </w:rPr>
              <w:t>(3) Tento zákon dále upravuje působnost České národní banky a Ministerstva financí (dále jen „ministerstvo“) a přestupky v návaznosti na</w:t>
            </w:r>
          </w:p>
          <w:p w:rsidR="004A47F5" w:rsidRPr="004A47F5" w:rsidRDefault="004A47F5" w:rsidP="004A47F5">
            <w:pPr>
              <w:keepNext/>
              <w:keepLines/>
              <w:ind w:firstLine="709"/>
              <w:jc w:val="both"/>
              <w:rPr>
                <w:color w:val="000000" w:themeColor="text1"/>
                <w:sz w:val="18"/>
                <w:szCs w:val="18"/>
              </w:rPr>
            </w:pP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rPr>
              <w:t>a)</w:t>
            </w:r>
            <w:r w:rsidRPr="004A47F5">
              <w:rPr>
                <w:color w:val="000000" w:themeColor="text1"/>
                <w:sz w:val="18"/>
                <w:szCs w:val="18"/>
              </w:rPr>
              <w:tab/>
              <w:t>přímo použitelný předpis Evropské unie upravující ratingové agentury</w:t>
            </w:r>
            <w:r w:rsidRPr="004A47F5">
              <w:rPr>
                <w:color w:val="000000" w:themeColor="text1"/>
                <w:sz w:val="18"/>
                <w:szCs w:val="18"/>
                <w:vertAlign w:val="superscript"/>
              </w:rPr>
              <w:t>49)</w:t>
            </w:r>
            <w:r w:rsidRPr="004A47F5">
              <w:rPr>
                <w:color w:val="000000" w:themeColor="text1"/>
                <w:sz w:val="18"/>
                <w:szCs w:val="18"/>
              </w:rPr>
              <w:t>,</w:t>
            </w: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rPr>
              <w:t>b)</w:t>
            </w:r>
            <w:r w:rsidRPr="004A47F5">
              <w:rPr>
                <w:color w:val="000000" w:themeColor="text1"/>
                <w:sz w:val="18"/>
                <w:szCs w:val="18"/>
              </w:rPr>
              <w:tab/>
              <w:t>přímo použitelný předpis Evropské unie upravující prodej na krátko a některé aspekty swapů úvěrového selhání</w:t>
            </w:r>
            <w:r w:rsidRPr="004A47F5">
              <w:rPr>
                <w:color w:val="000000" w:themeColor="text1"/>
                <w:sz w:val="18"/>
                <w:szCs w:val="18"/>
                <w:vertAlign w:val="superscript"/>
              </w:rPr>
              <w:t>42)</w:t>
            </w:r>
            <w:r w:rsidRPr="004A47F5">
              <w:rPr>
                <w:color w:val="000000" w:themeColor="text1"/>
                <w:sz w:val="18"/>
                <w:szCs w:val="18"/>
              </w:rPr>
              <w:t>,</w:t>
            </w: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rPr>
              <w:t>c)</w:t>
            </w:r>
            <w:r w:rsidRPr="004A47F5">
              <w:rPr>
                <w:color w:val="000000" w:themeColor="text1"/>
                <w:sz w:val="18"/>
                <w:szCs w:val="18"/>
              </w:rPr>
              <w:tab/>
              <w:t>přímo použitelný předpis Evropské unie upravující OTC deriváty, ústřední protistrany a registry obchodních údajů</w:t>
            </w:r>
            <w:r w:rsidRPr="004A47F5">
              <w:rPr>
                <w:color w:val="000000" w:themeColor="text1"/>
                <w:sz w:val="18"/>
                <w:szCs w:val="18"/>
                <w:vertAlign w:val="superscript"/>
              </w:rPr>
              <w:t>43)</w:t>
            </w:r>
            <w:r w:rsidRPr="004A47F5">
              <w:rPr>
                <w:color w:val="000000" w:themeColor="text1"/>
                <w:sz w:val="18"/>
                <w:szCs w:val="18"/>
              </w:rPr>
              <w:t>,</w:t>
            </w: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rPr>
              <w:t>d) přímo použitelný předpis Evropské unie upravující zlepšení vypořádání obchodů s cennými papíry v Evropské unii a centrální depozitáře cenných papírů</w:t>
            </w:r>
            <w:r w:rsidRPr="004A47F5">
              <w:rPr>
                <w:color w:val="000000" w:themeColor="text1"/>
                <w:sz w:val="18"/>
                <w:szCs w:val="18"/>
                <w:vertAlign w:val="superscript"/>
              </w:rPr>
              <w:t>51)</w:t>
            </w:r>
            <w:r w:rsidRPr="004A47F5">
              <w:rPr>
                <w:color w:val="000000" w:themeColor="text1"/>
                <w:sz w:val="18"/>
                <w:szCs w:val="18"/>
              </w:rPr>
              <w:t>,</w:t>
            </w: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rPr>
              <w:t>e) přímo použitelný předpis Evropské unie upravující zneužívání trhu</w:t>
            </w:r>
            <w:r w:rsidRPr="004A47F5">
              <w:rPr>
                <w:color w:val="000000" w:themeColor="text1"/>
                <w:sz w:val="18"/>
                <w:szCs w:val="18"/>
                <w:vertAlign w:val="superscript"/>
              </w:rPr>
              <w:t>52)</w:t>
            </w:r>
            <w:r w:rsidRPr="004A47F5">
              <w:rPr>
                <w:color w:val="000000" w:themeColor="text1"/>
                <w:sz w:val="18"/>
                <w:szCs w:val="18"/>
              </w:rPr>
              <w:t>,</w:t>
            </w: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rPr>
              <w:t>f) přímo použitelný předpis Evropské unie upravující transparentnost obchodů zajišťujících financování a opětovného použití</w:t>
            </w:r>
            <w:r w:rsidRPr="004A47F5">
              <w:rPr>
                <w:color w:val="000000" w:themeColor="text1"/>
                <w:sz w:val="18"/>
                <w:szCs w:val="18"/>
                <w:vertAlign w:val="superscript"/>
              </w:rPr>
              <w:t>61)</w:t>
            </w:r>
            <w:r w:rsidRPr="004A47F5">
              <w:rPr>
                <w:color w:val="000000" w:themeColor="text1"/>
                <w:sz w:val="18"/>
                <w:szCs w:val="18"/>
              </w:rPr>
              <w:t>,</w:t>
            </w: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rPr>
              <w:t>g) přímo použitelný předpis Evropské unie upravující trhy finančních nástrojů</w:t>
            </w:r>
            <w:r w:rsidRPr="004A47F5">
              <w:rPr>
                <w:color w:val="000000" w:themeColor="text1"/>
                <w:sz w:val="18"/>
                <w:szCs w:val="18"/>
                <w:vertAlign w:val="superscript"/>
              </w:rPr>
              <w:t>53)</w:t>
            </w:r>
            <w:r w:rsidRPr="004A47F5">
              <w:rPr>
                <w:color w:val="000000" w:themeColor="text1"/>
                <w:sz w:val="18"/>
                <w:szCs w:val="18"/>
              </w:rPr>
              <w:t>,</w:t>
            </w: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rPr>
              <w:t>h) přímo použitelný předpis Evropské unie upravující sdělení klíčových informací týkajících se strukturovaných retailových investičních produktů a pojistných produktů s investiční složkou</w:t>
            </w:r>
            <w:r w:rsidRPr="004A47F5">
              <w:rPr>
                <w:color w:val="000000" w:themeColor="text1"/>
                <w:sz w:val="18"/>
                <w:szCs w:val="18"/>
                <w:vertAlign w:val="superscript"/>
              </w:rPr>
              <w:t>60)</w:t>
            </w:r>
            <w:r w:rsidRPr="004A47F5">
              <w:rPr>
                <w:color w:val="000000" w:themeColor="text1"/>
                <w:sz w:val="18"/>
                <w:szCs w:val="18"/>
              </w:rPr>
              <w:t>,</w:t>
            </w: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rPr>
              <w:t xml:space="preserve">i) přímo použitelný předpis Evropské unie upravující indexy, které jsou </w:t>
            </w:r>
            <w:r w:rsidRPr="004A47F5">
              <w:rPr>
                <w:color w:val="000000" w:themeColor="text1"/>
                <w:sz w:val="18"/>
                <w:szCs w:val="18"/>
              </w:rPr>
              <w:lastRenderedPageBreak/>
              <w:t>používány jako referenční hodnoty ve finančních nástrojích a finančních smlouvách nebo k měření výkonnosti investičních fondů</w:t>
            </w:r>
            <w:r w:rsidRPr="004A47F5">
              <w:rPr>
                <w:color w:val="000000" w:themeColor="text1"/>
                <w:sz w:val="18"/>
                <w:szCs w:val="18"/>
                <w:vertAlign w:val="superscript"/>
              </w:rPr>
              <w:t>62)</w:t>
            </w:r>
            <w:r w:rsidRPr="004A47F5">
              <w:rPr>
                <w:color w:val="000000" w:themeColor="text1"/>
                <w:sz w:val="18"/>
                <w:szCs w:val="18"/>
              </w:rPr>
              <w:t>,</w:t>
            </w: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rPr>
              <w:t>j) přímo použitelný předpis Evropské unie upravující obecný rámec pro sekuritizaci a vytvářející zvláštní rámec pro jednoduchou, transparentní a standardizovanou sekuritizaci</w:t>
            </w:r>
            <w:r w:rsidRPr="004A47F5">
              <w:rPr>
                <w:color w:val="000000" w:themeColor="text1"/>
                <w:sz w:val="18"/>
                <w:szCs w:val="18"/>
                <w:vertAlign w:val="superscript"/>
              </w:rPr>
              <w:t>63)</w:t>
            </w:r>
            <w:r w:rsidRPr="004A47F5">
              <w:rPr>
                <w:strike/>
                <w:color w:val="000000" w:themeColor="text1"/>
                <w:sz w:val="18"/>
                <w:szCs w:val="18"/>
              </w:rPr>
              <w:t xml:space="preserve"> a</w:t>
            </w:r>
            <w:r w:rsidRPr="004A47F5">
              <w:rPr>
                <w:color w:val="000000" w:themeColor="text1"/>
                <w:sz w:val="18"/>
                <w:szCs w:val="18"/>
              </w:rPr>
              <w:t>,</w:t>
            </w:r>
          </w:p>
          <w:p w:rsidR="004A47F5" w:rsidRPr="004A47F5" w:rsidRDefault="004A47F5" w:rsidP="004A47F5">
            <w:pPr>
              <w:pStyle w:val="Novelizanbod"/>
              <w:widowControl w:val="0"/>
              <w:numPr>
                <w:ilvl w:val="0"/>
                <w:numId w:val="0"/>
              </w:numPr>
              <w:tabs>
                <w:tab w:val="left" w:pos="284"/>
              </w:tabs>
              <w:spacing w:before="0" w:after="0"/>
              <w:ind w:left="284" w:hanging="284"/>
              <w:rPr>
                <w:color w:val="000000" w:themeColor="text1"/>
                <w:sz w:val="18"/>
                <w:szCs w:val="18"/>
              </w:rPr>
            </w:pPr>
            <w:r w:rsidRPr="004A47F5">
              <w:rPr>
                <w:color w:val="000000" w:themeColor="text1"/>
                <w:sz w:val="18"/>
                <w:szCs w:val="18"/>
              </w:rPr>
              <w:t>k) přímo použitelný předpis Evropské unie upravující prospekt, který má být uveřejněn při veřejné nabídce nebo přijetí cenných papírů k obchodování na regulovaném trhu</w:t>
            </w:r>
            <w:r w:rsidRPr="004A47F5">
              <w:rPr>
                <w:color w:val="000000" w:themeColor="text1"/>
                <w:sz w:val="18"/>
                <w:szCs w:val="18"/>
                <w:vertAlign w:val="superscript"/>
              </w:rPr>
              <w:t>66)</w:t>
            </w:r>
            <w:r w:rsidRPr="004A47F5">
              <w:rPr>
                <w:strike/>
                <w:color w:val="000000" w:themeColor="text1"/>
                <w:sz w:val="18"/>
                <w:szCs w:val="18"/>
              </w:rPr>
              <w:t>.</w:t>
            </w:r>
            <w:r w:rsidRPr="004A47F5">
              <w:rPr>
                <w:color w:val="000000" w:themeColor="text1"/>
                <w:sz w:val="18"/>
                <w:szCs w:val="18"/>
              </w:rPr>
              <w:t>,</w:t>
            </w:r>
          </w:p>
          <w:p w:rsidR="004A47F5" w:rsidRPr="004A47F5" w:rsidRDefault="004A47F5" w:rsidP="004A47F5">
            <w:pPr>
              <w:pStyle w:val="Novelizanbod"/>
              <w:widowControl w:val="0"/>
              <w:numPr>
                <w:ilvl w:val="0"/>
                <w:numId w:val="0"/>
              </w:numPr>
              <w:tabs>
                <w:tab w:val="left" w:pos="284"/>
              </w:tabs>
              <w:spacing w:before="0" w:after="0"/>
              <w:ind w:left="284" w:hanging="284"/>
              <w:rPr>
                <w:color w:val="000000" w:themeColor="text1"/>
                <w:sz w:val="18"/>
                <w:szCs w:val="18"/>
              </w:rPr>
            </w:pPr>
            <w:r w:rsidRPr="004A47F5">
              <w:rPr>
                <w:color w:val="000000" w:themeColor="text1"/>
                <w:sz w:val="18"/>
                <w:szCs w:val="18"/>
              </w:rPr>
              <w:t>l)</w:t>
            </w:r>
            <w:r w:rsidRPr="004A47F5">
              <w:rPr>
                <w:color w:val="000000" w:themeColor="text1"/>
                <w:sz w:val="18"/>
                <w:szCs w:val="18"/>
              </w:rPr>
              <w:tab/>
              <w:t>přímo použitelný předpis Evropské unie upravující obezřetnostní požadavky na investiční podniky</w:t>
            </w:r>
            <w:r w:rsidRPr="004A47F5">
              <w:rPr>
                <w:color w:val="000000" w:themeColor="text1"/>
                <w:sz w:val="18"/>
                <w:szCs w:val="18"/>
                <w:vertAlign w:val="superscript"/>
              </w:rPr>
              <w:t>72)</w:t>
            </w:r>
          </w:p>
          <w:p w:rsidR="004A47F5" w:rsidRPr="004A47F5" w:rsidRDefault="004A47F5" w:rsidP="004A47F5">
            <w:pPr>
              <w:pStyle w:val="Novelizanbod"/>
              <w:widowControl w:val="0"/>
              <w:numPr>
                <w:ilvl w:val="0"/>
                <w:numId w:val="0"/>
              </w:numPr>
              <w:tabs>
                <w:tab w:val="left" w:pos="284"/>
              </w:tabs>
              <w:spacing w:before="0" w:after="0"/>
              <w:ind w:left="284" w:hanging="284"/>
              <w:rPr>
                <w:color w:val="000000" w:themeColor="text1"/>
                <w:sz w:val="18"/>
                <w:szCs w:val="18"/>
              </w:rPr>
            </w:pPr>
            <w:r w:rsidRPr="004A47F5">
              <w:rPr>
                <w:color w:val="000000" w:themeColor="text1"/>
                <w:sz w:val="18"/>
                <w:szCs w:val="18"/>
              </w:rPr>
              <w:t>m) přímo použitelný předpis Evropské unie upravující zveřejňování informací souvisejících s udržitelností v odvětví finančních služeb</w:t>
            </w:r>
            <w:r w:rsidRPr="004A47F5">
              <w:rPr>
                <w:color w:val="000000" w:themeColor="text1"/>
                <w:sz w:val="18"/>
                <w:szCs w:val="18"/>
                <w:vertAlign w:val="superscript"/>
              </w:rPr>
              <w:t>73)</w:t>
            </w:r>
            <w:r w:rsidRPr="004A47F5">
              <w:rPr>
                <w:color w:val="000000" w:themeColor="text1"/>
                <w:sz w:val="18"/>
                <w:szCs w:val="18"/>
              </w:rPr>
              <w:t xml:space="preserve"> ve vztahu k obchodníkům s cennými papíry,</w:t>
            </w:r>
          </w:p>
          <w:p w:rsidR="004A47F5" w:rsidRPr="004A47F5" w:rsidRDefault="004A47F5" w:rsidP="004A47F5">
            <w:pPr>
              <w:pStyle w:val="Novelizanbod"/>
              <w:widowControl w:val="0"/>
              <w:numPr>
                <w:ilvl w:val="0"/>
                <w:numId w:val="0"/>
              </w:numPr>
              <w:tabs>
                <w:tab w:val="left" w:pos="284"/>
              </w:tabs>
              <w:spacing w:before="0" w:after="0"/>
              <w:ind w:left="284" w:hanging="284"/>
              <w:rPr>
                <w:color w:val="000000" w:themeColor="text1"/>
                <w:sz w:val="18"/>
                <w:szCs w:val="18"/>
              </w:rPr>
            </w:pPr>
            <w:r w:rsidRPr="004A47F5">
              <w:rPr>
                <w:color w:val="000000" w:themeColor="text1"/>
                <w:sz w:val="18"/>
                <w:szCs w:val="18"/>
              </w:rPr>
              <w:t>n)</w:t>
            </w:r>
            <w:r w:rsidRPr="004A47F5">
              <w:rPr>
                <w:color w:val="000000" w:themeColor="text1"/>
                <w:sz w:val="18"/>
                <w:szCs w:val="18"/>
              </w:rPr>
              <w:tab/>
              <w:t>přímo použitelný předpis Evropské unie upravující zřízení rámce pro usnadnění udržitelných investic</w:t>
            </w:r>
            <w:r w:rsidRPr="004A47F5">
              <w:rPr>
                <w:color w:val="000000" w:themeColor="text1"/>
                <w:sz w:val="18"/>
                <w:szCs w:val="18"/>
                <w:vertAlign w:val="superscript"/>
              </w:rPr>
              <w:t>74)</w:t>
            </w:r>
            <w:r w:rsidRPr="004A47F5">
              <w:rPr>
                <w:color w:val="000000" w:themeColor="text1"/>
                <w:sz w:val="18"/>
                <w:szCs w:val="18"/>
              </w:rPr>
              <w:t xml:space="preserve"> ve vztahu k obchodníkům s cennými papíry,</w:t>
            </w:r>
          </w:p>
          <w:p w:rsidR="004A47F5" w:rsidRPr="004A47F5" w:rsidRDefault="004A47F5" w:rsidP="004A47F5">
            <w:pPr>
              <w:pStyle w:val="Novelizanbod"/>
              <w:widowControl w:val="0"/>
              <w:numPr>
                <w:ilvl w:val="0"/>
                <w:numId w:val="0"/>
              </w:numPr>
              <w:tabs>
                <w:tab w:val="left" w:pos="284"/>
              </w:tabs>
              <w:spacing w:before="0" w:after="0"/>
              <w:ind w:left="284" w:hanging="284"/>
              <w:rPr>
                <w:color w:val="000000" w:themeColor="text1"/>
                <w:sz w:val="18"/>
                <w:szCs w:val="18"/>
              </w:rPr>
            </w:pPr>
            <w:r w:rsidRPr="004A47F5">
              <w:rPr>
                <w:color w:val="000000" w:themeColor="text1"/>
                <w:sz w:val="18"/>
                <w:szCs w:val="18"/>
              </w:rPr>
              <w:t>o)</w:t>
            </w:r>
            <w:r w:rsidRPr="004A47F5">
              <w:rPr>
                <w:color w:val="000000" w:themeColor="text1"/>
                <w:sz w:val="18"/>
                <w:szCs w:val="18"/>
              </w:rPr>
              <w:tab/>
              <w:t>přímo použitelný předpis Evropské unie upravující evropské poskytovatele služeb skupinového financování pro podniky</w:t>
            </w:r>
            <w:r w:rsidRPr="004A47F5">
              <w:rPr>
                <w:color w:val="000000" w:themeColor="text1"/>
                <w:sz w:val="18"/>
                <w:szCs w:val="18"/>
                <w:vertAlign w:val="superscript"/>
              </w:rPr>
              <w:t>75)</w:t>
            </w:r>
            <w:r w:rsidRPr="004A47F5">
              <w:rPr>
                <w:color w:val="000000" w:themeColor="text1"/>
                <w:sz w:val="18"/>
                <w:szCs w:val="18"/>
              </w:rPr>
              <w:t xml:space="preserve"> a</w:t>
            </w:r>
          </w:p>
          <w:p w:rsidR="004A47F5" w:rsidRPr="004A47F5" w:rsidRDefault="004A47F5" w:rsidP="004A47F5">
            <w:pPr>
              <w:pStyle w:val="Novelizanbod"/>
              <w:widowControl w:val="0"/>
              <w:numPr>
                <w:ilvl w:val="0"/>
                <w:numId w:val="0"/>
              </w:numPr>
              <w:tabs>
                <w:tab w:val="left" w:pos="284"/>
              </w:tabs>
              <w:spacing w:before="0" w:after="0"/>
              <w:ind w:left="284" w:hanging="284"/>
              <w:rPr>
                <w:color w:val="000000" w:themeColor="text1"/>
                <w:sz w:val="18"/>
                <w:szCs w:val="18"/>
              </w:rPr>
            </w:pPr>
            <w:r w:rsidRPr="004A47F5">
              <w:rPr>
                <w:color w:val="000000" w:themeColor="text1"/>
                <w:sz w:val="18"/>
                <w:szCs w:val="18"/>
              </w:rPr>
              <w:t>p)</w:t>
            </w:r>
            <w:r w:rsidRPr="004A47F5">
              <w:rPr>
                <w:color w:val="000000" w:themeColor="text1"/>
                <w:sz w:val="18"/>
                <w:szCs w:val="18"/>
              </w:rPr>
              <w:tab/>
              <w:t>přímo použitelný předpis Evropské unie upravující rámec pro ozdravné postupy a řešení krize ústředních protistran</w:t>
            </w:r>
            <w:r w:rsidRPr="004A47F5">
              <w:rPr>
                <w:color w:val="000000" w:themeColor="text1"/>
                <w:sz w:val="18"/>
                <w:szCs w:val="18"/>
                <w:vertAlign w:val="superscript"/>
              </w:rPr>
              <w:t>76)</w:t>
            </w:r>
            <w:r w:rsidRPr="004A47F5">
              <w:rPr>
                <w:color w:val="000000" w:themeColor="text1"/>
                <w:sz w:val="18"/>
                <w:szCs w:val="18"/>
              </w:rPr>
              <w:t>.</w:t>
            </w:r>
          </w:p>
          <w:p w:rsidR="004A47F5" w:rsidRPr="004A47F5" w:rsidRDefault="004A47F5" w:rsidP="004A47F5">
            <w:pPr>
              <w:keepNext/>
              <w:keepLines/>
              <w:jc w:val="both"/>
              <w:rPr>
                <w:sz w:val="18"/>
                <w:szCs w:val="18"/>
              </w:rPr>
            </w:pPr>
            <w:r w:rsidRPr="004A47F5">
              <w:rPr>
                <w:sz w:val="18"/>
                <w:szCs w:val="18"/>
              </w:rPr>
              <w:t>______________</w:t>
            </w:r>
          </w:p>
          <w:p w:rsidR="004A47F5" w:rsidRPr="004A47F5" w:rsidRDefault="004A47F5" w:rsidP="004A47F5">
            <w:pPr>
              <w:keepNext/>
              <w:keepLines/>
              <w:ind w:firstLine="708"/>
              <w:jc w:val="both"/>
              <w:rPr>
                <w:sz w:val="18"/>
                <w:szCs w:val="18"/>
              </w:rPr>
            </w:pP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vertAlign w:val="superscript"/>
              </w:rPr>
              <w:t>1)</w:t>
            </w:r>
            <w:r w:rsidRPr="004A47F5">
              <w:rPr>
                <w:color w:val="000000" w:themeColor="text1"/>
                <w:sz w:val="18"/>
                <w:szCs w:val="18"/>
              </w:rPr>
              <w:tab/>
              <w:t>Směrnice Evropského parlamentu a Rady 97/9/ES ze dne 3. března 1997 o systémech pro odškodnění investorů.</w:t>
            </w: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rPr>
              <w:t>Směrnice Evropského parlamentu a Rady 98/26/ES ze dne 19. května 1998 o neodvolatelnosti zúčtování v platebních systémech a v systémech vypořádání obchodů s cennými papíry, ve znění směrnic Evropského parlamentu a Rady 2009/44/ES, 2010/78/EU a 2019/879 a nařízení Evropského parlamentu a Rady (EU) č. 648/2012 a č. 909/2014.</w:t>
            </w: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rPr>
              <w:t>Směrnice Evropského parlamentu a Rady 2001/34/ES ze dne 28. května 2001 o přijetí cenných papírů ke kotování na burze cenných papírů a o informacích, které k nim mají být zveřejněny, ve znění směrnic Evropského parlamentu a Rady 2003/6/ES, 2003/71/ES, 2004/109/ES a 2005/1/ES.</w:t>
            </w: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rPr>
              <w:t xml:space="preserve">Směrnice Evropského parlamentu a Rady 2004/109/ES ze dne 15. prosince 2004 o harmonizaci požadavků na průhlednost týkajících se informací o emitentech, jejichž cenné papíry jsou přijaty k obchodování na regulovaném trhu, a o změně směrnice 2001/34/ES, ve znění směrnic Evropského parlamentu a Rady 2008/22/ES, </w:t>
            </w:r>
            <w:r w:rsidRPr="004A47F5">
              <w:rPr>
                <w:color w:val="000000" w:themeColor="text1"/>
                <w:sz w:val="18"/>
                <w:szCs w:val="18"/>
              </w:rPr>
              <w:lastRenderedPageBreak/>
              <w:t>2010/73/EU, 2010/78/EU a 2013/50/EU</w:t>
            </w:r>
            <w:r w:rsidRPr="004A47F5">
              <w:rPr>
                <w:sz w:val="18"/>
                <w:szCs w:val="18"/>
              </w:rPr>
              <w:t xml:space="preserve"> </w:t>
            </w:r>
            <w:r w:rsidRPr="004A47F5">
              <w:rPr>
                <w:color w:val="000000" w:themeColor="text1"/>
                <w:sz w:val="18"/>
                <w:szCs w:val="18"/>
              </w:rPr>
              <w:t>a nařízení Evropského parlamentu a Rady (EU) 2021/337.</w:t>
            </w: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rPr>
              <w:t>Směrnice Komise 2007/14/ES ze dne 8. března 2007, kterou se stanoví prováděcí pravidla k některým ustanovením směrnice 2004/109/ES o harmonizaci požadavků na průhlednost týkajících se informací o emitentech, jejichž cenné papíry jsou přijaty k obchodování na regulovaném trhu, ve znění směrnice Evropského parlamentu a Rady 2013/50/EU.</w:t>
            </w: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rPr>
              <w:t>Směrnice Evropského parlamentu a Rady 2007/36/ES ze dne 11. července 2007 o výkonu některých práv akcionářů ve společnostech s kótovanými akciemi, ve znění směrnic Evropského parlamentu a Rady 2014/59/EU a 2017/828.</w:t>
            </w:r>
          </w:p>
          <w:p w:rsidR="004A47F5" w:rsidRPr="004A47F5" w:rsidRDefault="004A47F5" w:rsidP="004A47F5">
            <w:pPr>
              <w:keepNext/>
              <w:keepLines/>
              <w:ind w:left="284" w:hanging="284"/>
              <w:jc w:val="both"/>
              <w:rPr>
                <w:color w:val="000000" w:themeColor="text1"/>
                <w:sz w:val="18"/>
                <w:szCs w:val="18"/>
              </w:rPr>
            </w:pPr>
            <w:r w:rsidRPr="004A47F5">
              <w:rPr>
                <w:color w:val="000000" w:themeColor="text1"/>
                <w:sz w:val="18"/>
                <w:szCs w:val="18"/>
              </w:rPr>
              <w:t>Směrnice Evropského parlamentu a Rady 2014/65/EU ze dne 15. května 2014 o trzích finančních nástrojů a o změně směrnic 2002/92/ES a 2011/61/EU, ve znění nařízení Evropského parlamentu a Rady (EU) č. 909/2014 a 2019/2115 a směrnic</w:t>
            </w:r>
            <w:r w:rsidRPr="004A47F5">
              <w:rPr>
                <w:sz w:val="18"/>
                <w:szCs w:val="18"/>
              </w:rPr>
              <w:t xml:space="preserve"> </w:t>
            </w:r>
            <w:r w:rsidRPr="004A47F5">
              <w:rPr>
                <w:color w:val="000000" w:themeColor="text1"/>
                <w:sz w:val="18"/>
                <w:szCs w:val="18"/>
              </w:rPr>
              <w:t>Evropského parlamentu a Rady (EU) 2016/97, 2016/1034, 2019/2034, 2019/2177, 2020/1504 a 2021/338.</w:t>
            </w:r>
          </w:p>
          <w:p w:rsidR="004A47F5" w:rsidRDefault="004A47F5" w:rsidP="004A47F5">
            <w:pPr>
              <w:keepNext/>
              <w:keepLines/>
              <w:ind w:left="284" w:hanging="284"/>
              <w:jc w:val="both"/>
              <w:rPr>
                <w:color w:val="000000" w:themeColor="text1"/>
                <w:sz w:val="18"/>
                <w:szCs w:val="18"/>
              </w:rPr>
            </w:pPr>
            <w:r w:rsidRPr="004A47F5">
              <w:rPr>
                <w:color w:val="000000" w:themeColor="text1"/>
                <w:sz w:val="18"/>
                <w:szCs w:val="18"/>
              </w:rPr>
              <w:t>Směrnice Evropského parlamentu a Rady (EU) 2019/2034 ze dne 27. listopadu 2019 o obezřetnostním dohledu nad investičními podniky a o změně směrnic 2002/87/ES, 2009/65/ES, 2011/61/EU, 2013/36/EU, 2014/59/EU a 2014/65/EU.</w:t>
            </w:r>
          </w:p>
          <w:p w:rsidR="004A47F5" w:rsidRPr="004A47F5" w:rsidRDefault="004A47F5" w:rsidP="004A47F5">
            <w:pPr>
              <w:keepNext/>
              <w:keepLines/>
              <w:jc w:val="center"/>
              <w:rPr>
                <w:sz w:val="18"/>
                <w:szCs w:val="18"/>
              </w:rPr>
            </w:pPr>
          </w:p>
          <w:p w:rsidR="004A47F5" w:rsidRPr="004A47F5" w:rsidRDefault="004A47F5" w:rsidP="004A47F5">
            <w:pPr>
              <w:keepNext/>
              <w:keepLines/>
              <w:jc w:val="both"/>
              <w:rPr>
                <w:sz w:val="18"/>
                <w:szCs w:val="18"/>
              </w:rPr>
            </w:pPr>
            <w:r w:rsidRPr="004A47F5">
              <w:rPr>
                <w:sz w:val="18"/>
                <w:szCs w:val="18"/>
              </w:rPr>
              <w:t>______________</w:t>
            </w:r>
          </w:p>
          <w:p w:rsidR="00B228DA" w:rsidRPr="004A47F5" w:rsidRDefault="004A47F5" w:rsidP="004A47F5">
            <w:pPr>
              <w:keepNext/>
              <w:keepLines/>
              <w:ind w:left="284" w:hanging="284"/>
              <w:jc w:val="both"/>
              <w:rPr>
                <w:color w:val="000000" w:themeColor="text1"/>
                <w:sz w:val="18"/>
                <w:szCs w:val="18"/>
              </w:rPr>
            </w:pPr>
            <w:r w:rsidRPr="004A47F5">
              <w:rPr>
                <w:color w:val="000000" w:themeColor="text1"/>
                <w:sz w:val="18"/>
                <w:szCs w:val="18"/>
                <w:vertAlign w:val="superscript"/>
              </w:rPr>
              <w:t>81)</w:t>
            </w:r>
            <w:r w:rsidRPr="004A47F5">
              <w:rPr>
                <w:color w:val="000000" w:themeColor="text1"/>
                <w:sz w:val="18"/>
                <w:szCs w:val="18"/>
              </w:rPr>
              <w:t xml:space="preserve"> Směrnice Evropského parlamentu a Rady 2013/36/EU ze dne 26. června 2013 o přístupu k činnosti úvěrových institucí a o obezřetnostním dohledu nad úvěrovými institucemi a o změně směrnice 2002/87/ES a zrušení směrnic 2006/48/ES a 2006/49/ES, ve znění směrnic Evropského parlamentu a Rady 2014/17/EU, 2014/59/EU, (EU) 2015/2366, (EU) 2018/843, (EU) 2019/878 a (EU) 2019/2034.</w:t>
            </w:r>
          </w:p>
        </w:tc>
        <w:tc>
          <w:tcPr>
            <w:tcW w:w="818" w:type="dxa"/>
            <w:tcBorders>
              <w:top w:val="single" w:sz="4" w:space="0" w:color="auto"/>
              <w:left w:val="single" w:sz="4" w:space="0" w:color="auto"/>
              <w:bottom w:val="nil"/>
              <w:right w:val="single" w:sz="4" w:space="0" w:color="auto"/>
            </w:tcBorders>
          </w:tcPr>
          <w:p w:rsidR="00B228DA" w:rsidRPr="00605684" w:rsidRDefault="004D36A3" w:rsidP="00B228DA">
            <w:pPr>
              <w:spacing w:before="40" w:after="40"/>
              <w:rPr>
                <w:sz w:val="18"/>
              </w:rPr>
            </w:pPr>
            <w:r>
              <w:rPr>
                <w:sz w:val="18"/>
              </w:rPr>
              <w:lastRenderedPageBreak/>
              <w:t>P</w:t>
            </w:r>
            <w:r w:rsidR="00B228DA" w:rsidRPr="00605684">
              <w:rPr>
                <w:sz w:val="18"/>
              </w:rPr>
              <w:t>T</w:t>
            </w:r>
          </w:p>
        </w:tc>
        <w:tc>
          <w:tcPr>
            <w:tcW w:w="655" w:type="dxa"/>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p>
        </w:tc>
      </w:tr>
      <w:tr w:rsidR="004D36A3" w:rsidRPr="00605684" w:rsidTr="004D36A3">
        <w:tc>
          <w:tcPr>
            <w:tcW w:w="1427" w:type="dxa"/>
            <w:gridSpan w:val="2"/>
            <w:tcBorders>
              <w:top w:val="nil"/>
              <w:left w:val="single" w:sz="4" w:space="0" w:color="auto"/>
              <w:bottom w:val="single" w:sz="4" w:space="0" w:color="auto"/>
              <w:right w:val="single" w:sz="4" w:space="0" w:color="auto"/>
            </w:tcBorders>
          </w:tcPr>
          <w:p w:rsidR="004D36A3" w:rsidRDefault="004D36A3" w:rsidP="00B228DA">
            <w:pPr>
              <w:spacing w:before="40" w:after="40"/>
              <w:rPr>
                <w:sz w:val="18"/>
              </w:rPr>
            </w:pPr>
          </w:p>
        </w:tc>
        <w:tc>
          <w:tcPr>
            <w:tcW w:w="5210" w:type="dxa"/>
            <w:gridSpan w:val="3"/>
            <w:tcBorders>
              <w:top w:val="nil"/>
              <w:left w:val="single" w:sz="4" w:space="0" w:color="auto"/>
              <w:bottom w:val="single" w:sz="4" w:space="0" w:color="auto"/>
              <w:right w:val="single" w:sz="18" w:space="0" w:color="auto"/>
            </w:tcBorders>
          </w:tcPr>
          <w:p w:rsidR="004D36A3" w:rsidRPr="00044BEF" w:rsidRDefault="004D36A3" w:rsidP="00B228DA">
            <w:pPr>
              <w:shd w:val="clear" w:color="auto" w:fill="FFFFFF"/>
              <w:spacing w:before="40" w:after="40"/>
              <w:jc w:val="center"/>
              <w:rPr>
                <w:b/>
                <w:sz w:val="18"/>
                <w:szCs w:val="18"/>
              </w:rPr>
            </w:pPr>
          </w:p>
        </w:tc>
        <w:tc>
          <w:tcPr>
            <w:tcW w:w="1292" w:type="dxa"/>
            <w:tcBorders>
              <w:top w:val="nil"/>
              <w:left w:val="single" w:sz="18" w:space="0" w:color="auto"/>
              <w:bottom w:val="single" w:sz="4" w:space="0" w:color="auto"/>
              <w:right w:val="single" w:sz="4" w:space="0" w:color="auto"/>
            </w:tcBorders>
          </w:tcPr>
          <w:p w:rsidR="004D36A3" w:rsidRPr="00605684" w:rsidRDefault="004D36A3" w:rsidP="00C240CC">
            <w:pPr>
              <w:spacing w:before="40" w:after="40"/>
              <w:rPr>
                <w:sz w:val="18"/>
              </w:rPr>
            </w:pPr>
            <w:r>
              <w:rPr>
                <w:sz w:val="18"/>
              </w:rPr>
              <w:t>256/2004 ve znění 96/2022</w:t>
            </w:r>
          </w:p>
        </w:tc>
        <w:tc>
          <w:tcPr>
            <w:tcW w:w="1104" w:type="dxa"/>
            <w:tcBorders>
              <w:top w:val="nil"/>
              <w:left w:val="single" w:sz="4" w:space="0" w:color="auto"/>
              <w:bottom w:val="single" w:sz="4" w:space="0" w:color="auto"/>
              <w:right w:val="single" w:sz="4" w:space="0" w:color="auto"/>
            </w:tcBorders>
          </w:tcPr>
          <w:p w:rsidR="004D36A3" w:rsidRPr="00605684" w:rsidRDefault="004D36A3" w:rsidP="00B228DA">
            <w:pPr>
              <w:spacing w:before="40" w:after="40"/>
              <w:rPr>
                <w:sz w:val="18"/>
              </w:rPr>
            </w:pPr>
            <w:r>
              <w:rPr>
                <w:sz w:val="18"/>
              </w:rPr>
              <w:t>§ 6e</w:t>
            </w:r>
          </w:p>
        </w:tc>
        <w:tc>
          <w:tcPr>
            <w:tcW w:w="5425" w:type="dxa"/>
            <w:gridSpan w:val="4"/>
            <w:tcBorders>
              <w:top w:val="nil"/>
              <w:left w:val="single" w:sz="4" w:space="0" w:color="auto"/>
              <w:bottom w:val="single" w:sz="4" w:space="0" w:color="auto"/>
              <w:right w:val="single" w:sz="4" w:space="0" w:color="auto"/>
            </w:tcBorders>
          </w:tcPr>
          <w:p w:rsidR="004D36A3" w:rsidRPr="004D36A3" w:rsidRDefault="004D36A3" w:rsidP="004D36A3">
            <w:pPr>
              <w:keepNext/>
              <w:keepLines/>
              <w:widowControl w:val="0"/>
              <w:autoSpaceDE w:val="0"/>
              <w:autoSpaceDN w:val="0"/>
              <w:adjustRightInd w:val="0"/>
              <w:jc w:val="both"/>
              <w:rPr>
                <w:sz w:val="18"/>
                <w:szCs w:val="18"/>
              </w:rPr>
            </w:pPr>
            <w:r w:rsidRPr="004A47F5">
              <w:rPr>
                <w:sz w:val="18"/>
                <w:szCs w:val="18"/>
              </w:rPr>
              <w:t>Pro výkon činnosti zahraničního systémově významného obchodníka se sídlem na území jiného členského státu Evropské unie na území České republiky se § 24 odst. 1 až 3 a § 25 odst. 1 a 2 nepoužijí a použijí se pro něj obdobně § 5a</w:t>
            </w:r>
            <w:r>
              <w:rPr>
                <w:sz w:val="18"/>
                <w:szCs w:val="18"/>
              </w:rPr>
              <w:t xml:space="preserve"> a § 5c až 5o zákona o bankách.</w:t>
            </w:r>
          </w:p>
        </w:tc>
        <w:tc>
          <w:tcPr>
            <w:tcW w:w="818" w:type="dxa"/>
            <w:tcBorders>
              <w:top w:val="nil"/>
              <w:left w:val="single" w:sz="4" w:space="0" w:color="auto"/>
              <w:bottom w:val="single" w:sz="4" w:space="0" w:color="auto"/>
              <w:right w:val="single" w:sz="4" w:space="0" w:color="auto"/>
            </w:tcBorders>
          </w:tcPr>
          <w:p w:rsidR="004D36A3" w:rsidRPr="00605684" w:rsidRDefault="004D36A3" w:rsidP="00B228DA">
            <w:pPr>
              <w:spacing w:before="40" w:after="40"/>
              <w:rPr>
                <w:sz w:val="18"/>
              </w:rPr>
            </w:pPr>
          </w:p>
        </w:tc>
        <w:tc>
          <w:tcPr>
            <w:tcW w:w="655" w:type="dxa"/>
            <w:tcBorders>
              <w:top w:val="nil"/>
              <w:left w:val="single" w:sz="4" w:space="0" w:color="auto"/>
              <w:bottom w:val="single" w:sz="4" w:space="0" w:color="auto"/>
              <w:right w:val="single" w:sz="4" w:space="0" w:color="auto"/>
            </w:tcBorders>
          </w:tcPr>
          <w:p w:rsidR="004D36A3" w:rsidRPr="00605684" w:rsidRDefault="004D36A3" w:rsidP="00B228DA">
            <w:pPr>
              <w:spacing w:before="40" w:after="40"/>
              <w:rPr>
                <w:sz w:val="18"/>
              </w:rPr>
            </w:pPr>
          </w:p>
        </w:tc>
      </w:tr>
      <w:tr w:rsidR="00B228DA" w:rsidRPr="00605684" w:rsidTr="004D36A3">
        <w:tc>
          <w:tcPr>
            <w:tcW w:w="1427" w:type="dxa"/>
            <w:gridSpan w:val="2"/>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r>
              <w:rPr>
                <w:sz w:val="18"/>
              </w:rPr>
              <w:t>Článek 3</w:t>
            </w:r>
          </w:p>
        </w:tc>
        <w:tc>
          <w:tcPr>
            <w:tcW w:w="5210" w:type="dxa"/>
            <w:gridSpan w:val="3"/>
            <w:tcBorders>
              <w:top w:val="single" w:sz="4" w:space="0" w:color="auto"/>
              <w:left w:val="single" w:sz="4" w:space="0" w:color="auto"/>
              <w:bottom w:val="nil"/>
              <w:right w:val="single" w:sz="18" w:space="0" w:color="auto"/>
            </w:tcBorders>
          </w:tcPr>
          <w:p w:rsidR="00B228DA" w:rsidRPr="00044BEF" w:rsidRDefault="00B228DA" w:rsidP="00B228DA">
            <w:pPr>
              <w:shd w:val="clear" w:color="auto" w:fill="FFFFFF"/>
              <w:spacing w:before="40" w:after="40"/>
              <w:jc w:val="center"/>
              <w:rPr>
                <w:b/>
                <w:sz w:val="18"/>
                <w:szCs w:val="18"/>
              </w:rPr>
            </w:pPr>
            <w:r w:rsidRPr="00044BEF">
              <w:rPr>
                <w:b/>
                <w:sz w:val="18"/>
                <w:szCs w:val="18"/>
              </w:rPr>
              <w:t>Změny směrnice 2013/36/EU</w:t>
            </w:r>
          </w:p>
          <w:p w:rsidR="00B228DA" w:rsidRPr="00044BEF" w:rsidRDefault="00B228DA" w:rsidP="00B228DA">
            <w:pPr>
              <w:shd w:val="clear" w:color="auto" w:fill="FFFFFF"/>
              <w:spacing w:before="40" w:after="40"/>
              <w:jc w:val="both"/>
              <w:rPr>
                <w:sz w:val="18"/>
                <w:szCs w:val="18"/>
              </w:rPr>
            </w:pPr>
          </w:p>
          <w:p w:rsidR="00B228DA" w:rsidRPr="00044BEF" w:rsidRDefault="00B228DA" w:rsidP="00B228DA">
            <w:pPr>
              <w:shd w:val="clear" w:color="auto" w:fill="FFFFFF"/>
              <w:spacing w:before="40" w:after="40"/>
              <w:jc w:val="both"/>
              <w:rPr>
                <w:sz w:val="18"/>
                <w:szCs w:val="18"/>
              </w:rPr>
            </w:pPr>
            <w:r w:rsidRPr="00044BEF">
              <w:rPr>
                <w:sz w:val="18"/>
                <w:szCs w:val="18"/>
              </w:rPr>
              <w:t>V čl. 94 odst. 2 se třetí, čtvrtý a pá</w:t>
            </w:r>
            <w:r>
              <w:rPr>
                <w:sz w:val="18"/>
                <w:szCs w:val="18"/>
              </w:rPr>
              <w:t>tý pododstavec nahrazují tímto:</w:t>
            </w:r>
          </w:p>
          <w:p w:rsidR="00B228DA" w:rsidRPr="00044BEF" w:rsidRDefault="00B228DA" w:rsidP="00B228DA">
            <w:pPr>
              <w:shd w:val="clear" w:color="auto" w:fill="FFFFFF"/>
              <w:spacing w:before="40" w:after="40"/>
              <w:jc w:val="both"/>
              <w:rPr>
                <w:sz w:val="18"/>
                <w:szCs w:val="18"/>
              </w:rPr>
            </w:pPr>
            <w:r w:rsidRPr="00044BEF">
              <w:rPr>
                <w:sz w:val="18"/>
                <w:szCs w:val="18"/>
              </w:rPr>
              <w:t xml:space="preserve">„Za účelem určení pracovníků, jejichž pracovní činnosti mají podstatný vliv na rizikový profil instituce, jak je uvedeno v čl. 92 </w:t>
            </w:r>
            <w:r w:rsidRPr="00044BEF">
              <w:rPr>
                <w:sz w:val="18"/>
                <w:szCs w:val="18"/>
              </w:rPr>
              <w:lastRenderedPageBreak/>
              <w:t>odst. 3, s výjimkou pracovníků v investičních podnicích, vypracuje EBA návrhy regulačních technických norem, které stanoví kritéria s cílem vymezit:</w:t>
            </w:r>
          </w:p>
          <w:p w:rsidR="00B228DA" w:rsidRPr="00044BEF" w:rsidRDefault="00B228DA" w:rsidP="00B228DA">
            <w:pPr>
              <w:shd w:val="clear" w:color="auto" w:fill="FFFFFF"/>
              <w:spacing w:before="40" w:after="40"/>
              <w:jc w:val="both"/>
              <w:rPr>
                <w:sz w:val="18"/>
                <w:szCs w:val="18"/>
              </w:rPr>
            </w:pPr>
            <w:r>
              <w:rPr>
                <w:sz w:val="18"/>
                <w:szCs w:val="18"/>
              </w:rPr>
              <w:t xml:space="preserve">a) </w:t>
            </w:r>
            <w:r w:rsidRPr="00044BEF">
              <w:rPr>
                <w:sz w:val="18"/>
                <w:szCs w:val="18"/>
              </w:rPr>
              <w:t>manažerskou odpovědnost a kontrolní funkce;</w:t>
            </w:r>
          </w:p>
          <w:p w:rsidR="00B228DA" w:rsidRPr="00044BEF" w:rsidRDefault="00B228DA" w:rsidP="00B228DA">
            <w:pPr>
              <w:shd w:val="clear" w:color="auto" w:fill="FFFFFF"/>
              <w:spacing w:before="40" w:after="40"/>
              <w:jc w:val="both"/>
              <w:rPr>
                <w:sz w:val="18"/>
                <w:szCs w:val="18"/>
              </w:rPr>
            </w:pPr>
            <w:r>
              <w:rPr>
                <w:sz w:val="18"/>
                <w:szCs w:val="18"/>
              </w:rPr>
              <w:t xml:space="preserve">b) </w:t>
            </w:r>
            <w:r w:rsidRPr="00044BEF">
              <w:rPr>
                <w:sz w:val="18"/>
                <w:szCs w:val="18"/>
              </w:rPr>
              <w:t>významnou obchodní jednotku a podstatný vliv na rizikový profil obchodní jednotky a</w:t>
            </w:r>
          </w:p>
          <w:p w:rsidR="00B228DA" w:rsidRPr="00044BEF" w:rsidRDefault="00B228DA" w:rsidP="00B228DA">
            <w:pPr>
              <w:shd w:val="clear" w:color="auto" w:fill="FFFFFF"/>
              <w:spacing w:before="40" w:after="40"/>
              <w:jc w:val="both"/>
              <w:rPr>
                <w:sz w:val="18"/>
                <w:szCs w:val="18"/>
              </w:rPr>
            </w:pPr>
            <w:r>
              <w:rPr>
                <w:sz w:val="18"/>
                <w:szCs w:val="18"/>
              </w:rPr>
              <w:t xml:space="preserve">c) </w:t>
            </w:r>
            <w:r w:rsidRPr="00044BEF">
              <w:rPr>
                <w:sz w:val="18"/>
                <w:szCs w:val="18"/>
              </w:rPr>
              <w:t>další kategorie pracovníků, kteří nejsou v čl. 92 odst. 3 výslovně uvedeni a jejichž pracovní činnosti mají na rizikový profil instituce srovnatelně podstatný vliv jako pracovníci v kategoriích, které jsou v daném odstavci uvedeny.</w:t>
            </w:r>
          </w:p>
          <w:p w:rsidR="00B228DA" w:rsidRPr="00044BEF" w:rsidRDefault="00B228DA" w:rsidP="00B228DA">
            <w:pPr>
              <w:shd w:val="clear" w:color="auto" w:fill="FFFFFF"/>
              <w:spacing w:before="40" w:after="40"/>
              <w:jc w:val="both"/>
              <w:rPr>
                <w:sz w:val="18"/>
                <w:szCs w:val="18"/>
              </w:rPr>
            </w:pPr>
            <w:r w:rsidRPr="00044BEF">
              <w:rPr>
                <w:sz w:val="18"/>
                <w:szCs w:val="18"/>
              </w:rPr>
              <w:t>EBA předloží Komisi tyto návrhy regulačních technických norem do 28. prosince 2019.</w:t>
            </w:r>
          </w:p>
          <w:p w:rsidR="00B228DA" w:rsidRPr="000D5D7C" w:rsidRDefault="00B228DA" w:rsidP="00B228DA">
            <w:pPr>
              <w:shd w:val="clear" w:color="auto" w:fill="FFFFFF"/>
              <w:spacing w:before="40" w:after="40"/>
              <w:jc w:val="both"/>
              <w:rPr>
                <w:sz w:val="18"/>
                <w:szCs w:val="18"/>
              </w:rPr>
            </w:pPr>
            <w:r w:rsidRPr="00044BEF">
              <w:rPr>
                <w:sz w:val="18"/>
                <w:szCs w:val="18"/>
              </w:rPr>
              <w:t>Na Komisi je přenesena pravomoc doplnit tuto směrnici přijetím regulačních technických norem uvedených v tomto odstavci v souladu s články 10 až 14 nařízení (EU) č. 1093/2010. Pokud jde o regulační technické normy vztahující se na investiční podniky, pravomoc stanovená v čl. 94 odst. 2 této směrnice ve znění směrnice Evropského parlamentu a Rady (EU) 2018/843 (*3) se nadále použije do 26. června 2021.</w:t>
            </w:r>
          </w:p>
        </w:tc>
        <w:tc>
          <w:tcPr>
            <w:tcW w:w="1292" w:type="dxa"/>
            <w:tcBorders>
              <w:top w:val="single" w:sz="4" w:space="0" w:color="auto"/>
              <w:left w:val="single" w:sz="18" w:space="0" w:color="auto"/>
              <w:bottom w:val="nil"/>
              <w:right w:val="single" w:sz="4" w:space="0" w:color="auto"/>
            </w:tcBorders>
          </w:tcPr>
          <w:p w:rsidR="00B228DA" w:rsidRPr="00605684" w:rsidRDefault="00B228DA" w:rsidP="00B228DA">
            <w:pPr>
              <w:spacing w:before="40" w:after="40"/>
              <w:rPr>
                <w:sz w:val="18"/>
              </w:rPr>
            </w:pPr>
          </w:p>
        </w:tc>
        <w:tc>
          <w:tcPr>
            <w:tcW w:w="1104" w:type="dxa"/>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p>
        </w:tc>
        <w:tc>
          <w:tcPr>
            <w:tcW w:w="5425" w:type="dxa"/>
            <w:gridSpan w:val="4"/>
            <w:tcBorders>
              <w:top w:val="single" w:sz="4" w:space="0" w:color="auto"/>
              <w:left w:val="single" w:sz="4" w:space="0" w:color="auto"/>
              <w:bottom w:val="nil"/>
              <w:right w:val="single" w:sz="4" w:space="0" w:color="auto"/>
            </w:tcBorders>
          </w:tcPr>
          <w:p w:rsidR="00B228DA" w:rsidRPr="00710E1F" w:rsidRDefault="00B228DA" w:rsidP="00B228DA">
            <w:pPr>
              <w:spacing w:before="40" w:after="40"/>
              <w:jc w:val="both"/>
              <w:rPr>
                <w:i/>
                <w:sz w:val="18"/>
              </w:rPr>
            </w:pPr>
            <w:r>
              <w:rPr>
                <w:i/>
                <w:sz w:val="18"/>
              </w:rPr>
              <w:t>Nerelevantní z hlediska transpozice, povinnosti jsou ukládány orgánu EBA.</w:t>
            </w:r>
          </w:p>
        </w:tc>
        <w:tc>
          <w:tcPr>
            <w:tcW w:w="818" w:type="dxa"/>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r w:rsidRPr="00605684">
              <w:rPr>
                <w:sz w:val="18"/>
              </w:rPr>
              <w:t>NT</w:t>
            </w:r>
          </w:p>
        </w:tc>
        <w:tc>
          <w:tcPr>
            <w:tcW w:w="655" w:type="dxa"/>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p>
        </w:tc>
      </w:tr>
      <w:tr w:rsidR="00B228DA" w:rsidRPr="00605684" w:rsidTr="00717329">
        <w:tc>
          <w:tcPr>
            <w:tcW w:w="1427" w:type="dxa"/>
            <w:gridSpan w:val="2"/>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r>
              <w:rPr>
                <w:sz w:val="18"/>
              </w:rPr>
              <w:t>Článek 4</w:t>
            </w:r>
          </w:p>
        </w:tc>
        <w:tc>
          <w:tcPr>
            <w:tcW w:w="5210" w:type="dxa"/>
            <w:gridSpan w:val="3"/>
            <w:tcBorders>
              <w:top w:val="single" w:sz="4" w:space="0" w:color="auto"/>
              <w:left w:val="single" w:sz="4" w:space="0" w:color="auto"/>
              <w:bottom w:val="nil"/>
              <w:right w:val="single" w:sz="18" w:space="0" w:color="auto"/>
            </w:tcBorders>
          </w:tcPr>
          <w:p w:rsidR="00B228DA" w:rsidRPr="00595A84" w:rsidRDefault="00B228DA" w:rsidP="00B228DA">
            <w:pPr>
              <w:pStyle w:val="oj-sti-art"/>
              <w:shd w:val="clear" w:color="auto" w:fill="FFFFFF"/>
              <w:rPr>
                <w:color w:val="000000"/>
                <w:sz w:val="18"/>
                <w:szCs w:val="18"/>
              </w:rPr>
            </w:pPr>
            <w:r w:rsidRPr="00595A84">
              <w:rPr>
                <w:color w:val="000000"/>
                <w:sz w:val="18"/>
                <w:szCs w:val="18"/>
              </w:rPr>
              <w:t>Provedení</w:t>
            </w:r>
          </w:p>
          <w:p w:rsidR="00B228DA" w:rsidRPr="00595A84" w:rsidRDefault="00B228DA" w:rsidP="00B228DA">
            <w:pPr>
              <w:pStyle w:val="oj-normal"/>
              <w:shd w:val="clear" w:color="auto" w:fill="FFFFFF"/>
              <w:rPr>
                <w:color w:val="000000"/>
                <w:sz w:val="18"/>
                <w:szCs w:val="18"/>
              </w:rPr>
            </w:pPr>
            <w:r w:rsidRPr="00595A84">
              <w:rPr>
                <w:color w:val="000000"/>
                <w:sz w:val="18"/>
                <w:szCs w:val="18"/>
              </w:rPr>
              <w:t>1.   Členské státy přijmou a zveřejní právní a správní předpisy nezbytné pro dosažení souladu s touto směrnicí do 28. listopadu 2021. Neprodleně sdělí Komisi znění těchto opatření.</w:t>
            </w:r>
          </w:p>
          <w:p w:rsidR="00B228DA" w:rsidRPr="00595A84" w:rsidRDefault="00B228DA" w:rsidP="00B228DA">
            <w:pPr>
              <w:pStyle w:val="oj-normal"/>
              <w:shd w:val="clear" w:color="auto" w:fill="FFFFFF"/>
              <w:rPr>
                <w:color w:val="000000"/>
                <w:sz w:val="18"/>
                <w:szCs w:val="18"/>
              </w:rPr>
            </w:pPr>
            <w:r w:rsidRPr="00595A84">
              <w:rPr>
                <w:color w:val="000000"/>
                <w:sz w:val="18"/>
                <w:szCs w:val="18"/>
              </w:rPr>
              <w:t>Členské státy tato opatření použijí od 28. února 2022.</w:t>
            </w:r>
          </w:p>
          <w:p w:rsidR="00B228DA" w:rsidRPr="00595A84" w:rsidRDefault="00B228DA" w:rsidP="00B228DA">
            <w:pPr>
              <w:pStyle w:val="oj-normal"/>
              <w:shd w:val="clear" w:color="auto" w:fill="FFFFFF"/>
              <w:rPr>
                <w:color w:val="000000"/>
                <w:sz w:val="18"/>
                <w:szCs w:val="18"/>
              </w:rPr>
            </w:pPr>
            <w:r w:rsidRPr="00595A84">
              <w:rPr>
                <w:color w:val="000000"/>
                <w:sz w:val="18"/>
                <w:szCs w:val="18"/>
              </w:rPr>
              <w:t>2.   Členské státy sdělí Komisi znění hlavních ustanovení vnitrostátních právních předpisů, které přijmou v oblasti působnosti této směrnice.</w:t>
            </w:r>
          </w:p>
          <w:p w:rsidR="00B228DA" w:rsidRPr="00044BEF" w:rsidRDefault="00B228DA" w:rsidP="00B228DA">
            <w:pPr>
              <w:pStyle w:val="oj-normal"/>
              <w:shd w:val="clear" w:color="auto" w:fill="FFFFFF"/>
              <w:rPr>
                <w:color w:val="000000"/>
                <w:sz w:val="15"/>
                <w:szCs w:val="15"/>
              </w:rPr>
            </w:pPr>
            <w:r w:rsidRPr="00595A84">
              <w:rPr>
                <w:color w:val="000000"/>
                <w:sz w:val="18"/>
                <w:szCs w:val="18"/>
              </w:rPr>
              <w:t>3.   Odchylně od odstavce 1 se změny směrnic 2013/36/EU a (EU) 2019/878 použijí ode dne 28. prosince 2020.</w:t>
            </w:r>
          </w:p>
        </w:tc>
        <w:tc>
          <w:tcPr>
            <w:tcW w:w="1292" w:type="dxa"/>
            <w:tcBorders>
              <w:top w:val="single" w:sz="4" w:space="0" w:color="auto"/>
              <w:left w:val="single" w:sz="18" w:space="0" w:color="auto"/>
              <w:bottom w:val="nil"/>
              <w:right w:val="single" w:sz="4" w:space="0" w:color="auto"/>
            </w:tcBorders>
          </w:tcPr>
          <w:p w:rsidR="00B228DA" w:rsidRPr="004D36A3" w:rsidRDefault="004D36A3" w:rsidP="004D36A3">
            <w:pPr>
              <w:spacing w:before="40" w:after="40"/>
              <w:rPr>
                <w:sz w:val="18"/>
              </w:rPr>
            </w:pPr>
            <w:r>
              <w:rPr>
                <w:sz w:val="18"/>
              </w:rPr>
              <w:t xml:space="preserve">256/2004 ve znění 230/2008 </w:t>
            </w:r>
            <w:r w:rsidR="00FA4A0A">
              <w:rPr>
                <w:sz w:val="18"/>
              </w:rPr>
              <w:t>16</w:t>
            </w:r>
            <w:r w:rsidR="00FB338F">
              <w:rPr>
                <w:sz w:val="18"/>
              </w:rPr>
              <w:t>0</w:t>
            </w:r>
            <w:r>
              <w:rPr>
                <w:sz w:val="18"/>
              </w:rPr>
              <w:t>/2010 41/2011</w:t>
            </w:r>
            <w:r w:rsidR="009D2FB5">
              <w:rPr>
                <w:sz w:val="18"/>
              </w:rPr>
              <w:t xml:space="preserve"> 37/2012 254/2012 241/2013 303/2013 148/2016 183/2017 204/2017 307/2018</w:t>
            </w:r>
            <w:r>
              <w:rPr>
                <w:sz w:val="18"/>
              </w:rPr>
              <w:t xml:space="preserve"> </w:t>
            </w:r>
            <w:r w:rsidR="00FA4A0A" w:rsidRPr="00FA4A0A">
              <w:rPr>
                <w:sz w:val="18"/>
                <w:szCs w:val="18"/>
              </w:rPr>
              <w:t>119/2020</w:t>
            </w:r>
            <w:r>
              <w:rPr>
                <w:sz w:val="18"/>
              </w:rPr>
              <w:t xml:space="preserve"> </w:t>
            </w:r>
            <w:r w:rsidR="00FA4A0A" w:rsidRPr="00FA4A0A">
              <w:rPr>
                <w:sz w:val="18"/>
                <w:szCs w:val="18"/>
              </w:rPr>
              <w:t>96/2022</w:t>
            </w:r>
          </w:p>
        </w:tc>
        <w:tc>
          <w:tcPr>
            <w:tcW w:w="1104" w:type="dxa"/>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r>
              <w:rPr>
                <w:sz w:val="18"/>
              </w:rPr>
              <w:t>§ 1</w:t>
            </w:r>
          </w:p>
        </w:tc>
        <w:tc>
          <w:tcPr>
            <w:tcW w:w="5425" w:type="dxa"/>
            <w:gridSpan w:val="4"/>
            <w:tcBorders>
              <w:top w:val="single" w:sz="4" w:space="0" w:color="auto"/>
              <w:left w:val="single" w:sz="4" w:space="0" w:color="auto"/>
              <w:bottom w:val="nil"/>
              <w:right w:val="single" w:sz="4" w:space="0" w:color="auto"/>
            </w:tcBorders>
          </w:tcPr>
          <w:p w:rsidR="00B228DA" w:rsidRPr="00FD1B38" w:rsidRDefault="00B228DA" w:rsidP="00B228DA">
            <w:pPr>
              <w:spacing w:before="40" w:after="40"/>
              <w:jc w:val="both"/>
              <w:rPr>
                <w:sz w:val="18"/>
              </w:rPr>
            </w:pPr>
            <w:r w:rsidRPr="00FD1B38">
              <w:rPr>
                <w:sz w:val="18"/>
              </w:rPr>
              <w:t>Tento zákon zapracovává příslušné předpisy Evropské unie</w:t>
            </w:r>
            <w:r w:rsidRPr="00FD1B38">
              <w:rPr>
                <w:sz w:val="18"/>
                <w:vertAlign w:val="superscript"/>
              </w:rPr>
              <w:t>1)</w:t>
            </w:r>
            <w:r w:rsidRPr="00FD1B38">
              <w:rPr>
                <w:sz w:val="18"/>
              </w:rPr>
              <w:t>, zároveň navazuje na přímo použitelné předpisy Evropské unie</w:t>
            </w:r>
            <w:r w:rsidRPr="00FD1B38">
              <w:rPr>
                <w:sz w:val="18"/>
                <w:vertAlign w:val="superscript"/>
              </w:rPr>
              <w:t>2)</w:t>
            </w:r>
            <w:r w:rsidRPr="00FD1B38">
              <w:rPr>
                <w:sz w:val="18"/>
              </w:rPr>
              <w:t xml:space="preserve"> a upravuje poskytování služeb v oblasti kapitálového trhu a ochranu kapitálového trhu a investorů.</w:t>
            </w:r>
          </w:p>
          <w:p w:rsidR="00B228DA" w:rsidRPr="00FD1B38" w:rsidRDefault="00B228DA" w:rsidP="00B228DA">
            <w:pPr>
              <w:spacing w:before="40" w:after="40"/>
              <w:jc w:val="both"/>
              <w:rPr>
                <w:sz w:val="18"/>
              </w:rPr>
            </w:pPr>
            <w:r w:rsidRPr="00FD1B38">
              <w:rPr>
                <w:sz w:val="18"/>
              </w:rPr>
              <w:t>____________</w:t>
            </w:r>
          </w:p>
          <w:p w:rsidR="00B228DA" w:rsidRPr="000A68D3" w:rsidRDefault="00B228DA" w:rsidP="00B228DA">
            <w:pPr>
              <w:spacing w:before="40" w:after="40"/>
              <w:jc w:val="both"/>
              <w:rPr>
                <w:sz w:val="18"/>
              </w:rPr>
            </w:pPr>
            <w:r w:rsidRPr="00FD1B38">
              <w:rPr>
                <w:sz w:val="18"/>
                <w:vertAlign w:val="superscript"/>
              </w:rPr>
              <w:t>1)</w:t>
            </w:r>
            <w:r w:rsidRPr="000A68D3">
              <w:rPr>
                <w:sz w:val="18"/>
              </w:rPr>
              <w:t xml:space="preserve"> Směrnice Evropského parlamentu a Rady 2014/65/EU ze dne 15. května 2014 o trzích finančních nástrojů a o změně směrnic 2002/92/ES a 2011/61/EU, ve znění nařízení Evropského parlamentu a Rady (EU) č. 909/2014 a směrnice Evropského parlamentu a Rady 2016/1034 </w:t>
            </w:r>
            <w:r w:rsidRPr="00EE3A81">
              <w:rPr>
                <w:sz w:val="18"/>
              </w:rPr>
              <w:t>2019/2115 a směrnic Evropského parlamentu a Rady (EU) 2016/97, 2016/1034, 2019/2034, 2019/2177, 2020/1504 a 2021/338.</w:t>
            </w:r>
          </w:p>
        </w:tc>
        <w:tc>
          <w:tcPr>
            <w:tcW w:w="818" w:type="dxa"/>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r>
              <w:rPr>
                <w:sz w:val="18"/>
              </w:rPr>
              <w:t>P</w:t>
            </w:r>
            <w:r w:rsidRPr="00605684">
              <w:rPr>
                <w:sz w:val="18"/>
              </w:rPr>
              <w:t>T</w:t>
            </w:r>
          </w:p>
        </w:tc>
        <w:tc>
          <w:tcPr>
            <w:tcW w:w="655" w:type="dxa"/>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p>
        </w:tc>
      </w:tr>
      <w:tr w:rsidR="00B228DA" w:rsidRPr="00605684" w:rsidTr="007D3DE8">
        <w:tc>
          <w:tcPr>
            <w:tcW w:w="1427" w:type="dxa"/>
            <w:gridSpan w:val="2"/>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r>
              <w:rPr>
                <w:sz w:val="18"/>
              </w:rPr>
              <w:t>Článek 5</w:t>
            </w:r>
          </w:p>
        </w:tc>
        <w:tc>
          <w:tcPr>
            <w:tcW w:w="5210" w:type="dxa"/>
            <w:gridSpan w:val="3"/>
            <w:tcBorders>
              <w:top w:val="single" w:sz="4" w:space="0" w:color="auto"/>
              <w:left w:val="single" w:sz="4" w:space="0" w:color="auto"/>
              <w:bottom w:val="nil"/>
              <w:right w:val="single" w:sz="18" w:space="0" w:color="auto"/>
            </w:tcBorders>
          </w:tcPr>
          <w:p w:rsidR="00B228DA" w:rsidRPr="00DA7A86" w:rsidRDefault="00B228DA" w:rsidP="00B228DA">
            <w:pPr>
              <w:pStyle w:val="oj-sti-art"/>
              <w:shd w:val="clear" w:color="auto" w:fill="FFFFFF"/>
              <w:rPr>
                <w:color w:val="000000"/>
                <w:sz w:val="18"/>
                <w:szCs w:val="18"/>
              </w:rPr>
            </w:pPr>
            <w:r w:rsidRPr="00DA7A86">
              <w:rPr>
                <w:color w:val="000000"/>
                <w:sz w:val="18"/>
                <w:szCs w:val="18"/>
              </w:rPr>
              <w:t>Ustanovení o přezkumu</w:t>
            </w:r>
          </w:p>
          <w:p w:rsidR="00B228DA" w:rsidRPr="00DA4288" w:rsidRDefault="00B228DA" w:rsidP="00B228DA">
            <w:pPr>
              <w:pStyle w:val="oj-normal"/>
              <w:shd w:val="clear" w:color="auto" w:fill="FFFFFF"/>
              <w:rPr>
                <w:color w:val="000000"/>
                <w:sz w:val="18"/>
                <w:szCs w:val="18"/>
              </w:rPr>
            </w:pPr>
            <w:r w:rsidRPr="00DA7A86">
              <w:rPr>
                <w:color w:val="000000"/>
                <w:sz w:val="18"/>
                <w:szCs w:val="18"/>
              </w:rPr>
              <w:t xml:space="preserve">Do 31. července 2021 přezkoumá Komise na základě výsledků veřejné konzultace, kterou provede, mimo jiné a) fungování struktury trhů s cennými papíry, přičemž zohlední novou ekonomickou realitu po roce 2020, otázky týkající se údajů a kvality údajů v souvislosti se </w:t>
            </w:r>
            <w:r w:rsidRPr="00DA7A86">
              <w:rPr>
                <w:color w:val="000000"/>
                <w:sz w:val="18"/>
                <w:szCs w:val="18"/>
              </w:rPr>
              <w:lastRenderedPageBreak/>
              <w:t>strukturou trhu, a pravidla transparentnosti, včetně otázek týkajících se třetích zemí, b) pravidla pro výzkum, c) pravidla týkající se všech forem plateb poradcům a úrovně jejich odborné kvalifikace, d) řízení produktů, e) podávání zpráv o ztrátě a f) kategorizaci zákazníků. Bude-li to vhodné, předloží Komise Evropskému parlamentu a Radě legislativní návrh.</w:t>
            </w:r>
          </w:p>
        </w:tc>
        <w:tc>
          <w:tcPr>
            <w:tcW w:w="1292" w:type="dxa"/>
            <w:tcBorders>
              <w:top w:val="single" w:sz="4" w:space="0" w:color="auto"/>
              <w:left w:val="single" w:sz="18" w:space="0" w:color="auto"/>
              <w:bottom w:val="nil"/>
              <w:right w:val="single" w:sz="4" w:space="0" w:color="auto"/>
            </w:tcBorders>
          </w:tcPr>
          <w:p w:rsidR="00B228DA" w:rsidRPr="00605684" w:rsidRDefault="00B228DA" w:rsidP="00B228DA">
            <w:pPr>
              <w:spacing w:before="40" w:after="40"/>
              <w:rPr>
                <w:sz w:val="18"/>
              </w:rPr>
            </w:pPr>
          </w:p>
        </w:tc>
        <w:tc>
          <w:tcPr>
            <w:tcW w:w="1104" w:type="dxa"/>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p>
        </w:tc>
        <w:tc>
          <w:tcPr>
            <w:tcW w:w="5425" w:type="dxa"/>
            <w:gridSpan w:val="4"/>
            <w:tcBorders>
              <w:top w:val="single" w:sz="4" w:space="0" w:color="auto"/>
              <w:left w:val="single" w:sz="4" w:space="0" w:color="auto"/>
              <w:bottom w:val="nil"/>
              <w:right w:val="single" w:sz="4" w:space="0" w:color="auto"/>
            </w:tcBorders>
          </w:tcPr>
          <w:p w:rsidR="00B228DA" w:rsidRPr="00605684" w:rsidRDefault="00B228DA" w:rsidP="00B228DA">
            <w:pPr>
              <w:spacing w:before="40" w:after="40"/>
              <w:jc w:val="both"/>
              <w:rPr>
                <w:sz w:val="18"/>
              </w:rPr>
            </w:pPr>
            <w:r w:rsidRPr="009A0D97">
              <w:rPr>
                <w:i/>
                <w:sz w:val="18"/>
              </w:rPr>
              <w:t>Nerelevantní z hlediska transpozice.</w:t>
            </w:r>
            <w:r>
              <w:rPr>
                <w:i/>
                <w:sz w:val="18"/>
              </w:rPr>
              <w:t xml:space="preserve"> Povinnost je uložena Komisi.</w:t>
            </w:r>
          </w:p>
        </w:tc>
        <w:tc>
          <w:tcPr>
            <w:tcW w:w="818" w:type="dxa"/>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r>
              <w:rPr>
                <w:sz w:val="18"/>
              </w:rPr>
              <w:t>N</w:t>
            </w:r>
            <w:r w:rsidRPr="00605684">
              <w:rPr>
                <w:sz w:val="18"/>
              </w:rPr>
              <w:t>T</w:t>
            </w:r>
          </w:p>
        </w:tc>
        <w:tc>
          <w:tcPr>
            <w:tcW w:w="655" w:type="dxa"/>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p>
        </w:tc>
      </w:tr>
      <w:tr w:rsidR="00B228DA" w:rsidRPr="00605684" w:rsidTr="00DA7A86">
        <w:trPr>
          <w:trHeight w:val="294"/>
        </w:trPr>
        <w:tc>
          <w:tcPr>
            <w:tcW w:w="1427" w:type="dxa"/>
            <w:gridSpan w:val="2"/>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r>
              <w:rPr>
                <w:sz w:val="18"/>
              </w:rPr>
              <w:t>Článek 6</w:t>
            </w:r>
          </w:p>
        </w:tc>
        <w:tc>
          <w:tcPr>
            <w:tcW w:w="5210" w:type="dxa"/>
            <w:gridSpan w:val="3"/>
            <w:tcBorders>
              <w:top w:val="single" w:sz="4" w:space="0" w:color="auto"/>
              <w:left w:val="single" w:sz="4" w:space="0" w:color="auto"/>
              <w:bottom w:val="nil"/>
              <w:right w:val="single" w:sz="18" w:space="0" w:color="auto"/>
            </w:tcBorders>
          </w:tcPr>
          <w:p w:rsidR="00B228DA" w:rsidRPr="00DA7A86" w:rsidRDefault="00B228DA" w:rsidP="00B228DA">
            <w:pPr>
              <w:pStyle w:val="oj-sti-art"/>
              <w:shd w:val="clear" w:color="auto" w:fill="FFFFFF"/>
              <w:rPr>
                <w:color w:val="000000"/>
                <w:sz w:val="18"/>
                <w:szCs w:val="18"/>
              </w:rPr>
            </w:pPr>
            <w:r w:rsidRPr="00DA7A86">
              <w:rPr>
                <w:color w:val="000000"/>
                <w:sz w:val="18"/>
                <w:szCs w:val="18"/>
              </w:rPr>
              <w:t>Vstup v platnost</w:t>
            </w:r>
          </w:p>
          <w:p w:rsidR="00B228DA" w:rsidRPr="00DA7A86" w:rsidRDefault="00B228DA" w:rsidP="00B228DA">
            <w:pPr>
              <w:pStyle w:val="oj-normal"/>
              <w:shd w:val="clear" w:color="auto" w:fill="FFFFFF"/>
              <w:rPr>
                <w:color w:val="000000"/>
                <w:sz w:val="15"/>
                <w:szCs w:val="15"/>
              </w:rPr>
            </w:pPr>
            <w:r w:rsidRPr="00DA7A86">
              <w:rPr>
                <w:color w:val="000000"/>
                <w:sz w:val="18"/>
                <w:szCs w:val="18"/>
              </w:rPr>
              <w:t>Tato směrnice vstupuje v platnost prvním dnem po vyhlášení v </w:t>
            </w:r>
            <w:r w:rsidRPr="00D46CA2">
              <w:rPr>
                <w:rStyle w:val="oj-italic"/>
                <w:i w:val="0"/>
                <w:color w:val="000000"/>
                <w:sz w:val="18"/>
                <w:szCs w:val="18"/>
              </w:rPr>
              <w:t>Úředním věstníku Evropské unie</w:t>
            </w:r>
            <w:r w:rsidRPr="00D46CA2">
              <w:rPr>
                <w:i/>
                <w:color w:val="000000"/>
                <w:sz w:val="18"/>
                <w:szCs w:val="18"/>
              </w:rPr>
              <w:t>.</w:t>
            </w:r>
          </w:p>
        </w:tc>
        <w:tc>
          <w:tcPr>
            <w:tcW w:w="1292" w:type="dxa"/>
            <w:tcBorders>
              <w:top w:val="single" w:sz="4" w:space="0" w:color="auto"/>
              <w:left w:val="single" w:sz="18" w:space="0" w:color="auto"/>
              <w:bottom w:val="nil"/>
              <w:right w:val="single" w:sz="4" w:space="0" w:color="auto"/>
            </w:tcBorders>
          </w:tcPr>
          <w:p w:rsidR="00B228DA" w:rsidRPr="00605684" w:rsidRDefault="00B228DA" w:rsidP="00B228DA">
            <w:pPr>
              <w:spacing w:before="40" w:after="40"/>
              <w:rPr>
                <w:sz w:val="18"/>
              </w:rPr>
            </w:pPr>
          </w:p>
        </w:tc>
        <w:tc>
          <w:tcPr>
            <w:tcW w:w="1104" w:type="dxa"/>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p>
        </w:tc>
        <w:tc>
          <w:tcPr>
            <w:tcW w:w="5425" w:type="dxa"/>
            <w:gridSpan w:val="4"/>
            <w:tcBorders>
              <w:top w:val="single" w:sz="4" w:space="0" w:color="auto"/>
              <w:left w:val="single" w:sz="4" w:space="0" w:color="auto"/>
              <w:bottom w:val="nil"/>
              <w:right w:val="single" w:sz="4" w:space="0" w:color="auto"/>
            </w:tcBorders>
          </w:tcPr>
          <w:p w:rsidR="00B228DA" w:rsidRPr="00605684" w:rsidRDefault="00B228DA" w:rsidP="00B228DA">
            <w:pPr>
              <w:spacing w:before="40" w:after="40"/>
              <w:jc w:val="both"/>
              <w:rPr>
                <w:sz w:val="18"/>
              </w:rPr>
            </w:pPr>
            <w:r w:rsidRPr="009A0D97">
              <w:rPr>
                <w:i/>
                <w:sz w:val="18"/>
              </w:rPr>
              <w:t>Nerelevantní z hlediska transpozice.</w:t>
            </w:r>
            <w:r>
              <w:rPr>
                <w:i/>
                <w:sz w:val="18"/>
              </w:rPr>
              <w:t xml:space="preserve"> Jedná se o deklaratorní ustanovení.</w:t>
            </w:r>
          </w:p>
        </w:tc>
        <w:tc>
          <w:tcPr>
            <w:tcW w:w="818" w:type="dxa"/>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r>
              <w:rPr>
                <w:sz w:val="18"/>
              </w:rPr>
              <w:t>N</w:t>
            </w:r>
            <w:r w:rsidRPr="00605684">
              <w:rPr>
                <w:sz w:val="18"/>
              </w:rPr>
              <w:t>T</w:t>
            </w:r>
          </w:p>
        </w:tc>
        <w:tc>
          <w:tcPr>
            <w:tcW w:w="655" w:type="dxa"/>
            <w:tcBorders>
              <w:top w:val="single" w:sz="4" w:space="0" w:color="auto"/>
              <w:left w:val="single" w:sz="4" w:space="0" w:color="auto"/>
              <w:bottom w:val="nil"/>
              <w:right w:val="single" w:sz="4" w:space="0" w:color="auto"/>
            </w:tcBorders>
          </w:tcPr>
          <w:p w:rsidR="00B228DA" w:rsidRPr="00605684" w:rsidRDefault="00B228DA" w:rsidP="00B228DA">
            <w:pPr>
              <w:spacing w:before="40" w:after="40"/>
              <w:rPr>
                <w:sz w:val="18"/>
              </w:rPr>
            </w:pPr>
          </w:p>
        </w:tc>
      </w:tr>
      <w:tr w:rsidR="00B228DA" w:rsidRPr="00605684" w:rsidTr="00411467">
        <w:tc>
          <w:tcPr>
            <w:tcW w:w="1427" w:type="dxa"/>
            <w:gridSpan w:val="2"/>
            <w:tcBorders>
              <w:top w:val="single" w:sz="4" w:space="0" w:color="auto"/>
              <w:left w:val="single" w:sz="4" w:space="0" w:color="auto"/>
              <w:bottom w:val="single" w:sz="4" w:space="0" w:color="auto"/>
              <w:right w:val="single" w:sz="4" w:space="0" w:color="auto"/>
            </w:tcBorders>
          </w:tcPr>
          <w:p w:rsidR="00B228DA" w:rsidRPr="00605684" w:rsidRDefault="00B228DA" w:rsidP="00B228DA">
            <w:pPr>
              <w:spacing w:before="40" w:after="40"/>
              <w:rPr>
                <w:sz w:val="18"/>
              </w:rPr>
            </w:pPr>
            <w:r>
              <w:rPr>
                <w:sz w:val="18"/>
              </w:rPr>
              <w:t>Článek 7</w:t>
            </w:r>
          </w:p>
        </w:tc>
        <w:tc>
          <w:tcPr>
            <w:tcW w:w="5210" w:type="dxa"/>
            <w:gridSpan w:val="3"/>
            <w:tcBorders>
              <w:top w:val="single" w:sz="4" w:space="0" w:color="auto"/>
              <w:left w:val="single" w:sz="4" w:space="0" w:color="auto"/>
              <w:bottom w:val="single" w:sz="4" w:space="0" w:color="auto"/>
              <w:right w:val="single" w:sz="18" w:space="0" w:color="auto"/>
            </w:tcBorders>
          </w:tcPr>
          <w:p w:rsidR="00B228DA" w:rsidRPr="008022DB" w:rsidRDefault="00B228DA" w:rsidP="00B228DA">
            <w:pPr>
              <w:pStyle w:val="oj-sti-art"/>
              <w:shd w:val="clear" w:color="auto" w:fill="FFFFFF"/>
              <w:rPr>
                <w:color w:val="000000"/>
                <w:sz w:val="18"/>
                <w:szCs w:val="18"/>
              </w:rPr>
            </w:pPr>
            <w:r w:rsidRPr="008022DB">
              <w:rPr>
                <w:color w:val="000000"/>
                <w:sz w:val="18"/>
                <w:szCs w:val="18"/>
              </w:rPr>
              <w:t>Určení</w:t>
            </w:r>
          </w:p>
          <w:p w:rsidR="00B228DA" w:rsidRPr="008022DB" w:rsidRDefault="00B228DA" w:rsidP="00B228DA">
            <w:pPr>
              <w:pStyle w:val="oj-normal"/>
              <w:shd w:val="clear" w:color="auto" w:fill="FFFFFF"/>
              <w:rPr>
                <w:color w:val="000000"/>
                <w:sz w:val="15"/>
                <w:szCs w:val="15"/>
              </w:rPr>
            </w:pPr>
            <w:r w:rsidRPr="008022DB">
              <w:rPr>
                <w:color w:val="000000"/>
                <w:sz w:val="18"/>
                <w:szCs w:val="18"/>
              </w:rPr>
              <w:t>Tato směrnice je určena členským státům.</w:t>
            </w:r>
          </w:p>
        </w:tc>
        <w:tc>
          <w:tcPr>
            <w:tcW w:w="1292" w:type="dxa"/>
            <w:tcBorders>
              <w:top w:val="single" w:sz="4" w:space="0" w:color="auto"/>
              <w:left w:val="single" w:sz="18" w:space="0" w:color="auto"/>
              <w:bottom w:val="single" w:sz="4" w:space="0" w:color="auto"/>
              <w:right w:val="single" w:sz="4" w:space="0" w:color="auto"/>
            </w:tcBorders>
          </w:tcPr>
          <w:p w:rsidR="00B228DA" w:rsidRPr="00605684" w:rsidRDefault="00B228DA" w:rsidP="00B228DA">
            <w:pPr>
              <w:spacing w:before="40" w:after="40"/>
              <w:rPr>
                <w:sz w:val="18"/>
              </w:rPr>
            </w:pPr>
          </w:p>
        </w:tc>
        <w:tc>
          <w:tcPr>
            <w:tcW w:w="1104" w:type="dxa"/>
            <w:tcBorders>
              <w:top w:val="single" w:sz="4" w:space="0" w:color="auto"/>
              <w:left w:val="single" w:sz="4" w:space="0" w:color="auto"/>
              <w:bottom w:val="single" w:sz="4" w:space="0" w:color="auto"/>
              <w:right w:val="single" w:sz="4" w:space="0" w:color="auto"/>
            </w:tcBorders>
          </w:tcPr>
          <w:p w:rsidR="00B228DA" w:rsidRPr="00605684" w:rsidRDefault="00B228DA" w:rsidP="00B228DA">
            <w:pPr>
              <w:spacing w:before="40" w:after="40"/>
              <w:rPr>
                <w:sz w:val="18"/>
              </w:rPr>
            </w:pPr>
          </w:p>
        </w:tc>
        <w:tc>
          <w:tcPr>
            <w:tcW w:w="5425" w:type="dxa"/>
            <w:gridSpan w:val="4"/>
            <w:tcBorders>
              <w:top w:val="single" w:sz="4" w:space="0" w:color="auto"/>
              <w:left w:val="single" w:sz="4" w:space="0" w:color="auto"/>
              <w:bottom w:val="single" w:sz="4" w:space="0" w:color="auto"/>
              <w:right w:val="single" w:sz="4" w:space="0" w:color="auto"/>
            </w:tcBorders>
          </w:tcPr>
          <w:p w:rsidR="00B228DA" w:rsidRPr="00605684" w:rsidRDefault="00B228DA" w:rsidP="00B228DA">
            <w:pPr>
              <w:spacing w:before="40" w:after="40"/>
              <w:jc w:val="both"/>
              <w:rPr>
                <w:sz w:val="18"/>
              </w:rPr>
            </w:pPr>
            <w:r w:rsidRPr="009A0D97">
              <w:rPr>
                <w:i/>
                <w:sz w:val="18"/>
              </w:rPr>
              <w:t>Nerelevantní z hlediska transpozice.</w:t>
            </w:r>
            <w:r>
              <w:rPr>
                <w:i/>
                <w:sz w:val="18"/>
              </w:rPr>
              <w:t xml:space="preserve"> Jedná se o deklaratorní ustanovení.</w:t>
            </w:r>
          </w:p>
        </w:tc>
        <w:tc>
          <w:tcPr>
            <w:tcW w:w="818" w:type="dxa"/>
            <w:tcBorders>
              <w:top w:val="single" w:sz="4" w:space="0" w:color="auto"/>
              <w:left w:val="single" w:sz="4" w:space="0" w:color="auto"/>
              <w:bottom w:val="single" w:sz="4" w:space="0" w:color="auto"/>
              <w:right w:val="single" w:sz="4" w:space="0" w:color="auto"/>
            </w:tcBorders>
          </w:tcPr>
          <w:p w:rsidR="00B228DA" w:rsidRPr="00605684" w:rsidRDefault="00B228DA" w:rsidP="00B228DA">
            <w:pPr>
              <w:spacing w:before="40" w:after="40"/>
              <w:rPr>
                <w:sz w:val="18"/>
              </w:rPr>
            </w:pPr>
            <w:r>
              <w:rPr>
                <w:sz w:val="18"/>
              </w:rPr>
              <w:t>NT</w:t>
            </w:r>
          </w:p>
        </w:tc>
        <w:tc>
          <w:tcPr>
            <w:tcW w:w="655" w:type="dxa"/>
            <w:tcBorders>
              <w:top w:val="single" w:sz="4" w:space="0" w:color="auto"/>
              <w:left w:val="single" w:sz="4" w:space="0" w:color="auto"/>
              <w:bottom w:val="single" w:sz="4" w:space="0" w:color="auto"/>
              <w:right w:val="single" w:sz="4" w:space="0" w:color="auto"/>
            </w:tcBorders>
          </w:tcPr>
          <w:p w:rsidR="00B228DA" w:rsidRPr="00605684" w:rsidRDefault="00B228DA" w:rsidP="00B228DA">
            <w:pPr>
              <w:spacing w:before="40" w:after="40"/>
              <w:rPr>
                <w:sz w:val="18"/>
              </w:rPr>
            </w:pPr>
          </w:p>
        </w:tc>
      </w:tr>
    </w:tbl>
    <w:p w:rsidR="00FD02D5" w:rsidRPr="00605684" w:rsidRDefault="00FD02D5">
      <w:pPr>
        <w:rPr>
          <w:sz w:val="18"/>
        </w:rPr>
      </w:pPr>
    </w:p>
    <w:p w:rsidR="00FD02D5" w:rsidRPr="00605684" w:rsidRDefault="00FD02D5">
      <w:pPr>
        <w:rPr>
          <w:sz w:val="18"/>
        </w:rPr>
      </w:pPr>
    </w:p>
    <w:p w:rsidR="00FD02D5" w:rsidRPr="00605684" w:rsidRDefault="00FD02D5">
      <w:pPr>
        <w:pStyle w:val="Nadpis1"/>
      </w:pPr>
      <w:r w:rsidRPr="00605684">
        <w:t>Rekapitulace platných předpisů a legislativních návrhů, jejichž prostřednictvím je implementován předpis  ES/EU</w:t>
      </w:r>
    </w:p>
    <w:p w:rsidR="00FD02D5" w:rsidRPr="00605684" w:rsidRDefault="00FD02D5">
      <w:pPr>
        <w:ind w:left="-900"/>
        <w:rPr>
          <w:sz w:val="18"/>
        </w:rPr>
      </w:pPr>
    </w:p>
    <w:p w:rsidR="00FD02D5" w:rsidRPr="00605684" w:rsidRDefault="00FD02D5">
      <w:pPr>
        <w:ind w:left="-900"/>
        <w:rPr>
          <w:sz w:val="18"/>
        </w:rPr>
      </w:pPr>
    </w:p>
    <w:p w:rsidR="00FD02D5" w:rsidRPr="00605684" w:rsidRDefault="00FD02D5">
      <w:pPr>
        <w:ind w:left="-900"/>
        <w:rPr>
          <w:b/>
          <w:bCs/>
          <w:sz w:val="18"/>
        </w:rPr>
      </w:pPr>
      <w:r w:rsidRPr="00605684">
        <w:rPr>
          <w:b/>
          <w:bCs/>
          <w:sz w:val="18"/>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00"/>
        <w:gridCol w:w="12960"/>
        <w:gridCol w:w="1440"/>
      </w:tblGrid>
      <w:tr w:rsidR="00605684" w:rsidRPr="00605684">
        <w:tc>
          <w:tcPr>
            <w:tcW w:w="540" w:type="dxa"/>
          </w:tcPr>
          <w:p w:rsidR="00FD02D5" w:rsidRPr="00605684" w:rsidRDefault="00FD02D5">
            <w:pPr>
              <w:spacing w:before="60" w:after="60"/>
              <w:jc w:val="center"/>
              <w:rPr>
                <w:sz w:val="16"/>
              </w:rPr>
            </w:pPr>
            <w:r w:rsidRPr="00605684">
              <w:rPr>
                <w:sz w:val="16"/>
              </w:rPr>
              <w:t>Poř. č</w:t>
            </w:r>
          </w:p>
        </w:tc>
        <w:tc>
          <w:tcPr>
            <w:tcW w:w="900" w:type="dxa"/>
          </w:tcPr>
          <w:p w:rsidR="00FD02D5" w:rsidRPr="00605684" w:rsidRDefault="00FD02D5">
            <w:pPr>
              <w:spacing w:before="60" w:after="60"/>
              <w:jc w:val="center"/>
              <w:rPr>
                <w:sz w:val="16"/>
              </w:rPr>
            </w:pPr>
            <w:r w:rsidRPr="00605684">
              <w:rPr>
                <w:sz w:val="16"/>
              </w:rPr>
              <w:t>Číslo.Sb.</w:t>
            </w:r>
          </w:p>
        </w:tc>
        <w:tc>
          <w:tcPr>
            <w:tcW w:w="12960" w:type="dxa"/>
          </w:tcPr>
          <w:p w:rsidR="00FD02D5" w:rsidRPr="00605684" w:rsidRDefault="00FD02D5">
            <w:pPr>
              <w:spacing w:before="60" w:after="60"/>
              <w:jc w:val="center"/>
              <w:rPr>
                <w:sz w:val="16"/>
              </w:rPr>
            </w:pPr>
            <w:r w:rsidRPr="00605684">
              <w:rPr>
                <w:sz w:val="16"/>
              </w:rPr>
              <w:t>Název předpisu</w:t>
            </w:r>
          </w:p>
        </w:tc>
        <w:tc>
          <w:tcPr>
            <w:tcW w:w="1440" w:type="dxa"/>
          </w:tcPr>
          <w:p w:rsidR="00FD02D5" w:rsidRPr="00605684" w:rsidRDefault="00FD02D5">
            <w:pPr>
              <w:spacing w:before="60" w:after="60"/>
              <w:jc w:val="center"/>
              <w:rPr>
                <w:sz w:val="16"/>
              </w:rPr>
            </w:pPr>
            <w:r w:rsidRPr="00605684">
              <w:rPr>
                <w:sz w:val="16"/>
              </w:rPr>
              <w:t>Účinnost předpisu</w:t>
            </w:r>
          </w:p>
        </w:tc>
      </w:tr>
      <w:tr w:rsidR="00605684" w:rsidRPr="00605684">
        <w:tc>
          <w:tcPr>
            <w:tcW w:w="540" w:type="dxa"/>
          </w:tcPr>
          <w:p w:rsidR="00C51F56" w:rsidRPr="00605684" w:rsidRDefault="007324AE" w:rsidP="00717329">
            <w:pPr>
              <w:rPr>
                <w:sz w:val="18"/>
              </w:rPr>
            </w:pPr>
            <w:r>
              <w:rPr>
                <w:sz w:val="18"/>
              </w:rPr>
              <w:t>1.</w:t>
            </w:r>
          </w:p>
        </w:tc>
        <w:tc>
          <w:tcPr>
            <w:tcW w:w="900" w:type="dxa"/>
          </w:tcPr>
          <w:p w:rsidR="00C51F56" w:rsidRPr="00605684" w:rsidRDefault="00FA4A0A">
            <w:pPr>
              <w:rPr>
                <w:sz w:val="18"/>
              </w:rPr>
            </w:pPr>
            <w:r>
              <w:rPr>
                <w:sz w:val="18"/>
              </w:rPr>
              <w:t>256/2004</w:t>
            </w:r>
          </w:p>
        </w:tc>
        <w:tc>
          <w:tcPr>
            <w:tcW w:w="12960" w:type="dxa"/>
          </w:tcPr>
          <w:p w:rsidR="00C51F56" w:rsidRPr="00605684" w:rsidRDefault="00FB338F" w:rsidP="00154016">
            <w:pPr>
              <w:rPr>
                <w:sz w:val="18"/>
              </w:rPr>
            </w:pPr>
            <w:r>
              <w:rPr>
                <w:sz w:val="18"/>
              </w:rPr>
              <w:t xml:space="preserve">Zákon </w:t>
            </w:r>
            <w:r w:rsidR="004D36A3">
              <w:rPr>
                <w:sz w:val="18"/>
              </w:rPr>
              <w:t>č. 256/2004Sb., o podnikání</w:t>
            </w:r>
            <w:r>
              <w:rPr>
                <w:sz w:val="18"/>
              </w:rPr>
              <w:t xml:space="preserve"> na kapitálovém trhu</w:t>
            </w:r>
          </w:p>
        </w:tc>
        <w:tc>
          <w:tcPr>
            <w:tcW w:w="1440" w:type="dxa"/>
          </w:tcPr>
          <w:p w:rsidR="00C51F56" w:rsidRPr="00605684" w:rsidRDefault="00FB338F">
            <w:pPr>
              <w:rPr>
                <w:sz w:val="18"/>
              </w:rPr>
            </w:pPr>
            <w:r>
              <w:rPr>
                <w:sz w:val="18"/>
              </w:rPr>
              <w:t>1.</w:t>
            </w:r>
            <w:r w:rsidR="004D36A3">
              <w:rPr>
                <w:sz w:val="18"/>
              </w:rPr>
              <w:t xml:space="preserve"> </w:t>
            </w:r>
            <w:r>
              <w:rPr>
                <w:sz w:val="18"/>
              </w:rPr>
              <w:t>5.</w:t>
            </w:r>
            <w:r w:rsidR="004D36A3">
              <w:rPr>
                <w:sz w:val="18"/>
              </w:rPr>
              <w:t xml:space="preserve"> </w:t>
            </w:r>
            <w:r>
              <w:rPr>
                <w:sz w:val="18"/>
              </w:rPr>
              <w:t>2004</w:t>
            </w:r>
          </w:p>
        </w:tc>
      </w:tr>
      <w:tr w:rsidR="00605684" w:rsidRPr="00605684">
        <w:tc>
          <w:tcPr>
            <w:tcW w:w="540" w:type="dxa"/>
          </w:tcPr>
          <w:p w:rsidR="00D41DB4" w:rsidRPr="00605684" w:rsidRDefault="00E103FC" w:rsidP="00717329">
            <w:pPr>
              <w:rPr>
                <w:sz w:val="18"/>
              </w:rPr>
            </w:pPr>
            <w:r>
              <w:rPr>
                <w:sz w:val="18"/>
              </w:rPr>
              <w:t>2.</w:t>
            </w:r>
          </w:p>
        </w:tc>
        <w:tc>
          <w:tcPr>
            <w:tcW w:w="900" w:type="dxa"/>
          </w:tcPr>
          <w:p w:rsidR="00D41DB4" w:rsidRPr="00605684" w:rsidRDefault="00FB338F">
            <w:pPr>
              <w:rPr>
                <w:sz w:val="18"/>
              </w:rPr>
            </w:pPr>
            <w:r>
              <w:rPr>
                <w:sz w:val="18"/>
              </w:rPr>
              <w:t>230/2008</w:t>
            </w:r>
          </w:p>
        </w:tc>
        <w:tc>
          <w:tcPr>
            <w:tcW w:w="12960" w:type="dxa"/>
          </w:tcPr>
          <w:p w:rsidR="00D41DB4" w:rsidRPr="00605684" w:rsidRDefault="00FB338F" w:rsidP="00965F78">
            <w:pPr>
              <w:rPr>
                <w:sz w:val="18"/>
              </w:rPr>
            </w:pPr>
            <w:r>
              <w:rPr>
                <w:sz w:val="18"/>
              </w:rPr>
              <w:t>Zákon</w:t>
            </w:r>
            <w:r w:rsidR="004D36A3">
              <w:rPr>
                <w:sz w:val="18"/>
              </w:rPr>
              <w:t xml:space="preserve"> č. 230/2008 Sb.</w:t>
            </w:r>
            <w:r>
              <w:rPr>
                <w:sz w:val="18"/>
              </w:rPr>
              <w:t xml:space="preserve">, </w:t>
            </w:r>
            <w:r w:rsidRPr="00FB338F">
              <w:rPr>
                <w:sz w:val="18"/>
              </w:rPr>
              <w:t>kterým se mění zákon č. 256/2004 Sb., o podnikání na kapitálovém trhu, ve znění pozdějších předpisů, a další související zákony</w:t>
            </w:r>
          </w:p>
        </w:tc>
        <w:tc>
          <w:tcPr>
            <w:tcW w:w="1440" w:type="dxa"/>
          </w:tcPr>
          <w:p w:rsidR="00D41DB4" w:rsidRPr="00605684" w:rsidRDefault="00FB338F">
            <w:pPr>
              <w:rPr>
                <w:sz w:val="18"/>
              </w:rPr>
            </w:pPr>
            <w:r>
              <w:rPr>
                <w:sz w:val="18"/>
              </w:rPr>
              <w:t>1.</w:t>
            </w:r>
            <w:r w:rsidR="004D36A3">
              <w:rPr>
                <w:sz w:val="18"/>
              </w:rPr>
              <w:t xml:space="preserve"> </w:t>
            </w:r>
            <w:r>
              <w:rPr>
                <w:sz w:val="18"/>
              </w:rPr>
              <w:t>7.</w:t>
            </w:r>
            <w:r w:rsidR="004D36A3">
              <w:rPr>
                <w:sz w:val="18"/>
              </w:rPr>
              <w:t xml:space="preserve"> </w:t>
            </w:r>
            <w:r>
              <w:rPr>
                <w:sz w:val="18"/>
              </w:rPr>
              <w:t>2008</w:t>
            </w:r>
          </w:p>
        </w:tc>
      </w:tr>
      <w:tr w:rsidR="003D0B22" w:rsidRPr="00605684">
        <w:tc>
          <w:tcPr>
            <w:tcW w:w="540" w:type="dxa"/>
          </w:tcPr>
          <w:p w:rsidR="003D0B22" w:rsidRDefault="003D0B22" w:rsidP="00717329">
            <w:pPr>
              <w:rPr>
                <w:sz w:val="18"/>
              </w:rPr>
            </w:pPr>
            <w:r>
              <w:rPr>
                <w:sz w:val="18"/>
              </w:rPr>
              <w:t>3.</w:t>
            </w:r>
          </w:p>
        </w:tc>
        <w:tc>
          <w:tcPr>
            <w:tcW w:w="900" w:type="dxa"/>
          </w:tcPr>
          <w:p w:rsidR="003D0B22" w:rsidRDefault="00FB338F">
            <w:pPr>
              <w:rPr>
                <w:sz w:val="18"/>
              </w:rPr>
            </w:pPr>
            <w:r>
              <w:rPr>
                <w:sz w:val="18"/>
              </w:rPr>
              <w:t>160/2010</w:t>
            </w:r>
          </w:p>
        </w:tc>
        <w:tc>
          <w:tcPr>
            <w:tcW w:w="12960" w:type="dxa"/>
          </w:tcPr>
          <w:p w:rsidR="003D0B22" w:rsidRPr="00605684" w:rsidRDefault="00FB338F" w:rsidP="00965F78">
            <w:pPr>
              <w:rPr>
                <w:sz w:val="18"/>
              </w:rPr>
            </w:pPr>
            <w:r>
              <w:rPr>
                <w:sz w:val="18"/>
              </w:rPr>
              <w:t>Zákon</w:t>
            </w:r>
            <w:r w:rsidR="004D36A3">
              <w:rPr>
                <w:sz w:val="18"/>
              </w:rPr>
              <w:t xml:space="preserve"> č. 160/2010 Sb.</w:t>
            </w:r>
            <w:r>
              <w:rPr>
                <w:sz w:val="18"/>
              </w:rPr>
              <w:t>, k</w:t>
            </w:r>
            <w:r w:rsidRPr="00FB338F">
              <w:rPr>
                <w:sz w:val="18"/>
              </w:rPr>
              <w:t>terým se mění některé zákony v souvislosti s přijetím nařízení Evropského parlamentu a Rady o ratingových agenturách</w:t>
            </w:r>
          </w:p>
        </w:tc>
        <w:tc>
          <w:tcPr>
            <w:tcW w:w="1440" w:type="dxa"/>
          </w:tcPr>
          <w:p w:rsidR="003D0B22" w:rsidRPr="00605684" w:rsidRDefault="00FB338F">
            <w:pPr>
              <w:rPr>
                <w:sz w:val="18"/>
              </w:rPr>
            </w:pPr>
            <w:r>
              <w:rPr>
                <w:sz w:val="18"/>
              </w:rPr>
              <w:t>7.</w:t>
            </w:r>
            <w:r w:rsidR="004D36A3">
              <w:rPr>
                <w:sz w:val="18"/>
              </w:rPr>
              <w:t xml:space="preserve"> </w:t>
            </w:r>
            <w:r>
              <w:rPr>
                <w:sz w:val="18"/>
              </w:rPr>
              <w:t>6.</w:t>
            </w:r>
            <w:r w:rsidR="004D36A3">
              <w:rPr>
                <w:sz w:val="18"/>
              </w:rPr>
              <w:t xml:space="preserve"> </w:t>
            </w:r>
            <w:r>
              <w:rPr>
                <w:sz w:val="18"/>
              </w:rPr>
              <w:t>2010</w:t>
            </w:r>
          </w:p>
        </w:tc>
      </w:tr>
      <w:tr w:rsidR="00FA4A0A" w:rsidRPr="00605684">
        <w:tc>
          <w:tcPr>
            <w:tcW w:w="540" w:type="dxa"/>
          </w:tcPr>
          <w:p w:rsidR="00FA4A0A" w:rsidRDefault="00FA4A0A" w:rsidP="00717329">
            <w:pPr>
              <w:rPr>
                <w:sz w:val="18"/>
              </w:rPr>
            </w:pPr>
            <w:r>
              <w:rPr>
                <w:sz w:val="18"/>
              </w:rPr>
              <w:t>4.</w:t>
            </w:r>
          </w:p>
        </w:tc>
        <w:tc>
          <w:tcPr>
            <w:tcW w:w="900" w:type="dxa"/>
          </w:tcPr>
          <w:p w:rsidR="00FA4A0A" w:rsidRDefault="00FB338F">
            <w:pPr>
              <w:rPr>
                <w:sz w:val="18"/>
              </w:rPr>
            </w:pPr>
            <w:r>
              <w:rPr>
                <w:sz w:val="18"/>
              </w:rPr>
              <w:t>41/2011</w:t>
            </w:r>
          </w:p>
        </w:tc>
        <w:tc>
          <w:tcPr>
            <w:tcW w:w="12960" w:type="dxa"/>
          </w:tcPr>
          <w:p w:rsidR="00FA4A0A" w:rsidRPr="00605684" w:rsidRDefault="00FB338F" w:rsidP="00965F78">
            <w:pPr>
              <w:rPr>
                <w:sz w:val="18"/>
              </w:rPr>
            </w:pPr>
            <w:r>
              <w:rPr>
                <w:sz w:val="18"/>
              </w:rPr>
              <w:t>Zákon</w:t>
            </w:r>
            <w:r w:rsidR="004D36A3">
              <w:rPr>
                <w:sz w:val="18"/>
              </w:rPr>
              <w:t xml:space="preserve"> č. 41/2011 Sb.</w:t>
            </w:r>
            <w:r>
              <w:rPr>
                <w:sz w:val="18"/>
              </w:rPr>
              <w:t xml:space="preserve">, </w:t>
            </w:r>
            <w:r w:rsidRPr="00FB338F">
              <w:rPr>
                <w:sz w:val="18"/>
              </w:rPr>
              <w:t>kterým se mění některé zákony v souvislosti se stanovením kapitálových požadavků a postupů dohledu nad bankami, spořitelními a úvěrními družstvy a obchodníky s cennými papíry</w:t>
            </w:r>
          </w:p>
        </w:tc>
        <w:tc>
          <w:tcPr>
            <w:tcW w:w="1440" w:type="dxa"/>
          </w:tcPr>
          <w:p w:rsidR="00FA4A0A" w:rsidRPr="00605684" w:rsidRDefault="00FB338F">
            <w:pPr>
              <w:rPr>
                <w:sz w:val="18"/>
              </w:rPr>
            </w:pPr>
            <w:r>
              <w:rPr>
                <w:sz w:val="18"/>
              </w:rPr>
              <w:t>28.</w:t>
            </w:r>
            <w:r w:rsidR="004D36A3">
              <w:rPr>
                <w:sz w:val="18"/>
              </w:rPr>
              <w:t xml:space="preserve"> </w:t>
            </w:r>
            <w:r>
              <w:rPr>
                <w:sz w:val="18"/>
              </w:rPr>
              <w:t>2.</w:t>
            </w:r>
            <w:r w:rsidR="004D36A3">
              <w:rPr>
                <w:sz w:val="18"/>
              </w:rPr>
              <w:t xml:space="preserve"> </w:t>
            </w:r>
            <w:r>
              <w:rPr>
                <w:sz w:val="18"/>
              </w:rPr>
              <w:t>2011</w:t>
            </w:r>
          </w:p>
        </w:tc>
      </w:tr>
      <w:tr w:rsidR="00C9546A" w:rsidRPr="00605684">
        <w:tc>
          <w:tcPr>
            <w:tcW w:w="540" w:type="dxa"/>
          </w:tcPr>
          <w:p w:rsidR="00C9546A" w:rsidRDefault="00854B76" w:rsidP="00717329">
            <w:pPr>
              <w:rPr>
                <w:sz w:val="18"/>
              </w:rPr>
            </w:pPr>
            <w:r>
              <w:rPr>
                <w:sz w:val="18"/>
              </w:rPr>
              <w:t>5.</w:t>
            </w:r>
          </w:p>
        </w:tc>
        <w:tc>
          <w:tcPr>
            <w:tcW w:w="900" w:type="dxa"/>
          </w:tcPr>
          <w:p w:rsidR="00C9546A" w:rsidRDefault="00C9546A">
            <w:pPr>
              <w:rPr>
                <w:sz w:val="18"/>
              </w:rPr>
            </w:pPr>
            <w:r>
              <w:rPr>
                <w:sz w:val="18"/>
              </w:rPr>
              <w:t>37/2012</w:t>
            </w:r>
          </w:p>
        </w:tc>
        <w:tc>
          <w:tcPr>
            <w:tcW w:w="12960" w:type="dxa"/>
          </w:tcPr>
          <w:p w:rsidR="00C9546A" w:rsidRDefault="00C9546A" w:rsidP="00965F78">
            <w:pPr>
              <w:rPr>
                <w:sz w:val="18"/>
              </w:rPr>
            </w:pPr>
            <w:r>
              <w:rPr>
                <w:sz w:val="18"/>
              </w:rPr>
              <w:t xml:space="preserve">Zákon č. 37/2012 Sb., </w:t>
            </w:r>
            <w:r w:rsidRPr="00C9546A">
              <w:rPr>
                <w:rStyle w:val="h1a6"/>
                <w:rFonts w:ascii="Times New Roman" w:hAnsi="Times New Roman" w:cs="Times New Roman"/>
                <w:i w:val="0"/>
                <w:color w:val="43494D"/>
                <w:kern w:val="36"/>
                <w:sz w:val="18"/>
                <w:szCs w:val="18"/>
                <w:specVanish w:val="0"/>
              </w:rPr>
              <w:t>kterým se mění některé zákony v souvislosti s reformou dohledu nad finančním trhem v Evropské unii</w:t>
            </w:r>
          </w:p>
        </w:tc>
        <w:tc>
          <w:tcPr>
            <w:tcW w:w="1440" w:type="dxa"/>
          </w:tcPr>
          <w:p w:rsidR="00C9546A" w:rsidRDefault="00C9546A">
            <w:pPr>
              <w:rPr>
                <w:sz w:val="18"/>
              </w:rPr>
            </w:pPr>
            <w:r>
              <w:rPr>
                <w:sz w:val="18"/>
              </w:rPr>
              <w:t>31. 1. 2012</w:t>
            </w:r>
          </w:p>
        </w:tc>
      </w:tr>
      <w:tr w:rsidR="00C9546A" w:rsidRPr="00605684">
        <w:tc>
          <w:tcPr>
            <w:tcW w:w="540" w:type="dxa"/>
          </w:tcPr>
          <w:p w:rsidR="00C9546A" w:rsidRDefault="00854B76" w:rsidP="00717329">
            <w:pPr>
              <w:rPr>
                <w:sz w:val="18"/>
              </w:rPr>
            </w:pPr>
            <w:r>
              <w:rPr>
                <w:sz w:val="18"/>
              </w:rPr>
              <w:t>6.</w:t>
            </w:r>
          </w:p>
        </w:tc>
        <w:tc>
          <w:tcPr>
            <w:tcW w:w="900" w:type="dxa"/>
          </w:tcPr>
          <w:p w:rsidR="00C9546A" w:rsidRDefault="00C9546A">
            <w:pPr>
              <w:rPr>
                <w:sz w:val="18"/>
              </w:rPr>
            </w:pPr>
            <w:r>
              <w:rPr>
                <w:sz w:val="18"/>
              </w:rPr>
              <w:t>254/2012</w:t>
            </w:r>
          </w:p>
        </w:tc>
        <w:tc>
          <w:tcPr>
            <w:tcW w:w="12960" w:type="dxa"/>
          </w:tcPr>
          <w:p w:rsidR="00C9546A" w:rsidRDefault="00C9546A" w:rsidP="00965F78">
            <w:pPr>
              <w:rPr>
                <w:sz w:val="18"/>
              </w:rPr>
            </w:pPr>
            <w:r>
              <w:rPr>
                <w:sz w:val="18"/>
              </w:rPr>
              <w:t xml:space="preserve">Zákon č. 254/2012 Sb., </w:t>
            </w:r>
            <w:r w:rsidRPr="00C9546A">
              <w:rPr>
                <w:rStyle w:val="h1a6"/>
                <w:rFonts w:ascii="Times New Roman" w:hAnsi="Times New Roman" w:cs="Times New Roman"/>
                <w:i w:val="0"/>
                <w:color w:val="43494D"/>
                <w:kern w:val="36"/>
                <w:sz w:val="18"/>
                <w:szCs w:val="18"/>
                <w:specVanish w:val="0"/>
              </w:rPr>
              <w:t>kterým se mění zákon č. 21/1992 Sb., o bankách, ve znění pozdějších předpisů, a další související zákony</w:t>
            </w:r>
          </w:p>
        </w:tc>
        <w:tc>
          <w:tcPr>
            <w:tcW w:w="1440" w:type="dxa"/>
          </w:tcPr>
          <w:p w:rsidR="00C9546A" w:rsidRDefault="00C9546A">
            <w:pPr>
              <w:rPr>
                <w:sz w:val="18"/>
              </w:rPr>
            </w:pPr>
            <w:r>
              <w:rPr>
                <w:sz w:val="18"/>
              </w:rPr>
              <w:t>3. 8. 2012</w:t>
            </w:r>
          </w:p>
        </w:tc>
      </w:tr>
      <w:tr w:rsidR="00C9546A" w:rsidRPr="00605684">
        <w:tc>
          <w:tcPr>
            <w:tcW w:w="540" w:type="dxa"/>
          </w:tcPr>
          <w:p w:rsidR="00C9546A" w:rsidRDefault="00854B76" w:rsidP="00717329">
            <w:pPr>
              <w:rPr>
                <w:sz w:val="18"/>
              </w:rPr>
            </w:pPr>
            <w:r>
              <w:rPr>
                <w:sz w:val="18"/>
              </w:rPr>
              <w:t>7.</w:t>
            </w:r>
          </w:p>
        </w:tc>
        <w:tc>
          <w:tcPr>
            <w:tcW w:w="900" w:type="dxa"/>
          </w:tcPr>
          <w:p w:rsidR="00C9546A" w:rsidRDefault="00C9546A">
            <w:pPr>
              <w:rPr>
                <w:sz w:val="18"/>
              </w:rPr>
            </w:pPr>
            <w:r>
              <w:rPr>
                <w:sz w:val="18"/>
              </w:rPr>
              <w:t>241/2013</w:t>
            </w:r>
          </w:p>
        </w:tc>
        <w:tc>
          <w:tcPr>
            <w:tcW w:w="12960" w:type="dxa"/>
          </w:tcPr>
          <w:p w:rsidR="00C9546A" w:rsidRDefault="00C9546A" w:rsidP="00965F78">
            <w:pPr>
              <w:rPr>
                <w:sz w:val="18"/>
              </w:rPr>
            </w:pPr>
            <w:r>
              <w:rPr>
                <w:sz w:val="18"/>
              </w:rPr>
              <w:t xml:space="preserve">Zákon č. 241/2013 Sb., </w:t>
            </w:r>
            <w:r w:rsidRPr="00C9546A">
              <w:rPr>
                <w:rStyle w:val="h1a6"/>
                <w:rFonts w:ascii="Times New Roman" w:hAnsi="Times New Roman" w:cs="Times New Roman"/>
                <w:i w:val="0"/>
                <w:color w:val="43494D"/>
                <w:kern w:val="36"/>
                <w:sz w:val="18"/>
                <w:szCs w:val="18"/>
                <w:specVanish w:val="0"/>
              </w:rPr>
              <w:t>o změně některých zákonů v souvislosti s přijetím zákona o investičních společnostech a investičních fondech a s přijetím přímo použitelného předpisu Evropské unie upravujícího vypořádání některých derivátů</w:t>
            </w:r>
          </w:p>
        </w:tc>
        <w:tc>
          <w:tcPr>
            <w:tcW w:w="1440" w:type="dxa"/>
          </w:tcPr>
          <w:p w:rsidR="00C9546A" w:rsidRDefault="00C9546A">
            <w:pPr>
              <w:rPr>
                <w:sz w:val="18"/>
              </w:rPr>
            </w:pPr>
            <w:r>
              <w:rPr>
                <w:sz w:val="18"/>
              </w:rPr>
              <w:t>19. 8. 2013</w:t>
            </w:r>
          </w:p>
        </w:tc>
      </w:tr>
      <w:tr w:rsidR="00E6437E" w:rsidRPr="00605684">
        <w:tc>
          <w:tcPr>
            <w:tcW w:w="540" w:type="dxa"/>
          </w:tcPr>
          <w:p w:rsidR="00E6437E" w:rsidRDefault="00854B76" w:rsidP="00717329">
            <w:pPr>
              <w:rPr>
                <w:sz w:val="18"/>
              </w:rPr>
            </w:pPr>
            <w:r>
              <w:rPr>
                <w:sz w:val="18"/>
              </w:rPr>
              <w:t>8.</w:t>
            </w:r>
          </w:p>
        </w:tc>
        <w:tc>
          <w:tcPr>
            <w:tcW w:w="900" w:type="dxa"/>
          </w:tcPr>
          <w:p w:rsidR="00E6437E" w:rsidRDefault="00E6437E">
            <w:pPr>
              <w:rPr>
                <w:sz w:val="18"/>
              </w:rPr>
            </w:pPr>
            <w:r>
              <w:rPr>
                <w:sz w:val="18"/>
              </w:rPr>
              <w:t>303/2013</w:t>
            </w:r>
          </w:p>
        </w:tc>
        <w:tc>
          <w:tcPr>
            <w:tcW w:w="12960" w:type="dxa"/>
          </w:tcPr>
          <w:p w:rsidR="00E6437E" w:rsidRDefault="00E6437E" w:rsidP="00965F78">
            <w:pPr>
              <w:rPr>
                <w:sz w:val="18"/>
              </w:rPr>
            </w:pPr>
            <w:r>
              <w:rPr>
                <w:sz w:val="18"/>
              </w:rPr>
              <w:t xml:space="preserve">Zákon č. 303/2013 Sb., </w:t>
            </w:r>
            <w:r w:rsidRPr="00E6437E">
              <w:rPr>
                <w:rStyle w:val="h1a6"/>
                <w:rFonts w:ascii="Times New Roman" w:hAnsi="Times New Roman" w:cs="Times New Roman"/>
                <w:i w:val="0"/>
                <w:color w:val="43494D"/>
                <w:kern w:val="36"/>
                <w:sz w:val="18"/>
                <w:szCs w:val="18"/>
                <w:specVanish w:val="0"/>
              </w:rPr>
              <w:t>kterým se mění některé zákony v souvislosti s přijetím rekodifikace soukromého práva</w:t>
            </w:r>
          </w:p>
        </w:tc>
        <w:tc>
          <w:tcPr>
            <w:tcW w:w="1440" w:type="dxa"/>
          </w:tcPr>
          <w:p w:rsidR="00E6437E" w:rsidRDefault="00E6437E">
            <w:pPr>
              <w:rPr>
                <w:sz w:val="18"/>
              </w:rPr>
            </w:pPr>
            <w:r>
              <w:rPr>
                <w:sz w:val="18"/>
              </w:rPr>
              <w:t>1. 1. 2014</w:t>
            </w:r>
          </w:p>
        </w:tc>
      </w:tr>
      <w:tr w:rsidR="00E6437E" w:rsidRPr="00605684">
        <w:tc>
          <w:tcPr>
            <w:tcW w:w="540" w:type="dxa"/>
          </w:tcPr>
          <w:p w:rsidR="00E6437E" w:rsidRDefault="00854B76" w:rsidP="00717329">
            <w:pPr>
              <w:rPr>
                <w:sz w:val="18"/>
              </w:rPr>
            </w:pPr>
            <w:r>
              <w:rPr>
                <w:sz w:val="18"/>
              </w:rPr>
              <w:t>9.</w:t>
            </w:r>
          </w:p>
        </w:tc>
        <w:tc>
          <w:tcPr>
            <w:tcW w:w="900" w:type="dxa"/>
          </w:tcPr>
          <w:p w:rsidR="00E6437E" w:rsidRDefault="00E6437E">
            <w:pPr>
              <w:rPr>
                <w:sz w:val="18"/>
              </w:rPr>
            </w:pPr>
            <w:r>
              <w:rPr>
                <w:sz w:val="18"/>
              </w:rPr>
              <w:t>148/2016</w:t>
            </w:r>
          </w:p>
        </w:tc>
        <w:tc>
          <w:tcPr>
            <w:tcW w:w="12960" w:type="dxa"/>
          </w:tcPr>
          <w:p w:rsidR="00E6437E" w:rsidRDefault="00E6437E" w:rsidP="00965F78">
            <w:pPr>
              <w:rPr>
                <w:sz w:val="18"/>
              </w:rPr>
            </w:pPr>
            <w:r>
              <w:rPr>
                <w:sz w:val="18"/>
              </w:rPr>
              <w:t xml:space="preserve">Zákon č. 148/2016 Sb., </w:t>
            </w:r>
            <w:r w:rsidRPr="00E6437E">
              <w:rPr>
                <w:sz w:val="18"/>
              </w:rPr>
              <w:t>kterým se mění zákon č. 256/2004 Sb., o podnikání na kapitálovém trhu, ve znění pozdějších předpisů, a další související zákony</w:t>
            </w:r>
          </w:p>
        </w:tc>
        <w:tc>
          <w:tcPr>
            <w:tcW w:w="1440" w:type="dxa"/>
          </w:tcPr>
          <w:p w:rsidR="00E6437E" w:rsidRDefault="00E6437E">
            <w:pPr>
              <w:rPr>
                <w:sz w:val="18"/>
              </w:rPr>
            </w:pPr>
            <w:r>
              <w:rPr>
                <w:sz w:val="18"/>
              </w:rPr>
              <w:t>1. 6. 2016</w:t>
            </w:r>
          </w:p>
        </w:tc>
      </w:tr>
      <w:tr w:rsidR="00E6437E" w:rsidRPr="00605684">
        <w:tc>
          <w:tcPr>
            <w:tcW w:w="540" w:type="dxa"/>
          </w:tcPr>
          <w:p w:rsidR="00E6437E" w:rsidRDefault="00854B76" w:rsidP="00717329">
            <w:pPr>
              <w:rPr>
                <w:sz w:val="18"/>
              </w:rPr>
            </w:pPr>
            <w:r>
              <w:rPr>
                <w:sz w:val="18"/>
              </w:rPr>
              <w:t>10.</w:t>
            </w:r>
          </w:p>
        </w:tc>
        <w:tc>
          <w:tcPr>
            <w:tcW w:w="900" w:type="dxa"/>
          </w:tcPr>
          <w:p w:rsidR="00E6437E" w:rsidRDefault="00E6437E">
            <w:pPr>
              <w:rPr>
                <w:sz w:val="18"/>
              </w:rPr>
            </w:pPr>
            <w:r>
              <w:rPr>
                <w:sz w:val="18"/>
              </w:rPr>
              <w:t>183/2017</w:t>
            </w:r>
          </w:p>
        </w:tc>
        <w:tc>
          <w:tcPr>
            <w:tcW w:w="12960" w:type="dxa"/>
          </w:tcPr>
          <w:p w:rsidR="00E6437E" w:rsidRDefault="00E6437E" w:rsidP="00965F78">
            <w:pPr>
              <w:rPr>
                <w:sz w:val="18"/>
              </w:rPr>
            </w:pPr>
            <w:r>
              <w:rPr>
                <w:sz w:val="18"/>
              </w:rPr>
              <w:t xml:space="preserve">Zákon č. 183/2017 Sb., </w:t>
            </w:r>
            <w:r w:rsidRPr="00E6437E">
              <w:rPr>
                <w:sz w:val="18"/>
              </w:rPr>
              <w:t>kterým se mění některé zákony v souvislosti s přijetím zákona o odpovědnosti za přestupky a řízení o nich a zákona o některých přestupcích</w:t>
            </w:r>
          </w:p>
        </w:tc>
        <w:tc>
          <w:tcPr>
            <w:tcW w:w="1440" w:type="dxa"/>
          </w:tcPr>
          <w:p w:rsidR="00E6437E" w:rsidRDefault="00E6437E">
            <w:pPr>
              <w:rPr>
                <w:sz w:val="18"/>
              </w:rPr>
            </w:pPr>
            <w:r>
              <w:rPr>
                <w:sz w:val="18"/>
              </w:rPr>
              <w:t>1. 7. 2017</w:t>
            </w:r>
          </w:p>
        </w:tc>
      </w:tr>
      <w:tr w:rsidR="00FA4A0A" w:rsidRPr="00605684">
        <w:tc>
          <w:tcPr>
            <w:tcW w:w="540" w:type="dxa"/>
          </w:tcPr>
          <w:p w:rsidR="00FA4A0A" w:rsidRDefault="00854B76" w:rsidP="00717329">
            <w:pPr>
              <w:rPr>
                <w:sz w:val="18"/>
              </w:rPr>
            </w:pPr>
            <w:r>
              <w:rPr>
                <w:sz w:val="18"/>
              </w:rPr>
              <w:t>11.</w:t>
            </w:r>
          </w:p>
        </w:tc>
        <w:tc>
          <w:tcPr>
            <w:tcW w:w="900" w:type="dxa"/>
          </w:tcPr>
          <w:p w:rsidR="00FA4A0A" w:rsidRDefault="00920F6E">
            <w:pPr>
              <w:rPr>
                <w:sz w:val="18"/>
              </w:rPr>
            </w:pPr>
            <w:r>
              <w:rPr>
                <w:sz w:val="18"/>
              </w:rPr>
              <w:t>204/2017</w:t>
            </w:r>
          </w:p>
        </w:tc>
        <w:tc>
          <w:tcPr>
            <w:tcW w:w="12960" w:type="dxa"/>
          </w:tcPr>
          <w:p w:rsidR="00FA4A0A" w:rsidRPr="00605684" w:rsidRDefault="00920F6E" w:rsidP="00920F6E">
            <w:pPr>
              <w:rPr>
                <w:sz w:val="18"/>
              </w:rPr>
            </w:pPr>
            <w:r>
              <w:rPr>
                <w:sz w:val="18"/>
              </w:rPr>
              <w:t>Zákon</w:t>
            </w:r>
            <w:r w:rsidR="004D36A3">
              <w:rPr>
                <w:sz w:val="18"/>
              </w:rPr>
              <w:t xml:space="preserve"> č. 204/2017 Sb.</w:t>
            </w:r>
            <w:r>
              <w:rPr>
                <w:sz w:val="18"/>
              </w:rPr>
              <w:t xml:space="preserve">, </w:t>
            </w:r>
            <w:r w:rsidRPr="00920F6E">
              <w:rPr>
                <w:sz w:val="18"/>
              </w:rPr>
              <w:t>kterým se mění zákon č. 256/2004 Sb., o podnikání na kapitálovém trhu, ve znění pozdějších předpisů, a další související zákony</w:t>
            </w:r>
          </w:p>
        </w:tc>
        <w:tc>
          <w:tcPr>
            <w:tcW w:w="1440" w:type="dxa"/>
          </w:tcPr>
          <w:p w:rsidR="00FA4A0A" w:rsidRPr="00605684" w:rsidRDefault="00920F6E">
            <w:pPr>
              <w:rPr>
                <w:sz w:val="18"/>
              </w:rPr>
            </w:pPr>
            <w:r>
              <w:rPr>
                <w:sz w:val="18"/>
              </w:rPr>
              <w:t>13.</w:t>
            </w:r>
            <w:r w:rsidR="004D36A3">
              <w:rPr>
                <w:sz w:val="18"/>
              </w:rPr>
              <w:t xml:space="preserve"> </w:t>
            </w:r>
            <w:r>
              <w:rPr>
                <w:sz w:val="18"/>
              </w:rPr>
              <w:t>8.</w:t>
            </w:r>
            <w:r w:rsidR="004D36A3">
              <w:rPr>
                <w:sz w:val="18"/>
              </w:rPr>
              <w:t xml:space="preserve"> </w:t>
            </w:r>
            <w:r>
              <w:rPr>
                <w:sz w:val="18"/>
              </w:rPr>
              <w:t>2017</w:t>
            </w:r>
          </w:p>
        </w:tc>
      </w:tr>
      <w:tr w:rsidR="00E6437E" w:rsidRPr="00605684">
        <w:tc>
          <w:tcPr>
            <w:tcW w:w="540" w:type="dxa"/>
          </w:tcPr>
          <w:p w:rsidR="00E6437E" w:rsidRDefault="00854B76" w:rsidP="00717329">
            <w:pPr>
              <w:rPr>
                <w:sz w:val="18"/>
              </w:rPr>
            </w:pPr>
            <w:r>
              <w:rPr>
                <w:sz w:val="18"/>
              </w:rPr>
              <w:t>12.</w:t>
            </w:r>
          </w:p>
        </w:tc>
        <w:tc>
          <w:tcPr>
            <w:tcW w:w="900" w:type="dxa"/>
          </w:tcPr>
          <w:p w:rsidR="00E6437E" w:rsidRDefault="00E6437E">
            <w:pPr>
              <w:rPr>
                <w:sz w:val="18"/>
              </w:rPr>
            </w:pPr>
            <w:r>
              <w:rPr>
                <w:sz w:val="18"/>
              </w:rPr>
              <w:t>307/2018</w:t>
            </w:r>
          </w:p>
        </w:tc>
        <w:tc>
          <w:tcPr>
            <w:tcW w:w="12960" w:type="dxa"/>
          </w:tcPr>
          <w:p w:rsidR="00E6437E" w:rsidRDefault="00E6437E" w:rsidP="00920F6E">
            <w:pPr>
              <w:rPr>
                <w:sz w:val="18"/>
              </w:rPr>
            </w:pPr>
            <w:r>
              <w:rPr>
                <w:sz w:val="18"/>
              </w:rPr>
              <w:t xml:space="preserve">Zákon č. 307/2018 Sb., </w:t>
            </w:r>
            <w:r w:rsidRPr="00E6437E">
              <w:rPr>
                <w:sz w:val="18"/>
              </w:rPr>
              <w:t>kterým se mění zákon č. 190/2004 Sb., o dluhopisech, ve znění pozdějších předpisů, a další související zákony</w:t>
            </w:r>
          </w:p>
        </w:tc>
        <w:tc>
          <w:tcPr>
            <w:tcW w:w="1440" w:type="dxa"/>
          </w:tcPr>
          <w:p w:rsidR="00E6437E" w:rsidRDefault="00E6437E">
            <w:pPr>
              <w:rPr>
                <w:sz w:val="18"/>
              </w:rPr>
            </w:pPr>
            <w:r>
              <w:rPr>
                <w:sz w:val="18"/>
              </w:rPr>
              <w:t>4. 1. 2019</w:t>
            </w:r>
          </w:p>
        </w:tc>
      </w:tr>
      <w:tr w:rsidR="00FA4A0A" w:rsidRPr="00605684">
        <w:tc>
          <w:tcPr>
            <w:tcW w:w="540" w:type="dxa"/>
          </w:tcPr>
          <w:p w:rsidR="00FA4A0A" w:rsidRDefault="00854B76" w:rsidP="00717329">
            <w:pPr>
              <w:rPr>
                <w:sz w:val="18"/>
              </w:rPr>
            </w:pPr>
            <w:r>
              <w:rPr>
                <w:sz w:val="18"/>
              </w:rPr>
              <w:t>13.</w:t>
            </w:r>
          </w:p>
        </w:tc>
        <w:tc>
          <w:tcPr>
            <w:tcW w:w="900" w:type="dxa"/>
          </w:tcPr>
          <w:p w:rsidR="00FA4A0A" w:rsidRDefault="00920F6E">
            <w:pPr>
              <w:rPr>
                <w:sz w:val="18"/>
              </w:rPr>
            </w:pPr>
            <w:r>
              <w:rPr>
                <w:sz w:val="18"/>
              </w:rPr>
              <w:t>119/2020</w:t>
            </w:r>
          </w:p>
        </w:tc>
        <w:tc>
          <w:tcPr>
            <w:tcW w:w="12960" w:type="dxa"/>
          </w:tcPr>
          <w:p w:rsidR="00FA4A0A" w:rsidRPr="00605684" w:rsidRDefault="00920F6E" w:rsidP="00965F78">
            <w:pPr>
              <w:rPr>
                <w:sz w:val="18"/>
              </w:rPr>
            </w:pPr>
            <w:r>
              <w:rPr>
                <w:sz w:val="18"/>
              </w:rPr>
              <w:t>Zákon</w:t>
            </w:r>
            <w:r w:rsidR="004D36A3">
              <w:rPr>
                <w:sz w:val="18"/>
              </w:rPr>
              <w:t xml:space="preserve"> č. 119/2020 Sb.</w:t>
            </w:r>
            <w:r>
              <w:rPr>
                <w:sz w:val="18"/>
              </w:rPr>
              <w:t xml:space="preserve">, </w:t>
            </w:r>
            <w:r w:rsidRPr="00920F6E">
              <w:rPr>
                <w:sz w:val="18"/>
              </w:rPr>
              <w:t>kterým se mění některé zákony v oblasti regulace podnikání na finančním trhu</w:t>
            </w:r>
          </w:p>
        </w:tc>
        <w:tc>
          <w:tcPr>
            <w:tcW w:w="1440" w:type="dxa"/>
          </w:tcPr>
          <w:p w:rsidR="00FA4A0A" w:rsidRPr="00605684" w:rsidRDefault="00920F6E">
            <w:pPr>
              <w:rPr>
                <w:sz w:val="18"/>
              </w:rPr>
            </w:pPr>
            <w:r>
              <w:rPr>
                <w:sz w:val="18"/>
              </w:rPr>
              <w:t>1.</w:t>
            </w:r>
            <w:r w:rsidR="004D36A3">
              <w:rPr>
                <w:sz w:val="18"/>
              </w:rPr>
              <w:t xml:space="preserve"> </w:t>
            </w:r>
            <w:r>
              <w:rPr>
                <w:sz w:val="18"/>
              </w:rPr>
              <w:t>4.</w:t>
            </w:r>
            <w:r w:rsidR="004D36A3">
              <w:rPr>
                <w:sz w:val="18"/>
              </w:rPr>
              <w:t xml:space="preserve"> </w:t>
            </w:r>
            <w:r>
              <w:rPr>
                <w:sz w:val="18"/>
              </w:rPr>
              <w:t>2020</w:t>
            </w:r>
          </w:p>
        </w:tc>
      </w:tr>
      <w:tr w:rsidR="00FA4A0A" w:rsidRPr="00605684">
        <w:tc>
          <w:tcPr>
            <w:tcW w:w="540" w:type="dxa"/>
          </w:tcPr>
          <w:p w:rsidR="00FA4A0A" w:rsidRDefault="00854B76" w:rsidP="00717329">
            <w:pPr>
              <w:rPr>
                <w:sz w:val="18"/>
              </w:rPr>
            </w:pPr>
            <w:r>
              <w:rPr>
                <w:sz w:val="18"/>
              </w:rPr>
              <w:t>14.</w:t>
            </w:r>
          </w:p>
        </w:tc>
        <w:tc>
          <w:tcPr>
            <w:tcW w:w="900" w:type="dxa"/>
          </w:tcPr>
          <w:p w:rsidR="00FA4A0A" w:rsidRDefault="00920F6E">
            <w:pPr>
              <w:rPr>
                <w:sz w:val="18"/>
              </w:rPr>
            </w:pPr>
            <w:r>
              <w:rPr>
                <w:sz w:val="18"/>
              </w:rPr>
              <w:t>96/2022</w:t>
            </w:r>
          </w:p>
        </w:tc>
        <w:tc>
          <w:tcPr>
            <w:tcW w:w="12960" w:type="dxa"/>
          </w:tcPr>
          <w:p w:rsidR="00FA4A0A" w:rsidRPr="00605684" w:rsidRDefault="00920F6E" w:rsidP="00965F78">
            <w:pPr>
              <w:rPr>
                <w:sz w:val="18"/>
              </w:rPr>
            </w:pPr>
            <w:r>
              <w:rPr>
                <w:sz w:val="18"/>
              </w:rPr>
              <w:t>Zákon</w:t>
            </w:r>
            <w:r w:rsidR="004D36A3">
              <w:rPr>
                <w:sz w:val="18"/>
              </w:rPr>
              <w:t xml:space="preserve"> č. 96/2022 Sb.</w:t>
            </w:r>
            <w:r w:rsidRPr="00775D8E">
              <w:rPr>
                <w:sz w:val="18"/>
              </w:rPr>
              <w:t>, kterým se mění některé zákony v oblasti finančního trhu zejména v souvislosti s implementací předpisů Evropské unie týkajících se unie kapitálových trhů</w:t>
            </w:r>
          </w:p>
        </w:tc>
        <w:tc>
          <w:tcPr>
            <w:tcW w:w="1440" w:type="dxa"/>
          </w:tcPr>
          <w:p w:rsidR="00FA4A0A" w:rsidRPr="00605684" w:rsidRDefault="00920F6E">
            <w:pPr>
              <w:rPr>
                <w:sz w:val="18"/>
              </w:rPr>
            </w:pPr>
            <w:r>
              <w:rPr>
                <w:sz w:val="18"/>
              </w:rPr>
              <w:t>29.</w:t>
            </w:r>
            <w:r w:rsidR="004D36A3">
              <w:rPr>
                <w:sz w:val="18"/>
              </w:rPr>
              <w:t xml:space="preserve"> </w:t>
            </w:r>
            <w:r>
              <w:rPr>
                <w:sz w:val="18"/>
              </w:rPr>
              <w:t>5.</w:t>
            </w:r>
            <w:r w:rsidR="004D36A3">
              <w:rPr>
                <w:sz w:val="18"/>
              </w:rPr>
              <w:t xml:space="preserve"> </w:t>
            </w:r>
            <w:r>
              <w:rPr>
                <w:sz w:val="18"/>
              </w:rPr>
              <w:t>2022</w:t>
            </w:r>
          </w:p>
        </w:tc>
      </w:tr>
    </w:tbl>
    <w:p w:rsidR="00CA2D53" w:rsidRDefault="00CA2D53">
      <w:pPr>
        <w:ind w:left="-900"/>
        <w:rPr>
          <w:b/>
          <w:bCs/>
          <w:sz w:val="18"/>
        </w:rPr>
      </w:pPr>
    </w:p>
    <w:p w:rsidR="00FD02D5" w:rsidRPr="00605684" w:rsidRDefault="00CA2D53">
      <w:pPr>
        <w:ind w:left="-900"/>
        <w:rPr>
          <w:b/>
          <w:bCs/>
          <w:sz w:val="18"/>
        </w:rPr>
      </w:pPr>
      <w:r>
        <w:rPr>
          <w:b/>
          <w:bCs/>
          <w:sz w:val="18"/>
        </w:rPr>
        <w:t>2. Seznam návrhů př</w:t>
      </w:r>
      <w:r w:rsidR="00FD02D5" w:rsidRPr="00605684">
        <w:rPr>
          <w:b/>
          <w:bCs/>
          <w:sz w:val="18"/>
        </w:rPr>
        <w:t>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910"/>
        <w:gridCol w:w="1092"/>
        <w:gridCol w:w="8921"/>
        <w:gridCol w:w="1457"/>
        <w:gridCol w:w="1457"/>
        <w:gridCol w:w="1457"/>
      </w:tblGrid>
      <w:tr w:rsidR="00605684" w:rsidRPr="00605684">
        <w:tc>
          <w:tcPr>
            <w:tcW w:w="546" w:type="dxa"/>
          </w:tcPr>
          <w:p w:rsidR="00FD02D5" w:rsidRPr="00605684" w:rsidRDefault="00FD02D5">
            <w:pPr>
              <w:spacing w:before="60" w:after="60"/>
              <w:jc w:val="center"/>
              <w:rPr>
                <w:sz w:val="16"/>
              </w:rPr>
            </w:pPr>
            <w:r w:rsidRPr="00605684">
              <w:rPr>
                <w:sz w:val="16"/>
              </w:rPr>
              <w:t>Poř.č.</w:t>
            </w:r>
          </w:p>
        </w:tc>
        <w:tc>
          <w:tcPr>
            <w:tcW w:w="910" w:type="dxa"/>
          </w:tcPr>
          <w:p w:rsidR="00FD02D5" w:rsidRPr="00605684" w:rsidRDefault="00FD02D5">
            <w:pPr>
              <w:spacing w:before="60" w:after="60"/>
              <w:jc w:val="center"/>
              <w:rPr>
                <w:sz w:val="16"/>
              </w:rPr>
            </w:pPr>
            <w:r w:rsidRPr="00605684">
              <w:rPr>
                <w:sz w:val="16"/>
              </w:rPr>
              <w:t>Číslo ID</w:t>
            </w:r>
          </w:p>
        </w:tc>
        <w:tc>
          <w:tcPr>
            <w:tcW w:w="1092" w:type="dxa"/>
          </w:tcPr>
          <w:p w:rsidR="00FD02D5" w:rsidRPr="00605684" w:rsidRDefault="00FD02D5">
            <w:pPr>
              <w:spacing w:before="60" w:after="60"/>
              <w:jc w:val="center"/>
              <w:rPr>
                <w:sz w:val="16"/>
              </w:rPr>
            </w:pPr>
            <w:r w:rsidRPr="00605684">
              <w:rPr>
                <w:sz w:val="16"/>
              </w:rPr>
              <w:t>Předkladatel</w:t>
            </w:r>
          </w:p>
        </w:tc>
        <w:tc>
          <w:tcPr>
            <w:tcW w:w="8921" w:type="dxa"/>
          </w:tcPr>
          <w:p w:rsidR="00FD02D5" w:rsidRPr="00605684" w:rsidRDefault="00FD02D5">
            <w:pPr>
              <w:spacing w:before="60" w:after="60"/>
              <w:jc w:val="center"/>
              <w:rPr>
                <w:sz w:val="16"/>
              </w:rPr>
            </w:pPr>
            <w:r w:rsidRPr="00605684">
              <w:rPr>
                <w:sz w:val="16"/>
              </w:rPr>
              <w:t>Název návrhu předpisu</w:t>
            </w:r>
          </w:p>
        </w:tc>
        <w:tc>
          <w:tcPr>
            <w:tcW w:w="1457" w:type="dxa"/>
          </w:tcPr>
          <w:p w:rsidR="00FD02D5" w:rsidRPr="00605684" w:rsidRDefault="00FD02D5">
            <w:pPr>
              <w:spacing w:before="60" w:after="60"/>
              <w:jc w:val="center"/>
              <w:rPr>
                <w:sz w:val="16"/>
              </w:rPr>
            </w:pPr>
            <w:r w:rsidRPr="00605684">
              <w:rPr>
                <w:sz w:val="16"/>
              </w:rPr>
              <w:t xml:space="preserve">Předpokládané datum zahájení </w:t>
            </w:r>
            <w:r w:rsidRPr="00605684">
              <w:rPr>
                <w:sz w:val="16"/>
              </w:rPr>
              <w:lastRenderedPageBreak/>
              <w:t>přípravy / stav přípravy</w:t>
            </w:r>
          </w:p>
        </w:tc>
        <w:tc>
          <w:tcPr>
            <w:tcW w:w="1457" w:type="dxa"/>
          </w:tcPr>
          <w:p w:rsidR="00FD02D5" w:rsidRPr="00605684" w:rsidRDefault="00FD02D5">
            <w:pPr>
              <w:spacing w:before="60" w:after="60"/>
              <w:jc w:val="center"/>
              <w:rPr>
                <w:sz w:val="16"/>
              </w:rPr>
            </w:pPr>
            <w:r w:rsidRPr="00605684">
              <w:rPr>
                <w:sz w:val="16"/>
              </w:rPr>
              <w:lastRenderedPageBreak/>
              <w:t xml:space="preserve">Předpokládané datum předložení </w:t>
            </w:r>
            <w:r w:rsidRPr="00605684">
              <w:rPr>
                <w:sz w:val="16"/>
              </w:rPr>
              <w:lastRenderedPageBreak/>
              <w:t xml:space="preserve">vládě </w:t>
            </w:r>
          </w:p>
        </w:tc>
        <w:tc>
          <w:tcPr>
            <w:tcW w:w="1457" w:type="dxa"/>
          </w:tcPr>
          <w:p w:rsidR="00FD02D5" w:rsidRPr="00605684" w:rsidRDefault="00FD02D5">
            <w:pPr>
              <w:spacing w:before="60" w:after="60"/>
              <w:jc w:val="center"/>
              <w:rPr>
                <w:sz w:val="16"/>
              </w:rPr>
            </w:pPr>
            <w:r w:rsidRPr="00605684">
              <w:rPr>
                <w:sz w:val="16"/>
              </w:rPr>
              <w:lastRenderedPageBreak/>
              <w:t xml:space="preserve">Předpokládané datum nabytí </w:t>
            </w:r>
            <w:r w:rsidRPr="00605684">
              <w:rPr>
                <w:sz w:val="16"/>
              </w:rPr>
              <w:lastRenderedPageBreak/>
              <w:t>účinnosti</w:t>
            </w:r>
          </w:p>
        </w:tc>
      </w:tr>
      <w:tr w:rsidR="00605684" w:rsidRPr="00605684">
        <w:tc>
          <w:tcPr>
            <w:tcW w:w="546" w:type="dxa"/>
          </w:tcPr>
          <w:p w:rsidR="00FD02D5" w:rsidRPr="00605684" w:rsidRDefault="00FD02D5" w:rsidP="007324AE">
            <w:pPr>
              <w:rPr>
                <w:sz w:val="18"/>
              </w:rPr>
            </w:pPr>
          </w:p>
        </w:tc>
        <w:tc>
          <w:tcPr>
            <w:tcW w:w="910" w:type="dxa"/>
          </w:tcPr>
          <w:p w:rsidR="00FD02D5" w:rsidRPr="00605684" w:rsidRDefault="00FD02D5">
            <w:pPr>
              <w:rPr>
                <w:sz w:val="18"/>
              </w:rPr>
            </w:pPr>
          </w:p>
        </w:tc>
        <w:tc>
          <w:tcPr>
            <w:tcW w:w="1092" w:type="dxa"/>
          </w:tcPr>
          <w:p w:rsidR="00FD02D5" w:rsidRPr="00605684" w:rsidRDefault="00FD02D5">
            <w:pPr>
              <w:rPr>
                <w:sz w:val="18"/>
              </w:rPr>
            </w:pPr>
          </w:p>
        </w:tc>
        <w:tc>
          <w:tcPr>
            <w:tcW w:w="8921" w:type="dxa"/>
          </w:tcPr>
          <w:p w:rsidR="00FD02D5" w:rsidRPr="00605684" w:rsidRDefault="00FD02D5" w:rsidP="00C13D2F">
            <w:pPr>
              <w:jc w:val="both"/>
              <w:rPr>
                <w:sz w:val="18"/>
              </w:rPr>
            </w:pPr>
          </w:p>
        </w:tc>
        <w:tc>
          <w:tcPr>
            <w:tcW w:w="1457" w:type="dxa"/>
          </w:tcPr>
          <w:p w:rsidR="00FD02D5" w:rsidRPr="00605684" w:rsidRDefault="00FD02D5" w:rsidP="000550D0">
            <w:pPr>
              <w:rPr>
                <w:sz w:val="18"/>
              </w:rPr>
            </w:pPr>
          </w:p>
        </w:tc>
        <w:tc>
          <w:tcPr>
            <w:tcW w:w="1457" w:type="dxa"/>
          </w:tcPr>
          <w:p w:rsidR="00FD02D5" w:rsidRPr="00605684" w:rsidRDefault="00FD02D5">
            <w:pPr>
              <w:rPr>
                <w:sz w:val="18"/>
              </w:rPr>
            </w:pPr>
          </w:p>
        </w:tc>
        <w:tc>
          <w:tcPr>
            <w:tcW w:w="1457" w:type="dxa"/>
          </w:tcPr>
          <w:p w:rsidR="00FD02D5" w:rsidRPr="00605684" w:rsidRDefault="00FD02D5">
            <w:pPr>
              <w:rPr>
                <w:sz w:val="18"/>
              </w:rPr>
            </w:pPr>
          </w:p>
        </w:tc>
      </w:tr>
    </w:tbl>
    <w:p w:rsidR="00FD02D5" w:rsidRPr="00605684" w:rsidRDefault="00FD02D5">
      <w:pPr>
        <w:rPr>
          <w:sz w:val="18"/>
        </w:rPr>
      </w:pPr>
    </w:p>
    <w:p w:rsidR="00FD02D5" w:rsidRPr="00605684" w:rsidRDefault="00FD02D5">
      <w:pPr>
        <w:ind w:left="-900"/>
        <w:rPr>
          <w:b/>
          <w:bCs/>
          <w:sz w:val="18"/>
        </w:rPr>
      </w:pPr>
      <w:r w:rsidRPr="00605684">
        <w:rPr>
          <w:b/>
          <w:bCs/>
          <w:sz w:val="18"/>
        </w:rPr>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5300"/>
      </w:tblGrid>
      <w:tr w:rsidR="00605684" w:rsidRPr="00605684">
        <w:tc>
          <w:tcPr>
            <w:tcW w:w="540" w:type="dxa"/>
          </w:tcPr>
          <w:p w:rsidR="00FD02D5" w:rsidRPr="00605684" w:rsidRDefault="00FD02D5">
            <w:pPr>
              <w:jc w:val="center"/>
              <w:rPr>
                <w:sz w:val="16"/>
              </w:rPr>
            </w:pPr>
            <w:r w:rsidRPr="00605684">
              <w:rPr>
                <w:sz w:val="16"/>
              </w:rPr>
              <w:t>Poř.č.</w:t>
            </w:r>
          </w:p>
        </w:tc>
        <w:tc>
          <w:tcPr>
            <w:tcW w:w="15300" w:type="dxa"/>
          </w:tcPr>
          <w:p w:rsidR="00FD02D5" w:rsidRPr="00605684" w:rsidRDefault="00FD02D5">
            <w:pPr>
              <w:jc w:val="center"/>
              <w:rPr>
                <w:sz w:val="16"/>
              </w:rPr>
            </w:pPr>
            <w:r w:rsidRPr="00605684">
              <w:rPr>
                <w:sz w:val="16"/>
              </w:rPr>
              <w:t>Text poznámky</w:t>
            </w:r>
          </w:p>
        </w:tc>
      </w:tr>
      <w:tr w:rsidR="00605684" w:rsidRPr="00605684">
        <w:tc>
          <w:tcPr>
            <w:tcW w:w="540" w:type="dxa"/>
          </w:tcPr>
          <w:p w:rsidR="00FD02D5" w:rsidRPr="00605684" w:rsidRDefault="00FD02D5">
            <w:pPr>
              <w:jc w:val="center"/>
              <w:rPr>
                <w:sz w:val="18"/>
              </w:rPr>
            </w:pPr>
          </w:p>
        </w:tc>
        <w:tc>
          <w:tcPr>
            <w:tcW w:w="15300" w:type="dxa"/>
          </w:tcPr>
          <w:p w:rsidR="00FD02D5" w:rsidRPr="00605684" w:rsidRDefault="00FD02D5">
            <w:pPr>
              <w:jc w:val="both"/>
              <w:rPr>
                <w:sz w:val="18"/>
              </w:rPr>
            </w:pPr>
          </w:p>
        </w:tc>
      </w:tr>
    </w:tbl>
    <w:p w:rsidR="003F5BC3" w:rsidRPr="00605684" w:rsidRDefault="003F5BC3">
      <w:pPr>
        <w:pStyle w:val="Zpat"/>
        <w:tabs>
          <w:tab w:val="clear" w:pos="4536"/>
          <w:tab w:val="clear" w:pos="9072"/>
        </w:tabs>
      </w:pPr>
    </w:p>
    <w:sectPr w:rsidR="003F5BC3" w:rsidRPr="00605684">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459" w:bottom="851" w:left="1418" w:header="35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F0" w:rsidRDefault="004156F0">
      <w:r>
        <w:separator/>
      </w:r>
    </w:p>
  </w:endnote>
  <w:endnote w:type="continuationSeparator" w:id="0">
    <w:p w:rsidR="004156F0" w:rsidRDefault="0041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3D8" w:rsidRDefault="007863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7E" w:rsidRDefault="00E6437E">
    <w:pPr>
      <w:ind w:left="-900"/>
      <w:rPr>
        <w:sz w:val="16"/>
      </w:rPr>
    </w:pPr>
    <w:r>
      <w:rPr>
        <w:sz w:val="16"/>
      </w:rPr>
      <w:t xml:space="preserve">*/ použijte zkratky : PT- plná transpozice, DT- dílčí transpozice, NT- netransponováno, PAD - plná adaptace, DAD - dílčí adaptace, NA - neadaptováno                                  </w:t>
    </w:r>
    <w:r>
      <w:rPr>
        <w:rStyle w:val="slostrnky"/>
        <w:snapToGrid w:val="0"/>
        <w:sz w:val="18"/>
      </w:rPr>
      <w:fldChar w:fldCharType="begin"/>
    </w:r>
    <w:r>
      <w:rPr>
        <w:rStyle w:val="slostrnky"/>
        <w:snapToGrid w:val="0"/>
        <w:sz w:val="18"/>
      </w:rPr>
      <w:instrText xml:space="preserve"> FILENAME </w:instrText>
    </w:r>
    <w:r>
      <w:rPr>
        <w:rStyle w:val="slostrnky"/>
        <w:snapToGrid w:val="0"/>
        <w:sz w:val="18"/>
      </w:rPr>
      <w:fldChar w:fldCharType="separate"/>
    </w:r>
    <w:r w:rsidR="00163C5D">
      <w:rPr>
        <w:rStyle w:val="slostrnky"/>
        <w:noProof/>
        <w:snapToGrid w:val="0"/>
        <w:sz w:val="18"/>
      </w:rPr>
      <w:t>32021L0338.docx</w:t>
    </w:r>
    <w:r>
      <w:rPr>
        <w:rStyle w:val="slostrnky"/>
        <w:snapToGrid w:val="0"/>
        <w:sz w:val="18"/>
      </w:rPr>
      <w:fldChar w:fldCharType="end"/>
    </w:r>
    <w:r>
      <w:rPr>
        <w:rStyle w:val="slostrnky"/>
        <w:snapToGrid w:val="0"/>
        <w:sz w:val="16"/>
      </w:rPr>
      <w:t xml:space="preserve"> </w:t>
    </w:r>
    <w:r>
      <w:rPr>
        <w:rStyle w:val="slostrnky"/>
        <w:snapToGrid w:val="0"/>
        <w:sz w:val="16"/>
      </w:rPr>
      <w:tab/>
    </w:r>
    <w:r>
      <w:rPr>
        <w:rStyle w:val="slostrnky"/>
        <w:snapToGrid w:val="0"/>
        <w:sz w:val="16"/>
      </w:rPr>
      <w:tab/>
      <w:t xml:space="preserve">   </w:t>
    </w:r>
    <w:r>
      <w:rPr>
        <w:rStyle w:val="slostrnky"/>
        <w:snapToGrid w:val="0"/>
        <w:sz w:val="18"/>
      </w:rPr>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sidR="00596C0B">
      <w:rPr>
        <w:rStyle w:val="slostrnky"/>
        <w:noProof/>
        <w:sz w:val="18"/>
      </w:rPr>
      <w:t>1</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596C0B">
      <w:rPr>
        <w:rStyle w:val="slostrnky"/>
        <w:noProof/>
        <w:sz w:val="18"/>
      </w:rPr>
      <w:t>24</w:t>
    </w:r>
    <w:r>
      <w:rPr>
        <w:rStyle w:val="slostrnky"/>
        <w:sz w:val="18"/>
      </w:rPr>
      <w:fldChar w:fldCharType="end"/>
    </w:r>
    <w:r>
      <w:rPr>
        <w:rStyle w:val="slostrnky"/>
        <w:snapToGrid w:val="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3D8" w:rsidRDefault="007863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F0" w:rsidRDefault="004156F0">
      <w:r>
        <w:separator/>
      </w:r>
    </w:p>
  </w:footnote>
  <w:footnote w:type="continuationSeparator" w:id="0">
    <w:p w:rsidR="004156F0" w:rsidRDefault="0041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3D8" w:rsidRDefault="007863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7E" w:rsidRDefault="00E6437E">
    <w:pPr>
      <w:pStyle w:val="Zhlav"/>
      <w:jc w:val="center"/>
      <w:rPr>
        <w:sz w:val="20"/>
      </w:rPr>
    </w:pPr>
    <w:r>
      <w:rPr>
        <w:sz w:val="20"/>
      </w:rPr>
      <w:t>Srovnávací tabulka</w:t>
    </w:r>
    <w:r>
      <w:rPr>
        <w:rStyle w:val="slostrnky"/>
        <w:snapToGrid w:val="0"/>
        <w:sz w:val="20"/>
      </w:rPr>
      <w:t xml:space="preserve"> pro </w:t>
    </w:r>
    <w:r w:rsidRPr="00B326C6">
      <w:rPr>
        <w:rStyle w:val="slostrnky"/>
        <w:b/>
        <w:snapToGrid w:val="0"/>
        <w:sz w:val="20"/>
      </w:rPr>
      <w:t>posouzení</w:t>
    </w:r>
    <w:r>
      <w:rPr>
        <w:rStyle w:val="slostrnky"/>
        <w:snapToGrid w:val="0"/>
        <w:sz w:val="20"/>
      </w:rPr>
      <w:t xml:space="preserve"> implementace předpisu Evropské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3D8" w:rsidRDefault="007863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85C"/>
    <w:multiLevelType w:val="hybridMultilevel"/>
    <w:tmpl w:val="AE7C8052"/>
    <w:lvl w:ilvl="0" w:tplc="6D4EA7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9358A"/>
    <w:multiLevelType w:val="hybridMultilevel"/>
    <w:tmpl w:val="56069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371BD0"/>
    <w:multiLevelType w:val="multilevel"/>
    <w:tmpl w:val="DC80A5C4"/>
    <w:lvl w:ilvl="0">
      <w:start w:val="1"/>
      <w:numFmt w:val="decimal"/>
      <w:pStyle w:val="Novelizanbod"/>
      <w:lvlText w:val="%1."/>
      <w:lvlJc w:val="left"/>
      <w:pPr>
        <w:tabs>
          <w:tab w:val="num" w:pos="1134"/>
        </w:tabs>
        <w:ind w:left="1134" w:hanging="567"/>
      </w:pPr>
      <w:rPr>
        <w:b/>
        <w:i w:val="0"/>
        <w:sz w:val="24"/>
        <w:szCs w:val="24"/>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3" w15:restartNumberingAfterBreak="0">
    <w:nsid w:val="1A5F5319"/>
    <w:multiLevelType w:val="hybridMultilevel"/>
    <w:tmpl w:val="0DB2A3CA"/>
    <w:lvl w:ilvl="0" w:tplc="2D709E78">
      <w:start w:val="1"/>
      <w:numFmt w:val="decimal"/>
      <w:lvlText w:val="%1."/>
      <w:lvlJc w:val="left"/>
      <w:pPr>
        <w:tabs>
          <w:tab w:val="num" w:pos="720"/>
        </w:tabs>
        <w:ind w:left="720" w:hanging="360"/>
      </w:pPr>
      <w:rPr>
        <w:rFonts w:hint="default"/>
      </w:rPr>
    </w:lvl>
    <w:lvl w:ilvl="1" w:tplc="F91C4DCC" w:tentative="1">
      <w:start w:val="1"/>
      <w:numFmt w:val="lowerLetter"/>
      <w:lvlText w:val="%2."/>
      <w:lvlJc w:val="left"/>
      <w:pPr>
        <w:tabs>
          <w:tab w:val="num" w:pos="1440"/>
        </w:tabs>
        <w:ind w:left="1440" w:hanging="360"/>
      </w:pPr>
    </w:lvl>
    <w:lvl w:ilvl="2" w:tplc="05F26C16" w:tentative="1">
      <w:start w:val="1"/>
      <w:numFmt w:val="lowerRoman"/>
      <w:lvlText w:val="%3."/>
      <w:lvlJc w:val="right"/>
      <w:pPr>
        <w:tabs>
          <w:tab w:val="num" w:pos="2160"/>
        </w:tabs>
        <w:ind w:left="2160" w:hanging="180"/>
      </w:pPr>
    </w:lvl>
    <w:lvl w:ilvl="3" w:tplc="E9364962" w:tentative="1">
      <w:start w:val="1"/>
      <w:numFmt w:val="decimal"/>
      <w:lvlText w:val="%4."/>
      <w:lvlJc w:val="left"/>
      <w:pPr>
        <w:tabs>
          <w:tab w:val="num" w:pos="2880"/>
        </w:tabs>
        <w:ind w:left="2880" w:hanging="360"/>
      </w:pPr>
    </w:lvl>
    <w:lvl w:ilvl="4" w:tplc="A316FC80" w:tentative="1">
      <w:start w:val="1"/>
      <w:numFmt w:val="lowerLetter"/>
      <w:lvlText w:val="%5."/>
      <w:lvlJc w:val="left"/>
      <w:pPr>
        <w:tabs>
          <w:tab w:val="num" w:pos="3600"/>
        </w:tabs>
        <w:ind w:left="3600" w:hanging="360"/>
      </w:pPr>
    </w:lvl>
    <w:lvl w:ilvl="5" w:tplc="441680AC" w:tentative="1">
      <w:start w:val="1"/>
      <w:numFmt w:val="lowerRoman"/>
      <w:lvlText w:val="%6."/>
      <w:lvlJc w:val="right"/>
      <w:pPr>
        <w:tabs>
          <w:tab w:val="num" w:pos="4320"/>
        </w:tabs>
        <w:ind w:left="4320" w:hanging="180"/>
      </w:pPr>
    </w:lvl>
    <w:lvl w:ilvl="6" w:tplc="D89A0A48" w:tentative="1">
      <w:start w:val="1"/>
      <w:numFmt w:val="decimal"/>
      <w:lvlText w:val="%7."/>
      <w:lvlJc w:val="left"/>
      <w:pPr>
        <w:tabs>
          <w:tab w:val="num" w:pos="5040"/>
        </w:tabs>
        <w:ind w:left="5040" w:hanging="360"/>
      </w:pPr>
    </w:lvl>
    <w:lvl w:ilvl="7" w:tplc="CF84A75E" w:tentative="1">
      <w:start w:val="1"/>
      <w:numFmt w:val="lowerLetter"/>
      <w:lvlText w:val="%8."/>
      <w:lvlJc w:val="left"/>
      <w:pPr>
        <w:tabs>
          <w:tab w:val="num" w:pos="5760"/>
        </w:tabs>
        <w:ind w:left="5760" w:hanging="360"/>
      </w:pPr>
    </w:lvl>
    <w:lvl w:ilvl="8" w:tplc="57F2423E" w:tentative="1">
      <w:start w:val="1"/>
      <w:numFmt w:val="lowerRoman"/>
      <w:lvlText w:val="%9."/>
      <w:lvlJc w:val="right"/>
      <w:pPr>
        <w:tabs>
          <w:tab w:val="num" w:pos="6480"/>
        </w:tabs>
        <w:ind w:left="6480" w:hanging="180"/>
      </w:pPr>
    </w:lvl>
  </w:abstractNum>
  <w:abstractNum w:abstractNumId="4" w15:restartNumberingAfterBreak="0">
    <w:nsid w:val="289F107D"/>
    <w:multiLevelType w:val="hybridMultilevel"/>
    <w:tmpl w:val="887C70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E26123"/>
    <w:multiLevelType w:val="hybridMultilevel"/>
    <w:tmpl w:val="B7FE0384"/>
    <w:lvl w:ilvl="0" w:tplc="C914A6EC">
      <w:start w:val="1"/>
      <w:numFmt w:val="decimal"/>
      <w:lvlText w:val="%1."/>
      <w:lvlJc w:val="left"/>
      <w:pPr>
        <w:tabs>
          <w:tab w:val="num" w:pos="720"/>
        </w:tabs>
        <w:ind w:left="720" w:hanging="360"/>
      </w:pPr>
      <w:rPr>
        <w:rFonts w:hint="default"/>
      </w:rPr>
    </w:lvl>
    <w:lvl w:ilvl="1" w:tplc="5580969C" w:tentative="1">
      <w:start w:val="1"/>
      <w:numFmt w:val="lowerLetter"/>
      <w:lvlText w:val="%2."/>
      <w:lvlJc w:val="left"/>
      <w:pPr>
        <w:tabs>
          <w:tab w:val="num" w:pos="1440"/>
        </w:tabs>
        <w:ind w:left="1440" w:hanging="360"/>
      </w:pPr>
    </w:lvl>
    <w:lvl w:ilvl="2" w:tplc="52840B72" w:tentative="1">
      <w:start w:val="1"/>
      <w:numFmt w:val="lowerRoman"/>
      <w:lvlText w:val="%3."/>
      <w:lvlJc w:val="right"/>
      <w:pPr>
        <w:tabs>
          <w:tab w:val="num" w:pos="2160"/>
        </w:tabs>
        <w:ind w:left="2160" w:hanging="180"/>
      </w:pPr>
    </w:lvl>
    <w:lvl w:ilvl="3" w:tplc="7EBED532" w:tentative="1">
      <w:start w:val="1"/>
      <w:numFmt w:val="decimal"/>
      <w:lvlText w:val="%4."/>
      <w:lvlJc w:val="left"/>
      <w:pPr>
        <w:tabs>
          <w:tab w:val="num" w:pos="2880"/>
        </w:tabs>
        <w:ind w:left="2880" w:hanging="360"/>
      </w:pPr>
    </w:lvl>
    <w:lvl w:ilvl="4" w:tplc="65A87342" w:tentative="1">
      <w:start w:val="1"/>
      <w:numFmt w:val="lowerLetter"/>
      <w:lvlText w:val="%5."/>
      <w:lvlJc w:val="left"/>
      <w:pPr>
        <w:tabs>
          <w:tab w:val="num" w:pos="3600"/>
        </w:tabs>
        <w:ind w:left="3600" w:hanging="360"/>
      </w:pPr>
    </w:lvl>
    <w:lvl w:ilvl="5" w:tplc="0F9404BA" w:tentative="1">
      <w:start w:val="1"/>
      <w:numFmt w:val="lowerRoman"/>
      <w:lvlText w:val="%6."/>
      <w:lvlJc w:val="right"/>
      <w:pPr>
        <w:tabs>
          <w:tab w:val="num" w:pos="4320"/>
        </w:tabs>
        <w:ind w:left="4320" w:hanging="180"/>
      </w:pPr>
    </w:lvl>
    <w:lvl w:ilvl="6" w:tplc="C980BCCA" w:tentative="1">
      <w:start w:val="1"/>
      <w:numFmt w:val="decimal"/>
      <w:lvlText w:val="%7."/>
      <w:lvlJc w:val="left"/>
      <w:pPr>
        <w:tabs>
          <w:tab w:val="num" w:pos="5040"/>
        </w:tabs>
        <w:ind w:left="5040" w:hanging="360"/>
      </w:pPr>
    </w:lvl>
    <w:lvl w:ilvl="7" w:tplc="3962E6D4" w:tentative="1">
      <w:start w:val="1"/>
      <w:numFmt w:val="lowerLetter"/>
      <w:lvlText w:val="%8."/>
      <w:lvlJc w:val="left"/>
      <w:pPr>
        <w:tabs>
          <w:tab w:val="num" w:pos="5760"/>
        </w:tabs>
        <w:ind w:left="5760" w:hanging="360"/>
      </w:pPr>
    </w:lvl>
    <w:lvl w:ilvl="8" w:tplc="DE9E0D26" w:tentative="1">
      <w:start w:val="1"/>
      <w:numFmt w:val="lowerRoman"/>
      <w:lvlText w:val="%9."/>
      <w:lvlJc w:val="right"/>
      <w:pPr>
        <w:tabs>
          <w:tab w:val="num" w:pos="6480"/>
        </w:tabs>
        <w:ind w:left="6480" w:hanging="180"/>
      </w:pPr>
    </w:lvl>
  </w:abstractNum>
  <w:abstractNum w:abstractNumId="6" w15:restartNumberingAfterBreak="0">
    <w:nsid w:val="46601770"/>
    <w:multiLevelType w:val="multilevel"/>
    <w:tmpl w:val="EDA2F96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4A4A4730"/>
    <w:multiLevelType w:val="hybridMultilevel"/>
    <w:tmpl w:val="39AA978A"/>
    <w:lvl w:ilvl="0" w:tplc="79A4038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0A31AA"/>
    <w:multiLevelType w:val="hybridMultilevel"/>
    <w:tmpl w:val="9AD44116"/>
    <w:lvl w:ilvl="0" w:tplc="52FE35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234738"/>
    <w:multiLevelType w:val="hybridMultilevel"/>
    <w:tmpl w:val="4EDA6A36"/>
    <w:lvl w:ilvl="0" w:tplc="3B14E5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BB603D"/>
    <w:multiLevelType w:val="hybridMultilevel"/>
    <w:tmpl w:val="3044E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A836AD"/>
    <w:multiLevelType w:val="multilevel"/>
    <w:tmpl w:val="993C1744"/>
    <w:lvl w:ilvl="0">
      <w:start w:val="1"/>
      <w:numFmt w:val="decimal"/>
      <w:lvlText w:val="%1."/>
      <w:lvlJc w:val="left"/>
      <w:pPr>
        <w:tabs>
          <w:tab w:val="num" w:pos="785"/>
        </w:tabs>
        <w:ind w:left="785"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F816FBA"/>
    <w:multiLevelType w:val="hybridMultilevel"/>
    <w:tmpl w:val="01E63F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6F32B0B"/>
    <w:multiLevelType w:val="hybridMultilevel"/>
    <w:tmpl w:val="2236E942"/>
    <w:lvl w:ilvl="0" w:tplc="6D4EA7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BA29F9"/>
    <w:multiLevelType w:val="hybridMultilevel"/>
    <w:tmpl w:val="9DEA8F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2"/>
  </w:num>
  <w:num w:numId="5">
    <w:abstractNumId w:val="11"/>
  </w:num>
  <w:num w:numId="6">
    <w:abstractNumId w:val="6"/>
  </w:num>
  <w:num w:numId="7">
    <w:abstractNumId w:val="10"/>
  </w:num>
  <w:num w:numId="8">
    <w:abstractNumId w:val="14"/>
  </w:num>
  <w:num w:numId="9">
    <w:abstractNumId w:val="1"/>
  </w:num>
  <w:num w:numId="10">
    <w:abstractNumId w:val="7"/>
  </w:num>
  <w:num w:numId="11">
    <w:abstractNumId w:val="0"/>
  </w:num>
  <w:num w:numId="12">
    <w:abstractNumId w:val="13"/>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C3"/>
    <w:rsid w:val="00007FC5"/>
    <w:rsid w:val="00011FFA"/>
    <w:rsid w:val="00014861"/>
    <w:rsid w:val="0002374A"/>
    <w:rsid w:val="00024213"/>
    <w:rsid w:val="00024A59"/>
    <w:rsid w:val="00025712"/>
    <w:rsid w:val="00025798"/>
    <w:rsid w:val="00027D71"/>
    <w:rsid w:val="00027F55"/>
    <w:rsid w:val="00033287"/>
    <w:rsid w:val="00044711"/>
    <w:rsid w:val="00044BEF"/>
    <w:rsid w:val="000550D0"/>
    <w:rsid w:val="0005576B"/>
    <w:rsid w:val="00077D91"/>
    <w:rsid w:val="000837A0"/>
    <w:rsid w:val="00092BB3"/>
    <w:rsid w:val="000A36DF"/>
    <w:rsid w:val="000A68D3"/>
    <w:rsid w:val="000B6B70"/>
    <w:rsid w:val="000C28D5"/>
    <w:rsid w:val="000C4DED"/>
    <w:rsid w:val="000D125C"/>
    <w:rsid w:val="000D5D7C"/>
    <w:rsid w:val="000D6672"/>
    <w:rsid w:val="000E4241"/>
    <w:rsid w:val="000E498B"/>
    <w:rsid w:val="000F671D"/>
    <w:rsid w:val="00104A01"/>
    <w:rsid w:val="00104B40"/>
    <w:rsid w:val="001108E0"/>
    <w:rsid w:val="0012341F"/>
    <w:rsid w:val="00127E9B"/>
    <w:rsid w:val="00154016"/>
    <w:rsid w:val="0015492F"/>
    <w:rsid w:val="00163B2B"/>
    <w:rsid w:val="00163C5D"/>
    <w:rsid w:val="00170F03"/>
    <w:rsid w:val="00172745"/>
    <w:rsid w:val="00175471"/>
    <w:rsid w:val="001755BD"/>
    <w:rsid w:val="0017745D"/>
    <w:rsid w:val="001873A9"/>
    <w:rsid w:val="00187FD2"/>
    <w:rsid w:val="00197077"/>
    <w:rsid w:val="001A475F"/>
    <w:rsid w:val="001A7593"/>
    <w:rsid w:val="001B0F0C"/>
    <w:rsid w:val="001B103B"/>
    <w:rsid w:val="001B63CB"/>
    <w:rsid w:val="001C3C6E"/>
    <w:rsid w:val="001C4BEB"/>
    <w:rsid w:val="001C5F43"/>
    <w:rsid w:val="001C7515"/>
    <w:rsid w:val="001D2E81"/>
    <w:rsid w:val="001F15FC"/>
    <w:rsid w:val="001F29FD"/>
    <w:rsid w:val="001F2C81"/>
    <w:rsid w:val="001F79AC"/>
    <w:rsid w:val="00202F3D"/>
    <w:rsid w:val="00205206"/>
    <w:rsid w:val="002126AC"/>
    <w:rsid w:val="0021285E"/>
    <w:rsid w:val="0021440B"/>
    <w:rsid w:val="002275A9"/>
    <w:rsid w:val="00237928"/>
    <w:rsid w:val="00243718"/>
    <w:rsid w:val="00243E67"/>
    <w:rsid w:val="0025385D"/>
    <w:rsid w:val="00257FE7"/>
    <w:rsid w:val="00261A52"/>
    <w:rsid w:val="00280355"/>
    <w:rsid w:val="00283F43"/>
    <w:rsid w:val="002860B9"/>
    <w:rsid w:val="00290966"/>
    <w:rsid w:val="00291A18"/>
    <w:rsid w:val="00297984"/>
    <w:rsid w:val="002A4A3D"/>
    <w:rsid w:val="002A78DF"/>
    <w:rsid w:val="002B6FCC"/>
    <w:rsid w:val="002C5422"/>
    <w:rsid w:val="002D32E2"/>
    <w:rsid w:val="002D4C49"/>
    <w:rsid w:val="002E6954"/>
    <w:rsid w:val="002E7A71"/>
    <w:rsid w:val="00306DCE"/>
    <w:rsid w:val="003109B3"/>
    <w:rsid w:val="00312DEE"/>
    <w:rsid w:val="003160B8"/>
    <w:rsid w:val="00320007"/>
    <w:rsid w:val="00324310"/>
    <w:rsid w:val="00325851"/>
    <w:rsid w:val="003300F1"/>
    <w:rsid w:val="00331D68"/>
    <w:rsid w:val="003436EB"/>
    <w:rsid w:val="00346C3F"/>
    <w:rsid w:val="00353005"/>
    <w:rsid w:val="00353AAF"/>
    <w:rsid w:val="003644D4"/>
    <w:rsid w:val="00372638"/>
    <w:rsid w:val="00385001"/>
    <w:rsid w:val="00387223"/>
    <w:rsid w:val="003B1700"/>
    <w:rsid w:val="003B2F92"/>
    <w:rsid w:val="003B79CB"/>
    <w:rsid w:val="003D0B22"/>
    <w:rsid w:val="003E0AD8"/>
    <w:rsid w:val="003E4656"/>
    <w:rsid w:val="003E4A8F"/>
    <w:rsid w:val="003E5547"/>
    <w:rsid w:val="003F5BC3"/>
    <w:rsid w:val="00403172"/>
    <w:rsid w:val="00403E27"/>
    <w:rsid w:val="00411467"/>
    <w:rsid w:val="004125FD"/>
    <w:rsid w:val="004131E0"/>
    <w:rsid w:val="004156F0"/>
    <w:rsid w:val="00416389"/>
    <w:rsid w:val="00422388"/>
    <w:rsid w:val="0043052E"/>
    <w:rsid w:val="004412E1"/>
    <w:rsid w:val="0044239D"/>
    <w:rsid w:val="004532F2"/>
    <w:rsid w:val="004568E8"/>
    <w:rsid w:val="00461370"/>
    <w:rsid w:val="004764A0"/>
    <w:rsid w:val="004956BA"/>
    <w:rsid w:val="004A42F2"/>
    <w:rsid w:val="004A47F5"/>
    <w:rsid w:val="004A4F32"/>
    <w:rsid w:val="004B6222"/>
    <w:rsid w:val="004C7046"/>
    <w:rsid w:val="004D096C"/>
    <w:rsid w:val="004D36A3"/>
    <w:rsid w:val="004D3D6E"/>
    <w:rsid w:val="004E1A40"/>
    <w:rsid w:val="004E4CA0"/>
    <w:rsid w:val="004E649C"/>
    <w:rsid w:val="00500FB9"/>
    <w:rsid w:val="005067DE"/>
    <w:rsid w:val="00510C60"/>
    <w:rsid w:val="00511AED"/>
    <w:rsid w:val="0051265E"/>
    <w:rsid w:val="00513559"/>
    <w:rsid w:val="00532905"/>
    <w:rsid w:val="00543133"/>
    <w:rsid w:val="00543C73"/>
    <w:rsid w:val="00547B97"/>
    <w:rsid w:val="005558B1"/>
    <w:rsid w:val="00556797"/>
    <w:rsid w:val="0056733D"/>
    <w:rsid w:val="00571371"/>
    <w:rsid w:val="00572BEB"/>
    <w:rsid w:val="00575D79"/>
    <w:rsid w:val="00580EE1"/>
    <w:rsid w:val="00582EC5"/>
    <w:rsid w:val="00595A84"/>
    <w:rsid w:val="00596C0B"/>
    <w:rsid w:val="005B19E6"/>
    <w:rsid w:val="005B24D8"/>
    <w:rsid w:val="005B35F3"/>
    <w:rsid w:val="005C2C98"/>
    <w:rsid w:val="005F0BDD"/>
    <w:rsid w:val="005F5148"/>
    <w:rsid w:val="00601FB0"/>
    <w:rsid w:val="0060297C"/>
    <w:rsid w:val="0060335D"/>
    <w:rsid w:val="00605684"/>
    <w:rsid w:val="006073F1"/>
    <w:rsid w:val="00610199"/>
    <w:rsid w:val="00615266"/>
    <w:rsid w:val="00615A61"/>
    <w:rsid w:val="00615E43"/>
    <w:rsid w:val="006258EF"/>
    <w:rsid w:val="00627983"/>
    <w:rsid w:val="006312A2"/>
    <w:rsid w:val="00636A49"/>
    <w:rsid w:val="00637B0F"/>
    <w:rsid w:val="006406D3"/>
    <w:rsid w:val="0064073B"/>
    <w:rsid w:val="00646963"/>
    <w:rsid w:val="00651014"/>
    <w:rsid w:val="0066195E"/>
    <w:rsid w:val="0066309E"/>
    <w:rsid w:val="00674807"/>
    <w:rsid w:val="00677288"/>
    <w:rsid w:val="00680A4A"/>
    <w:rsid w:val="006822D2"/>
    <w:rsid w:val="0068466D"/>
    <w:rsid w:val="00691650"/>
    <w:rsid w:val="00693167"/>
    <w:rsid w:val="006962CB"/>
    <w:rsid w:val="006A397B"/>
    <w:rsid w:val="006B5578"/>
    <w:rsid w:val="006C1D56"/>
    <w:rsid w:val="006C1E36"/>
    <w:rsid w:val="006C3402"/>
    <w:rsid w:val="006C5594"/>
    <w:rsid w:val="006D23BC"/>
    <w:rsid w:val="006F03ED"/>
    <w:rsid w:val="006F70D6"/>
    <w:rsid w:val="006F77CA"/>
    <w:rsid w:val="0070009A"/>
    <w:rsid w:val="00710E1F"/>
    <w:rsid w:val="0071389D"/>
    <w:rsid w:val="00715F47"/>
    <w:rsid w:val="00717329"/>
    <w:rsid w:val="00722AE3"/>
    <w:rsid w:val="00731309"/>
    <w:rsid w:val="007324AE"/>
    <w:rsid w:val="00747BBB"/>
    <w:rsid w:val="007610AD"/>
    <w:rsid w:val="007621AC"/>
    <w:rsid w:val="00766827"/>
    <w:rsid w:val="00775D8E"/>
    <w:rsid w:val="0077675B"/>
    <w:rsid w:val="007863D8"/>
    <w:rsid w:val="007955C9"/>
    <w:rsid w:val="007A1C4C"/>
    <w:rsid w:val="007B0C8A"/>
    <w:rsid w:val="007B34E2"/>
    <w:rsid w:val="007B621C"/>
    <w:rsid w:val="007C3BC4"/>
    <w:rsid w:val="007C5A77"/>
    <w:rsid w:val="007C7F72"/>
    <w:rsid w:val="007D0838"/>
    <w:rsid w:val="007D1DEC"/>
    <w:rsid w:val="007D3DE8"/>
    <w:rsid w:val="007D3E48"/>
    <w:rsid w:val="007D627E"/>
    <w:rsid w:val="007E483A"/>
    <w:rsid w:val="007E6E11"/>
    <w:rsid w:val="0080158F"/>
    <w:rsid w:val="008022DB"/>
    <w:rsid w:val="008136AF"/>
    <w:rsid w:val="008151A2"/>
    <w:rsid w:val="00816A96"/>
    <w:rsid w:val="0081769B"/>
    <w:rsid w:val="0082068F"/>
    <w:rsid w:val="00821F49"/>
    <w:rsid w:val="00822831"/>
    <w:rsid w:val="00822F3D"/>
    <w:rsid w:val="00827635"/>
    <w:rsid w:val="0082784E"/>
    <w:rsid w:val="00837740"/>
    <w:rsid w:val="008467C6"/>
    <w:rsid w:val="00850926"/>
    <w:rsid w:val="00854B76"/>
    <w:rsid w:val="00861D50"/>
    <w:rsid w:val="008936DB"/>
    <w:rsid w:val="00897CC8"/>
    <w:rsid w:val="008A62AE"/>
    <w:rsid w:val="008B003B"/>
    <w:rsid w:val="008B2A5B"/>
    <w:rsid w:val="008B2E6F"/>
    <w:rsid w:val="008B3011"/>
    <w:rsid w:val="008B7D78"/>
    <w:rsid w:val="008C0601"/>
    <w:rsid w:val="008D4D40"/>
    <w:rsid w:val="008E46A2"/>
    <w:rsid w:val="008F152A"/>
    <w:rsid w:val="00900DE4"/>
    <w:rsid w:val="00901CDF"/>
    <w:rsid w:val="009033A5"/>
    <w:rsid w:val="00905FF4"/>
    <w:rsid w:val="00907E2B"/>
    <w:rsid w:val="0091014A"/>
    <w:rsid w:val="00920F6E"/>
    <w:rsid w:val="009417BB"/>
    <w:rsid w:val="0095332C"/>
    <w:rsid w:val="00963E0E"/>
    <w:rsid w:val="00965F78"/>
    <w:rsid w:val="009751EA"/>
    <w:rsid w:val="00977F5C"/>
    <w:rsid w:val="009931ED"/>
    <w:rsid w:val="009975A0"/>
    <w:rsid w:val="009A0D97"/>
    <w:rsid w:val="009A2FFF"/>
    <w:rsid w:val="009B42D1"/>
    <w:rsid w:val="009D2FB5"/>
    <w:rsid w:val="009E142A"/>
    <w:rsid w:val="009E393F"/>
    <w:rsid w:val="009E6AE1"/>
    <w:rsid w:val="009F6C15"/>
    <w:rsid w:val="00A02111"/>
    <w:rsid w:val="00A03A71"/>
    <w:rsid w:val="00A06364"/>
    <w:rsid w:val="00A15BFC"/>
    <w:rsid w:val="00A22282"/>
    <w:rsid w:val="00A22E04"/>
    <w:rsid w:val="00A25099"/>
    <w:rsid w:val="00A257E8"/>
    <w:rsid w:val="00A3677E"/>
    <w:rsid w:val="00A423CF"/>
    <w:rsid w:val="00A42B00"/>
    <w:rsid w:val="00A44D82"/>
    <w:rsid w:val="00A47B8B"/>
    <w:rsid w:val="00A502F3"/>
    <w:rsid w:val="00A70B42"/>
    <w:rsid w:val="00A70E1E"/>
    <w:rsid w:val="00A75F97"/>
    <w:rsid w:val="00A806C8"/>
    <w:rsid w:val="00A871E5"/>
    <w:rsid w:val="00A920DD"/>
    <w:rsid w:val="00A97DCA"/>
    <w:rsid w:val="00AB65C3"/>
    <w:rsid w:val="00AB6B7D"/>
    <w:rsid w:val="00AC08B4"/>
    <w:rsid w:val="00AC14B7"/>
    <w:rsid w:val="00AF7F7C"/>
    <w:rsid w:val="00B05284"/>
    <w:rsid w:val="00B10DE0"/>
    <w:rsid w:val="00B129AD"/>
    <w:rsid w:val="00B16D3B"/>
    <w:rsid w:val="00B228DA"/>
    <w:rsid w:val="00B23183"/>
    <w:rsid w:val="00B244D3"/>
    <w:rsid w:val="00B3269F"/>
    <w:rsid w:val="00B326C6"/>
    <w:rsid w:val="00B42962"/>
    <w:rsid w:val="00B42C28"/>
    <w:rsid w:val="00B43D19"/>
    <w:rsid w:val="00B506B0"/>
    <w:rsid w:val="00B541B5"/>
    <w:rsid w:val="00B70259"/>
    <w:rsid w:val="00B7126E"/>
    <w:rsid w:val="00B73E1A"/>
    <w:rsid w:val="00B81329"/>
    <w:rsid w:val="00B82280"/>
    <w:rsid w:val="00B8428F"/>
    <w:rsid w:val="00B87BE1"/>
    <w:rsid w:val="00B915B4"/>
    <w:rsid w:val="00B93EF4"/>
    <w:rsid w:val="00BA0165"/>
    <w:rsid w:val="00BA36E0"/>
    <w:rsid w:val="00BB22D0"/>
    <w:rsid w:val="00BB44C7"/>
    <w:rsid w:val="00BC0268"/>
    <w:rsid w:val="00BC155D"/>
    <w:rsid w:val="00BD1C14"/>
    <w:rsid w:val="00BD2F87"/>
    <w:rsid w:val="00BE14FC"/>
    <w:rsid w:val="00BF07CC"/>
    <w:rsid w:val="00BF3BF8"/>
    <w:rsid w:val="00C07058"/>
    <w:rsid w:val="00C13D2F"/>
    <w:rsid w:val="00C15B74"/>
    <w:rsid w:val="00C164EE"/>
    <w:rsid w:val="00C23D56"/>
    <w:rsid w:val="00C240CC"/>
    <w:rsid w:val="00C30837"/>
    <w:rsid w:val="00C403F2"/>
    <w:rsid w:val="00C40463"/>
    <w:rsid w:val="00C43F76"/>
    <w:rsid w:val="00C51F56"/>
    <w:rsid w:val="00C56639"/>
    <w:rsid w:val="00C57251"/>
    <w:rsid w:val="00C614B5"/>
    <w:rsid w:val="00C66B8C"/>
    <w:rsid w:val="00C678FC"/>
    <w:rsid w:val="00C83462"/>
    <w:rsid w:val="00C9546A"/>
    <w:rsid w:val="00C958CA"/>
    <w:rsid w:val="00CA2D53"/>
    <w:rsid w:val="00CA7C2C"/>
    <w:rsid w:val="00CB3049"/>
    <w:rsid w:val="00CB4BC4"/>
    <w:rsid w:val="00CB7034"/>
    <w:rsid w:val="00CC205C"/>
    <w:rsid w:val="00CD6A5F"/>
    <w:rsid w:val="00CD6A8C"/>
    <w:rsid w:val="00CE0471"/>
    <w:rsid w:val="00D00DF5"/>
    <w:rsid w:val="00D07A8E"/>
    <w:rsid w:val="00D10FC7"/>
    <w:rsid w:val="00D11E7C"/>
    <w:rsid w:val="00D2765C"/>
    <w:rsid w:val="00D2788E"/>
    <w:rsid w:val="00D41DB4"/>
    <w:rsid w:val="00D44701"/>
    <w:rsid w:val="00D469F1"/>
    <w:rsid w:val="00D46CA2"/>
    <w:rsid w:val="00D604EE"/>
    <w:rsid w:val="00D67AB6"/>
    <w:rsid w:val="00D67C07"/>
    <w:rsid w:val="00D72E1A"/>
    <w:rsid w:val="00D743A6"/>
    <w:rsid w:val="00D806DB"/>
    <w:rsid w:val="00D83106"/>
    <w:rsid w:val="00D92C44"/>
    <w:rsid w:val="00DA0CAF"/>
    <w:rsid w:val="00DA188F"/>
    <w:rsid w:val="00DA3168"/>
    <w:rsid w:val="00DA4288"/>
    <w:rsid w:val="00DA7A86"/>
    <w:rsid w:val="00DB7B15"/>
    <w:rsid w:val="00DB7C4D"/>
    <w:rsid w:val="00DD14EB"/>
    <w:rsid w:val="00DE4421"/>
    <w:rsid w:val="00DE714A"/>
    <w:rsid w:val="00DF413C"/>
    <w:rsid w:val="00DF6053"/>
    <w:rsid w:val="00E103FC"/>
    <w:rsid w:val="00E210AE"/>
    <w:rsid w:val="00E27706"/>
    <w:rsid w:val="00E6437E"/>
    <w:rsid w:val="00E87F18"/>
    <w:rsid w:val="00E90871"/>
    <w:rsid w:val="00EA23B7"/>
    <w:rsid w:val="00EC20D4"/>
    <w:rsid w:val="00ED2614"/>
    <w:rsid w:val="00ED493D"/>
    <w:rsid w:val="00EE3A81"/>
    <w:rsid w:val="00EE5C93"/>
    <w:rsid w:val="00EF5722"/>
    <w:rsid w:val="00EF57A1"/>
    <w:rsid w:val="00F008F8"/>
    <w:rsid w:val="00F14945"/>
    <w:rsid w:val="00F17B3F"/>
    <w:rsid w:val="00F23DCF"/>
    <w:rsid w:val="00F25200"/>
    <w:rsid w:val="00F32AEA"/>
    <w:rsid w:val="00F344F8"/>
    <w:rsid w:val="00F35AD1"/>
    <w:rsid w:val="00F37F22"/>
    <w:rsid w:val="00F461E5"/>
    <w:rsid w:val="00F53B5C"/>
    <w:rsid w:val="00F57E1C"/>
    <w:rsid w:val="00F8013B"/>
    <w:rsid w:val="00F85AFE"/>
    <w:rsid w:val="00F86D87"/>
    <w:rsid w:val="00F93F08"/>
    <w:rsid w:val="00FA33F6"/>
    <w:rsid w:val="00FA4A0A"/>
    <w:rsid w:val="00FB338F"/>
    <w:rsid w:val="00FB41BE"/>
    <w:rsid w:val="00FB6223"/>
    <w:rsid w:val="00FB72AE"/>
    <w:rsid w:val="00FC4BAF"/>
    <w:rsid w:val="00FC7148"/>
    <w:rsid w:val="00FD02D5"/>
    <w:rsid w:val="00FD0EA1"/>
    <w:rsid w:val="00FD1B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332C"/>
    <w:rPr>
      <w:sz w:val="24"/>
      <w:szCs w:val="24"/>
    </w:rPr>
  </w:style>
  <w:style w:type="paragraph" w:styleId="Nadpis1">
    <w:name w:val="heading 1"/>
    <w:basedOn w:val="Normln"/>
    <w:next w:val="Normln"/>
    <w:qFormat/>
    <w:pPr>
      <w:keepNext/>
      <w:ind w:left="-900"/>
      <w:jc w:val="center"/>
      <w:outlineLvl w:val="0"/>
    </w:pPr>
    <w:rPr>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customStyle="1" w:styleId="Text1">
    <w:name w:val="Text 1"/>
    <w:basedOn w:val="Normln"/>
    <w:pPr>
      <w:spacing w:before="120" w:after="120"/>
      <w:ind w:left="851"/>
      <w:jc w:val="both"/>
    </w:pPr>
    <w:rPr>
      <w:szCs w:val="20"/>
    </w:rPr>
  </w:style>
  <w:style w:type="paragraph" w:customStyle="1" w:styleId="Text3">
    <w:name w:val="Text 3"/>
    <w:basedOn w:val="Normln"/>
    <w:pPr>
      <w:spacing w:before="120" w:after="120"/>
      <w:ind w:left="851"/>
      <w:jc w:val="both"/>
    </w:pPr>
    <w:rPr>
      <w:szCs w:val="20"/>
    </w:rPr>
  </w:style>
  <w:style w:type="paragraph" w:customStyle="1" w:styleId="NormalCentered">
    <w:name w:val="Normal Centered"/>
    <w:basedOn w:val="Normln"/>
    <w:pPr>
      <w:spacing w:before="120" w:after="120"/>
      <w:jc w:val="center"/>
    </w:pPr>
    <w:rPr>
      <w:szCs w:val="20"/>
    </w:rPr>
  </w:style>
  <w:style w:type="paragraph" w:styleId="Zkladntext">
    <w:name w:val="Body Text"/>
    <w:basedOn w:val="Normln"/>
    <w:semiHidden/>
    <w:pPr>
      <w:tabs>
        <w:tab w:val="left" w:pos="851"/>
      </w:tabs>
      <w:spacing w:before="100" w:beforeAutospacing="1" w:after="100" w:afterAutospacing="1" w:line="240" w:lineRule="atLeast"/>
    </w:pPr>
    <w:rPr>
      <w:snapToGrid w:val="0"/>
      <w:color w:val="000000"/>
      <w:sz w:val="18"/>
    </w:rPr>
  </w:style>
  <w:style w:type="paragraph" w:styleId="Zkladntext3">
    <w:name w:val="Body Text 3"/>
    <w:basedOn w:val="Normln"/>
    <w:semiHidden/>
    <w:pPr>
      <w:spacing w:before="100" w:beforeAutospacing="1" w:after="100" w:afterAutospacing="1"/>
    </w:pPr>
    <w:rPr>
      <w:sz w:val="18"/>
    </w:rPr>
  </w:style>
  <w:style w:type="paragraph" w:customStyle="1" w:styleId="NumPar1">
    <w:name w:val="NumPar 1"/>
    <w:basedOn w:val="Normln"/>
    <w:next w:val="Normln"/>
    <w:pPr>
      <w:tabs>
        <w:tab w:val="left" w:pos="851"/>
      </w:tabs>
      <w:spacing w:before="120" w:after="120"/>
      <w:jc w:val="both"/>
    </w:pPr>
    <w:rPr>
      <w:szCs w:val="20"/>
    </w:rPr>
  </w:style>
  <w:style w:type="paragraph" w:customStyle="1" w:styleId="NumPar2">
    <w:name w:val="NumPar 2"/>
    <w:basedOn w:val="Normln"/>
    <w:next w:val="Normln"/>
    <w:pPr>
      <w:spacing w:before="120" w:after="120"/>
      <w:jc w:val="both"/>
    </w:pPr>
    <w:rPr>
      <w:szCs w:val="20"/>
    </w:rPr>
  </w:style>
  <w:style w:type="paragraph" w:customStyle="1" w:styleId="Normln1">
    <w:name w:val="Normální1"/>
    <w:basedOn w:val="Normln"/>
    <w:rsid w:val="00513559"/>
    <w:pPr>
      <w:spacing w:before="120"/>
      <w:jc w:val="both"/>
    </w:pPr>
  </w:style>
  <w:style w:type="paragraph" w:customStyle="1" w:styleId="sti-art">
    <w:name w:val="sti-art"/>
    <w:basedOn w:val="Normln"/>
    <w:rsid w:val="00513559"/>
    <w:pPr>
      <w:spacing w:before="60" w:after="120"/>
      <w:jc w:val="center"/>
    </w:pPr>
    <w:rPr>
      <w:b/>
      <w:bCs/>
    </w:rPr>
  </w:style>
  <w:style w:type="paragraph" w:customStyle="1" w:styleId="ti-art">
    <w:name w:val="ti-art"/>
    <w:basedOn w:val="Normln"/>
    <w:rsid w:val="00513559"/>
    <w:pPr>
      <w:spacing w:before="360" w:after="120"/>
      <w:jc w:val="center"/>
    </w:pPr>
    <w:rPr>
      <w:i/>
      <w:iCs/>
    </w:rPr>
  </w:style>
  <w:style w:type="paragraph" w:customStyle="1" w:styleId="ti-section-1">
    <w:name w:val="ti-section-1"/>
    <w:basedOn w:val="Normln"/>
    <w:rsid w:val="00513559"/>
    <w:pPr>
      <w:spacing w:before="480"/>
      <w:jc w:val="center"/>
    </w:pPr>
    <w:rPr>
      <w:b/>
      <w:bCs/>
    </w:rPr>
  </w:style>
  <w:style w:type="paragraph" w:customStyle="1" w:styleId="ti-section-2">
    <w:name w:val="ti-section-2"/>
    <w:basedOn w:val="Normln"/>
    <w:rsid w:val="00513559"/>
    <w:pPr>
      <w:spacing w:before="75" w:after="120"/>
      <w:jc w:val="center"/>
    </w:pPr>
    <w:rPr>
      <w:b/>
      <w:bCs/>
    </w:rPr>
  </w:style>
  <w:style w:type="character" w:customStyle="1" w:styleId="bold">
    <w:name w:val="bold"/>
    <w:basedOn w:val="Standardnpsmoodstavce"/>
    <w:rsid w:val="00513559"/>
    <w:rPr>
      <w:b/>
      <w:bCs/>
    </w:rPr>
  </w:style>
  <w:style w:type="character" w:styleId="Hypertextovodkaz">
    <w:name w:val="Hyperlink"/>
    <w:basedOn w:val="Standardnpsmoodstavce"/>
    <w:uiPriority w:val="99"/>
    <w:unhideWhenUsed/>
    <w:rsid w:val="00AB65C3"/>
    <w:rPr>
      <w:strike w:val="0"/>
      <w:dstrike w:val="0"/>
      <w:color w:val="3366CC"/>
      <w:u w:val="none"/>
      <w:effect w:val="none"/>
      <w:shd w:val="clear" w:color="auto" w:fill="auto"/>
    </w:rPr>
  </w:style>
  <w:style w:type="character" w:customStyle="1" w:styleId="super">
    <w:name w:val="super"/>
    <w:basedOn w:val="Standardnpsmoodstavce"/>
    <w:rsid w:val="00AB65C3"/>
    <w:rPr>
      <w:sz w:val="17"/>
      <w:szCs w:val="17"/>
      <w:vertAlign w:val="superscript"/>
    </w:rPr>
  </w:style>
  <w:style w:type="paragraph" w:customStyle="1" w:styleId="note">
    <w:name w:val="note"/>
    <w:basedOn w:val="Normln"/>
    <w:rsid w:val="00AB65C3"/>
    <w:pPr>
      <w:spacing w:before="60" w:after="60"/>
      <w:jc w:val="both"/>
    </w:pPr>
    <w:rPr>
      <w:sz w:val="19"/>
      <w:szCs w:val="19"/>
    </w:rPr>
  </w:style>
  <w:style w:type="character" w:customStyle="1" w:styleId="italic">
    <w:name w:val="italic"/>
    <w:basedOn w:val="Standardnpsmoodstavce"/>
    <w:rsid w:val="00AB65C3"/>
    <w:rPr>
      <w:i/>
      <w:iCs/>
    </w:rPr>
  </w:style>
  <w:style w:type="paragraph" w:styleId="Odstavecseseznamem">
    <w:name w:val="List Paragraph"/>
    <w:basedOn w:val="Normln"/>
    <w:uiPriority w:val="34"/>
    <w:qFormat/>
    <w:rsid w:val="00905FF4"/>
    <w:pPr>
      <w:ind w:left="720"/>
      <w:contextualSpacing/>
    </w:pPr>
  </w:style>
  <w:style w:type="paragraph" w:styleId="Textbubliny">
    <w:name w:val="Balloon Text"/>
    <w:basedOn w:val="Normln"/>
    <w:link w:val="TextbublinyChar"/>
    <w:uiPriority w:val="99"/>
    <w:semiHidden/>
    <w:unhideWhenUsed/>
    <w:rsid w:val="00A42B00"/>
    <w:rPr>
      <w:rFonts w:ascii="Tahoma" w:hAnsi="Tahoma" w:cs="Tahoma"/>
      <w:sz w:val="16"/>
      <w:szCs w:val="16"/>
    </w:rPr>
  </w:style>
  <w:style w:type="character" w:customStyle="1" w:styleId="TextbublinyChar">
    <w:name w:val="Text bubliny Char"/>
    <w:basedOn w:val="Standardnpsmoodstavce"/>
    <w:link w:val="Textbubliny"/>
    <w:uiPriority w:val="99"/>
    <w:semiHidden/>
    <w:rsid w:val="00A42B00"/>
    <w:rPr>
      <w:rFonts w:ascii="Tahoma" w:hAnsi="Tahoma" w:cs="Tahoma"/>
      <w:sz w:val="16"/>
      <w:szCs w:val="16"/>
    </w:rPr>
  </w:style>
  <w:style w:type="character" w:styleId="Siln">
    <w:name w:val="Strong"/>
    <w:uiPriority w:val="22"/>
    <w:qFormat/>
    <w:rsid w:val="00A70B42"/>
    <w:rPr>
      <w:b/>
      <w:bCs/>
    </w:rPr>
  </w:style>
  <w:style w:type="paragraph" w:customStyle="1" w:styleId="oj-normal">
    <w:name w:val="oj-normal"/>
    <w:basedOn w:val="Normln"/>
    <w:rsid w:val="000A36DF"/>
    <w:pPr>
      <w:spacing w:before="120"/>
      <w:jc w:val="both"/>
    </w:pPr>
  </w:style>
  <w:style w:type="paragraph" w:customStyle="1" w:styleId="oj-sti-art">
    <w:name w:val="oj-sti-art"/>
    <w:basedOn w:val="Normln"/>
    <w:rsid w:val="00044BEF"/>
    <w:pPr>
      <w:spacing w:before="60" w:after="120"/>
      <w:jc w:val="center"/>
    </w:pPr>
    <w:rPr>
      <w:b/>
      <w:bCs/>
    </w:rPr>
  </w:style>
  <w:style w:type="paragraph" w:customStyle="1" w:styleId="oj-ti-art">
    <w:name w:val="oj-ti-art"/>
    <w:basedOn w:val="Normln"/>
    <w:rsid w:val="00044BEF"/>
    <w:pPr>
      <w:spacing w:before="360" w:after="120"/>
      <w:jc w:val="center"/>
    </w:pPr>
    <w:rPr>
      <w:i/>
      <w:iCs/>
    </w:rPr>
  </w:style>
  <w:style w:type="character" w:customStyle="1" w:styleId="oj-italic">
    <w:name w:val="oj-italic"/>
    <w:basedOn w:val="Standardnpsmoodstavce"/>
    <w:rsid w:val="00DA7A86"/>
    <w:rPr>
      <w:i/>
      <w:iCs/>
    </w:rPr>
  </w:style>
  <w:style w:type="paragraph" w:customStyle="1" w:styleId="Novelizanbod">
    <w:name w:val="Novelizační bod"/>
    <w:basedOn w:val="Normln"/>
    <w:next w:val="Normln"/>
    <w:link w:val="NovelizanbodChar"/>
    <w:qFormat/>
    <w:rsid w:val="009417BB"/>
    <w:pPr>
      <w:keepNext/>
      <w:keepLines/>
      <w:numPr>
        <w:numId w:val="13"/>
      </w:numPr>
      <w:tabs>
        <w:tab w:val="left" w:pos="851"/>
      </w:tabs>
      <w:spacing w:before="480" w:after="120"/>
      <w:jc w:val="both"/>
    </w:pPr>
    <w:rPr>
      <w:szCs w:val="20"/>
    </w:rPr>
  </w:style>
  <w:style w:type="character" w:customStyle="1" w:styleId="NovelizanbodChar">
    <w:name w:val="Novelizační bod Char"/>
    <w:link w:val="Novelizanbod"/>
    <w:locked/>
    <w:rsid w:val="009417BB"/>
    <w:rPr>
      <w:sz w:val="24"/>
    </w:rPr>
  </w:style>
  <w:style w:type="character" w:customStyle="1" w:styleId="h1a6">
    <w:name w:val="h1a6"/>
    <w:basedOn w:val="Standardnpsmoodstavce"/>
    <w:rsid w:val="00E6437E"/>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222">
      <w:bodyDiv w:val="1"/>
      <w:marLeft w:val="390"/>
      <w:marRight w:val="390"/>
      <w:marTop w:val="0"/>
      <w:marBottom w:val="0"/>
      <w:divBdr>
        <w:top w:val="none" w:sz="0" w:space="0" w:color="auto"/>
        <w:left w:val="none" w:sz="0" w:space="0" w:color="auto"/>
        <w:bottom w:val="none" w:sz="0" w:space="0" w:color="auto"/>
        <w:right w:val="none" w:sz="0" w:space="0" w:color="auto"/>
      </w:divBdr>
      <w:divsChild>
        <w:div w:id="2070689819">
          <w:marLeft w:val="0"/>
          <w:marRight w:val="0"/>
          <w:marTop w:val="0"/>
          <w:marBottom w:val="0"/>
          <w:divBdr>
            <w:top w:val="none" w:sz="0" w:space="0" w:color="auto"/>
            <w:left w:val="none" w:sz="0" w:space="0" w:color="auto"/>
            <w:bottom w:val="none" w:sz="0" w:space="0" w:color="auto"/>
            <w:right w:val="none" w:sz="0" w:space="0" w:color="auto"/>
          </w:divBdr>
          <w:divsChild>
            <w:div w:id="479346245">
              <w:marLeft w:val="0"/>
              <w:marRight w:val="0"/>
              <w:marTop w:val="0"/>
              <w:marBottom w:val="0"/>
              <w:divBdr>
                <w:top w:val="none" w:sz="0" w:space="0" w:color="auto"/>
                <w:left w:val="none" w:sz="0" w:space="0" w:color="auto"/>
                <w:bottom w:val="none" w:sz="0" w:space="0" w:color="auto"/>
                <w:right w:val="none" w:sz="0" w:space="0" w:color="auto"/>
              </w:divBdr>
              <w:divsChild>
                <w:div w:id="1678655113">
                  <w:marLeft w:val="-150"/>
                  <w:marRight w:val="-150"/>
                  <w:marTop w:val="0"/>
                  <w:marBottom w:val="0"/>
                  <w:divBdr>
                    <w:top w:val="none" w:sz="0" w:space="0" w:color="auto"/>
                    <w:left w:val="none" w:sz="0" w:space="0" w:color="auto"/>
                    <w:bottom w:val="none" w:sz="0" w:space="0" w:color="auto"/>
                    <w:right w:val="none" w:sz="0" w:space="0" w:color="auto"/>
                  </w:divBdr>
                  <w:divsChild>
                    <w:div w:id="2096435601">
                      <w:marLeft w:val="0"/>
                      <w:marRight w:val="0"/>
                      <w:marTop w:val="0"/>
                      <w:marBottom w:val="0"/>
                      <w:divBdr>
                        <w:top w:val="none" w:sz="0" w:space="0" w:color="auto"/>
                        <w:left w:val="none" w:sz="0" w:space="0" w:color="auto"/>
                        <w:bottom w:val="none" w:sz="0" w:space="0" w:color="auto"/>
                        <w:right w:val="none" w:sz="0" w:space="0" w:color="auto"/>
                      </w:divBdr>
                      <w:divsChild>
                        <w:div w:id="1994680641">
                          <w:marLeft w:val="0"/>
                          <w:marRight w:val="0"/>
                          <w:marTop w:val="0"/>
                          <w:marBottom w:val="0"/>
                          <w:divBdr>
                            <w:top w:val="none" w:sz="0" w:space="0" w:color="auto"/>
                            <w:left w:val="none" w:sz="0" w:space="0" w:color="auto"/>
                            <w:bottom w:val="none" w:sz="0" w:space="0" w:color="auto"/>
                            <w:right w:val="none" w:sz="0" w:space="0" w:color="auto"/>
                          </w:divBdr>
                          <w:divsChild>
                            <w:div w:id="561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2167">
      <w:bodyDiv w:val="1"/>
      <w:marLeft w:val="390"/>
      <w:marRight w:val="390"/>
      <w:marTop w:val="0"/>
      <w:marBottom w:val="0"/>
      <w:divBdr>
        <w:top w:val="none" w:sz="0" w:space="0" w:color="auto"/>
        <w:left w:val="none" w:sz="0" w:space="0" w:color="auto"/>
        <w:bottom w:val="none" w:sz="0" w:space="0" w:color="auto"/>
        <w:right w:val="none" w:sz="0" w:space="0" w:color="auto"/>
      </w:divBdr>
      <w:divsChild>
        <w:div w:id="1237398802">
          <w:marLeft w:val="0"/>
          <w:marRight w:val="0"/>
          <w:marTop w:val="0"/>
          <w:marBottom w:val="0"/>
          <w:divBdr>
            <w:top w:val="none" w:sz="0" w:space="0" w:color="auto"/>
            <w:left w:val="none" w:sz="0" w:space="0" w:color="auto"/>
            <w:bottom w:val="none" w:sz="0" w:space="0" w:color="auto"/>
            <w:right w:val="none" w:sz="0" w:space="0" w:color="auto"/>
          </w:divBdr>
          <w:divsChild>
            <w:div w:id="1268149878">
              <w:marLeft w:val="0"/>
              <w:marRight w:val="0"/>
              <w:marTop w:val="0"/>
              <w:marBottom w:val="0"/>
              <w:divBdr>
                <w:top w:val="none" w:sz="0" w:space="0" w:color="auto"/>
                <w:left w:val="none" w:sz="0" w:space="0" w:color="auto"/>
                <w:bottom w:val="none" w:sz="0" w:space="0" w:color="auto"/>
                <w:right w:val="none" w:sz="0" w:space="0" w:color="auto"/>
              </w:divBdr>
              <w:divsChild>
                <w:div w:id="568657378">
                  <w:marLeft w:val="-150"/>
                  <w:marRight w:val="-150"/>
                  <w:marTop w:val="0"/>
                  <w:marBottom w:val="0"/>
                  <w:divBdr>
                    <w:top w:val="none" w:sz="0" w:space="0" w:color="auto"/>
                    <w:left w:val="none" w:sz="0" w:space="0" w:color="auto"/>
                    <w:bottom w:val="none" w:sz="0" w:space="0" w:color="auto"/>
                    <w:right w:val="none" w:sz="0" w:space="0" w:color="auto"/>
                  </w:divBdr>
                  <w:divsChild>
                    <w:div w:id="1527645182">
                      <w:marLeft w:val="0"/>
                      <w:marRight w:val="0"/>
                      <w:marTop w:val="0"/>
                      <w:marBottom w:val="0"/>
                      <w:divBdr>
                        <w:top w:val="none" w:sz="0" w:space="0" w:color="auto"/>
                        <w:left w:val="none" w:sz="0" w:space="0" w:color="auto"/>
                        <w:bottom w:val="none" w:sz="0" w:space="0" w:color="auto"/>
                        <w:right w:val="none" w:sz="0" w:space="0" w:color="auto"/>
                      </w:divBdr>
                      <w:divsChild>
                        <w:div w:id="1410617422">
                          <w:marLeft w:val="0"/>
                          <w:marRight w:val="0"/>
                          <w:marTop w:val="0"/>
                          <w:marBottom w:val="0"/>
                          <w:divBdr>
                            <w:top w:val="none" w:sz="0" w:space="0" w:color="auto"/>
                            <w:left w:val="none" w:sz="0" w:space="0" w:color="auto"/>
                            <w:bottom w:val="none" w:sz="0" w:space="0" w:color="auto"/>
                            <w:right w:val="none" w:sz="0" w:space="0" w:color="auto"/>
                          </w:divBdr>
                          <w:divsChild>
                            <w:div w:id="2000766186">
                              <w:marLeft w:val="0"/>
                              <w:marRight w:val="0"/>
                              <w:marTop w:val="0"/>
                              <w:marBottom w:val="0"/>
                              <w:divBdr>
                                <w:top w:val="none" w:sz="0" w:space="0" w:color="auto"/>
                                <w:left w:val="none" w:sz="0" w:space="0" w:color="auto"/>
                                <w:bottom w:val="none" w:sz="0" w:space="0" w:color="auto"/>
                                <w:right w:val="none" w:sz="0" w:space="0" w:color="auto"/>
                              </w:divBdr>
                              <w:divsChild>
                                <w:div w:id="1733964037">
                                  <w:marLeft w:val="0"/>
                                  <w:marRight w:val="0"/>
                                  <w:marTop w:val="0"/>
                                  <w:marBottom w:val="0"/>
                                  <w:divBdr>
                                    <w:top w:val="none" w:sz="0" w:space="0" w:color="auto"/>
                                    <w:left w:val="none" w:sz="0" w:space="0" w:color="auto"/>
                                    <w:bottom w:val="none" w:sz="0" w:space="0" w:color="auto"/>
                                    <w:right w:val="none" w:sz="0" w:space="0" w:color="auto"/>
                                  </w:divBdr>
                                </w:div>
                                <w:div w:id="763764601">
                                  <w:marLeft w:val="0"/>
                                  <w:marRight w:val="0"/>
                                  <w:marTop w:val="0"/>
                                  <w:marBottom w:val="0"/>
                                  <w:divBdr>
                                    <w:top w:val="none" w:sz="0" w:space="0" w:color="auto"/>
                                    <w:left w:val="none" w:sz="0" w:space="0" w:color="auto"/>
                                    <w:bottom w:val="none" w:sz="0" w:space="0" w:color="auto"/>
                                    <w:right w:val="none" w:sz="0" w:space="0" w:color="auto"/>
                                  </w:divBdr>
                                </w:div>
                                <w:div w:id="20500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59925">
      <w:bodyDiv w:val="1"/>
      <w:marLeft w:val="390"/>
      <w:marRight w:val="390"/>
      <w:marTop w:val="0"/>
      <w:marBottom w:val="0"/>
      <w:divBdr>
        <w:top w:val="none" w:sz="0" w:space="0" w:color="auto"/>
        <w:left w:val="none" w:sz="0" w:space="0" w:color="auto"/>
        <w:bottom w:val="none" w:sz="0" w:space="0" w:color="auto"/>
        <w:right w:val="none" w:sz="0" w:space="0" w:color="auto"/>
      </w:divBdr>
      <w:divsChild>
        <w:div w:id="862401496">
          <w:marLeft w:val="0"/>
          <w:marRight w:val="0"/>
          <w:marTop w:val="0"/>
          <w:marBottom w:val="0"/>
          <w:divBdr>
            <w:top w:val="none" w:sz="0" w:space="0" w:color="auto"/>
            <w:left w:val="none" w:sz="0" w:space="0" w:color="auto"/>
            <w:bottom w:val="none" w:sz="0" w:space="0" w:color="auto"/>
            <w:right w:val="none" w:sz="0" w:space="0" w:color="auto"/>
          </w:divBdr>
          <w:divsChild>
            <w:div w:id="131094532">
              <w:marLeft w:val="0"/>
              <w:marRight w:val="0"/>
              <w:marTop w:val="0"/>
              <w:marBottom w:val="0"/>
              <w:divBdr>
                <w:top w:val="none" w:sz="0" w:space="0" w:color="auto"/>
                <w:left w:val="none" w:sz="0" w:space="0" w:color="auto"/>
                <w:bottom w:val="none" w:sz="0" w:space="0" w:color="auto"/>
                <w:right w:val="none" w:sz="0" w:space="0" w:color="auto"/>
              </w:divBdr>
              <w:divsChild>
                <w:div w:id="1052653535">
                  <w:marLeft w:val="-150"/>
                  <w:marRight w:val="-150"/>
                  <w:marTop w:val="0"/>
                  <w:marBottom w:val="0"/>
                  <w:divBdr>
                    <w:top w:val="none" w:sz="0" w:space="0" w:color="auto"/>
                    <w:left w:val="none" w:sz="0" w:space="0" w:color="auto"/>
                    <w:bottom w:val="none" w:sz="0" w:space="0" w:color="auto"/>
                    <w:right w:val="none" w:sz="0" w:space="0" w:color="auto"/>
                  </w:divBdr>
                  <w:divsChild>
                    <w:div w:id="110901597">
                      <w:marLeft w:val="0"/>
                      <w:marRight w:val="0"/>
                      <w:marTop w:val="0"/>
                      <w:marBottom w:val="0"/>
                      <w:divBdr>
                        <w:top w:val="none" w:sz="0" w:space="0" w:color="auto"/>
                        <w:left w:val="none" w:sz="0" w:space="0" w:color="auto"/>
                        <w:bottom w:val="none" w:sz="0" w:space="0" w:color="auto"/>
                        <w:right w:val="none" w:sz="0" w:space="0" w:color="auto"/>
                      </w:divBdr>
                      <w:divsChild>
                        <w:div w:id="91974483">
                          <w:marLeft w:val="0"/>
                          <w:marRight w:val="0"/>
                          <w:marTop w:val="0"/>
                          <w:marBottom w:val="0"/>
                          <w:divBdr>
                            <w:top w:val="none" w:sz="0" w:space="0" w:color="auto"/>
                            <w:left w:val="none" w:sz="0" w:space="0" w:color="auto"/>
                            <w:bottom w:val="none" w:sz="0" w:space="0" w:color="auto"/>
                            <w:right w:val="none" w:sz="0" w:space="0" w:color="auto"/>
                          </w:divBdr>
                          <w:divsChild>
                            <w:div w:id="1484807642">
                              <w:marLeft w:val="0"/>
                              <w:marRight w:val="0"/>
                              <w:marTop w:val="0"/>
                              <w:marBottom w:val="0"/>
                              <w:divBdr>
                                <w:top w:val="none" w:sz="0" w:space="0" w:color="auto"/>
                                <w:left w:val="none" w:sz="0" w:space="0" w:color="auto"/>
                                <w:bottom w:val="none" w:sz="0" w:space="0" w:color="auto"/>
                                <w:right w:val="none" w:sz="0" w:space="0" w:color="auto"/>
                              </w:divBdr>
                            </w:div>
                            <w:div w:id="678506386">
                              <w:marLeft w:val="0"/>
                              <w:marRight w:val="0"/>
                              <w:marTop w:val="0"/>
                              <w:marBottom w:val="0"/>
                              <w:divBdr>
                                <w:top w:val="none" w:sz="0" w:space="0" w:color="auto"/>
                                <w:left w:val="none" w:sz="0" w:space="0" w:color="auto"/>
                                <w:bottom w:val="none" w:sz="0" w:space="0" w:color="auto"/>
                                <w:right w:val="none" w:sz="0" w:space="0" w:color="auto"/>
                              </w:divBdr>
                            </w:div>
                            <w:div w:id="1677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68340">
      <w:bodyDiv w:val="1"/>
      <w:marLeft w:val="390"/>
      <w:marRight w:val="390"/>
      <w:marTop w:val="0"/>
      <w:marBottom w:val="0"/>
      <w:divBdr>
        <w:top w:val="none" w:sz="0" w:space="0" w:color="auto"/>
        <w:left w:val="none" w:sz="0" w:space="0" w:color="auto"/>
        <w:bottom w:val="none" w:sz="0" w:space="0" w:color="auto"/>
        <w:right w:val="none" w:sz="0" w:space="0" w:color="auto"/>
      </w:divBdr>
      <w:divsChild>
        <w:div w:id="1118988959">
          <w:marLeft w:val="0"/>
          <w:marRight w:val="0"/>
          <w:marTop w:val="0"/>
          <w:marBottom w:val="0"/>
          <w:divBdr>
            <w:top w:val="none" w:sz="0" w:space="0" w:color="auto"/>
            <w:left w:val="none" w:sz="0" w:space="0" w:color="auto"/>
            <w:bottom w:val="none" w:sz="0" w:space="0" w:color="auto"/>
            <w:right w:val="none" w:sz="0" w:space="0" w:color="auto"/>
          </w:divBdr>
          <w:divsChild>
            <w:div w:id="1768387497">
              <w:marLeft w:val="0"/>
              <w:marRight w:val="0"/>
              <w:marTop w:val="0"/>
              <w:marBottom w:val="0"/>
              <w:divBdr>
                <w:top w:val="none" w:sz="0" w:space="0" w:color="auto"/>
                <w:left w:val="none" w:sz="0" w:space="0" w:color="auto"/>
                <w:bottom w:val="none" w:sz="0" w:space="0" w:color="auto"/>
                <w:right w:val="none" w:sz="0" w:space="0" w:color="auto"/>
              </w:divBdr>
              <w:divsChild>
                <w:div w:id="256787700">
                  <w:marLeft w:val="-150"/>
                  <w:marRight w:val="-150"/>
                  <w:marTop w:val="0"/>
                  <w:marBottom w:val="0"/>
                  <w:divBdr>
                    <w:top w:val="none" w:sz="0" w:space="0" w:color="auto"/>
                    <w:left w:val="none" w:sz="0" w:space="0" w:color="auto"/>
                    <w:bottom w:val="none" w:sz="0" w:space="0" w:color="auto"/>
                    <w:right w:val="none" w:sz="0" w:space="0" w:color="auto"/>
                  </w:divBdr>
                  <w:divsChild>
                    <w:div w:id="1060516881">
                      <w:marLeft w:val="0"/>
                      <w:marRight w:val="0"/>
                      <w:marTop w:val="0"/>
                      <w:marBottom w:val="0"/>
                      <w:divBdr>
                        <w:top w:val="none" w:sz="0" w:space="0" w:color="auto"/>
                        <w:left w:val="none" w:sz="0" w:space="0" w:color="auto"/>
                        <w:bottom w:val="none" w:sz="0" w:space="0" w:color="auto"/>
                        <w:right w:val="none" w:sz="0" w:space="0" w:color="auto"/>
                      </w:divBdr>
                      <w:divsChild>
                        <w:div w:id="23407784">
                          <w:marLeft w:val="0"/>
                          <w:marRight w:val="0"/>
                          <w:marTop w:val="0"/>
                          <w:marBottom w:val="0"/>
                          <w:divBdr>
                            <w:top w:val="none" w:sz="0" w:space="0" w:color="auto"/>
                            <w:left w:val="none" w:sz="0" w:space="0" w:color="auto"/>
                            <w:bottom w:val="none" w:sz="0" w:space="0" w:color="auto"/>
                            <w:right w:val="none" w:sz="0" w:space="0" w:color="auto"/>
                          </w:divBdr>
                          <w:divsChild>
                            <w:div w:id="998728844">
                              <w:marLeft w:val="0"/>
                              <w:marRight w:val="0"/>
                              <w:marTop w:val="0"/>
                              <w:marBottom w:val="0"/>
                              <w:divBdr>
                                <w:top w:val="none" w:sz="0" w:space="0" w:color="auto"/>
                                <w:left w:val="none" w:sz="0" w:space="0" w:color="auto"/>
                                <w:bottom w:val="none" w:sz="0" w:space="0" w:color="auto"/>
                                <w:right w:val="none" w:sz="0" w:space="0" w:color="auto"/>
                              </w:divBdr>
                              <w:divsChild>
                                <w:div w:id="749616572">
                                  <w:marLeft w:val="0"/>
                                  <w:marRight w:val="0"/>
                                  <w:marTop w:val="0"/>
                                  <w:marBottom w:val="0"/>
                                  <w:divBdr>
                                    <w:top w:val="none" w:sz="0" w:space="0" w:color="auto"/>
                                    <w:left w:val="none" w:sz="0" w:space="0" w:color="auto"/>
                                    <w:bottom w:val="none" w:sz="0" w:space="0" w:color="auto"/>
                                    <w:right w:val="none" w:sz="0" w:space="0" w:color="auto"/>
                                  </w:divBdr>
                                </w:div>
                                <w:div w:id="1872917880">
                                  <w:marLeft w:val="0"/>
                                  <w:marRight w:val="0"/>
                                  <w:marTop w:val="0"/>
                                  <w:marBottom w:val="0"/>
                                  <w:divBdr>
                                    <w:top w:val="none" w:sz="0" w:space="0" w:color="auto"/>
                                    <w:left w:val="none" w:sz="0" w:space="0" w:color="auto"/>
                                    <w:bottom w:val="none" w:sz="0" w:space="0" w:color="auto"/>
                                    <w:right w:val="none" w:sz="0" w:space="0" w:color="auto"/>
                                  </w:divBdr>
                                </w:div>
                                <w:div w:id="11905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26011">
      <w:bodyDiv w:val="1"/>
      <w:marLeft w:val="390"/>
      <w:marRight w:val="390"/>
      <w:marTop w:val="0"/>
      <w:marBottom w:val="0"/>
      <w:divBdr>
        <w:top w:val="none" w:sz="0" w:space="0" w:color="auto"/>
        <w:left w:val="none" w:sz="0" w:space="0" w:color="auto"/>
        <w:bottom w:val="none" w:sz="0" w:space="0" w:color="auto"/>
        <w:right w:val="none" w:sz="0" w:space="0" w:color="auto"/>
      </w:divBdr>
      <w:divsChild>
        <w:div w:id="900792560">
          <w:marLeft w:val="0"/>
          <w:marRight w:val="0"/>
          <w:marTop w:val="0"/>
          <w:marBottom w:val="0"/>
          <w:divBdr>
            <w:top w:val="none" w:sz="0" w:space="0" w:color="auto"/>
            <w:left w:val="none" w:sz="0" w:space="0" w:color="auto"/>
            <w:bottom w:val="none" w:sz="0" w:space="0" w:color="auto"/>
            <w:right w:val="none" w:sz="0" w:space="0" w:color="auto"/>
          </w:divBdr>
          <w:divsChild>
            <w:div w:id="1863738973">
              <w:marLeft w:val="0"/>
              <w:marRight w:val="0"/>
              <w:marTop w:val="0"/>
              <w:marBottom w:val="0"/>
              <w:divBdr>
                <w:top w:val="none" w:sz="0" w:space="0" w:color="auto"/>
                <w:left w:val="none" w:sz="0" w:space="0" w:color="auto"/>
                <w:bottom w:val="none" w:sz="0" w:space="0" w:color="auto"/>
                <w:right w:val="none" w:sz="0" w:space="0" w:color="auto"/>
              </w:divBdr>
              <w:divsChild>
                <w:div w:id="989283232">
                  <w:marLeft w:val="-150"/>
                  <w:marRight w:val="-150"/>
                  <w:marTop w:val="0"/>
                  <w:marBottom w:val="0"/>
                  <w:divBdr>
                    <w:top w:val="none" w:sz="0" w:space="0" w:color="auto"/>
                    <w:left w:val="none" w:sz="0" w:space="0" w:color="auto"/>
                    <w:bottom w:val="none" w:sz="0" w:space="0" w:color="auto"/>
                    <w:right w:val="none" w:sz="0" w:space="0" w:color="auto"/>
                  </w:divBdr>
                  <w:divsChild>
                    <w:div w:id="788207989">
                      <w:marLeft w:val="0"/>
                      <w:marRight w:val="0"/>
                      <w:marTop w:val="0"/>
                      <w:marBottom w:val="0"/>
                      <w:divBdr>
                        <w:top w:val="none" w:sz="0" w:space="0" w:color="auto"/>
                        <w:left w:val="none" w:sz="0" w:space="0" w:color="auto"/>
                        <w:bottom w:val="none" w:sz="0" w:space="0" w:color="auto"/>
                        <w:right w:val="none" w:sz="0" w:space="0" w:color="auto"/>
                      </w:divBdr>
                      <w:divsChild>
                        <w:div w:id="1821922051">
                          <w:marLeft w:val="0"/>
                          <w:marRight w:val="0"/>
                          <w:marTop w:val="0"/>
                          <w:marBottom w:val="0"/>
                          <w:divBdr>
                            <w:top w:val="none" w:sz="0" w:space="0" w:color="auto"/>
                            <w:left w:val="none" w:sz="0" w:space="0" w:color="auto"/>
                            <w:bottom w:val="none" w:sz="0" w:space="0" w:color="auto"/>
                            <w:right w:val="none" w:sz="0" w:space="0" w:color="auto"/>
                          </w:divBdr>
                          <w:divsChild>
                            <w:div w:id="12225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47686">
      <w:bodyDiv w:val="1"/>
      <w:marLeft w:val="390"/>
      <w:marRight w:val="390"/>
      <w:marTop w:val="0"/>
      <w:marBottom w:val="0"/>
      <w:divBdr>
        <w:top w:val="none" w:sz="0" w:space="0" w:color="auto"/>
        <w:left w:val="none" w:sz="0" w:space="0" w:color="auto"/>
        <w:bottom w:val="none" w:sz="0" w:space="0" w:color="auto"/>
        <w:right w:val="none" w:sz="0" w:space="0" w:color="auto"/>
      </w:divBdr>
      <w:divsChild>
        <w:div w:id="1471441768">
          <w:marLeft w:val="0"/>
          <w:marRight w:val="0"/>
          <w:marTop w:val="0"/>
          <w:marBottom w:val="0"/>
          <w:divBdr>
            <w:top w:val="none" w:sz="0" w:space="0" w:color="auto"/>
            <w:left w:val="none" w:sz="0" w:space="0" w:color="auto"/>
            <w:bottom w:val="none" w:sz="0" w:space="0" w:color="auto"/>
            <w:right w:val="none" w:sz="0" w:space="0" w:color="auto"/>
          </w:divBdr>
          <w:divsChild>
            <w:div w:id="1147895756">
              <w:marLeft w:val="0"/>
              <w:marRight w:val="0"/>
              <w:marTop w:val="0"/>
              <w:marBottom w:val="0"/>
              <w:divBdr>
                <w:top w:val="none" w:sz="0" w:space="0" w:color="auto"/>
                <w:left w:val="none" w:sz="0" w:space="0" w:color="auto"/>
                <w:bottom w:val="none" w:sz="0" w:space="0" w:color="auto"/>
                <w:right w:val="none" w:sz="0" w:space="0" w:color="auto"/>
              </w:divBdr>
              <w:divsChild>
                <w:div w:id="1539663090">
                  <w:marLeft w:val="-150"/>
                  <w:marRight w:val="-150"/>
                  <w:marTop w:val="0"/>
                  <w:marBottom w:val="0"/>
                  <w:divBdr>
                    <w:top w:val="none" w:sz="0" w:space="0" w:color="auto"/>
                    <w:left w:val="none" w:sz="0" w:space="0" w:color="auto"/>
                    <w:bottom w:val="none" w:sz="0" w:space="0" w:color="auto"/>
                    <w:right w:val="none" w:sz="0" w:space="0" w:color="auto"/>
                  </w:divBdr>
                  <w:divsChild>
                    <w:div w:id="447436665">
                      <w:marLeft w:val="0"/>
                      <w:marRight w:val="0"/>
                      <w:marTop w:val="0"/>
                      <w:marBottom w:val="0"/>
                      <w:divBdr>
                        <w:top w:val="none" w:sz="0" w:space="0" w:color="auto"/>
                        <w:left w:val="none" w:sz="0" w:space="0" w:color="auto"/>
                        <w:bottom w:val="none" w:sz="0" w:space="0" w:color="auto"/>
                        <w:right w:val="none" w:sz="0" w:space="0" w:color="auto"/>
                      </w:divBdr>
                      <w:divsChild>
                        <w:div w:id="963191321">
                          <w:marLeft w:val="0"/>
                          <w:marRight w:val="0"/>
                          <w:marTop w:val="0"/>
                          <w:marBottom w:val="0"/>
                          <w:divBdr>
                            <w:top w:val="none" w:sz="0" w:space="0" w:color="auto"/>
                            <w:left w:val="none" w:sz="0" w:space="0" w:color="auto"/>
                            <w:bottom w:val="none" w:sz="0" w:space="0" w:color="auto"/>
                            <w:right w:val="none" w:sz="0" w:space="0" w:color="auto"/>
                          </w:divBdr>
                          <w:divsChild>
                            <w:div w:id="16091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08730">
      <w:bodyDiv w:val="1"/>
      <w:marLeft w:val="390"/>
      <w:marRight w:val="390"/>
      <w:marTop w:val="0"/>
      <w:marBottom w:val="0"/>
      <w:divBdr>
        <w:top w:val="none" w:sz="0" w:space="0" w:color="auto"/>
        <w:left w:val="none" w:sz="0" w:space="0" w:color="auto"/>
        <w:bottom w:val="none" w:sz="0" w:space="0" w:color="auto"/>
        <w:right w:val="none" w:sz="0" w:space="0" w:color="auto"/>
      </w:divBdr>
      <w:divsChild>
        <w:div w:id="811799053">
          <w:marLeft w:val="0"/>
          <w:marRight w:val="0"/>
          <w:marTop w:val="0"/>
          <w:marBottom w:val="0"/>
          <w:divBdr>
            <w:top w:val="none" w:sz="0" w:space="0" w:color="auto"/>
            <w:left w:val="none" w:sz="0" w:space="0" w:color="auto"/>
            <w:bottom w:val="none" w:sz="0" w:space="0" w:color="auto"/>
            <w:right w:val="none" w:sz="0" w:space="0" w:color="auto"/>
          </w:divBdr>
          <w:divsChild>
            <w:div w:id="1166937410">
              <w:marLeft w:val="0"/>
              <w:marRight w:val="0"/>
              <w:marTop w:val="0"/>
              <w:marBottom w:val="0"/>
              <w:divBdr>
                <w:top w:val="none" w:sz="0" w:space="0" w:color="auto"/>
                <w:left w:val="none" w:sz="0" w:space="0" w:color="auto"/>
                <w:bottom w:val="none" w:sz="0" w:space="0" w:color="auto"/>
                <w:right w:val="none" w:sz="0" w:space="0" w:color="auto"/>
              </w:divBdr>
              <w:divsChild>
                <w:div w:id="1784497716">
                  <w:marLeft w:val="-150"/>
                  <w:marRight w:val="-150"/>
                  <w:marTop w:val="0"/>
                  <w:marBottom w:val="0"/>
                  <w:divBdr>
                    <w:top w:val="none" w:sz="0" w:space="0" w:color="auto"/>
                    <w:left w:val="none" w:sz="0" w:space="0" w:color="auto"/>
                    <w:bottom w:val="none" w:sz="0" w:space="0" w:color="auto"/>
                    <w:right w:val="none" w:sz="0" w:space="0" w:color="auto"/>
                  </w:divBdr>
                  <w:divsChild>
                    <w:div w:id="498732903">
                      <w:marLeft w:val="0"/>
                      <w:marRight w:val="0"/>
                      <w:marTop w:val="0"/>
                      <w:marBottom w:val="0"/>
                      <w:divBdr>
                        <w:top w:val="none" w:sz="0" w:space="0" w:color="auto"/>
                        <w:left w:val="none" w:sz="0" w:space="0" w:color="auto"/>
                        <w:bottom w:val="none" w:sz="0" w:space="0" w:color="auto"/>
                        <w:right w:val="none" w:sz="0" w:space="0" w:color="auto"/>
                      </w:divBdr>
                      <w:divsChild>
                        <w:div w:id="1905329386">
                          <w:marLeft w:val="0"/>
                          <w:marRight w:val="0"/>
                          <w:marTop w:val="0"/>
                          <w:marBottom w:val="0"/>
                          <w:divBdr>
                            <w:top w:val="none" w:sz="0" w:space="0" w:color="auto"/>
                            <w:left w:val="none" w:sz="0" w:space="0" w:color="auto"/>
                            <w:bottom w:val="none" w:sz="0" w:space="0" w:color="auto"/>
                            <w:right w:val="none" w:sz="0" w:space="0" w:color="auto"/>
                          </w:divBdr>
                          <w:divsChild>
                            <w:div w:id="13964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924974">
      <w:bodyDiv w:val="1"/>
      <w:marLeft w:val="390"/>
      <w:marRight w:val="390"/>
      <w:marTop w:val="0"/>
      <w:marBottom w:val="0"/>
      <w:divBdr>
        <w:top w:val="none" w:sz="0" w:space="0" w:color="auto"/>
        <w:left w:val="none" w:sz="0" w:space="0" w:color="auto"/>
        <w:bottom w:val="none" w:sz="0" w:space="0" w:color="auto"/>
        <w:right w:val="none" w:sz="0" w:space="0" w:color="auto"/>
      </w:divBdr>
      <w:divsChild>
        <w:div w:id="190798681">
          <w:marLeft w:val="0"/>
          <w:marRight w:val="0"/>
          <w:marTop w:val="0"/>
          <w:marBottom w:val="0"/>
          <w:divBdr>
            <w:top w:val="none" w:sz="0" w:space="0" w:color="auto"/>
            <w:left w:val="none" w:sz="0" w:space="0" w:color="auto"/>
            <w:bottom w:val="none" w:sz="0" w:space="0" w:color="auto"/>
            <w:right w:val="none" w:sz="0" w:space="0" w:color="auto"/>
          </w:divBdr>
          <w:divsChild>
            <w:div w:id="1164394707">
              <w:marLeft w:val="0"/>
              <w:marRight w:val="0"/>
              <w:marTop w:val="0"/>
              <w:marBottom w:val="0"/>
              <w:divBdr>
                <w:top w:val="none" w:sz="0" w:space="0" w:color="auto"/>
                <w:left w:val="none" w:sz="0" w:space="0" w:color="auto"/>
                <w:bottom w:val="none" w:sz="0" w:space="0" w:color="auto"/>
                <w:right w:val="none" w:sz="0" w:space="0" w:color="auto"/>
              </w:divBdr>
              <w:divsChild>
                <w:div w:id="1705591981">
                  <w:marLeft w:val="-150"/>
                  <w:marRight w:val="-150"/>
                  <w:marTop w:val="0"/>
                  <w:marBottom w:val="0"/>
                  <w:divBdr>
                    <w:top w:val="none" w:sz="0" w:space="0" w:color="auto"/>
                    <w:left w:val="none" w:sz="0" w:space="0" w:color="auto"/>
                    <w:bottom w:val="none" w:sz="0" w:space="0" w:color="auto"/>
                    <w:right w:val="none" w:sz="0" w:space="0" w:color="auto"/>
                  </w:divBdr>
                  <w:divsChild>
                    <w:div w:id="1573662913">
                      <w:marLeft w:val="0"/>
                      <w:marRight w:val="0"/>
                      <w:marTop w:val="0"/>
                      <w:marBottom w:val="0"/>
                      <w:divBdr>
                        <w:top w:val="none" w:sz="0" w:space="0" w:color="auto"/>
                        <w:left w:val="none" w:sz="0" w:space="0" w:color="auto"/>
                        <w:bottom w:val="none" w:sz="0" w:space="0" w:color="auto"/>
                        <w:right w:val="none" w:sz="0" w:space="0" w:color="auto"/>
                      </w:divBdr>
                      <w:divsChild>
                        <w:div w:id="1706058965">
                          <w:marLeft w:val="0"/>
                          <w:marRight w:val="0"/>
                          <w:marTop w:val="0"/>
                          <w:marBottom w:val="0"/>
                          <w:divBdr>
                            <w:top w:val="none" w:sz="0" w:space="0" w:color="auto"/>
                            <w:left w:val="none" w:sz="0" w:space="0" w:color="auto"/>
                            <w:bottom w:val="none" w:sz="0" w:space="0" w:color="auto"/>
                            <w:right w:val="none" w:sz="0" w:space="0" w:color="auto"/>
                          </w:divBdr>
                          <w:divsChild>
                            <w:div w:id="359286875">
                              <w:marLeft w:val="0"/>
                              <w:marRight w:val="0"/>
                              <w:marTop w:val="0"/>
                              <w:marBottom w:val="0"/>
                              <w:divBdr>
                                <w:top w:val="none" w:sz="0" w:space="0" w:color="auto"/>
                                <w:left w:val="none" w:sz="0" w:space="0" w:color="auto"/>
                                <w:bottom w:val="none" w:sz="0" w:space="0" w:color="auto"/>
                                <w:right w:val="none" w:sz="0" w:space="0" w:color="auto"/>
                              </w:divBdr>
                              <w:divsChild>
                                <w:div w:id="1172257913">
                                  <w:marLeft w:val="0"/>
                                  <w:marRight w:val="0"/>
                                  <w:marTop w:val="0"/>
                                  <w:marBottom w:val="0"/>
                                  <w:divBdr>
                                    <w:top w:val="none" w:sz="0" w:space="0" w:color="auto"/>
                                    <w:left w:val="none" w:sz="0" w:space="0" w:color="auto"/>
                                    <w:bottom w:val="none" w:sz="0" w:space="0" w:color="auto"/>
                                    <w:right w:val="none" w:sz="0" w:space="0" w:color="auto"/>
                                  </w:divBdr>
                                </w:div>
                                <w:div w:id="272442500">
                                  <w:marLeft w:val="0"/>
                                  <w:marRight w:val="0"/>
                                  <w:marTop w:val="0"/>
                                  <w:marBottom w:val="0"/>
                                  <w:divBdr>
                                    <w:top w:val="none" w:sz="0" w:space="0" w:color="auto"/>
                                    <w:left w:val="none" w:sz="0" w:space="0" w:color="auto"/>
                                    <w:bottom w:val="none" w:sz="0" w:space="0" w:color="auto"/>
                                    <w:right w:val="none" w:sz="0" w:space="0" w:color="auto"/>
                                  </w:divBdr>
                                </w:div>
                                <w:div w:id="2003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069740">
      <w:bodyDiv w:val="1"/>
      <w:marLeft w:val="390"/>
      <w:marRight w:val="390"/>
      <w:marTop w:val="0"/>
      <w:marBottom w:val="0"/>
      <w:divBdr>
        <w:top w:val="none" w:sz="0" w:space="0" w:color="auto"/>
        <w:left w:val="none" w:sz="0" w:space="0" w:color="auto"/>
        <w:bottom w:val="none" w:sz="0" w:space="0" w:color="auto"/>
        <w:right w:val="none" w:sz="0" w:space="0" w:color="auto"/>
      </w:divBdr>
      <w:divsChild>
        <w:div w:id="830487146">
          <w:marLeft w:val="0"/>
          <w:marRight w:val="0"/>
          <w:marTop w:val="0"/>
          <w:marBottom w:val="0"/>
          <w:divBdr>
            <w:top w:val="none" w:sz="0" w:space="0" w:color="auto"/>
            <w:left w:val="none" w:sz="0" w:space="0" w:color="auto"/>
            <w:bottom w:val="none" w:sz="0" w:space="0" w:color="auto"/>
            <w:right w:val="none" w:sz="0" w:space="0" w:color="auto"/>
          </w:divBdr>
          <w:divsChild>
            <w:div w:id="1212111149">
              <w:marLeft w:val="0"/>
              <w:marRight w:val="0"/>
              <w:marTop w:val="0"/>
              <w:marBottom w:val="0"/>
              <w:divBdr>
                <w:top w:val="none" w:sz="0" w:space="0" w:color="auto"/>
                <w:left w:val="none" w:sz="0" w:space="0" w:color="auto"/>
                <w:bottom w:val="none" w:sz="0" w:space="0" w:color="auto"/>
                <w:right w:val="none" w:sz="0" w:space="0" w:color="auto"/>
              </w:divBdr>
              <w:divsChild>
                <w:div w:id="1782337380">
                  <w:marLeft w:val="-150"/>
                  <w:marRight w:val="-150"/>
                  <w:marTop w:val="0"/>
                  <w:marBottom w:val="0"/>
                  <w:divBdr>
                    <w:top w:val="none" w:sz="0" w:space="0" w:color="auto"/>
                    <w:left w:val="none" w:sz="0" w:space="0" w:color="auto"/>
                    <w:bottom w:val="none" w:sz="0" w:space="0" w:color="auto"/>
                    <w:right w:val="none" w:sz="0" w:space="0" w:color="auto"/>
                  </w:divBdr>
                  <w:divsChild>
                    <w:div w:id="910887866">
                      <w:marLeft w:val="0"/>
                      <w:marRight w:val="0"/>
                      <w:marTop w:val="0"/>
                      <w:marBottom w:val="0"/>
                      <w:divBdr>
                        <w:top w:val="none" w:sz="0" w:space="0" w:color="auto"/>
                        <w:left w:val="none" w:sz="0" w:space="0" w:color="auto"/>
                        <w:bottom w:val="none" w:sz="0" w:space="0" w:color="auto"/>
                        <w:right w:val="none" w:sz="0" w:space="0" w:color="auto"/>
                      </w:divBdr>
                      <w:divsChild>
                        <w:div w:id="915625151">
                          <w:marLeft w:val="0"/>
                          <w:marRight w:val="0"/>
                          <w:marTop w:val="0"/>
                          <w:marBottom w:val="0"/>
                          <w:divBdr>
                            <w:top w:val="none" w:sz="0" w:space="0" w:color="auto"/>
                            <w:left w:val="none" w:sz="0" w:space="0" w:color="auto"/>
                            <w:bottom w:val="none" w:sz="0" w:space="0" w:color="auto"/>
                            <w:right w:val="none" w:sz="0" w:space="0" w:color="auto"/>
                          </w:divBdr>
                          <w:divsChild>
                            <w:div w:id="1933512159">
                              <w:marLeft w:val="0"/>
                              <w:marRight w:val="0"/>
                              <w:marTop w:val="0"/>
                              <w:marBottom w:val="0"/>
                              <w:divBdr>
                                <w:top w:val="none" w:sz="0" w:space="0" w:color="auto"/>
                                <w:left w:val="none" w:sz="0" w:space="0" w:color="auto"/>
                                <w:bottom w:val="none" w:sz="0" w:space="0" w:color="auto"/>
                                <w:right w:val="none" w:sz="0" w:space="0" w:color="auto"/>
                              </w:divBdr>
                              <w:divsChild>
                                <w:div w:id="18430081">
                                  <w:marLeft w:val="0"/>
                                  <w:marRight w:val="0"/>
                                  <w:marTop w:val="0"/>
                                  <w:marBottom w:val="0"/>
                                  <w:divBdr>
                                    <w:top w:val="none" w:sz="0" w:space="0" w:color="auto"/>
                                    <w:left w:val="none" w:sz="0" w:space="0" w:color="auto"/>
                                    <w:bottom w:val="none" w:sz="0" w:space="0" w:color="auto"/>
                                    <w:right w:val="none" w:sz="0" w:space="0" w:color="auto"/>
                                  </w:divBdr>
                                </w:div>
                                <w:div w:id="8850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383942">
      <w:bodyDiv w:val="1"/>
      <w:marLeft w:val="390"/>
      <w:marRight w:val="390"/>
      <w:marTop w:val="0"/>
      <w:marBottom w:val="0"/>
      <w:divBdr>
        <w:top w:val="none" w:sz="0" w:space="0" w:color="auto"/>
        <w:left w:val="none" w:sz="0" w:space="0" w:color="auto"/>
        <w:bottom w:val="none" w:sz="0" w:space="0" w:color="auto"/>
        <w:right w:val="none" w:sz="0" w:space="0" w:color="auto"/>
      </w:divBdr>
      <w:divsChild>
        <w:div w:id="512842755">
          <w:marLeft w:val="0"/>
          <w:marRight w:val="0"/>
          <w:marTop w:val="0"/>
          <w:marBottom w:val="0"/>
          <w:divBdr>
            <w:top w:val="none" w:sz="0" w:space="0" w:color="auto"/>
            <w:left w:val="none" w:sz="0" w:space="0" w:color="auto"/>
            <w:bottom w:val="none" w:sz="0" w:space="0" w:color="auto"/>
            <w:right w:val="none" w:sz="0" w:space="0" w:color="auto"/>
          </w:divBdr>
          <w:divsChild>
            <w:div w:id="89738843">
              <w:marLeft w:val="0"/>
              <w:marRight w:val="0"/>
              <w:marTop w:val="0"/>
              <w:marBottom w:val="0"/>
              <w:divBdr>
                <w:top w:val="none" w:sz="0" w:space="0" w:color="auto"/>
                <w:left w:val="none" w:sz="0" w:space="0" w:color="auto"/>
                <w:bottom w:val="none" w:sz="0" w:space="0" w:color="auto"/>
                <w:right w:val="none" w:sz="0" w:space="0" w:color="auto"/>
              </w:divBdr>
              <w:divsChild>
                <w:div w:id="1105805353">
                  <w:marLeft w:val="-150"/>
                  <w:marRight w:val="-150"/>
                  <w:marTop w:val="0"/>
                  <w:marBottom w:val="0"/>
                  <w:divBdr>
                    <w:top w:val="none" w:sz="0" w:space="0" w:color="auto"/>
                    <w:left w:val="none" w:sz="0" w:space="0" w:color="auto"/>
                    <w:bottom w:val="none" w:sz="0" w:space="0" w:color="auto"/>
                    <w:right w:val="none" w:sz="0" w:space="0" w:color="auto"/>
                  </w:divBdr>
                  <w:divsChild>
                    <w:div w:id="2071030032">
                      <w:marLeft w:val="0"/>
                      <w:marRight w:val="0"/>
                      <w:marTop w:val="0"/>
                      <w:marBottom w:val="0"/>
                      <w:divBdr>
                        <w:top w:val="none" w:sz="0" w:space="0" w:color="auto"/>
                        <w:left w:val="none" w:sz="0" w:space="0" w:color="auto"/>
                        <w:bottom w:val="none" w:sz="0" w:space="0" w:color="auto"/>
                        <w:right w:val="none" w:sz="0" w:space="0" w:color="auto"/>
                      </w:divBdr>
                      <w:divsChild>
                        <w:div w:id="19210819">
                          <w:marLeft w:val="0"/>
                          <w:marRight w:val="0"/>
                          <w:marTop w:val="0"/>
                          <w:marBottom w:val="0"/>
                          <w:divBdr>
                            <w:top w:val="none" w:sz="0" w:space="0" w:color="auto"/>
                            <w:left w:val="none" w:sz="0" w:space="0" w:color="auto"/>
                            <w:bottom w:val="none" w:sz="0" w:space="0" w:color="auto"/>
                            <w:right w:val="none" w:sz="0" w:space="0" w:color="auto"/>
                          </w:divBdr>
                          <w:divsChild>
                            <w:div w:id="18034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484728">
      <w:bodyDiv w:val="1"/>
      <w:marLeft w:val="390"/>
      <w:marRight w:val="390"/>
      <w:marTop w:val="0"/>
      <w:marBottom w:val="0"/>
      <w:divBdr>
        <w:top w:val="none" w:sz="0" w:space="0" w:color="auto"/>
        <w:left w:val="none" w:sz="0" w:space="0" w:color="auto"/>
        <w:bottom w:val="none" w:sz="0" w:space="0" w:color="auto"/>
        <w:right w:val="none" w:sz="0" w:space="0" w:color="auto"/>
      </w:divBdr>
      <w:divsChild>
        <w:div w:id="592322816">
          <w:marLeft w:val="0"/>
          <w:marRight w:val="0"/>
          <w:marTop w:val="0"/>
          <w:marBottom w:val="0"/>
          <w:divBdr>
            <w:top w:val="none" w:sz="0" w:space="0" w:color="auto"/>
            <w:left w:val="none" w:sz="0" w:space="0" w:color="auto"/>
            <w:bottom w:val="none" w:sz="0" w:space="0" w:color="auto"/>
            <w:right w:val="none" w:sz="0" w:space="0" w:color="auto"/>
          </w:divBdr>
          <w:divsChild>
            <w:div w:id="129709507">
              <w:marLeft w:val="0"/>
              <w:marRight w:val="0"/>
              <w:marTop w:val="0"/>
              <w:marBottom w:val="0"/>
              <w:divBdr>
                <w:top w:val="none" w:sz="0" w:space="0" w:color="auto"/>
                <w:left w:val="none" w:sz="0" w:space="0" w:color="auto"/>
                <w:bottom w:val="none" w:sz="0" w:space="0" w:color="auto"/>
                <w:right w:val="none" w:sz="0" w:space="0" w:color="auto"/>
              </w:divBdr>
              <w:divsChild>
                <w:div w:id="1687094499">
                  <w:marLeft w:val="-150"/>
                  <w:marRight w:val="-150"/>
                  <w:marTop w:val="0"/>
                  <w:marBottom w:val="0"/>
                  <w:divBdr>
                    <w:top w:val="none" w:sz="0" w:space="0" w:color="auto"/>
                    <w:left w:val="none" w:sz="0" w:space="0" w:color="auto"/>
                    <w:bottom w:val="none" w:sz="0" w:space="0" w:color="auto"/>
                    <w:right w:val="none" w:sz="0" w:space="0" w:color="auto"/>
                  </w:divBdr>
                  <w:divsChild>
                    <w:div w:id="1972665702">
                      <w:marLeft w:val="0"/>
                      <w:marRight w:val="0"/>
                      <w:marTop w:val="0"/>
                      <w:marBottom w:val="0"/>
                      <w:divBdr>
                        <w:top w:val="none" w:sz="0" w:space="0" w:color="auto"/>
                        <w:left w:val="none" w:sz="0" w:space="0" w:color="auto"/>
                        <w:bottom w:val="none" w:sz="0" w:space="0" w:color="auto"/>
                        <w:right w:val="none" w:sz="0" w:space="0" w:color="auto"/>
                      </w:divBdr>
                      <w:divsChild>
                        <w:div w:id="463239033">
                          <w:marLeft w:val="0"/>
                          <w:marRight w:val="0"/>
                          <w:marTop w:val="0"/>
                          <w:marBottom w:val="0"/>
                          <w:divBdr>
                            <w:top w:val="none" w:sz="0" w:space="0" w:color="auto"/>
                            <w:left w:val="none" w:sz="0" w:space="0" w:color="auto"/>
                            <w:bottom w:val="none" w:sz="0" w:space="0" w:color="auto"/>
                            <w:right w:val="none" w:sz="0" w:space="0" w:color="auto"/>
                          </w:divBdr>
                          <w:divsChild>
                            <w:div w:id="2031442427">
                              <w:marLeft w:val="0"/>
                              <w:marRight w:val="0"/>
                              <w:marTop w:val="0"/>
                              <w:marBottom w:val="0"/>
                              <w:divBdr>
                                <w:top w:val="none" w:sz="0" w:space="0" w:color="auto"/>
                                <w:left w:val="none" w:sz="0" w:space="0" w:color="auto"/>
                                <w:bottom w:val="none" w:sz="0" w:space="0" w:color="auto"/>
                                <w:right w:val="none" w:sz="0" w:space="0" w:color="auto"/>
                              </w:divBdr>
                              <w:divsChild>
                                <w:div w:id="4811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219627">
      <w:bodyDiv w:val="1"/>
      <w:marLeft w:val="390"/>
      <w:marRight w:val="390"/>
      <w:marTop w:val="0"/>
      <w:marBottom w:val="0"/>
      <w:divBdr>
        <w:top w:val="none" w:sz="0" w:space="0" w:color="auto"/>
        <w:left w:val="none" w:sz="0" w:space="0" w:color="auto"/>
        <w:bottom w:val="none" w:sz="0" w:space="0" w:color="auto"/>
        <w:right w:val="none" w:sz="0" w:space="0" w:color="auto"/>
      </w:divBdr>
      <w:divsChild>
        <w:div w:id="2050260531">
          <w:marLeft w:val="0"/>
          <w:marRight w:val="0"/>
          <w:marTop w:val="0"/>
          <w:marBottom w:val="0"/>
          <w:divBdr>
            <w:top w:val="none" w:sz="0" w:space="0" w:color="auto"/>
            <w:left w:val="none" w:sz="0" w:space="0" w:color="auto"/>
            <w:bottom w:val="none" w:sz="0" w:space="0" w:color="auto"/>
            <w:right w:val="none" w:sz="0" w:space="0" w:color="auto"/>
          </w:divBdr>
          <w:divsChild>
            <w:div w:id="1969357394">
              <w:marLeft w:val="0"/>
              <w:marRight w:val="0"/>
              <w:marTop w:val="0"/>
              <w:marBottom w:val="0"/>
              <w:divBdr>
                <w:top w:val="none" w:sz="0" w:space="0" w:color="auto"/>
                <w:left w:val="none" w:sz="0" w:space="0" w:color="auto"/>
                <w:bottom w:val="none" w:sz="0" w:space="0" w:color="auto"/>
                <w:right w:val="none" w:sz="0" w:space="0" w:color="auto"/>
              </w:divBdr>
              <w:divsChild>
                <w:div w:id="1134368766">
                  <w:marLeft w:val="-150"/>
                  <w:marRight w:val="-150"/>
                  <w:marTop w:val="0"/>
                  <w:marBottom w:val="0"/>
                  <w:divBdr>
                    <w:top w:val="none" w:sz="0" w:space="0" w:color="auto"/>
                    <w:left w:val="none" w:sz="0" w:space="0" w:color="auto"/>
                    <w:bottom w:val="none" w:sz="0" w:space="0" w:color="auto"/>
                    <w:right w:val="none" w:sz="0" w:space="0" w:color="auto"/>
                  </w:divBdr>
                  <w:divsChild>
                    <w:div w:id="1626426452">
                      <w:marLeft w:val="0"/>
                      <w:marRight w:val="0"/>
                      <w:marTop w:val="0"/>
                      <w:marBottom w:val="0"/>
                      <w:divBdr>
                        <w:top w:val="none" w:sz="0" w:space="0" w:color="auto"/>
                        <w:left w:val="none" w:sz="0" w:space="0" w:color="auto"/>
                        <w:bottom w:val="none" w:sz="0" w:space="0" w:color="auto"/>
                        <w:right w:val="none" w:sz="0" w:space="0" w:color="auto"/>
                      </w:divBdr>
                      <w:divsChild>
                        <w:div w:id="1986662393">
                          <w:marLeft w:val="0"/>
                          <w:marRight w:val="0"/>
                          <w:marTop w:val="0"/>
                          <w:marBottom w:val="0"/>
                          <w:divBdr>
                            <w:top w:val="none" w:sz="0" w:space="0" w:color="auto"/>
                            <w:left w:val="none" w:sz="0" w:space="0" w:color="auto"/>
                            <w:bottom w:val="none" w:sz="0" w:space="0" w:color="auto"/>
                            <w:right w:val="none" w:sz="0" w:space="0" w:color="auto"/>
                          </w:divBdr>
                          <w:divsChild>
                            <w:div w:id="29964885">
                              <w:marLeft w:val="0"/>
                              <w:marRight w:val="0"/>
                              <w:marTop w:val="0"/>
                              <w:marBottom w:val="0"/>
                              <w:divBdr>
                                <w:top w:val="none" w:sz="0" w:space="0" w:color="auto"/>
                                <w:left w:val="none" w:sz="0" w:space="0" w:color="auto"/>
                                <w:bottom w:val="none" w:sz="0" w:space="0" w:color="auto"/>
                                <w:right w:val="none" w:sz="0" w:space="0" w:color="auto"/>
                              </w:divBdr>
                              <w:divsChild>
                                <w:div w:id="336883672">
                                  <w:marLeft w:val="0"/>
                                  <w:marRight w:val="0"/>
                                  <w:marTop w:val="0"/>
                                  <w:marBottom w:val="0"/>
                                  <w:divBdr>
                                    <w:top w:val="none" w:sz="0" w:space="0" w:color="auto"/>
                                    <w:left w:val="none" w:sz="0" w:space="0" w:color="auto"/>
                                    <w:bottom w:val="none" w:sz="0" w:space="0" w:color="auto"/>
                                    <w:right w:val="none" w:sz="0" w:space="0" w:color="auto"/>
                                  </w:divBdr>
                                </w:div>
                                <w:div w:id="14514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573137">
      <w:bodyDiv w:val="1"/>
      <w:marLeft w:val="390"/>
      <w:marRight w:val="390"/>
      <w:marTop w:val="0"/>
      <w:marBottom w:val="0"/>
      <w:divBdr>
        <w:top w:val="none" w:sz="0" w:space="0" w:color="auto"/>
        <w:left w:val="none" w:sz="0" w:space="0" w:color="auto"/>
        <w:bottom w:val="none" w:sz="0" w:space="0" w:color="auto"/>
        <w:right w:val="none" w:sz="0" w:space="0" w:color="auto"/>
      </w:divBdr>
      <w:divsChild>
        <w:div w:id="842663246">
          <w:marLeft w:val="0"/>
          <w:marRight w:val="0"/>
          <w:marTop w:val="0"/>
          <w:marBottom w:val="0"/>
          <w:divBdr>
            <w:top w:val="none" w:sz="0" w:space="0" w:color="auto"/>
            <w:left w:val="none" w:sz="0" w:space="0" w:color="auto"/>
            <w:bottom w:val="none" w:sz="0" w:space="0" w:color="auto"/>
            <w:right w:val="none" w:sz="0" w:space="0" w:color="auto"/>
          </w:divBdr>
          <w:divsChild>
            <w:div w:id="674193306">
              <w:marLeft w:val="0"/>
              <w:marRight w:val="0"/>
              <w:marTop w:val="0"/>
              <w:marBottom w:val="0"/>
              <w:divBdr>
                <w:top w:val="none" w:sz="0" w:space="0" w:color="auto"/>
                <w:left w:val="none" w:sz="0" w:space="0" w:color="auto"/>
                <w:bottom w:val="none" w:sz="0" w:space="0" w:color="auto"/>
                <w:right w:val="none" w:sz="0" w:space="0" w:color="auto"/>
              </w:divBdr>
              <w:divsChild>
                <w:div w:id="1585215591">
                  <w:marLeft w:val="-150"/>
                  <w:marRight w:val="-150"/>
                  <w:marTop w:val="0"/>
                  <w:marBottom w:val="0"/>
                  <w:divBdr>
                    <w:top w:val="none" w:sz="0" w:space="0" w:color="auto"/>
                    <w:left w:val="none" w:sz="0" w:space="0" w:color="auto"/>
                    <w:bottom w:val="none" w:sz="0" w:space="0" w:color="auto"/>
                    <w:right w:val="none" w:sz="0" w:space="0" w:color="auto"/>
                  </w:divBdr>
                  <w:divsChild>
                    <w:div w:id="608701510">
                      <w:marLeft w:val="0"/>
                      <w:marRight w:val="0"/>
                      <w:marTop w:val="0"/>
                      <w:marBottom w:val="0"/>
                      <w:divBdr>
                        <w:top w:val="none" w:sz="0" w:space="0" w:color="auto"/>
                        <w:left w:val="none" w:sz="0" w:space="0" w:color="auto"/>
                        <w:bottom w:val="none" w:sz="0" w:space="0" w:color="auto"/>
                        <w:right w:val="none" w:sz="0" w:space="0" w:color="auto"/>
                      </w:divBdr>
                      <w:divsChild>
                        <w:div w:id="403257175">
                          <w:marLeft w:val="0"/>
                          <w:marRight w:val="0"/>
                          <w:marTop w:val="0"/>
                          <w:marBottom w:val="0"/>
                          <w:divBdr>
                            <w:top w:val="none" w:sz="0" w:space="0" w:color="auto"/>
                            <w:left w:val="none" w:sz="0" w:space="0" w:color="auto"/>
                            <w:bottom w:val="none" w:sz="0" w:space="0" w:color="auto"/>
                            <w:right w:val="none" w:sz="0" w:space="0" w:color="auto"/>
                          </w:divBdr>
                          <w:divsChild>
                            <w:div w:id="32661775">
                              <w:marLeft w:val="0"/>
                              <w:marRight w:val="0"/>
                              <w:marTop w:val="0"/>
                              <w:marBottom w:val="0"/>
                              <w:divBdr>
                                <w:top w:val="none" w:sz="0" w:space="0" w:color="auto"/>
                                <w:left w:val="none" w:sz="0" w:space="0" w:color="auto"/>
                                <w:bottom w:val="none" w:sz="0" w:space="0" w:color="auto"/>
                                <w:right w:val="none" w:sz="0" w:space="0" w:color="auto"/>
                              </w:divBdr>
                              <w:divsChild>
                                <w:div w:id="941425337">
                                  <w:marLeft w:val="0"/>
                                  <w:marRight w:val="0"/>
                                  <w:marTop w:val="0"/>
                                  <w:marBottom w:val="0"/>
                                  <w:divBdr>
                                    <w:top w:val="none" w:sz="0" w:space="0" w:color="auto"/>
                                    <w:left w:val="none" w:sz="0" w:space="0" w:color="auto"/>
                                    <w:bottom w:val="none" w:sz="0" w:space="0" w:color="auto"/>
                                    <w:right w:val="none" w:sz="0" w:space="0" w:color="auto"/>
                                  </w:divBdr>
                                </w:div>
                                <w:div w:id="1836844061">
                                  <w:marLeft w:val="0"/>
                                  <w:marRight w:val="0"/>
                                  <w:marTop w:val="0"/>
                                  <w:marBottom w:val="0"/>
                                  <w:divBdr>
                                    <w:top w:val="none" w:sz="0" w:space="0" w:color="auto"/>
                                    <w:left w:val="none" w:sz="0" w:space="0" w:color="auto"/>
                                    <w:bottom w:val="none" w:sz="0" w:space="0" w:color="auto"/>
                                    <w:right w:val="none" w:sz="0" w:space="0" w:color="auto"/>
                                  </w:divBdr>
                                </w:div>
                                <w:div w:id="874535913">
                                  <w:marLeft w:val="0"/>
                                  <w:marRight w:val="0"/>
                                  <w:marTop w:val="0"/>
                                  <w:marBottom w:val="0"/>
                                  <w:divBdr>
                                    <w:top w:val="none" w:sz="0" w:space="0" w:color="auto"/>
                                    <w:left w:val="none" w:sz="0" w:space="0" w:color="auto"/>
                                    <w:bottom w:val="none" w:sz="0" w:space="0" w:color="auto"/>
                                    <w:right w:val="none" w:sz="0" w:space="0" w:color="auto"/>
                                  </w:divBdr>
                                </w:div>
                                <w:div w:id="1697728601">
                                  <w:marLeft w:val="0"/>
                                  <w:marRight w:val="0"/>
                                  <w:marTop w:val="0"/>
                                  <w:marBottom w:val="0"/>
                                  <w:divBdr>
                                    <w:top w:val="none" w:sz="0" w:space="0" w:color="auto"/>
                                    <w:left w:val="none" w:sz="0" w:space="0" w:color="auto"/>
                                    <w:bottom w:val="none" w:sz="0" w:space="0" w:color="auto"/>
                                    <w:right w:val="none" w:sz="0" w:space="0" w:color="auto"/>
                                  </w:divBdr>
                                </w:div>
                                <w:div w:id="505249048">
                                  <w:marLeft w:val="0"/>
                                  <w:marRight w:val="0"/>
                                  <w:marTop w:val="0"/>
                                  <w:marBottom w:val="0"/>
                                  <w:divBdr>
                                    <w:top w:val="none" w:sz="0" w:space="0" w:color="auto"/>
                                    <w:left w:val="none" w:sz="0" w:space="0" w:color="auto"/>
                                    <w:bottom w:val="none" w:sz="0" w:space="0" w:color="auto"/>
                                    <w:right w:val="none" w:sz="0" w:space="0" w:color="auto"/>
                                  </w:divBdr>
                                </w:div>
                                <w:div w:id="1100446660">
                                  <w:marLeft w:val="0"/>
                                  <w:marRight w:val="0"/>
                                  <w:marTop w:val="0"/>
                                  <w:marBottom w:val="0"/>
                                  <w:divBdr>
                                    <w:top w:val="none" w:sz="0" w:space="0" w:color="auto"/>
                                    <w:left w:val="none" w:sz="0" w:space="0" w:color="auto"/>
                                    <w:bottom w:val="none" w:sz="0" w:space="0" w:color="auto"/>
                                    <w:right w:val="none" w:sz="0" w:space="0" w:color="auto"/>
                                  </w:divBdr>
                                </w:div>
                                <w:div w:id="209730331">
                                  <w:marLeft w:val="0"/>
                                  <w:marRight w:val="0"/>
                                  <w:marTop w:val="0"/>
                                  <w:marBottom w:val="0"/>
                                  <w:divBdr>
                                    <w:top w:val="none" w:sz="0" w:space="0" w:color="auto"/>
                                    <w:left w:val="none" w:sz="0" w:space="0" w:color="auto"/>
                                    <w:bottom w:val="none" w:sz="0" w:space="0" w:color="auto"/>
                                    <w:right w:val="none" w:sz="0" w:space="0" w:color="auto"/>
                                  </w:divBdr>
                                </w:div>
                                <w:div w:id="1888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86477">
      <w:bodyDiv w:val="1"/>
      <w:marLeft w:val="390"/>
      <w:marRight w:val="390"/>
      <w:marTop w:val="0"/>
      <w:marBottom w:val="0"/>
      <w:divBdr>
        <w:top w:val="none" w:sz="0" w:space="0" w:color="auto"/>
        <w:left w:val="none" w:sz="0" w:space="0" w:color="auto"/>
        <w:bottom w:val="none" w:sz="0" w:space="0" w:color="auto"/>
        <w:right w:val="none" w:sz="0" w:space="0" w:color="auto"/>
      </w:divBdr>
      <w:divsChild>
        <w:div w:id="645858505">
          <w:marLeft w:val="0"/>
          <w:marRight w:val="0"/>
          <w:marTop w:val="0"/>
          <w:marBottom w:val="0"/>
          <w:divBdr>
            <w:top w:val="none" w:sz="0" w:space="0" w:color="auto"/>
            <w:left w:val="none" w:sz="0" w:space="0" w:color="auto"/>
            <w:bottom w:val="none" w:sz="0" w:space="0" w:color="auto"/>
            <w:right w:val="none" w:sz="0" w:space="0" w:color="auto"/>
          </w:divBdr>
          <w:divsChild>
            <w:div w:id="627666746">
              <w:marLeft w:val="0"/>
              <w:marRight w:val="0"/>
              <w:marTop w:val="0"/>
              <w:marBottom w:val="0"/>
              <w:divBdr>
                <w:top w:val="none" w:sz="0" w:space="0" w:color="auto"/>
                <w:left w:val="none" w:sz="0" w:space="0" w:color="auto"/>
                <w:bottom w:val="none" w:sz="0" w:space="0" w:color="auto"/>
                <w:right w:val="none" w:sz="0" w:space="0" w:color="auto"/>
              </w:divBdr>
              <w:divsChild>
                <w:div w:id="872423017">
                  <w:marLeft w:val="-150"/>
                  <w:marRight w:val="-150"/>
                  <w:marTop w:val="0"/>
                  <w:marBottom w:val="0"/>
                  <w:divBdr>
                    <w:top w:val="none" w:sz="0" w:space="0" w:color="auto"/>
                    <w:left w:val="none" w:sz="0" w:space="0" w:color="auto"/>
                    <w:bottom w:val="none" w:sz="0" w:space="0" w:color="auto"/>
                    <w:right w:val="none" w:sz="0" w:space="0" w:color="auto"/>
                  </w:divBdr>
                  <w:divsChild>
                    <w:div w:id="1085496641">
                      <w:marLeft w:val="0"/>
                      <w:marRight w:val="0"/>
                      <w:marTop w:val="0"/>
                      <w:marBottom w:val="0"/>
                      <w:divBdr>
                        <w:top w:val="none" w:sz="0" w:space="0" w:color="auto"/>
                        <w:left w:val="none" w:sz="0" w:space="0" w:color="auto"/>
                        <w:bottom w:val="none" w:sz="0" w:space="0" w:color="auto"/>
                        <w:right w:val="none" w:sz="0" w:space="0" w:color="auto"/>
                      </w:divBdr>
                      <w:divsChild>
                        <w:div w:id="275606023">
                          <w:marLeft w:val="0"/>
                          <w:marRight w:val="0"/>
                          <w:marTop w:val="0"/>
                          <w:marBottom w:val="0"/>
                          <w:divBdr>
                            <w:top w:val="none" w:sz="0" w:space="0" w:color="auto"/>
                            <w:left w:val="none" w:sz="0" w:space="0" w:color="auto"/>
                            <w:bottom w:val="none" w:sz="0" w:space="0" w:color="auto"/>
                            <w:right w:val="none" w:sz="0" w:space="0" w:color="auto"/>
                          </w:divBdr>
                          <w:divsChild>
                            <w:div w:id="1930308318">
                              <w:marLeft w:val="0"/>
                              <w:marRight w:val="0"/>
                              <w:marTop w:val="0"/>
                              <w:marBottom w:val="0"/>
                              <w:divBdr>
                                <w:top w:val="none" w:sz="0" w:space="0" w:color="auto"/>
                                <w:left w:val="none" w:sz="0" w:space="0" w:color="auto"/>
                                <w:bottom w:val="none" w:sz="0" w:space="0" w:color="auto"/>
                                <w:right w:val="none" w:sz="0" w:space="0" w:color="auto"/>
                              </w:divBdr>
                              <w:divsChild>
                                <w:div w:id="2007901476">
                                  <w:marLeft w:val="0"/>
                                  <w:marRight w:val="0"/>
                                  <w:marTop w:val="0"/>
                                  <w:marBottom w:val="0"/>
                                  <w:divBdr>
                                    <w:top w:val="none" w:sz="0" w:space="0" w:color="auto"/>
                                    <w:left w:val="none" w:sz="0" w:space="0" w:color="auto"/>
                                    <w:bottom w:val="none" w:sz="0" w:space="0" w:color="auto"/>
                                    <w:right w:val="none" w:sz="0" w:space="0" w:color="auto"/>
                                  </w:divBdr>
                                  <w:divsChild>
                                    <w:div w:id="47730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689578">
      <w:bodyDiv w:val="1"/>
      <w:marLeft w:val="390"/>
      <w:marRight w:val="390"/>
      <w:marTop w:val="0"/>
      <w:marBottom w:val="0"/>
      <w:divBdr>
        <w:top w:val="none" w:sz="0" w:space="0" w:color="auto"/>
        <w:left w:val="none" w:sz="0" w:space="0" w:color="auto"/>
        <w:bottom w:val="none" w:sz="0" w:space="0" w:color="auto"/>
        <w:right w:val="none" w:sz="0" w:space="0" w:color="auto"/>
      </w:divBdr>
      <w:divsChild>
        <w:div w:id="1245992533">
          <w:marLeft w:val="0"/>
          <w:marRight w:val="0"/>
          <w:marTop w:val="0"/>
          <w:marBottom w:val="0"/>
          <w:divBdr>
            <w:top w:val="none" w:sz="0" w:space="0" w:color="auto"/>
            <w:left w:val="none" w:sz="0" w:space="0" w:color="auto"/>
            <w:bottom w:val="none" w:sz="0" w:space="0" w:color="auto"/>
            <w:right w:val="none" w:sz="0" w:space="0" w:color="auto"/>
          </w:divBdr>
          <w:divsChild>
            <w:div w:id="1709838506">
              <w:marLeft w:val="0"/>
              <w:marRight w:val="0"/>
              <w:marTop w:val="0"/>
              <w:marBottom w:val="0"/>
              <w:divBdr>
                <w:top w:val="none" w:sz="0" w:space="0" w:color="auto"/>
                <w:left w:val="none" w:sz="0" w:space="0" w:color="auto"/>
                <w:bottom w:val="none" w:sz="0" w:space="0" w:color="auto"/>
                <w:right w:val="none" w:sz="0" w:space="0" w:color="auto"/>
              </w:divBdr>
              <w:divsChild>
                <w:div w:id="1559629047">
                  <w:marLeft w:val="-150"/>
                  <w:marRight w:val="-150"/>
                  <w:marTop w:val="0"/>
                  <w:marBottom w:val="0"/>
                  <w:divBdr>
                    <w:top w:val="none" w:sz="0" w:space="0" w:color="auto"/>
                    <w:left w:val="none" w:sz="0" w:space="0" w:color="auto"/>
                    <w:bottom w:val="none" w:sz="0" w:space="0" w:color="auto"/>
                    <w:right w:val="none" w:sz="0" w:space="0" w:color="auto"/>
                  </w:divBdr>
                  <w:divsChild>
                    <w:div w:id="1732994695">
                      <w:marLeft w:val="0"/>
                      <w:marRight w:val="0"/>
                      <w:marTop w:val="0"/>
                      <w:marBottom w:val="0"/>
                      <w:divBdr>
                        <w:top w:val="none" w:sz="0" w:space="0" w:color="auto"/>
                        <w:left w:val="none" w:sz="0" w:space="0" w:color="auto"/>
                        <w:bottom w:val="none" w:sz="0" w:space="0" w:color="auto"/>
                        <w:right w:val="none" w:sz="0" w:space="0" w:color="auto"/>
                      </w:divBdr>
                      <w:divsChild>
                        <w:div w:id="1013453000">
                          <w:marLeft w:val="0"/>
                          <w:marRight w:val="0"/>
                          <w:marTop w:val="0"/>
                          <w:marBottom w:val="0"/>
                          <w:divBdr>
                            <w:top w:val="none" w:sz="0" w:space="0" w:color="auto"/>
                            <w:left w:val="none" w:sz="0" w:space="0" w:color="auto"/>
                            <w:bottom w:val="none" w:sz="0" w:space="0" w:color="auto"/>
                            <w:right w:val="none" w:sz="0" w:space="0" w:color="auto"/>
                          </w:divBdr>
                          <w:divsChild>
                            <w:div w:id="18633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073738">
      <w:bodyDiv w:val="1"/>
      <w:marLeft w:val="390"/>
      <w:marRight w:val="390"/>
      <w:marTop w:val="0"/>
      <w:marBottom w:val="0"/>
      <w:divBdr>
        <w:top w:val="none" w:sz="0" w:space="0" w:color="auto"/>
        <w:left w:val="none" w:sz="0" w:space="0" w:color="auto"/>
        <w:bottom w:val="none" w:sz="0" w:space="0" w:color="auto"/>
        <w:right w:val="none" w:sz="0" w:space="0" w:color="auto"/>
      </w:divBdr>
      <w:divsChild>
        <w:div w:id="458769517">
          <w:marLeft w:val="0"/>
          <w:marRight w:val="0"/>
          <w:marTop w:val="0"/>
          <w:marBottom w:val="0"/>
          <w:divBdr>
            <w:top w:val="none" w:sz="0" w:space="0" w:color="auto"/>
            <w:left w:val="none" w:sz="0" w:space="0" w:color="auto"/>
            <w:bottom w:val="none" w:sz="0" w:space="0" w:color="auto"/>
            <w:right w:val="none" w:sz="0" w:space="0" w:color="auto"/>
          </w:divBdr>
          <w:divsChild>
            <w:div w:id="1439988855">
              <w:marLeft w:val="0"/>
              <w:marRight w:val="0"/>
              <w:marTop w:val="0"/>
              <w:marBottom w:val="0"/>
              <w:divBdr>
                <w:top w:val="none" w:sz="0" w:space="0" w:color="auto"/>
                <w:left w:val="none" w:sz="0" w:space="0" w:color="auto"/>
                <w:bottom w:val="none" w:sz="0" w:space="0" w:color="auto"/>
                <w:right w:val="none" w:sz="0" w:space="0" w:color="auto"/>
              </w:divBdr>
              <w:divsChild>
                <w:div w:id="1325011131">
                  <w:marLeft w:val="-150"/>
                  <w:marRight w:val="-150"/>
                  <w:marTop w:val="0"/>
                  <w:marBottom w:val="0"/>
                  <w:divBdr>
                    <w:top w:val="none" w:sz="0" w:space="0" w:color="auto"/>
                    <w:left w:val="none" w:sz="0" w:space="0" w:color="auto"/>
                    <w:bottom w:val="none" w:sz="0" w:space="0" w:color="auto"/>
                    <w:right w:val="none" w:sz="0" w:space="0" w:color="auto"/>
                  </w:divBdr>
                  <w:divsChild>
                    <w:div w:id="1417021606">
                      <w:marLeft w:val="0"/>
                      <w:marRight w:val="0"/>
                      <w:marTop w:val="0"/>
                      <w:marBottom w:val="0"/>
                      <w:divBdr>
                        <w:top w:val="none" w:sz="0" w:space="0" w:color="auto"/>
                        <w:left w:val="none" w:sz="0" w:space="0" w:color="auto"/>
                        <w:bottom w:val="none" w:sz="0" w:space="0" w:color="auto"/>
                        <w:right w:val="none" w:sz="0" w:space="0" w:color="auto"/>
                      </w:divBdr>
                      <w:divsChild>
                        <w:div w:id="785583067">
                          <w:marLeft w:val="0"/>
                          <w:marRight w:val="0"/>
                          <w:marTop w:val="0"/>
                          <w:marBottom w:val="0"/>
                          <w:divBdr>
                            <w:top w:val="none" w:sz="0" w:space="0" w:color="auto"/>
                            <w:left w:val="none" w:sz="0" w:space="0" w:color="auto"/>
                            <w:bottom w:val="none" w:sz="0" w:space="0" w:color="auto"/>
                            <w:right w:val="none" w:sz="0" w:space="0" w:color="auto"/>
                          </w:divBdr>
                          <w:divsChild>
                            <w:div w:id="1283994195">
                              <w:marLeft w:val="0"/>
                              <w:marRight w:val="0"/>
                              <w:marTop w:val="0"/>
                              <w:marBottom w:val="0"/>
                              <w:divBdr>
                                <w:top w:val="none" w:sz="0" w:space="0" w:color="auto"/>
                                <w:left w:val="none" w:sz="0" w:space="0" w:color="auto"/>
                                <w:bottom w:val="none" w:sz="0" w:space="0" w:color="auto"/>
                                <w:right w:val="none" w:sz="0" w:space="0" w:color="auto"/>
                              </w:divBdr>
                              <w:divsChild>
                                <w:div w:id="2053186655">
                                  <w:marLeft w:val="0"/>
                                  <w:marRight w:val="0"/>
                                  <w:marTop w:val="0"/>
                                  <w:marBottom w:val="0"/>
                                  <w:divBdr>
                                    <w:top w:val="none" w:sz="0" w:space="0" w:color="auto"/>
                                    <w:left w:val="none" w:sz="0" w:space="0" w:color="auto"/>
                                    <w:bottom w:val="none" w:sz="0" w:space="0" w:color="auto"/>
                                    <w:right w:val="none" w:sz="0" w:space="0" w:color="auto"/>
                                  </w:divBdr>
                                </w:div>
                                <w:div w:id="1404835703">
                                  <w:marLeft w:val="0"/>
                                  <w:marRight w:val="0"/>
                                  <w:marTop w:val="0"/>
                                  <w:marBottom w:val="0"/>
                                  <w:divBdr>
                                    <w:top w:val="none" w:sz="0" w:space="0" w:color="auto"/>
                                    <w:left w:val="none" w:sz="0" w:space="0" w:color="auto"/>
                                    <w:bottom w:val="none" w:sz="0" w:space="0" w:color="auto"/>
                                    <w:right w:val="none" w:sz="0" w:space="0" w:color="auto"/>
                                  </w:divBdr>
                                </w:div>
                                <w:div w:id="863639971">
                                  <w:marLeft w:val="0"/>
                                  <w:marRight w:val="0"/>
                                  <w:marTop w:val="0"/>
                                  <w:marBottom w:val="0"/>
                                  <w:divBdr>
                                    <w:top w:val="none" w:sz="0" w:space="0" w:color="auto"/>
                                    <w:left w:val="none" w:sz="0" w:space="0" w:color="auto"/>
                                    <w:bottom w:val="none" w:sz="0" w:space="0" w:color="auto"/>
                                    <w:right w:val="none" w:sz="0" w:space="0" w:color="auto"/>
                                  </w:divBdr>
                                </w:div>
                                <w:div w:id="2124765004">
                                  <w:marLeft w:val="0"/>
                                  <w:marRight w:val="0"/>
                                  <w:marTop w:val="0"/>
                                  <w:marBottom w:val="0"/>
                                  <w:divBdr>
                                    <w:top w:val="none" w:sz="0" w:space="0" w:color="auto"/>
                                    <w:left w:val="none" w:sz="0" w:space="0" w:color="auto"/>
                                    <w:bottom w:val="none" w:sz="0" w:space="0" w:color="auto"/>
                                    <w:right w:val="none" w:sz="0" w:space="0" w:color="auto"/>
                                  </w:divBdr>
                                </w:div>
                                <w:div w:id="5765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666657">
      <w:bodyDiv w:val="1"/>
      <w:marLeft w:val="390"/>
      <w:marRight w:val="390"/>
      <w:marTop w:val="0"/>
      <w:marBottom w:val="0"/>
      <w:divBdr>
        <w:top w:val="none" w:sz="0" w:space="0" w:color="auto"/>
        <w:left w:val="none" w:sz="0" w:space="0" w:color="auto"/>
        <w:bottom w:val="none" w:sz="0" w:space="0" w:color="auto"/>
        <w:right w:val="none" w:sz="0" w:space="0" w:color="auto"/>
      </w:divBdr>
      <w:divsChild>
        <w:div w:id="1930963762">
          <w:marLeft w:val="0"/>
          <w:marRight w:val="0"/>
          <w:marTop w:val="0"/>
          <w:marBottom w:val="0"/>
          <w:divBdr>
            <w:top w:val="none" w:sz="0" w:space="0" w:color="auto"/>
            <w:left w:val="none" w:sz="0" w:space="0" w:color="auto"/>
            <w:bottom w:val="none" w:sz="0" w:space="0" w:color="auto"/>
            <w:right w:val="none" w:sz="0" w:space="0" w:color="auto"/>
          </w:divBdr>
          <w:divsChild>
            <w:div w:id="1355309423">
              <w:marLeft w:val="0"/>
              <w:marRight w:val="0"/>
              <w:marTop w:val="0"/>
              <w:marBottom w:val="0"/>
              <w:divBdr>
                <w:top w:val="none" w:sz="0" w:space="0" w:color="auto"/>
                <w:left w:val="none" w:sz="0" w:space="0" w:color="auto"/>
                <w:bottom w:val="none" w:sz="0" w:space="0" w:color="auto"/>
                <w:right w:val="none" w:sz="0" w:space="0" w:color="auto"/>
              </w:divBdr>
              <w:divsChild>
                <w:div w:id="1355155739">
                  <w:marLeft w:val="-150"/>
                  <w:marRight w:val="-150"/>
                  <w:marTop w:val="0"/>
                  <w:marBottom w:val="0"/>
                  <w:divBdr>
                    <w:top w:val="none" w:sz="0" w:space="0" w:color="auto"/>
                    <w:left w:val="none" w:sz="0" w:space="0" w:color="auto"/>
                    <w:bottom w:val="none" w:sz="0" w:space="0" w:color="auto"/>
                    <w:right w:val="none" w:sz="0" w:space="0" w:color="auto"/>
                  </w:divBdr>
                  <w:divsChild>
                    <w:div w:id="311759688">
                      <w:marLeft w:val="0"/>
                      <w:marRight w:val="0"/>
                      <w:marTop w:val="0"/>
                      <w:marBottom w:val="0"/>
                      <w:divBdr>
                        <w:top w:val="none" w:sz="0" w:space="0" w:color="auto"/>
                        <w:left w:val="none" w:sz="0" w:space="0" w:color="auto"/>
                        <w:bottom w:val="none" w:sz="0" w:space="0" w:color="auto"/>
                        <w:right w:val="none" w:sz="0" w:space="0" w:color="auto"/>
                      </w:divBdr>
                      <w:divsChild>
                        <w:div w:id="1676885844">
                          <w:marLeft w:val="0"/>
                          <w:marRight w:val="0"/>
                          <w:marTop w:val="0"/>
                          <w:marBottom w:val="0"/>
                          <w:divBdr>
                            <w:top w:val="none" w:sz="0" w:space="0" w:color="auto"/>
                            <w:left w:val="none" w:sz="0" w:space="0" w:color="auto"/>
                            <w:bottom w:val="none" w:sz="0" w:space="0" w:color="auto"/>
                            <w:right w:val="none" w:sz="0" w:space="0" w:color="auto"/>
                          </w:divBdr>
                          <w:divsChild>
                            <w:div w:id="13547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00712">
      <w:bodyDiv w:val="1"/>
      <w:marLeft w:val="390"/>
      <w:marRight w:val="390"/>
      <w:marTop w:val="0"/>
      <w:marBottom w:val="0"/>
      <w:divBdr>
        <w:top w:val="none" w:sz="0" w:space="0" w:color="auto"/>
        <w:left w:val="none" w:sz="0" w:space="0" w:color="auto"/>
        <w:bottom w:val="none" w:sz="0" w:space="0" w:color="auto"/>
        <w:right w:val="none" w:sz="0" w:space="0" w:color="auto"/>
      </w:divBdr>
      <w:divsChild>
        <w:div w:id="658463818">
          <w:marLeft w:val="0"/>
          <w:marRight w:val="0"/>
          <w:marTop w:val="0"/>
          <w:marBottom w:val="0"/>
          <w:divBdr>
            <w:top w:val="none" w:sz="0" w:space="0" w:color="auto"/>
            <w:left w:val="none" w:sz="0" w:space="0" w:color="auto"/>
            <w:bottom w:val="none" w:sz="0" w:space="0" w:color="auto"/>
            <w:right w:val="none" w:sz="0" w:space="0" w:color="auto"/>
          </w:divBdr>
          <w:divsChild>
            <w:div w:id="4018169">
              <w:marLeft w:val="0"/>
              <w:marRight w:val="0"/>
              <w:marTop w:val="0"/>
              <w:marBottom w:val="0"/>
              <w:divBdr>
                <w:top w:val="none" w:sz="0" w:space="0" w:color="auto"/>
                <w:left w:val="none" w:sz="0" w:space="0" w:color="auto"/>
                <w:bottom w:val="none" w:sz="0" w:space="0" w:color="auto"/>
                <w:right w:val="none" w:sz="0" w:space="0" w:color="auto"/>
              </w:divBdr>
              <w:divsChild>
                <w:div w:id="1655720561">
                  <w:marLeft w:val="-150"/>
                  <w:marRight w:val="-150"/>
                  <w:marTop w:val="0"/>
                  <w:marBottom w:val="0"/>
                  <w:divBdr>
                    <w:top w:val="none" w:sz="0" w:space="0" w:color="auto"/>
                    <w:left w:val="none" w:sz="0" w:space="0" w:color="auto"/>
                    <w:bottom w:val="none" w:sz="0" w:space="0" w:color="auto"/>
                    <w:right w:val="none" w:sz="0" w:space="0" w:color="auto"/>
                  </w:divBdr>
                  <w:divsChild>
                    <w:div w:id="621230724">
                      <w:marLeft w:val="0"/>
                      <w:marRight w:val="0"/>
                      <w:marTop w:val="0"/>
                      <w:marBottom w:val="0"/>
                      <w:divBdr>
                        <w:top w:val="none" w:sz="0" w:space="0" w:color="auto"/>
                        <w:left w:val="none" w:sz="0" w:space="0" w:color="auto"/>
                        <w:bottom w:val="none" w:sz="0" w:space="0" w:color="auto"/>
                        <w:right w:val="none" w:sz="0" w:space="0" w:color="auto"/>
                      </w:divBdr>
                      <w:divsChild>
                        <w:div w:id="422261534">
                          <w:marLeft w:val="0"/>
                          <w:marRight w:val="0"/>
                          <w:marTop w:val="0"/>
                          <w:marBottom w:val="0"/>
                          <w:divBdr>
                            <w:top w:val="none" w:sz="0" w:space="0" w:color="auto"/>
                            <w:left w:val="none" w:sz="0" w:space="0" w:color="auto"/>
                            <w:bottom w:val="none" w:sz="0" w:space="0" w:color="auto"/>
                            <w:right w:val="none" w:sz="0" w:space="0" w:color="auto"/>
                          </w:divBdr>
                          <w:divsChild>
                            <w:div w:id="16352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809243">
      <w:bodyDiv w:val="1"/>
      <w:marLeft w:val="390"/>
      <w:marRight w:val="390"/>
      <w:marTop w:val="0"/>
      <w:marBottom w:val="0"/>
      <w:divBdr>
        <w:top w:val="none" w:sz="0" w:space="0" w:color="auto"/>
        <w:left w:val="none" w:sz="0" w:space="0" w:color="auto"/>
        <w:bottom w:val="none" w:sz="0" w:space="0" w:color="auto"/>
        <w:right w:val="none" w:sz="0" w:space="0" w:color="auto"/>
      </w:divBdr>
      <w:divsChild>
        <w:div w:id="1517768310">
          <w:marLeft w:val="0"/>
          <w:marRight w:val="0"/>
          <w:marTop w:val="0"/>
          <w:marBottom w:val="0"/>
          <w:divBdr>
            <w:top w:val="none" w:sz="0" w:space="0" w:color="auto"/>
            <w:left w:val="none" w:sz="0" w:space="0" w:color="auto"/>
            <w:bottom w:val="none" w:sz="0" w:space="0" w:color="auto"/>
            <w:right w:val="none" w:sz="0" w:space="0" w:color="auto"/>
          </w:divBdr>
          <w:divsChild>
            <w:div w:id="458032791">
              <w:marLeft w:val="0"/>
              <w:marRight w:val="0"/>
              <w:marTop w:val="0"/>
              <w:marBottom w:val="0"/>
              <w:divBdr>
                <w:top w:val="none" w:sz="0" w:space="0" w:color="auto"/>
                <w:left w:val="none" w:sz="0" w:space="0" w:color="auto"/>
                <w:bottom w:val="none" w:sz="0" w:space="0" w:color="auto"/>
                <w:right w:val="none" w:sz="0" w:space="0" w:color="auto"/>
              </w:divBdr>
              <w:divsChild>
                <w:div w:id="1576434274">
                  <w:marLeft w:val="-150"/>
                  <w:marRight w:val="-150"/>
                  <w:marTop w:val="0"/>
                  <w:marBottom w:val="0"/>
                  <w:divBdr>
                    <w:top w:val="none" w:sz="0" w:space="0" w:color="auto"/>
                    <w:left w:val="none" w:sz="0" w:space="0" w:color="auto"/>
                    <w:bottom w:val="none" w:sz="0" w:space="0" w:color="auto"/>
                    <w:right w:val="none" w:sz="0" w:space="0" w:color="auto"/>
                  </w:divBdr>
                  <w:divsChild>
                    <w:div w:id="1186485940">
                      <w:marLeft w:val="0"/>
                      <w:marRight w:val="0"/>
                      <w:marTop w:val="0"/>
                      <w:marBottom w:val="0"/>
                      <w:divBdr>
                        <w:top w:val="none" w:sz="0" w:space="0" w:color="auto"/>
                        <w:left w:val="none" w:sz="0" w:space="0" w:color="auto"/>
                        <w:bottom w:val="none" w:sz="0" w:space="0" w:color="auto"/>
                        <w:right w:val="none" w:sz="0" w:space="0" w:color="auto"/>
                      </w:divBdr>
                      <w:divsChild>
                        <w:div w:id="87193423">
                          <w:marLeft w:val="0"/>
                          <w:marRight w:val="0"/>
                          <w:marTop w:val="0"/>
                          <w:marBottom w:val="0"/>
                          <w:divBdr>
                            <w:top w:val="none" w:sz="0" w:space="0" w:color="auto"/>
                            <w:left w:val="none" w:sz="0" w:space="0" w:color="auto"/>
                            <w:bottom w:val="none" w:sz="0" w:space="0" w:color="auto"/>
                            <w:right w:val="none" w:sz="0" w:space="0" w:color="auto"/>
                          </w:divBdr>
                          <w:divsChild>
                            <w:div w:id="12746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407218">
      <w:bodyDiv w:val="1"/>
      <w:marLeft w:val="390"/>
      <w:marRight w:val="390"/>
      <w:marTop w:val="0"/>
      <w:marBottom w:val="0"/>
      <w:divBdr>
        <w:top w:val="none" w:sz="0" w:space="0" w:color="auto"/>
        <w:left w:val="none" w:sz="0" w:space="0" w:color="auto"/>
        <w:bottom w:val="none" w:sz="0" w:space="0" w:color="auto"/>
        <w:right w:val="none" w:sz="0" w:space="0" w:color="auto"/>
      </w:divBdr>
      <w:divsChild>
        <w:div w:id="30309526">
          <w:marLeft w:val="0"/>
          <w:marRight w:val="0"/>
          <w:marTop w:val="0"/>
          <w:marBottom w:val="0"/>
          <w:divBdr>
            <w:top w:val="none" w:sz="0" w:space="0" w:color="auto"/>
            <w:left w:val="none" w:sz="0" w:space="0" w:color="auto"/>
            <w:bottom w:val="none" w:sz="0" w:space="0" w:color="auto"/>
            <w:right w:val="none" w:sz="0" w:space="0" w:color="auto"/>
          </w:divBdr>
          <w:divsChild>
            <w:div w:id="640621296">
              <w:marLeft w:val="0"/>
              <w:marRight w:val="0"/>
              <w:marTop w:val="0"/>
              <w:marBottom w:val="0"/>
              <w:divBdr>
                <w:top w:val="none" w:sz="0" w:space="0" w:color="auto"/>
                <w:left w:val="none" w:sz="0" w:space="0" w:color="auto"/>
                <w:bottom w:val="none" w:sz="0" w:space="0" w:color="auto"/>
                <w:right w:val="none" w:sz="0" w:space="0" w:color="auto"/>
              </w:divBdr>
              <w:divsChild>
                <w:div w:id="439683017">
                  <w:marLeft w:val="-150"/>
                  <w:marRight w:val="-150"/>
                  <w:marTop w:val="0"/>
                  <w:marBottom w:val="0"/>
                  <w:divBdr>
                    <w:top w:val="none" w:sz="0" w:space="0" w:color="auto"/>
                    <w:left w:val="none" w:sz="0" w:space="0" w:color="auto"/>
                    <w:bottom w:val="none" w:sz="0" w:space="0" w:color="auto"/>
                    <w:right w:val="none" w:sz="0" w:space="0" w:color="auto"/>
                  </w:divBdr>
                  <w:divsChild>
                    <w:div w:id="1853059194">
                      <w:marLeft w:val="0"/>
                      <w:marRight w:val="0"/>
                      <w:marTop w:val="0"/>
                      <w:marBottom w:val="0"/>
                      <w:divBdr>
                        <w:top w:val="none" w:sz="0" w:space="0" w:color="auto"/>
                        <w:left w:val="none" w:sz="0" w:space="0" w:color="auto"/>
                        <w:bottom w:val="none" w:sz="0" w:space="0" w:color="auto"/>
                        <w:right w:val="none" w:sz="0" w:space="0" w:color="auto"/>
                      </w:divBdr>
                      <w:divsChild>
                        <w:div w:id="1931304739">
                          <w:marLeft w:val="0"/>
                          <w:marRight w:val="0"/>
                          <w:marTop w:val="0"/>
                          <w:marBottom w:val="0"/>
                          <w:divBdr>
                            <w:top w:val="none" w:sz="0" w:space="0" w:color="auto"/>
                            <w:left w:val="none" w:sz="0" w:space="0" w:color="auto"/>
                            <w:bottom w:val="none" w:sz="0" w:space="0" w:color="auto"/>
                            <w:right w:val="none" w:sz="0" w:space="0" w:color="auto"/>
                          </w:divBdr>
                          <w:divsChild>
                            <w:div w:id="9034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23972">
      <w:bodyDiv w:val="1"/>
      <w:marLeft w:val="390"/>
      <w:marRight w:val="390"/>
      <w:marTop w:val="0"/>
      <w:marBottom w:val="0"/>
      <w:divBdr>
        <w:top w:val="none" w:sz="0" w:space="0" w:color="auto"/>
        <w:left w:val="none" w:sz="0" w:space="0" w:color="auto"/>
        <w:bottom w:val="none" w:sz="0" w:space="0" w:color="auto"/>
        <w:right w:val="none" w:sz="0" w:space="0" w:color="auto"/>
      </w:divBdr>
      <w:divsChild>
        <w:div w:id="305473974">
          <w:marLeft w:val="0"/>
          <w:marRight w:val="0"/>
          <w:marTop w:val="0"/>
          <w:marBottom w:val="0"/>
          <w:divBdr>
            <w:top w:val="none" w:sz="0" w:space="0" w:color="auto"/>
            <w:left w:val="none" w:sz="0" w:space="0" w:color="auto"/>
            <w:bottom w:val="none" w:sz="0" w:space="0" w:color="auto"/>
            <w:right w:val="none" w:sz="0" w:space="0" w:color="auto"/>
          </w:divBdr>
          <w:divsChild>
            <w:div w:id="736051168">
              <w:marLeft w:val="0"/>
              <w:marRight w:val="0"/>
              <w:marTop w:val="0"/>
              <w:marBottom w:val="0"/>
              <w:divBdr>
                <w:top w:val="none" w:sz="0" w:space="0" w:color="auto"/>
                <w:left w:val="none" w:sz="0" w:space="0" w:color="auto"/>
                <w:bottom w:val="none" w:sz="0" w:space="0" w:color="auto"/>
                <w:right w:val="none" w:sz="0" w:space="0" w:color="auto"/>
              </w:divBdr>
              <w:divsChild>
                <w:div w:id="908658599">
                  <w:marLeft w:val="-150"/>
                  <w:marRight w:val="-150"/>
                  <w:marTop w:val="0"/>
                  <w:marBottom w:val="0"/>
                  <w:divBdr>
                    <w:top w:val="none" w:sz="0" w:space="0" w:color="auto"/>
                    <w:left w:val="none" w:sz="0" w:space="0" w:color="auto"/>
                    <w:bottom w:val="none" w:sz="0" w:space="0" w:color="auto"/>
                    <w:right w:val="none" w:sz="0" w:space="0" w:color="auto"/>
                  </w:divBdr>
                  <w:divsChild>
                    <w:div w:id="1329018959">
                      <w:marLeft w:val="0"/>
                      <w:marRight w:val="0"/>
                      <w:marTop w:val="0"/>
                      <w:marBottom w:val="0"/>
                      <w:divBdr>
                        <w:top w:val="none" w:sz="0" w:space="0" w:color="auto"/>
                        <w:left w:val="none" w:sz="0" w:space="0" w:color="auto"/>
                        <w:bottom w:val="none" w:sz="0" w:space="0" w:color="auto"/>
                        <w:right w:val="none" w:sz="0" w:space="0" w:color="auto"/>
                      </w:divBdr>
                      <w:divsChild>
                        <w:div w:id="432362781">
                          <w:marLeft w:val="0"/>
                          <w:marRight w:val="0"/>
                          <w:marTop w:val="0"/>
                          <w:marBottom w:val="0"/>
                          <w:divBdr>
                            <w:top w:val="none" w:sz="0" w:space="0" w:color="auto"/>
                            <w:left w:val="none" w:sz="0" w:space="0" w:color="auto"/>
                            <w:bottom w:val="none" w:sz="0" w:space="0" w:color="auto"/>
                            <w:right w:val="none" w:sz="0" w:space="0" w:color="auto"/>
                          </w:divBdr>
                          <w:divsChild>
                            <w:div w:id="20555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952372">
      <w:bodyDiv w:val="1"/>
      <w:marLeft w:val="390"/>
      <w:marRight w:val="390"/>
      <w:marTop w:val="0"/>
      <w:marBottom w:val="0"/>
      <w:divBdr>
        <w:top w:val="none" w:sz="0" w:space="0" w:color="auto"/>
        <w:left w:val="none" w:sz="0" w:space="0" w:color="auto"/>
        <w:bottom w:val="none" w:sz="0" w:space="0" w:color="auto"/>
        <w:right w:val="none" w:sz="0" w:space="0" w:color="auto"/>
      </w:divBdr>
      <w:divsChild>
        <w:div w:id="1421828741">
          <w:marLeft w:val="0"/>
          <w:marRight w:val="0"/>
          <w:marTop w:val="0"/>
          <w:marBottom w:val="0"/>
          <w:divBdr>
            <w:top w:val="none" w:sz="0" w:space="0" w:color="auto"/>
            <w:left w:val="none" w:sz="0" w:space="0" w:color="auto"/>
            <w:bottom w:val="none" w:sz="0" w:space="0" w:color="auto"/>
            <w:right w:val="none" w:sz="0" w:space="0" w:color="auto"/>
          </w:divBdr>
          <w:divsChild>
            <w:div w:id="1249003137">
              <w:marLeft w:val="0"/>
              <w:marRight w:val="0"/>
              <w:marTop w:val="0"/>
              <w:marBottom w:val="0"/>
              <w:divBdr>
                <w:top w:val="none" w:sz="0" w:space="0" w:color="auto"/>
                <w:left w:val="none" w:sz="0" w:space="0" w:color="auto"/>
                <w:bottom w:val="none" w:sz="0" w:space="0" w:color="auto"/>
                <w:right w:val="none" w:sz="0" w:space="0" w:color="auto"/>
              </w:divBdr>
              <w:divsChild>
                <w:div w:id="40981412">
                  <w:marLeft w:val="-150"/>
                  <w:marRight w:val="-150"/>
                  <w:marTop w:val="0"/>
                  <w:marBottom w:val="0"/>
                  <w:divBdr>
                    <w:top w:val="none" w:sz="0" w:space="0" w:color="auto"/>
                    <w:left w:val="none" w:sz="0" w:space="0" w:color="auto"/>
                    <w:bottom w:val="none" w:sz="0" w:space="0" w:color="auto"/>
                    <w:right w:val="none" w:sz="0" w:space="0" w:color="auto"/>
                  </w:divBdr>
                  <w:divsChild>
                    <w:div w:id="60178340">
                      <w:marLeft w:val="0"/>
                      <w:marRight w:val="0"/>
                      <w:marTop w:val="0"/>
                      <w:marBottom w:val="0"/>
                      <w:divBdr>
                        <w:top w:val="none" w:sz="0" w:space="0" w:color="auto"/>
                        <w:left w:val="none" w:sz="0" w:space="0" w:color="auto"/>
                        <w:bottom w:val="none" w:sz="0" w:space="0" w:color="auto"/>
                        <w:right w:val="none" w:sz="0" w:space="0" w:color="auto"/>
                      </w:divBdr>
                      <w:divsChild>
                        <w:div w:id="1153330510">
                          <w:marLeft w:val="0"/>
                          <w:marRight w:val="0"/>
                          <w:marTop w:val="0"/>
                          <w:marBottom w:val="0"/>
                          <w:divBdr>
                            <w:top w:val="none" w:sz="0" w:space="0" w:color="auto"/>
                            <w:left w:val="none" w:sz="0" w:space="0" w:color="auto"/>
                            <w:bottom w:val="none" w:sz="0" w:space="0" w:color="auto"/>
                            <w:right w:val="none" w:sz="0" w:space="0" w:color="auto"/>
                          </w:divBdr>
                          <w:divsChild>
                            <w:div w:id="9736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336279">
      <w:bodyDiv w:val="1"/>
      <w:marLeft w:val="390"/>
      <w:marRight w:val="390"/>
      <w:marTop w:val="0"/>
      <w:marBottom w:val="0"/>
      <w:divBdr>
        <w:top w:val="none" w:sz="0" w:space="0" w:color="auto"/>
        <w:left w:val="none" w:sz="0" w:space="0" w:color="auto"/>
        <w:bottom w:val="none" w:sz="0" w:space="0" w:color="auto"/>
        <w:right w:val="none" w:sz="0" w:space="0" w:color="auto"/>
      </w:divBdr>
      <w:divsChild>
        <w:div w:id="1668944752">
          <w:marLeft w:val="0"/>
          <w:marRight w:val="0"/>
          <w:marTop w:val="0"/>
          <w:marBottom w:val="0"/>
          <w:divBdr>
            <w:top w:val="none" w:sz="0" w:space="0" w:color="auto"/>
            <w:left w:val="none" w:sz="0" w:space="0" w:color="auto"/>
            <w:bottom w:val="none" w:sz="0" w:space="0" w:color="auto"/>
            <w:right w:val="none" w:sz="0" w:space="0" w:color="auto"/>
          </w:divBdr>
          <w:divsChild>
            <w:div w:id="1643850747">
              <w:marLeft w:val="0"/>
              <w:marRight w:val="0"/>
              <w:marTop w:val="0"/>
              <w:marBottom w:val="0"/>
              <w:divBdr>
                <w:top w:val="none" w:sz="0" w:space="0" w:color="auto"/>
                <w:left w:val="none" w:sz="0" w:space="0" w:color="auto"/>
                <w:bottom w:val="none" w:sz="0" w:space="0" w:color="auto"/>
                <w:right w:val="none" w:sz="0" w:space="0" w:color="auto"/>
              </w:divBdr>
              <w:divsChild>
                <w:div w:id="1165559447">
                  <w:marLeft w:val="-150"/>
                  <w:marRight w:val="-150"/>
                  <w:marTop w:val="0"/>
                  <w:marBottom w:val="0"/>
                  <w:divBdr>
                    <w:top w:val="none" w:sz="0" w:space="0" w:color="auto"/>
                    <w:left w:val="none" w:sz="0" w:space="0" w:color="auto"/>
                    <w:bottom w:val="none" w:sz="0" w:space="0" w:color="auto"/>
                    <w:right w:val="none" w:sz="0" w:space="0" w:color="auto"/>
                  </w:divBdr>
                  <w:divsChild>
                    <w:div w:id="1690334291">
                      <w:marLeft w:val="0"/>
                      <w:marRight w:val="0"/>
                      <w:marTop w:val="0"/>
                      <w:marBottom w:val="0"/>
                      <w:divBdr>
                        <w:top w:val="none" w:sz="0" w:space="0" w:color="auto"/>
                        <w:left w:val="none" w:sz="0" w:space="0" w:color="auto"/>
                        <w:bottom w:val="none" w:sz="0" w:space="0" w:color="auto"/>
                        <w:right w:val="none" w:sz="0" w:space="0" w:color="auto"/>
                      </w:divBdr>
                      <w:divsChild>
                        <w:div w:id="1712336351">
                          <w:marLeft w:val="0"/>
                          <w:marRight w:val="0"/>
                          <w:marTop w:val="0"/>
                          <w:marBottom w:val="0"/>
                          <w:divBdr>
                            <w:top w:val="none" w:sz="0" w:space="0" w:color="auto"/>
                            <w:left w:val="none" w:sz="0" w:space="0" w:color="auto"/>
                            <w:bottom w:val="none" w:sz="0" w:space="0" w:color="auto"/>
                            <w:right w:val="none" w:sz="0" w:space="0" w:color="auto"/>
                          </w:divBdr>
                          <w:divsChild>
                            <w:div w:id="362949654">
                              <w:marLeft w:val="0"/>
                              <w:marRight w:val="0"/>
                              <w:marTop w:val="0"/>
                              <w:marBottom w:val="0"/>
                              <w:divBdr>
                                <w:top w:val="none" w:sz="0" w:space="0" w:color="auto"/>
                                <w:left w:val="none" w:sz="0" w:space="0" w:color="auto"/>
                                <w:bottom w:val="none" w:sz="0" w:space="0" w:color="auto"/>
                                <w:right w:val="none" w:sz="0" w:space="0" w:color="auto"/>
                              </w:divBdr>
                              <w:divsChild>
                                <w:div w:id="10038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214333">
      <w:bodyDiv w:val="1"/>
      <w:marLeft w:val="390"/>
      <w:marRight w:val="390"/>
      <w:marTop w:val="0"/>
      <w:marBottom w:val="0"/>
      <w:divBdr>
        <w:top w:val="none" w:sz="0" w:space="0" w:color="auto"/>
        <w:left w:val="none" w:sz="0" w:space="0" w:color="auto"/>
        <w:bottom w:val="none" w:sz="0" w:space="0" w:color="auto"/>
        <w:right w:val="none" w:sz="0" w:space="0" w:color="auto"/>
      </w:divBdr>
      <w:divsChild>
        <w:div w:id="1223246824">
          <w:marLeft w:val="0"/>
          <w:marRight w:val="0"/>
          <w:marTop w:val="0"/>
          <w:marBottom w:val="0"/>
          <w:divBdr>
            <w:top w:val="none" w:sz="0" w:space="0" w:color="auto"/>
            <w:left w:val="none" w:sz="0" w:space="0" w:color="auto"/>
            <w:bottom w:val="none" w:sz="0" w:space="0" w:color="auto"/>
            <w:right w:val="none" w:sz="0" w:space="0" w:color="auto"/>
          </w:divBdr>
          <w:divsChild>
            <w:div w:id="649991058">
              <w:marLeft w:val="0"/>
              <w:marRight w:val="0"/>
              <w:marTop w:val="0"/>
              <w:marBottom w:val="0"/>
              <w:divBdr>
                <w:top w:val="none" w:sz="0" w:space="0" w:color="auto"/>
                <w:left w:val="none" w:sz="0" w:space="0" w:color="auto"/>
                <w:bottom w:val="none" w:sz="0" w:space="0" w:color="auto"/>
                <w:right w:val="none" w:sz="0" w:space="0" w:color="auto"/>
              </w:divBdr>
              <w:divsChild>
                <w:div w:id="84155351">
                  <w:marLeft w:val="-150"/>
                  <w:marRight w:val="-150"/>
                  <w:marTop w:val="0"/>
                  <w:marBottom w:val="0"/>
                  <w:divBdr>
                    <w:top w:val="none" w:sz="0" w:space="0" w:color="auto"/>
                    <w:left w:val="none" w:sz="0" w:space="0" w:color="auto"/>
                    <w:bottom w:val="none" w:sz="0" w:space="0" w:color="auto"/>
                    <w:right w:val="none" w:sz="0" w:space="0" w:color="auto"/>
                  </w:divBdr>
                  <w:divsChild>
                    <w:div w:id="265045077">
                      <w:marLeft w:val="0"/>
                      <w:marRight w:val="0"/>
                      <w:marTop w:val="0"/>
                      <w:marBottom w:val="0"/>
                      <w:divBdr>
                        <w:top w:val="none" w:sz="0" w:space="0" w:color="auto"/>
                        <w:left w:val="none" w:sz="0" w:space="0" w:color="auto"/>
                        <w:bottom w:val="none" w:sz="0" w:space="0" w:color="auto"/>
                        <w:right w:val="none" w:sz="0" w:space="0" w:color="auto"/>
                      </w:divBdr>
                      <w:divsChild>
                        <w:div w:id="1052122184">
                          <w:marLeft w:val="0"/>
                          <w:marRight w:val="0"/>
                          <w:marTop w:val="0"/>
                          <w:marBottom w:val="0"/>
                          <w:divBdr>
                            <w:top w:val="none" w:sz="0" w:space="0" w:color="auto"/>
                            <w:left w:val="none" w:sz="0" w:space="0" w:color="auto"/>
                            <w:bottom w:val="none" w:sz="0" w:space="0" w:color="auto"/>
                            <w:right w:val="none" w:sz="0" w:space="0" w:color="auto"/>
                          </w:divBdr>
                          <w:divsChild>
                            <w:div w:id="1809274010">
                              <w:marLeft w:val="0"/>
                              <w:marRight w:val="0"/>
                              <w:marTop w:val="0"/>
                              <w:marBottom w:val="0"/>
                              <w:divBdr>
                                <w:top w:val="none" w:sz="0" w:space="0" w:color="auto"/>
                                <w:left w:val="none" w:sz="0" w:space="0" w:color="auto"/>
                                <w:bottom w:val="none" w:sz="0" w:space="0" w:color="auto"/>
                                <w:right w:val="none" w:sz="0" w:space="0" w:color="auto"/>
                              </w:divBdr>
                              <w:divsChild>
                                <w:div w:id="739209233">
                                  <w:marLeft w:val="0"/>
                                  <w:marRight w:val="0"/>
                                  <w:marTop w:val="0"/>
                                  <w:marBottom w:val="0"/>
                                  <w:divBdr>
                                    <w:top w:val="none" w:sz="0" w:space="0" w:color="auto"/>
                                    <w:left w:val="none" w:sz="0" w:space="0" w:color="auto"/>
                                    <w:bottom w:val="none" w:sz="0" w:space="0" w:color="auto"/>
                                    <w:right w:val="none" w:sz="0" w:space="0" w:color="auto"/>
                                  </w:divBdr>
                                </w:div>
                                <w:div w:id="1562326953">
                                  <w:marLeft w:val="0"/>
                                  <w:marRight w:val="0"/>
                                  <w:marTop w:val="0"/>
                                  <w:marBottom w:val="0"/>
                                  <w:divBdr>
                                    <w:top w:val="none" w:sz="0" w:space="0" w:color="auto"/>
                                    <w:left w:val="none" w:sz="0" w:space="0" w:color="auto"/>
                                    <w:bottom w:val="none" w:sz="0" w:space="0" w:color="auto"/>
                                    <w:right w:val="none" w:sz="0" w:space="0" w:color="auto"/>
                                  </w:divBdr>
                                </w:div>
                                <w:div w:id="1168445015">
                                  <w:marLeft w:val="0"/>
                                  <w:marRight w:val="0"/>
                                  <w:marTop w:val="0"/>
                                  <w:marBottom w:val="0"/>
                                  <w:divBdr>
                                    <w:top w:val="none" w:sz="0" w:space="0" w:color="auto"/>
                                    <w:left w:val="none" w:sz="0" w:space="0" w:color="auto"/>
                                    <w:bottom w:val="none" w:sz="0" w:space="0" w:color="auto"/>
                                    <w:right w:val="none" w:sz="0" w:space="0" w:color="auto"/>
                                  </w:divBdr>
                                </w:div>
                                <w:div w:id="1004162394">
                                  <w:marLeft w:val="0"/>
                                  <w:marRight w:val="0"/>
                                  <w:marTop w:val="0"/>
                                  <w:marBottom w:val="0"/>
                                  <w:divBdr>
                                    <w:top w:val="none" w:sz="0" w:space="0" w:color="auto"/>
                                    <w:left w:val="none" w:sz="0" w:space="0" w:color="auto"/>
                                    <w:bottom w:val="none" w:sz="0" w:space="0" w:color="auto"/>
                                    <w:right w:val="none" w:sz="0" w:space="0" w:color="auto"/>
                                  </w:divBdr>
                                </w:div>
                                <w:div w:id="5214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779475">
      <w:bodyDiv w:val="1"/>
      <w:marLeft w:val="390"/>
      <w:marRight w:val="390"/>
      <w:marTop w:val="0"/>
      <w:marBottom w:val="0"/>
      <w:divBdr>
        <w:top w:val="none" w:sz="0" w:space="0" w:color="auto"/>
        <w:left w:val="none" w:sz="0" w:space="0" w:color="auto"/>
        <w:bottom w:val="none" w:sz="0" w:space="0" w:color="auto"/>
        <w:right w:val="none" w:sz="0" w:space="0" w:color="auto"/>
      </w:divBdr>
      <w:divsChild>
        <w:div w:id="355666466">
          <w:marLeft w:val="0"/>
          <w:marRight w:val="0"/>
          <w:marTop w:val="0"/>
          <w:marBottom w:val="0"/>
          <w:divBdr>
            <w:top w:val="none" w:sz="0" w:space="0" w:color="auto"/>
            <w:left w:val="none" w:sz="0" w:space="0" w:color="auto"/>
            <w:bottom w:val="none" w:sz="0" w:space="0" w:color="auto"/>
            <w:right w:val="none" w:sz="0" w:space="0" w:color="auto"/>
          </w:divBdr>
          <w:divsChild>
            <w:div w:id="946232657">
              <w:marLeft w:val="0"/>
              <w:marRight w:val="0"/>
              <w:marTop w:val="0"/>
              <w:marBottom w:val="0"/>
              <w:divBdr>
                <w:top w:val="none" w:sz="0" w:space="0" w:color="auto"/>
                <w:left w:val="none" w:sz="0" w:space="0" w:color="auto"/>
                <w:bottom w:val="none" w:sz="0" w:space="0" w:color="auto"/>
                <w:right w:val="none" w:sz="0" w:space="0" w:color="auto"/>
              </w:divBdr>
              <w:divsChild>
                <w:div w:id="1450776806">
                  <w:marLeft w:val="-150"/>
                  <w:marRight w:val="-150"/>
                  <w:marTop w:val="0"/>
                  <w:marBottom w:val="0"/>
                  <w:divBdr>
                    <w:top w:val="none" w:sz="0" w:space="0" w:color="auto"/>
                    <w:left w:val="none" w:sz="0" w:space="0" w:color="auto"/>
                    <w:bottom w:val="none" w:sz="0" w:space="0" w:color="auto"/>
                    <w:right w:val="none" w:sz="0" w:space="0" w:color="auto"/>
                  </w:divBdr>
                  <w:divsChild>
                    <w:div w:id="1360088125">
                      <w:marLeft w:val="0"/>
                      <w:marRight w:val="0"/>
                      <w:marTop w:val="0"/>
                      <w:marBottom w:val="0"/>
                      <w:divBdr>
                        <w:top w:val="none" w:sz="0" w:space="0" w:color="auto"/>
                        <w:left w:val="none" w:sz="0" w:space="0" w:color="auto"/>
                        <w:bottom w:val="none" w:sz="0" w:space="0" w:color="auto"/>
                        <w:right w:val="none" w:sz="0" w:space="0" w:color="auto"/>
                      </w:divBdr>
                      <w:divsChild>
                        <w:div w:id="35393209">
                          <w:marLeft w:val="0"/>
                          <w:marRight w:val="0"/>
                          <w:marTop w:val="0"/>
                          <w:marBottom w:val="0"/>
                          <w:divBdr>
                            <w:top w:val="none" w:sz="0" w:space="0" w:color="auto"/>
                            <w:left w:val="none" w:sz="0" w:space="0" w:color="auto"/>
                            <w:bottom w:val="none" w:sz="0" w:space="0" w:color="auto"/>
                            <w:right w:val="none" w:sz="0" w:space="0" w:color="auto"/>
                          </w:divBdr>
                          <w:divsChild>
                            <w:div w:id="1354307923">
                              <w:marLeft w:val="0"/>
                              <w:marRight w:val="0"/>
                              <w:marTop w:val="0"/>
                              <w:marBottom w:val="0"/>
                              <w:divBdr>
                                <w:top w:val="none" w:sz="0" w:space="0" w:color="auto"/>
                                <w:left w:val="none" w:sz="0" w:space="0" w:color="auto"/>
                                <w:bottom w:val="none" w:sz="0" w:space="0" w:color="auto"/>
                                <w:right w:val="none" w:sz="0" w:space="0" w:color="auto"/>
                              </w:divBdr>
                              <w:divsChild>
                                <w:div w:id="805008501">
                                  <w:marLeft w:val="0"/>
                                  <w:marRight w:val="0"/>
                                  <w:marTop w:val="0"/>
                                  <w:marBottom w:val="0"/>
                                  <w:divBdr>
                                    <w:top w:val="none" w:sz="0" w:space="0" w:color="auto"/>
                                    <w:left w:val="none" w:sz="0" w:space="0" w:color="auto"/>
                                    <w:bottom w:val="none" w:sz="0" w:space="0" w:color="auto"/>
                                    <w:right w:val="none" w:sz="0" w:space="0" w:color="auto"/>
                                  </w:divBdr>
                                </w:div>
                                <w:div w:id="21014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177389">
      <w:bodyDiv w:val="1"/>
      <w:marLeft w:val="390"/>
      <w:marRight w:val="390"/>
      <w:marTop w:val="0"/>
      <w:marBottom w:val="0"/>
      <w:divBdr>
        <w:top w:val="none" w:sz="0" w:space="0" w:color="auto"/>
        <w:left w:val="none" w:sz="0" w:space="0" w:color="auto"/>
        <w:bottom w:val="none" w:sz="0" w:space="0" w:color="auto"/>
        <w:right w:val="none" w:sz="0" w:space="0" w:color="auto"/>
      </w:divBdr>
      <w:divsChild>
        <w:div w:id="240877228">
          <w:marLeft w:val="0"/>
          <w:marRight w:val="0"/>
          <w:marTop w:val="0"/>
          <w:marBottom w:val="0"/>
          <w:divBdr>
            <w:top w:val="none" w:sz="0" w:space="0" w:color="auto"/>
            <w:left w:val="none" w:sz="0" w:space="0" w:color="auto"/>
            <w:bottom w:val="none" w:sz="0" w:space="0" w:color="auto"/>
            <w:right w:val="none" w:sz="0" w:space="0" w:color="auto"/>
          </w:divBdr>
          <w:divsChild>
            <w:div w:id="1284918901">
              <w:marLeft w:val="0"/>
              <w:marRight w:val="0"/>
              <w:marTop w:val="0"/>
              <w:marBottom w:val="0"/>
              <w:divBdr>
                <w:top w:val="none" w:sz="0" w:space="0" w:color="auto"/>
                <w:left w:val="none" w:sz="0" w:space="0" w:color="auto"/>
                <w:bottom w:val="none" w:sz="0" w:space="0" w:color="auto"/>
                <w:right w:val="none" w:sz="0" w:space="0" w:color="auto"/>
              </w:divBdr>
              <w:divsChild>
                <w:div w:id="802191197">
                  <w:marLeft w:val="-150"/>
                  <w:marRight w:val="-150"/>
                  <w:marTop w:val="0"/>
                  <w:marBottom w:val="0"/>
                  <w:divBdr>
                    <w:top w:val="none" w:sz="0" w:space="0" w:color="auto"/>
                    <w:left w:val="none" w:sz="0" w:space="0" w:color="auto"/>
                    <w:bottom w:val="none" w:sz="0" w:space="0" w:color="auto"/>
                    <w:right w:val="none" w:sz="0" w:space="0" w:color="auto"/>
                  </w:divBdr>
                  <w:divsChild>
                    <w:div w:id="2103404446">
                      <w:marLeft w:val="0"/>
                      <w:marRight w:val="0"/>
                      <w:marTop w:val="0"/>
                      <w:marBottom w:val="0"/>
                      <w:divBdr>
                        <w:top w:val="none" w:sz="0" w:space="0" w:color="auto"/>
                        <w:left w:val="none" w:sz="0" w:space="0" w:color="auto"/>
                        <w:bottom w:val="none" w:sz="0" w:space="0" w:color="auto"/>
                        <w:right w:val="none" w:sz="0" w:space="0" w:color="auto"/>
                      </w:divBdr>
                      <w:divsChild>
                        <w:div w:id="499467696">
                          <w:marLeft w:val="0"/>
                          <w:marRight w:val="0"/>
                          <w:marTop w:val="0"/>
                          <w:marBottom w:val="0"/>
                          <w:divBdr>
                            <w:top w:val="none" w:sz="0" w:space="0" w:color="auto"/>
                            <w:left w:val="none" w:sz="0" w:space="0" w:color="auto"/>
                            <w:bottom w:val="none" w:sz="0" w:space="0" w:color="auto"/>
                            <w:right w:val="none" w:sz="0" w:space="0" w:color="auto"/>
                          </w:divBdr>
                          <w:divsChild>
                            <w:div w:id="1189565597">
                              <w:marLeft w:val="0"/>
                              <w:marRight w:val="0"/>
                              <w:marTop w:val="0"/>
                              <w:marBottom w:val="0"/>
                              <w:divBdr>
                                <w:top w:val="none" w:sz="0" w:space="0" w:color="auto"/>
                                <w:left w:val="none" w:sz="0" w:space="0" w:color="auto"/>
                                <w:bottom w:val="none" w:sz="0" w:space="0" w:color="auto"/>
                                <w:right w:val="none" w:sz="0" w:space="0" w:color="auto"/>
                              </w:divBdr>
                              <w:divsChild>
                                <w:div w:id="1571573850">
                                  <w:marLeft w:val="0"/>
                                  <w:marRight w:val="0"/>
                                  <w:marTop w:val="0"/>
                                  <w:marBottom w:val="0"/>
                                  <w:divBdr>
                                    <w:top w:val="none" w:sz="0" w:space="0" w:color="auto"/>
                                    <w:left w:val="none" w:sz="0" w:space="0" w:color="auto"/>
                                    <w:bottom w:val="none" w:sz="0" w:space="0" w:color="auto"/>
                                    <w:right w:val="none" w:sz="0" w:space="0" w:color="auto"/>
                                  </w:divBdr>
                                </w:div>
                                <w:div w:id="1505121620">
                                  <w:marLeft w:val="0"/>
                                  <w:marRight w:val="0"/>
                                  <w:marTop w:val="0"/>
                                  <w:marBottom w:val="0"/>
                                  <w:divBdr>
                                    <w:top w:val="none" w:sz="0" w:space="0" w:color="auto"/>
                                    <w:left w:val="none" w:sz="0" w:space="0" w:color="auto"/>
                                    <w:bottom w:val="none" w:sz="0" w:space="0" w:color="auto"/>
                                    <w:right w:val="none" w:sz="0" w:space="0" w:color="auto"/>
                                  </w:divBdr>
                                </w:div>
                                <w:div w:id="62530062">
                                  <w:marLeft w:val="0"/>
                                  <w:marRight w:val="0"/>
                                  <w:marTop w:val="0"/>
                                  <w:marBottom w:val="0"/>
                                  <w:divBdr>
                                    <w:top w:val="none" w:sz="0" w:space="0" w:color="auto"/>
                                    <w:left w:val="none" w:sz="0" w:space="0" w:color="auto"/>
                                    <w:bottom w:val="none" w:sz="0" w:space="0" w:color="auto"/>
                                    <w:right w:val="none" w:sz="0" w:space="0" w:color="auto"/>
                                  </w:divBdr>
                                </w:div>
                                <w:div w:id="1579435194">
                                  <w:marLeft w:val="0"/>
                                  <w:marRight w:val="0"/>
                                  <w:marTop w:val="0"/>
                                  <w:marBottom w:val="0"/>
                                  <w:divBdr>
                                    <w:top w:val="none" w:sz="0" w:space="0" w:color="auto"/>
                                    <w:left w:val="none" w:sz="0" w:space="0" w:color="auto"/>
                                    <w:bottom w:val="none" w:sz="0" w:space="0" w:color="auto"/>
                                    <w:right w:val="none" w:sz="0" w:space="0" w:color="auto"/>
                                  </w:divBdr>
                                </w:div>
                                <w:div w:id="769549518">
                                  <w:marLeft w:val="0"/>
                                  <w:marRight w:val="0"/>
                                  <w:marTop w:val="0"/>
                                  <w:marBottom w:val="0"/>
                                  <w:divBdr>
                                    <w:top w:val="none" w:sz="0" w:space="0" w:color="auto"/>
                                    <w:left w:val="none" w:sz="0" w:space="0" w:color="auto"/>
                                    <w:bottom w:val="none" w:sz="0" w:space="0" w:color="auto"/>
                                    <w:right w:val="none" w:sz="0" w:space="0" w:color="auto"/>
                                  </w:divBdr>
                                </w:div>
                                <w:div w:id="1527256048">
                                  <w:marLeft w:val="0"/>
                                  <w:marRight w:val="0"/>
                                  <w:marTop w:val="0"/>
                                  <w:marBottom w:val="0"/>
                                  <w:divBdr>
                                    <w:top w:val="none" w:sz="0" w:space="0" w:color="auto"/>
                                    <w:left w:val="none" w:sz="0" w:space="0" w:color="auto"/>
                                    <w:bottom w:val="none" w:sz="0" w:space="0" w:color="auto"/>
                                    <w:right w:val="none" w:sz="0" w:space="0" w:color="auto"/>
                                  </w:divBdr>
                                </w:div>
                                <w:div w:id="1979264937">
                                  <w:marLeft w:val="0"/>
                                  <w:marRight w:val="0"/>
                                  <w:marTop w:val="0"/>
                                  <w:marBottom w:val="0"/>
                                  <w:divBdr>
                                    <w:top w:val="none" w:sz="0" w:space="0" w:color="auto"/>
                                    <w:left w:val="none" w:sz="0" w:space="0" w:color="auto"/>
                                    <w:bottom w:val="none" w:sz="0" w:space="0" w:color="auto"/>
                                    <w:right w:val="none" w:sz="0" w:space="0" w:color="auto"/>
                                  </w:divBdr>
                                </w:div>
                                <w:div w:id="395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700585">
      <w:bodyDiv w:val="1"/>
      <w:marLeft w:val="0"/>
      <w:marRight w:val="0"/>
      <w:marTop w:val="0"/>
      <w:marBottom w:val="0"/>
      <w:divBdr>
        <w:top w:val="none" w:sz="0" w:space="0" w:color="auto"/>
        <w:left w:val="none" w:sz="0" w:space="0" w:color="auto"/>
        <w:bottom w:val="none" w:sz="0" w:space="0" w:color="auto"/>
        <w:right w:val="none" w:sz="0" w:space="0" w:color="auto"/>
      </w:divBdr>
      <w:divsChild>
        <w:div w:id="1228687602">
          <w:marLeft w:val="0"/>
          <w:marRight w:val="0"/>
          <w:marTop w:val="0"/>
          <w:marBottom w:val="0"/>
          <w:divBdr>
            <w:top w:val="none" w:sz="0" w:space="0" w:color="auto"/>
            <w:left w:val="none" w:sz="0" w:space="0" w:color="auto"/>
            <w:bottom w:val="none" w:sz="0" w:space="0" w:color="auto"/>
            <w:right w:val="none" w:sz="0" w:space="0" w:color="auto"/>
          </w:divBdr>
          <w:divsChild>
            <w:div w:id="22095933">
              <w:marLeft w:val="0"/>
              <w:marRight w:val="0"/>
              <w:marTop w:val="0"/>
              <w:marBottom w:val="0"/>
              <w:divBdr>
                <w:top w:val="none" w:sz="0" w:space="0" w:color="auto"/>
                <w:left w:val="none" w:sz="0" w:space="0" w:color="auto"/>
                <w:bottom w:val="none" w:sz="0" w:space="0" w:color="auto"/>
                <w:right w:val="none" w:sz="0" w:space="0" w:color="auto"/>
              </w:divBdr>
              <w:divsChild>
                <w:div w:id="361326309">
                  <w:marLeft w:val="0"/>
                  <w:marRight w:val="0"/>
                  <w:marTop w:val="0"/>
                  <w:marBottom w:val="0"/>
                  <w:divBdr>
                    <w:top w:val="none" w:sz="0" w:space="0" w:color="auto"/>
                    <w:left w:val="none" w:sz="0" w:space="0" w:color="auto"/>
                    <w:bottom w:val="none" w:sz="0" w:space="0" w:color="auto"/>
                    <w:right w:val="none" w:sz="0" w:space="0" w:color="auto"/>
                  </w:divBdr>
                  <w:divsChild>
                    <w:div w:id="1298292958">
                      <w:marLeft w:val="0"/>
                      <w:marRight w:val="0"/>
                      <w:marTop w:val="0"/>
                      <w:marBottom w:val="0"/>
                      <w:divBdr>
                        <w:top w:val="none" w:sz="0" w:space="0" w:color="auto"/>
                        <w:left w:val="none" w:sz="0" w:space="0" w:color="auto"/>
                        <w:bottom w:val="none" w:sz="0" w:space="0" w:color="auto"/>
                        <w:right w:val="none" w:sz="0" w:space="0" w:color="auto"/>
                      </w:divBdr>
                    </w:div>
                    <w:div w:id="13711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9959">
              <w:marLeft w:val="0"/>
              <w:marRight w:val="0"/>
              <w:marTop w:val="0"/>
              <w:marBottom w:val="0"/>
              <w:divBdr>
                <w:top w:val="none" w:sz="0" w:space="0" w:color="auto"/>
                <w:left w:val="none" w:sz="0" w:space="0" w:color="auto"/>
                <w:bottom w:val="none" w:sz="0" w:space="0" w:color="auto"/>
                <w:right w:val="none" w:sz="0" w:space="0" w:color="auto"/>
              </w:divBdr>
              <w:divsChild>
                <w:div w:id="19042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3772">
          <w:marLeft w:val="0"/>
          <w:marRight w:val="0"/>
          <w:marTop w:val="0"/>
          <w:marBottom w:val="0"/>
          <w:divBdr>
            <w:top w:val="none" w:sz="0" w:space="0" w:color="auto"/>
            <w:left w:val="none" w:sz="0" w:space="0" w:color="auto"/>
            <w:bottom w:val="none" w:sz="0" w:space="0" w:color="auto"/>
            <w:right w:val="none" w:sz="0" w:space="0" w:color="auto"/>
          </w:divBdr>
          <w:divsChild>
            <w:div w:id="1903563927">
              <w:marLeft w:val="0"/>
              <w:marRight w:val="0"/>
              <w:marTop w:val="0"/>
              <w:marBottom w:val="0"/>
              <w:divBdr>
                <w:top w:val="none" w:sz="0" w:space="0" w:color="auto"/>
                <w:left w:val="none" w:sz="0" w:space="0" w:color="auto"/>
                <w:bottom w:val="none" w:sz="0" w:space="0" w:color="auto"/>
                <w:right w:val="none" w:sz="0" w:space="0" w:color="auto"/>
              </w:divBdr>
              <w:divsChild>
                <w:div w:id="91514013">
                  <w:marLeft w:val="0"/>
                  <w:marRight w:val="0"/>
                  <w:marTop w:val="0"/>
                  <w:marBottom w:val="0"/>
                  <w:divBdr>
                    <w:top w:val="none" w:sz="0" w:space="0" w:color="auto"/>
                    <w:left w:val="none" w:sz="0" w:space="0" w:color="auto"/>
                    <w:bottom w:val="none" w:sz="0" w:space="0" w:color="auto"/>
                    <w:right w:val="none" w:sz="0" w:space="0" w:color="auto"/>
                  </w:divBdr>
                  <w:divsChild>
                    <w:div w:id="1272008359">
                      <w:marLeft w:val="0"/>
                      <w:marRight w:val="0"/>
                      <w:marTop w:val="0"/>
                      <w:marBottom w:val="0"/>
                      <w:divBdr>
                        <w:top w:val="none" w:sz="0" w:space="0" w:color="auto"/>
                        <w:left w:val="none" w:sz="0" w:space="0" w:color="auto"/>
                        <w:bottom w:val="none" w:sz="0" w:space="0" w:color="auto"/>
                        <w:right w:val="none" w:sz="0" w:space="0" w:color="auto"/>
                      </w:divBdr>
                      <w:divsChild>
                        <w:div w:id="1471946212">
                          <w:marLeft w:val="0"/>
                          <w:marRight w:val="0"/>
                          <w:marTop w:val="0"/>
                          <w:marBottom w:val="0"/>
                          <w:divBdr>
                            <w:top w:val="none" w:sz="0" w:space="0" w:color="auto"/>
                            <w:left w:val="none" w:sz="0" w:space="0" w:color="auto"/>
                            <w:bottom w:val="none" w:sz="0" w:space="0" w:color="auto"/>
                            <w:right w:val="none" w:sz="0" w:space="0" w:color="auto"/>
                          </w:divBdr>
                          <w:divsChild>
                            <w:div w:id="17342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35155">
      <w:bodyDiv w:val="1"/>
      <w:marLeft w:val="390"/>
      <w:marRight w:val="390"/>
      <w:marTop w:val="0"/>
      <w:marBottom w:val="0"/>
      <w:divBdr>
        <w:top w:val="none" w:sz="0" w:space="0" w:color="auto"/>
        <w:left w:val="none" w:sz="0" w:space="0" w:color="auto"/>
        <w:bottom w:val="none" w:sz="0" w:space="0" w:color="auto"/>
        <w:right w:val="none" w:sz="0" w:space="0" w:color="auto"/>
      </w:divBdr>
      <w:divsChild>
        <w:div w:id="78718483">
          <w:marLeft w:val="0"/>
          <w:marRight w:val="0"/>
          <w:marTop w:val="0"/>
          <w:marBottom w:val="0"/>
          <w:divBdr>
            <w:top w:val="none" w:sz="0" w:space="0" w:color="auto"/>
            <w:left w:val="none" w:sz="0" w:space="0" w:color="auto"/>
            <w:bottom w:val="none" w:sz="0" w:space="0" w:color="auto"/>
            <w:right w:val="none" w:sz="0" w:space="0" w:color="auto"/>
          </w:divBdr>
          <w:divsChild>
            <w:div w:id="684743887">
              <w:marLeft w:val="0"/>
              <w:marRight w:val="0"/>
              <w:marTop w:val="0"/>
              <w:marBottom w:val="0"/>
              <w:divBdr>
                <w:top w:val="none" w:sz="0" w:space="0" w:color="auto"/>
                <w:left w:val="none" w:sz="0" w:space="0" w:color="auto"/>
                <w:bottom w:val="none" w:sz="0" w:space="0" w:color="auto"/>
                <w:right w:val="none" w:sz="0" w:space="0" w:color="auto"/>
              </w:divBdr>
              <w:divsChild>
                <w:div w:id="603225868">
                  <w:marLeft w:val="-150"/>
                  <w:marRight w:val="-150"/>
                  <w:marTop w:val="0"/>
                  <w:marBottom w:val="0"/>
                  <w:divBdr>
                    <w:top w:val="none" w:sz="0" w:space="0" w:color="auto"/>
                    <w:left w:val="none" w:sz="0" w:space="0" w:color="auto"/>
                    <w:bottom w:val="none" w:sz="0" w:space="0" w:color="auto"/>
                    <w:right w:val="none" w:sz="0" w:space="0" w:color="auto"/>
                  </w:divBdr>
                  <w:divsChild>
                    <w:div w:id="885680183">
                      <w:marLeft w:val="0"/>
                      <w:marRight w:val="0"/>
                      <w:marTop w:val="0"/>
                      <w:marBottom w:val="0"/>
                      <w:divBdr>
                        <w:top w:val="none" w:sz="0" w:space="0" w:color="auto"/>
                        <w:left w:val="none" w:sz="0" w:space="0" w:color="auto"/>
                        <w:bottom w:val="none" w:sz="0" w:space="0" w:color="auto"/>
                        <w:right w:val="none" w:sz="0" w:space="0" w:color="auto"/>
                      </w:divBdr>
                      <w:divsChild>
                        <w:div w:id="932979159">
                          <w:marLeft w:val="0"/>
                          <w:marRight w:val="0"/>
                          <w:marTop w:val="0"/>
                          <w:marBottom w:val="0"/>
                          <w:divBdr>
                            <w:top w:val="none" w:sz="0" w:space="0" w:color="auto"/>
                            <w:left w:val="none" w:sz="0" w:space="0" w:color="auto"/>
                            <w:bottom w:val="none" w:sz="0" w:space="0" w:color="auto"/>
                            <w:right w:val="none" w:sz="0" w:space="0" w:color="auto"/>
                          </w:divBdr>
                          <w:divsChild>
                            <w:div w:id="1871919713">
                              <w:marLeft w:val="0"/>
                              <w:marRight w:val="0"/>
                              <w:marTop w:val="0"/>
                              <w:marBottom w:val="0"/>
                              <w:divBdr>
                                <w:top w:val="none" w:sz="0" w:space="0" w:color="auto"/>
                                <w:left w:val="none" w:sz="0" w:space="0" w:color="auto"/>
                                <w:bottom w:val="none" w:sz="0" w:space="0" w:color="auto"/>
                                <w:right w:val="none" w:sz="0" w:space="0" w:color="auto"/>
                              </w:divBdr>
                              <w:divsChild>
                                <w:div w:id="1841651532">
                                  <w:marLeft w:val="0"/>
                                  <w:marRight w:val="0"/>
                                  <w:marTop w:val="0"/>
                                  <w:marBottom w:val="0"/>
                                  <w:divBdr>
                                    <w:top w:val="none" w:sz="0" w:space="0" w:color="auto"/>
                                    <w:left w:val="none" w:sz="0" w:space="0" w:color="auto"/>
                                    <w:bottom w:val="none" w:sz="0" w:space="0" w:color="auto"/>
                                    <w:right w:val="none" w:sz="0" w:space="0" w:color="auto"/>
                                  </w:divBdr>
                                </w:div>
                                <w:div w:id="213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461526">
      <w:bodyDiv w:val="1"/>
      <w:marLeft w:val="390"/>
      <w:marRight w:val="390"/>
      <w:marTop w:val="0"/>
      <w:marBottom w:val="0"/>
      <w:divBdr>
        <w:top w:val="none" w:sz="0" w:space="0" w:color="auto"/>
        <w:left w:val="none" w:sz="0" w:space="0" w:color="auto"/>
        <w:bottom w:val="none" w:sz="0" w:space="0" w:color="auto"/>
        <w:right w:val="none" w:sz="0" w:space="0" w:color="auto"/>
      </w:divBdr>
      <w:divsChild>
        <w:div w:id="1694920657">
          <w:marLeft w:val="0"/>
          <w:marRight w:val="0"/>
          <w:marTop w:val="0"/>
          <w:marBottom w:val="0"/>
          <w:divBdr>
            <w:top w:val="none" w:sz="0" w:space="0" w:color="auto"/>
            <w:left w:val="none" w:sz="0" w:space="0" w:color="auto"/>
            <w:bottom w:val="none" w:sz="0" w:space="0" w:color="auto"/>
            <w:right w:val="none" w:sz="0" w:space="0" w:color="auto"/>
          </w:divBdr>
          <w:divsChild>
            <w:div w:id="1640308994">
              <w:marLeft w:val="0"/>
              <w:marRight w:val="0"/>
              <w:marTop w:val="0"/>
              <w:marBottom w:val="0"/>
              <w:divBdr>
                <w:top w:val="none" w:sz="0" w:space="0" w:color="auto"/>
                <w:left w:val="none" w:sz="0" w:space="0" w:color="auto"/>
                <w:bottom w:val="none" w:sz="0" w:space="0" w:color="auto"/>
                <w:right w:val="none" w:sz="0" w:space="0" w:color="auto"/>
              </w:divBdr>
              <w:divsChild>
                <w:div w:id="244848474">
                  <w:marLeft w:val="-150"/>
                  <w:marRight w:val="-150"/>
                  <w:marTop w:val="0"/>
                  <w:marBottom w:val="0"/>
                  <w:divBdr>
                    <w:top w:val="none" w:sz="0" w:space="0" w:color="auto"/>
                    <w:left w:val="none" w:sz="0" w:space="0" w:color="auto"/>
                    <w:bottom w:val="none" w:sz="0" w:space="0" w:color="auto"/>
                    <w:right w:val="none" w:sz="0" w:space="0" w:color="auto"/>
                  </w:divBdr>
                  <w:divsChild>
                    <w:div w:id="2060276178">
                      <w:marLeft w:val="0"/>
                      <w:marRight w:val="0"/>
                      <w:marTop w:val="0"/>
                      <w:marBottom w:val="0"/>
                      <w:divBdr>
                        <w:top w:val="none" w:sz="0" w:space="0" w:color="auto"/>
                        <w:left w:val="none" w:sz="0" w:space="0" w:color="auto"/>
                        <w:bottom w:val="none" w:sz="0" w:space="0" w:color="auto"/>
                        <w:right w:val="none" w:sz="0" w:space="0" w:color="auto"/>
                      </w:divBdr>
                      <w:divsChild>
                        <w:div w:id="2009401655">
                          <w:marLeft w:val="0"/>
                          <w:marRight w:val="0"/>
                          <w:marTop w:val="0"/>
                          <w:marBottom w:val="0"/>
                          <w:divBdr>
                            <w:top w:val="none" w:sz="0" w:space="0" w:color="auto"/>
                            <w:left w:val="none" w:sz="0" w:space="0" w:color="auto"/>
                            <w:bottom w:val="none" w:sz="0" w:space="0" w:color="auto"/>
                            <w:right w:val="none" w:sz="0" w:space="0" w:color="auto"/>
                          </w:divBdr>
                          <w:divsChild>
                            <w:div w:id="921911420">
                              <w:marLeft w:val="0"/>
                              <w:marRight w:val="0"/>
                              <w:marTop w:val="0"/>
                              <w:marBottom w:val="0"/>
                              <w:divBdr>
                                <w:top w:val="none" w:sz="0" w:space="0" w:color="auto"/>
                                <w:left w:val="none" w:sz="0" w:space="0" w:color="auto"/>
                                <w:bottom w:val="none" w:sz="0" w:space="0" w:color="auto"/>
                                <w:right w:val="none" w:sz="0" w:space="0" w:color="auto"/>
                              </w:divBdr>
                              <w:divsChild>
                                <w:div w:id="765004288">
                                  <w:marLeft w:val="0"/>
                                  <w:marRight w:val="0"/>
                                  <w:marTop w:val="0"/>
                                  <w:marBottom w:val="0"/>
                                  <w:divBdr>
                                    <w:top w:val="none" w:sz="0" w:space="0" w:color="auto"/>
                                    <w:left w:val="none" w:sz="0" w:space="0" w:color="auto"/>
                                    <w:bottom w:val="none" w:sz="0" w:space="0" w:color="auto"/>
                                    <w:right w:val="none" w:sz="0" w:space="0" w:color="auto"/>
                                  </w:divBdr>
                                </w:div>
                                <w:div w:id="860437863">
                                  <w:marLeft w:val="0"/>
                                  <w:marRight w:val="0"/>
                                  <w:marTop w:val="0"/>
                                  <w:marBottom w:val="0"/>
                                  <w:divBdr>
                                    <w:top w:val="none" w:sz="0" w:space="0" w:color="auto"/>
                                    <w:left w:val="none" w:sz="0" w:space="0" w:color="auto"/>
                                    <w:bottom w:val="none" w:sz="0" w:space="0" w:color="auto"/>
                                    <w:right w:val="none" w:sz="0" w:space="0" w:color="auto"/>
                                  </w:divBdr>
                                </w:div>
                                <w:div w:id="213854772">
                                  <w:marLeft w:val="0"/>
                                  <w:marRight w:val="0"/>
                                  <w:marTop w:val="0"/>
                                  <w:marBottom w:val="0"/>
                                  <w:divBdr>
                                    <w:top w:val="none" w:sz="0" w:space="0" w:color="auto"/>
                                    <w:left w:val="none" w:sz="0" w:space="0" w:color="auto"/>
                                    <w:bottom w:val="none" w:sz="0" w:space="0" w:color="auto"/>
                                    <w:right w:val="none" w:sz="0" w:space="0" w:color="auto"/>
                                  </w:divBdr>
                                </w:div>
                                <w:div w:id="846142293">
                                  <w:marLeft w:val="0"/>
                                  <w:marRight w:val="0"/>
                                  <w:marTop w:val="0"/>
                                  <w:marBottom w:val="0"/>
                                  <w:divBdr>
                                    <w:top w:val="none" w:sz="0" w:space="0" w:color="auto"/>
                                    <w:left w:val="none" w:sz="0" w:space="0" w:color="auto"/>
                                    <w:bottom w:val="none" w:sz="0" w:space="0" w:color="auto"/>
                                    <w:right w:val="none" w:sz="0" w:space="0" w:color="auto"/>
                                  </w:divBdr>
                                </w:div>
                                <w:div w:id="413010866">
                                  <w:marLeft w:val="0"/>
                                  <w:marRight w:val="0"/>
                                  <w:marTop w:val="0"/>
                                  <w:marBottom w:val="0"/>
                                  <w:divBdr>
                                    <w:top w:val="none" w:sz="0" w:space="0" w:color="auto"/>
                                    <w:left w:val="none" w:sz="0" w:space="0" w:color="auto"/>
                                    <w:bottom w:val="none" w:sz="0" w:space="0" w:color="auto"/>
                                    <w:right w:val="none" w:sz="0" w:space="0" w:color="auto"/>
                                  </w:divBdr>
                                </w:div>
                                <w:div w:id="7222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710563">
      <w:bodyDiv w:val="1"/>
      <w:marLeft w:val="390"/>
      <w:marRight w:val="390"/>
      <w:marTop w:val="0"/>
      <w:marBottom w:val="0"/>
      <w:divBdr>
        <w:top w:val="none" w:sz="0" w:space="0" w:color="auto"/>
        <w:left w:val="none" w:sz="0" w:space="0" w:color="auto"/>
        <w:bottom w:val="none" w:sz="0" w:space="0" w:color="auto"/>
        <w:right w:val="none" w:sz="0" w:space="0" w:color="auto"/>
      </w:divBdr>
      <w:divsChild>
        <w:div w:id="12654088">
          <w:marLeft w:val="0"/>
          <w:marRight w:val="0"/>
          <w:marTop w:val="0"/>
          <w:marBottom w:val="0"/>
          <w:divBdr>
            <w:top w:val="none" w:sz="0" w:space="0" w:color="auto"/>
            <w:left w:val="none" w:sz="0" w:space="0" w:color="auto"/>
            <w:bottom w:val="none" w:sz="0" w:space="0" w:color="auto"/>
            <w:right w:val="none" w:sz="0" w:space="0" w:color="auto"/>
          </w:divBdr>
          <w:divsChild>
            <w:div w:id="212350413">
              <w:marLeft w:val="0"/>
              <w:marRight w:val="0"/>
              <w:marTop w:val="0"/>
              <w:marBottom w:val="0"/>
              <w:divBdr>
                <w:top w:val="none" w:sz="0" w:space="0" w:color="auto"/>
                <w:left w:val="none" w:sz="0" w:space="0" w:color="auto"/>
                <w:bottom w:val="none" w:sz="0" w:space="0" w:color="auto"/>
                <w:right w:val="none" w:sz="0" w:space="0" w:color="auto"/>
              </w:divBdr>
              <w:divsChild>
                <w:div w:id="373309118">
                  <w:marLeft w:val="-150"/>
                  <w:marRight w:val="-150"/>
                  <w:marTop w:val="0"/>
                  <w:marBottom w:val="0"/>
                  <w:divBdr>
                    <w:top w:val="none" w:sz="0" w:space="0" w:color="auto"/>
                    <w:left w:val="none" w:sz="0" w:space="0" w:color="auto"/>
                    <w:bottom w:val="none" w:sz="0" w:space="0" w:color="auto"/>
                    <w:right w:val="none" w:sz="0" w:space="0" w:color="auto"/>
                  </w:divBdr>
                  <w:divsChild>
                    <w:div w:id="1133593905">
                      <w:marLeft w:val="0"/>
                      <w:marRight w:val="0"/>
                      <w:marTop w:val="0"/>
                      <w:marBottom w:val="0"/>
                      <w:divBdr>
                        <w:top w:val="none" w:sz="0" w:space="0" w:color="auto"/>
                        <w:left w:val="none" w:sz="0" w:space="0" w:color="auto"/>
                        <w:bottom w:val="none" w:sz="0" w:space="0" w:color="auto"/>
                        <w:right w:val="none" w:sz="0" w:space="0" w:color="auto"/>
                      </w:divBdr>
                      <w:divsChild>
                        <w:div w:id="231042167">
                          <w:marLeft w:val="0"/>
                          <w:marRight w:val="0"/>
                          <w:marTop w:val="0"/>
                          <w:marBottom w:val="0"/>
                          <w:divBdr>
                            <w:top w:val="none" w:sz="0" w:space="0" w:color="auto"/>
                            <w:left w:val="none" w:sz="0" w:space="0" w:color="auto"/>
                            <w:bottom w:val="none" w:sz="0" w:space="0" w:color="auto"/>
                            <w:right w:val="none" w:sz="0" w:space="0" w:color="auto"/>
                          </w:divBdr>
                          <w:divsChild>
                            <w:div w:id="1674145353">
                              <w:marLeft w:val="0"/>
                              <w:marRight w:val="0"/>
                              <w:marTop w:val="0"/>
                              <w:marBottom w:val="0"/>
                              <w:divBdr>
                                <w:top w:val="none" w:sz="0" w:space="0" w:color="auto"/>
                                <w:left w:val="none" w:sz="0" w:space="0" w:color="auto"/>
                                <w:bottom w:val="none" w:sz="0" w:space="0" w:color="auto"/>
                                <w:right w:val="none" w:sz="0" w:space="0" w:color="auto"/>
                              </w:divBdr>
                              <w:divsChild>
                                <w:div w:id="11670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605915">
      <w:bodyDiv w:val="1"/>
      <w:marLeft w:val="390"/>
      <w:marRight w:val="390"/>
      <w:marTop w:val="0"/>
      <w:marBottom w:val="0"/>
      <w:divBdr>
        <w:top w:val="none" w:sz="0" w:space="0" w:color="auto"/>
        <w:left w:val="none" w:sz="0" w:space="0" w:color="auto"/>
        <w:bottom w:val="none" w:sz="0" w:space="0" w:color="auto"/>
        <w:right w:val="none" w:sz="0" w:space="0" w:color="auto"/>
      </w:divBdr>
      <w:divsChild>
        <w:div w:id="1120494267">
          <w:marLeft w:val="0"/>
          <w:marRight w:val="0"/>
          <w:marTop w:val="0"/>
          <w:marBottom w:val="0"/>
          <w:divBdr>
            <w:top w:val="none" w:sz="0" w:space="0" w:color="auto"/>
            <w:left w:val="none" w:sz="0" w:space="0" w:color="auto"/>
            <w:bottom w:val="none" w:sz="0" w:space="0" w:color="auto"/>
            <w:right w:val="none" w:sz="0" w:space="0" w:color="auto"/>
          </w:divBdr>
          <w:divsChild>
            <w:div w:id="1299455800">
              <w:marLeft w:val="0"/>
              <w:marRight w:val="0"/>
              <w:marTop w:val="0"/>
              <w:marBottom w:val="0"/>
              <w:divBdr>
                <w:top w:val="none" w:sz="0" w:space="0" w:color="auto"/>
                <w:left w:val="none" w:sz="0" w:space="0" w:color="auto"/>
                <w:bottom w:val="none" w:sz="0" w:space="0" w:color="auto"/>
                <w:right w:val="none" w:sz="0" w:space="0" w:color="auto"/>
              </w:divBdr>
              <w:divsChild>
                <w:div w:id="563102103">
                  <w:marLeft w:val="-150"/>
                  <w:marRight w:val="-150"/>
                  <w:marTop w:val="0"/>
                  <w:marBottom w:val="0"/>
                  <w:divBdr>
                    <w:top w:val="none" w:sz="0" w:space="0" w:color="auto"/>
                    <w:left w:val="none" w:sz="0" w:space="0" w:color="auto"/>
                    <w:bottom w:val="none" w:sz="0" w:space="0" w:color="auto"/>
                    <w:right w:val="none" w:sz="0" w:space="0" w:color="auto"/>
                  </w:divBdr>
                  <w:divsChild>
                    <w:div w:id="2093772535">
                      <w:marLeft w:val="0"/>
                      <w:marRight w:val="0"/>
                      <w:marTop w:val="0"/>
                      <w:marBottom w:val="0"/>
                      <w:divBdr>
                        <w:top w:val="none" w:sz="0" w:space="0" w:color="auto"/>
                        <w:left w:val="none" w:sz="0" w:space="0" w:color="auto"/>
                        <w:bottom w:val="none" w:sz="0" w:space="0" w:color="auto"/>
                        <w:right w:val="none" w:sz="0" w:space="0" w:color="auto"/>
                      </w:divBdr>
                      <w:divsChild>
                        <w:div w:id="1808819851">
                          <w:marLeft w:val="0"/>
                          <w:marRight w:val="0"/>
                          <w:marTop w:val="0"/>
                          <w:marBottom w:val="0"/>
                          <w:divBdr>
                            <w:top w:val="none" w:sz="0" w:space="0" w:color="auto"/>
                            <w:left w:val="none" w:sz="0" w:space="0" w:color="auto"/>
                            <w:bottom w:val="none" w:sz="0" w:space="0" w:color="auto"/>
                            <w:right w:val="none" w:sz="0" w:space="0" w:color="auto"/>
                          </w:divBdr>
                          <w:divsChild>
                            <w:div w:id="1428691072">
                              <w:marLeft w:val="0"/>
                              <w:marRight w:val="0"/>
                              <w:marTop w:val="0"/>
                              <w:marBottom w:val="0"/>
                              <w:divBdr>
                                <w:top w:val="none" w:sz="0" w:space="0" w:color="auto"/>
                                <w:left w:val="none" w:sz="0" w:space="0" w:color="auto"/>
                                <w:bottom w:val="none" w:sz="0" w:space="0" w:color="auto"/>
                                <w:right w:val="none" w:sz="0" w:space="0" w:color="auto"/>
                              </w:divBdr>
                              <w:divsChild>
                                <w:div w:id="297689777">
                                  <w:marLeft w:val="0"/>
                                  <w:marRight w:val="0"/>
                                  <w:marTop w:val="0"/>
                                  <w:marBottom w:val="0"/>
                                  <w:divBdr>
                                    <w:top w:val="none" w:sz="0" w:space="0" w:color="auto"/>
                                    <w:left w:val="none" w:sz="0" w:space="0" w:color="auto"/>
                                    <w:bottom w:val="none" w:sz="0" w:space="0" w:color="auto"/>
                                    <w:right w:val="none" w:sz="0" w:space="0" w:color="auto"/>
                                  </w:divBdr>
                                </w:div>
                                <w:div w:id="1068455035">
                                  <w:marLeft w:val="0"/>
                                  <w:marRight w:val="0"/>
                                  <w:marTop w:val="0"/>
                                  <w:marBottom w:val="0"/>
                                  <w:divBdr>
                                    <w:top w:val="none" w:sz="0" w:space="0" w:color="auto"/>
                                    <w:left w:val="none" w:sz="0" w:space="0" w:color="auto"/>
                                    <w:bottom w:val="none" w:sz="0" w:space="0" w:color="auto"/>
                                    <w:right w:val="none" w:sz="0" w:space="0" w:color="auto"/>
                                  </w:divBdr>
                                </w:div>
                                <w:div w:id="2695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618386">
      <w:bodyDiv w:val="1"/>
      <w:marLeft w:val="390"/>
      <w:marRight w:val="390"/>
      <w:marTop w:val="0"/>
      <w:marBottom w:val="0"/>
      <w:divBdr>
        <w:top w:val="none" w:sz="0" w:space="0" w:color="auto"/>
        <w:left w:val="none" w:sz="0" w:space="0" w:color="auto"/>
        <w:bottom w:val="none" w:sz="0" w:space="0" w:color="auto"/>
        <w:right w:val="none" w:sz="0" w:space="0" w:color="auto"/>
      </w:divBdr>
      <w:divsChild>
        <w:div w:id="100146827">
          <w:marLeft w:val="0"/>
          <w:marRight w:val="0"/>
          <w:marTop w:val="0"/>
          <w:marBottom w:val="0"/>
          <w:divBdr>
            <w:top w:val="none" w:sz="0" w:space="0" w:color="auto"/>
            <w:left w:val="none" w:sz="0" w:space="0" w:color="auto"/>
            <w:bottom w:val="none" w:sz="0" w:space="0" w:color="auto"/>
            <w:right w:val="none" w:sz="0" w:space="0" w:color="auto"/>
          </w:divBdr>
          <w:divsChild>
            <w:div w:id="212038901">
              <w:marLeft w:val="0"/>
              <w:marRight w:val="0"/>
              <w:marTop w:val="0"/>
              <w:marBottom w:val="0"/>
              <w:divBdr>
                <w:top w:val="none" w:sz="0" w:space="0" w:color="auto"/>
                <w:left w:val="none" w:sz="0" w:space="0" w:color="auto"/>
                <w:bottom w:val="none" w:sz="0" w:space="0" w:color="auto"/>
                <w:right w:val="none" w:sz="0" w:space="0" w:color="auto"/>
              </w:divBdr>
              <w:divsChild>
                <w:div w:id="869535542">
                  <w:marLeft w:val="-150"/>
                  <w:marRight w:val="-150"/>
                  <w:marTop w:val="0"/>
                  <w:marBottom w:val="0"/>
                  <w:divBdr>
                    <w:top w:val="none" w:sz="0" w:space="0" w:color="auto"/>
                    <w:left w:val="none" w:sz="0" w:space="0" w:color="auto"/>
                    <w:bottom w:val="none" w:sz="0" w:space="0" w:color="auto"/>
                    <w:right w:val="none" w:sz="0" w:space="0" w:color="auto"/>
                  </w:divBdr>
                  <w:divsChild>
                    <w:div w:id="606425312">
                      <w:marLeft w:val="0"/>
                      <w:marRight w:val="0"/>
                      <w:marTop w:val="0"/>
                      <w:marBottom w:val="0"/>
                      <w:divBdr>
                        <w:top w:val="none" w:sz="0" w:space="0" w:color="auto"/>
                        <w:left w:val="none" w:sz="0" w:space="0" w:color="auto"/>
                        <w:bottom w:val="none" w:sz="0" w:space="0" w:color="auto"/>
                        <w:right w:val="none" w:sz="0" w:space="0" w:color="auto"/>
                      </w:divBdr>
                      <w:divsChild>
                        <w:div w:id="1232034700">
                          <w:marLeft w:val="0"/>
                          <w:marRight w:val="0"/>
                          <w:marTop w:val="0"/>
                          <w:marBottom w:val="0"/>
                          <w:divBdr>
                            <w:top w:val="none" w:sz="0" w:space="0" w:color="auto"/>
                            <w:left w:val="none" w:sz="0" w:space="0" w:color="auto"/>
                            <w:bottom w:val="none" w:sz="0" w:space="0" w:color="auto"/>
                            <w:right w:val="none" w:sz="0" w:space="0" w:color="auto"/>
                          </w:divBdr>
                          <w:divsChild>
                            <w:div w:id="1750224767">
                              <w:marLeft w:val="0"/>
                              <w:marRight w:val="0"/>
                              <w:marTop w:val="0"/>
                              <w:marBottom w:val="0"/>
                              <w:divBdr>
                                <w:top w:val="none" w:sz="0" w:space="0" w:color="auto"/>
                                <w:left w:val="none" w:sz="0" w:space="0" w:color="auto"/>
                                <w:bottom w:val="none" w:sz="0" w:space="0" w:color="auto"/>
                                <w:right w:val="none" w:sz="0" w:space="0" w:color="auto"/>
                              </w:divBdr>
                              <w:divsChild>
                                <w:div w:id="1998803810">
                                  <w:marLeft w:val="0"/>
                                  <w:marRight w:val="0"/>
                                  <w:marTop w:val="0"/>
                                  <w:marBottom w:val="0"/>
                                  <w:divBdr>
                                    <w:top w:val="none" w:sz="0" w:space="0" w:color="auto"/>
                                    <w:left w:val="none" w:sz="0" w:space="0" w:color="auto"/>
                                    <w:bottom w:val="none" w:sz="0" w:space="0" w:color="auto"/>
                                    <w:right w:val="none" w:sz="0" w:space="0" w:color="auto"/>
                                  </w:divBdr>
                                  <w:divsChild>
                                    <w:div w:id="1460342230">
                                      <w:marLeft w:val="0"/>
                                      <w:marRight w:val="0"/>
                                      <w:marTop w:val="0"/>
                                      <w:marBottom w:val="0"/>
                                      <w:divBdr>
                                        <w:top w:val="none" w:sz="0" w:space="0" w:color="auto"/>
                                        <w:left w:val="none" w:sz="0" w:space="0" w:color="auto"/>
                                        <w:bottom w:val="none" w:sz="0" w:space="0" w:color="auto"/>
                                        <w:right w:val="none" w:sz="0" w:space="0" w:color="auto"/>
                                      </w:divBdr>
                                    </w:div>
                                    <w:div w:id="1610627054">
                                      <w:marLeft w:val="0"/>
                                      <w:marRight w:val="0"/>
                                      <w:marTop w:val="0"/>
                                      <w:marBottom w:val="0"/>
                                      <w:divBdr>
                                        <w:top w:val="none" w:sz="0" w:space="0" w:color="auto"/>
                                        <w:left w:val="none" w:sz="0" w:space="0" w:color="auto"/>
                                        <w:bottom w:val="none" w:sz="0" w:space="0" w:color="auto"/>
                                        <w:right w:val="none" w:sz="0" w:space="0" w:color="auto"/>
                                      </w:divBdr>
                                    </w:div>
                                    <w:div w:id="13396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420607">
      <w:bodyDiv w:val="1"/>
      <w:marLeft w:val="390"/>
      <w:marRight w:val="390"/>
      <w:marTop w:val="0"/>
      <w:marBottom w:val="0"/>
      <w:divBdr>
        <w:top w:val="none" w:sz="0" w:space="0" w:color="auto"/>
        <w:left w:val="none" w:sz="0" w:space="0" w:color="auto"/>
        <w:bottom w:val="none" w:sz="0" w:space="0" w:color="auto"/>
        <w:right w:val="none" w:sz="0" w:space="0" w:color="auto"/>
      </w:divBdr>
      <w:divsChild>
        <w:div w:id="1911453986">
          <w:marLeft w:val="0"/>
          <w:marRight w:val="0"/>
          <w:marTop w:val="0"/>
          <w:marBottom w:val="0"/>
          <w:divBdr>
            <w:top w:val="none" w:sz="0" w:space="0" w:color="auto"/>
            <w:left w:val="none" w:sz="0" w:space="0" w:color="auto"/>
            <w:bottom w:val="none" w:sz="0" w:space="0" w:color="auto"/>
            <w:right w:val="none" w:sz="0" w:space="0" w:color="auto"/>
          </w:divBdr>
          <w:divsChild>
            <w:div w:id="30812232">
              <w:marLeft w:val="0"/>
              <w:marRight w:val="0"/>
              <w:marTop w:val="0"/>
              <w:marBottom w:val="0"/>
              <w:divBdr>
                <w:top w:val="none" w:sz="0" w:space="0" w:color="auto"/>
                <w:left w:val="none" w:sz="0" w:space="0" w:color="auto"/>
                <w:bottom w:val="none" w:sz="0" w:space="0" w:color="auto"/>
                <w:right w:val="none" w:sz="0" w:space="0" w:color="auto"/>
              </w:divBdr>
              <w:divsChild>
                <w:div w:id="131364772">
                  <w:marLeft w:val="-150"/>
                  <w:marRight w:val="-150"/>
                  <w:marTop w:val="0"/>
                  <w:marBottom w:val="0"/>
                  <w:divBdr>
                    <w:top w:val="none" w:sz="0" w:space="0" w:color="auto"/>
                    <w:left w:val="none" w:sz="0" w:space="0" w:color="auto"/>
                    <w:bottom w:val="none" w:sz="0" w:space="0" w:color="auto"/>
                    <w:right w:val="none" w:sz="0" w:space="0" w:color="auto"/>
                  </w:divBdr>
                  <w:divsChild>
                    <w:div w:id="1753821204">
                      <w:marLeft w:val="0"/>
                      <w:marRight w:val="0"/>
                      <w:marTop w:val="0"/>
                      <w:marBottom w:val="0"/>
                      <w:divBdr>
                        <w:top w:val="none" w:sz="0" w:space="0" w:color="auto"/>
                        <w:left w:val="none" w:sz="0" w:space="0" w:color="auto"/>
                        <w:bottom w:val="none" w:sz="0" w:space="0" w:color="auto"/>
                        <w:right w:val="none" w:sz="0" w:space="0" w:color="auto"/>
                      </w:divBdr>
                      <w:divsChild>
                        <w:div w:id="1393652620">
                          <w:marLeft w:val="0"/>
                          <w:marRight w:val="0"/>
                          <w:marTop w:val="0"/>
                          <w:marBottom w:val="0"/>
                          <w:divBdr>
                            <w:top w:val="none" w:sz="0" w:space="0" w:color="auto"/>
                            <w:left w:val="none" w:sz="0" w:space="0" w:color="auto"/>
                            <w:bottom w:val="none" w:sz="0" w:space="0" w:color="auto"/>
                            <w:right w:val="none" w:sz="0" w:space="0" w:color="auto"/>
                          </w:divBdr>
                          <w:divsChild>
                            <w:div w:id="1681198987">
                              <w:marLeft w:val="0"/>
                              <w:marRight w:val="0"/>
                              <w:marTop w:val="0"/>
                              <w:marBottom w:val="0"/>
                              <w:divBdr>
                                <w:top w:val="none" w:sz="0" w:space="0" w:color="auto"/>
                                <w:left w:val="none" w:sz="0" w:space="0" w:color="auto"/>
                                <w:bottom w:val="none" w:sz="0" w:space="0" w:color="auto"/>
                                <w:right w:val="none" w:sz="0" w:space="0" w:color="auto"/>
                              </w:divBdr>
                              <w:divsChild>
                                <w:div w:id="1254438380">
                                  <w:marLeft w:val="0"/>
                                  <w:marRight w:val="0"/>
                                  <w:marTop w:val="0"/>
                                  <w:marBottom w:val="0"/>
                                  <w:divBdr>
                                    <w:top w:val="none" w:sz="0" w:space="0" w:color="auto"/>
                                    <w:left w:val="none" w:sz="0" w:space="0" w:color="auto"/>
                                    <w:bottom w:val="none" w:sz="0" w:space="0" w:color="auto"/>
                                    <w:right w:val="none" w:sz="0" w:space="0" w:color="auto"/>
                                  </w:divBdr>
                                </w:div>
                                <w:div w:id="2090422064">
                                  <w:marLeft w:val="0"/>
                                  <w:marRight w:val="0"/>
                                  <w:marTop w:val="0"/>
                                  <w:marBottom w:val="0"/>
                                  <w:divBdr>
                                    <w:top w:val="none" w:sz="0" w:space="0" w:color="auto"/>
                                    <w:left w:val="none" w:sz="0" w:space="0" w:color="auto"/>
                                    <w:bottom w:val="none" w:sz="0" w:space="0" w:color="auto"/>
                                    <w:right w:val="none" w:sz="0" w:space="0" w:color="auto"/>
                                  </w:divBdr>
                                </w:div>
                                <w:div w:id="19060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864556">
      <w:bodyDiv w:val="1"/>
      <w:marLeft w:val="390"/>
      <w:marRight w:val="390"/>
      <w:marTop w:val="0"/>
      <w:marBottom w:val="0"/>
      <w:divBdr>
        <w:top w:val="none" w:sz="0" w:space="0" w:color="auto"/>
        <w:left w:val="none" w:sz="0" w:space="0" w:color="auto"/>
        <w:bottom w:val="none" w:sz="0" w:space="0" w:color="auto"/>
        <w:right w:val="none" w:sz="0" w:space="0" w:color="auto"/>
      </w:divBdr>
      <w:divsChild>
        <w:div w:id="97722349">
          <w:marLeft w:val="0"/>
          <w:marRight w:val="0"/>
          <w:marTop w:val="0"/>
          <w:marBottom w:val="0"/>
          <w:divBdr>
            <w:top w:val="none" w:sz="0" w:space="0" w:color="auto"/>
            <w:left w:val="none" w:sz="0" w:space="0" w:color="auto"/>
            <w:bottom w:val="none" w:sz="0" w:space="0" w:color="auto"/>
            <w:right w:val="none" w:sz="0" w:space="0" w:color="auto"/>
          </w:divBdr>
          <w:divsChild>
            <w:div w:id="1667779359">
              <w:marLeft w:val="0"/>
              <w:marRight w:val="0"/>
              <w:marTop w:val="0"/>
              <w:marBottom w:val="0"/>
              <w:divBdr>
                <w:top w:val="none" w:sz="0" w:space="0" w:color="auto"/>
                <w:left w:val="none" w:sz="0" w:space="0" w:color="auto"/>
                <w:bottom w:val="none" w:sz="0" w:space="0" w:color="auto"/>
                <w:right w:val="none" w:sz="0" w:space="0" w:color="auto"/>
              </w:divBdr>
              <w:divsChild>
                <w:div w:id="1412121817">
                  <w:marLeft w:val="-150"/>
                  <w:marRight w:val="-150"/>
                  <w:marTop w:val="0"/>
                  <w:marBottom w:val="0"/>
                  <w:divBdr>
                    <w:top w:val="none" w:sz="0" w:space="0" w:color="auto"/>
                    <w:left w:val="none" w:sz="0" w:space="0" w:color="auto"/>
                    <w:bottom w:val="none" w:sz="0" w:space="0" w:color="auto"/>
                    <w:right w:val="none" w:sz="0" w:space="0" w:color="auto"/>
                  </w:divBdr>
                  <w:divsChild>
                    <w:div w:id="1136528774">
                      <w:marLeft w:val="0"/>
                      <w:marRight w:val="0"/>
                      <w:marTop w:val="0"/>
                      <w:marBottom w:val="0"/>
                      <w:divBdr>
                        <w:top w:val="none" w:sz="0" w:space="0" w:color="auto"/>
                        <w:left w:val="none" w:sz="0" w:space="0" w:color="auto"/>
                        <w:bottom w:val="none" w:sz="0" w:space="0" w:color="auto"/>
                        <w:right w:val="none" w:sz="0" w:space="0" w:color="auto"/>
                      </w:divBdr>
                      <w:divsChild>
                        <w:div w:id="44525697">
                          <w:marLeft w:val="0"/>
                          <w:marRight w:val="0"/>
                          <w:marTop w:val="0"/>
                          <w:marBottom w:val="0"/>
                          <w:divBdr>
                            <w:top w:val="none" w:sz="0" w:space="0" w:color="auto"/>
                            <w:left w:val="none" w:sz="0" w:space="0" w:color="auto"/>
                            <w:bottom w:val="none" w:sz="0" w:space="0" w:color="auto"/>
                            <w:right w:val="none" w:sz="0" w:space="0" w:color="auto"/>
                          </w:divBdr>
                          <w:divsChild>
                            <w:div w:id="10742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9988">
      <w:bodyDiv w:val="1"/>
      <w:marLeft w:val="390"/>
      <w:marRight w:val="390"/>
      <w:marTop w:val="0"/>
      <w:marBottom w:val="0"/>
      <w:divBdr>
        <w:top w:val="none" w:sz="0" w:space="0" w:color="auto"/>
        <w:left w:val="none" w:sz="0" w:space="0" w:color="auto"/>
        <w:bottom w:val="none" w:sz="0" w:space="0" w:color="auto"/>
        <w:right w:val="none" w:sz="0" w:space="0" w:color="auto"/>
      </w:divBdr>
      <w:divsChild>
        <w:div w:id="881407852">
          <w:marLeft w:val="0"/>
          <w:marRight w:val="0"/>
          <w:marTop w:val="0"/>
          <w:marBottom w:val="0"/>
          <w:divBdr>
            <w:top w:val="none" w:sz="0" w:space="0" w:color="auto"/>
            <w:left w:val="none" w:sz="0" w:space="0" w:color="auto"/>
            <w:bottom w:val="none" w:sz="0" w:space="0" w:color="auto"/>
            <w:right w:val="none" w:sz="0" w:space="0" w:color="auto"/>
          </w:divBdr>
          <w:divsChild>
            <w:div w:id="1320765069">
              <w:marLeft w:val="0"/>
              <w:marRight w:val="0"/>
              <w:marTop w:val="0"/>
              <w:marBottom w:val="0"/>
              <w:divBdr>
                <w:top w:val="none" w:sz="0" w:space="0" w:color="auto"/>
                <w:left w:val="none" w:sz="0" w:space="0" w:color="auto"/>
                <w:bottom w:val="none" w:sz="0" w:space="0" w:color="auto"/>
                <w:right w:val="none" w:sz="0" w:space="0" w:color="auto"/>
              </w:divBdr>
              <w:divsChild>
                <w:div w:id="193035929">
                  <w:marLeft w:val="-150"/>
                  <w:marRight w:val="-150"/>
                  <w:marTop w:val="0"/>
                  <w:marBottom w:val="0"/>
                  <w:divBdr>
                    <w:top w:val="none" w:sz="0" w:space="0" w:color="auto"/>
                    <w:left w:val="none" w:sz="0" w:space="0" w:color="auto"/>
                    <w:bottom w:val="none" w:sz="0" w:space="0" w:color="auto"/>
                    <w:right w:val="none" w:sz="0" w:space="0" w:color="auto"/>
                  </w:divBdr>
                  <w:divsChild>
                    <w:div w:id="169686317">
                      <w:marLeft w:val="0"/>
                      <w:marRight w:val="0"/>
                      <w:marTop w:val="0"/>
                      <w:marBottom w:val="0"/>
                      <w:divBdr>
                        <w:top w:val="none" w:sz="0" w:space="0" w:color="auto"/>
                        <w:left w:val="none" w:sz="0" w:space="0" w:color="auto"/>
                        <w:bottom w:val="none" w:sz="0" w:space="0" w:color="auto"/>
                        <w:right w:val="none" w:sz="0" w:space="0" w:color="auto"/>
                      </w:divBdr>
                      <w:divsChild>
                        <w:div w:id="1642347514">
                          <w:marLeft w:val="0"/>
                          <w:marRight w:val="0"/>
                          <w:marTop w:val="0"/>
                          <w:marBottom w:val="0"/>
                          <w:divBdr>
                            <w:top w:val="none" w:sz="0" w:space="0" w:color="auto"/>
                            <w:left w:val="none" w:sz="0" w:space="0" w:color="auto"/>
                            <w:bottom w:val="none" w:sz="0" w:space="0" w:color="auto"/>
                            <w:right w:val="none" w:sz="0" w:space="0" w:color="auto"/>
                          </w:divBdr>
                          <w:divsChild>
                            <w:div w:id="1322999190">
                              <w:marLeft w:val="0"/>
                              <w:marRight w:val="0"/>
                              <w:marTop w:val="0"/>
                              <w:marBottom w:val="0"/>
                              <w:divBdr>
                                <w:top w:val="none" w:sz="0" w:space="0" w:color="auto"/>
                                <w:left w:val="none" w:sz="0" w:space="0" w:color="auto"/>
                                <w:bottom w:val="none" w:sz="0" w:space="0" w:color="auto"/>
                                <w:right w:val="none" w:sz="0" w:space="0" w:color="auto"/>
                              </w:divBdr>
                              <w:divsChild>
                                <w:div w:id="1863281600">
                                  <w:marLeft w:val="0"/>
                                  <w:marRight w:val="0"/>
                                  <w:marTop w:val="0"/>
                                  <w:marBottom w:val="0"/>
                                  <w:divBdr>
                                    <w:top w:val="none" w:sz="0" w:space="0" w:color="auto"/>
                                    <w:left w:val="none" w:sz="0" w:space="0" w:color="auto"/>
                                    <w:bottom w:val="none" w:sz="0" w:space="0" w:color="auto"/>
                                    <w:right w:val="none" w:sz="0" w:space="0" w:color="auto"/>
                                  </w:divBdr>
                                </w:div>
                                <w:div w:id="103731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074144">
      <w:bodyDiv w:val="1"/>
      <w:marLeft w:val="390"/>
      <w:marRight w:val="390"/>
      <w:marTop w:val="0"/>
      <w:marBottom w:val="0"/>
      <w:divBdr>
        <w:top w:val="none" w:sz="0" w:space="0" w:color="auto"/>
        <w:left w:val="none" w:sz="0" w:space="0" w:color="auto"/>
        <w:bottom w:val="none" w:sz="0" w:space="0" w:color="auto"/>
        <w:right w:val="none" w:sz="0" w:space="0" w:color="auto"/>
      </w:divBdr>
      <w:divsChild>
        <w:div w:id="1785222989">
          <w:marLeft w:val="0"/>
          <w:marRight w:val="0"/>
          <w:marTop w:val="0"/>
          <w:marBottom w:val="0"/>
          <w:divBdr>
            <w:top w:val="none" w:sz="0" w:space="0" w:color="auto"/>
            <w:left w:val="none" w:sz="0" w:space="0" w:color="auto"/>
            <w:bottom w:val="none" w:sz="0" w:space="0" w:color="auto"/>
            <w:right w:val="none" w:sz="0" w:space="0" w:color="auto"/>
          </w:divBdr>
          <w:divsChild>
            <w:div w:id="1124350326">
              <w:marLeft w:val="0"/>
              <w:marRight w:val="0"/>
              <w:marTop w:val="0"/>
              <w:marBottom w:val="0"/>
              <w:divBdr>
                <w:top w:val="none" w:sz="0" w:space="0" w:color="auto"/>
                <w:left w:val="none" w:sz="0" w:space="0" w:color="auto"/>
                <w:bottom w:val="none" w:sz="0" w:space="0" w:color="auto"/>
                <w:right w:val="none" w:sz="0" w:space="0" w:color="auto"/>
              </w:divBdr>
              <w:divsChild>
                <w:div w:id="1680623763">
                  <w:marLeft w:val="-150"/>
                  <w:marRight w:val="-150"/>
                  <w:marTop w:val="0"/>
                  <w:marBottom w:val="0"/>
                  <w:divBdr>
                    <w:top w:val="none" w:sz="0" w:space="0" w:color="auto"/>
                    <w:left w:val="none" w:sz="0" w:space="0" w:color="auto"/>
                    <w:bottom w:val="none" w:sz="0" w:space="0" w:color="auto"/>
                    <w:right w:val="none" w:sz="0" w:space="0" w:color="auto"/>
                  </w:divBdr>
                  <w:divsChild>
                    <w:div w:id="882059786">
                      <w:marLeft w:val="0"/>
                      <w:marRight w:val="0"/>
                      <w:marTop w:val="0"/>
                      <w:marBottom w:val="0"/>
                      <w:divBdr>
                        <w:top w:val="none" w:sz="0" w:space="0" w:color="auto"/>
                        <w:left w:val="none" w:sz="0" w:space="0" w:color="auto"/>
                        <w:bottom w:val="none" w:sz="0" w:space="0" w:color="auto"/>
                        <w:right w:val="none" w:sz="0" w:space="0" w:color="auto"/>
                      </w:divBdr>
                      <w:divsChild>
                        <w:div w:id="1610308699">
                          <w:marLeft w:val="0"/>
                          <w:marRight w:val="0"/>
                          <w:marTop w:val="0"/>
                          <w:marBottom w:val="0"/>
                          <w:divBdr>
                            <w:top w:val="none" w:sz="0" w:space="0" w:color="auto"/>
                            <w:left w:val="none" w:sz="0" w:space="0" w:color="auto"/>
                            <w:bottom w:val="none" w:sz="0" w:space="0" w:color="auto"/>
                            <w:right w:val="none" w:sz="0" w:space="0" w:color="auto"/>
                          </w:divBdr>
                          <w:divsChild>
                            <w:div w:id="1482578352">
                              <w:marLeft w:val="0"/>
                              <w:marRight w:val="0"/>
                              <w:marTop w:val="0"/>
                              <w:marBottom w:val="0"/>
                              <w:divBdr>
                                <w:top w:val="none" w:sz="0" w:space="0" w:color="auto"/>
                                <w:left w:val="none" w:sz="0" w:space="0" w:color="auto"/>
                                <w:bottom w:val="none" w:sz="0" w:space="0" w:color="auto"/>
                                <w:right w:val="none" w:sz="0" w:space="0" w:color="auto"/>
                              </w:divBdr>
                              <w:divsChild>
                                <w:div w:id="57023031">
                                  <w:marLeft w:val="0"/>
                                  <w:marRight w:val="0"/>
                                  <w:marTop w:val="0"/>
                                  <w:marBottom w:val="0"/>
                                  <w:divBdr>
                                    <w:top w:val="none" w:sz="0" w:space="0" w:color="auto"/>
                                    <w:left w:val="none" w:sz="0" w:space="0" w:color="auto"/>
                                    <w:bottom w:val="none" w:sz="0" w:space="0" w:color="auto"/>
                                    <w:right w:val="none" w:sz="0" w:space="0" w:color="auto"/>
                                  </w:divBdr>
                                </w:div>
                                <w:div w:id="10996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905858">
      <w:bodyDiv w:val="1"/>
      <w:marLeft w:val="390"/>
      <w:marRight w:val="390"/>
      <w:marTop w:val="0"/>
      <w:marBottom w:val="0"/>
      <w:divBdr>
        <w:top w:val="none" w:sz="0" w:space="0" w:color="auto"/>
        <w:left w:val="none" w:sz="0" w:space="0" w:color="auto"/>
        <w:bottom w:val="none" w:sz="0" w:space="0" w:color="auto"/>
        <w:right w:val="none" w:sz="0" w:space="0" w:color="auto"/>
      </w:divBdr>
      <w:divsChild>
        <w:div w:id="2053076102">
          <w:marLeft w:val="0"/>
          <w:marRight w:val="0"/>
          <w:marTop w:val="0"/>
          <w:marBottom w:val="0"/>
          <w:divBdr>
            <w:top w:val="none" w:sz="0" w:space="0" w:color="auto"/>
            <w:left w:val="none" w:sz="0" w:space="0" w:color="auto"/>
            <w:bottom w:val="none" w:sz="0" w:space="0" w:color="auto"/>
            <w:right w:val="none" w:sz="0" w:space="0" w:color="auto"/>
          </w:divBdr>
          <w:divsChild>
            <w:div w:id="1928534424">
              <w:marLeft w:val="0"/>
              <w:marRight w:val="0"/>
              <w:marTop w:val="0"/>
              <w:marBottom w:val="0"/>
              <w:divBdr>
                <w:top w:val="none" w:sz="0" w:space="0" w:color="auto"/>
                <w:left w:val="none" w:sz="0" w:space="0" w:color="auto"/>
                <w:bottom w:val="none" w:sz="0" w:space="0" w:color="auto"/>
                <w:right w:val="none" w:sz="0" w:space="0" w:color="auto"/>
              </w:divBdr>
              <w:divsChild>
                <w:div w:id="1189611430">
                  <w:marLeft w:val="-150"/>
                  <w:marRight w:val="-150"/>
                  <w:marTop w:val="0"/>
                  <w:marBottom w:val="0"/>
                  <w:divBdr>
                    <w:top w:val="none" w:sz="0" w:space="0" w:color="auto"/>
                    <w:left w:val="none" w:sz="0" w:space="0" w:color="auto"/>
                    <w:bottom w:val="none" w:sz="0" w:space="0" w:color="auto"/>
                    <w:right w:val="none" w:sz="0" w:space="0" w:color="auto"/>
                  </w:divBdr>
                  <w:divsChild>
                    <w:div w:id="79567512">
                      <w:marLeft w:val="0"/>
                      <w:marRight w:val="0"/>
                      <w:marTop w:val="0"/>
                      <w:marBottom w:val="0"/>
                      <w:divBdr>
                        <w:top w:val="none" w:sz="0" w:space="0" w:color="auto"/>
                        <w:left w:val="none" w:sz="0" w:space="0" w:color="auto"/>
                        <w:bottom w:val="none" w:sz="0" w:space="0" w:color="auto"/>
                        <w:right w:val="none" w:sz="0" w:space="0" w:color="auto"/>
                      </w:divBdr>
                      <w:divsChild>
                        <w:div w:id="689990407">
                          <w:marLeft w:val="0"/>
                          <w:marRight w:val="0"/>
                          <w:marTop w:val="0"/>
                          <w:marBottom w:val="0"/>
                          <w:divBdr>
                            <w:top w:val="none" w:sz="0" w:space="0" w:color="auto"/>
                            <w:left w:val="none" w:sz="0" w:space="0" w:color="auto"/>
                            <w:bottom w:val="none" w:sz="0" w:space="0" w:color="auto"/>
                            <w:right w:val="none" w:sz="0" w:space="0" w:color="auto"/>
                          </w:divBdr>
                          <w:divsChild>
                            <w:div w:id="857425249">
                              <w:marLeft w:val="0"/>
                              <w:marRight w:val="0"/>
                              <w:marTop w:val="0"/>
                              <w:marBottom w:val="0"/>
                              <w:divBdr>
                                <w:top w:val="none" w:sz="0" w:space="0" w:color="auto"/>
                                <w:left w:val="none" w:sz="0" w:space="0" w:color="auto"/>
                                <w:bottom w:val="none" w:sz="0" w:space="0" w:color="auto"/>
                                <w:right w:val="none" w:sz="0" w:space="0" w:color="auto"/>
                              </w:divBdr>
                              <w:divsChild>
                                <w:div w:id="1818106518">
                                  <w:marLeft w:val="0"/>
                                  <w:marRight w:val="0"/>
                                  <w:marTop w:val="0"/>
                                  <w:marBottom w:val="0"/>
                                  <w:divBdr>
                                    <w:top w:val="none" w:sz="0" w:space="0" w:color="auto"/>
                                    <w:left w:val="none" w:sz="0" w:space="0" w:color="auto"/>
                                    <w:bottom w:val="none" w:sz="0" w:space="0" w:color="auto"/>
                                    <w:right w:val="none" w:sz="0" w:space="0" w:color="auto"/>
                                  </w:divBdr>
                                </w:div>
                                <w:div w:id="69621111">
                                  <w:marLeft w:val="0"/>
                                  <w:marRight w:val="0"/>
                                  <w:marTop w:val="0"/>
                                  <w:marBottom w:val="0"/>
                                  <w:divBdr>
                                    <w:top w:val="none" w:sz="0" w:space="0" w:color="auto"/>
                                    <w:left w:val="none" w:sz="0" w:space="0" w:color="auto"/>
                                    <w:bottom w:val="none" w:sz="0" w:space="0" w:color="auto"/>
                                    <w:right w:val="none" w:sz="0" w:space="0" w:color="auto"/>
                                  </w:divBdr>
                                </w:div>
                                <w:div w:id="1220896731">
                                  <w:marLeft w:val="0"/>
                                  <w:marRight w:val="0"/>
                                  <w:marTop w:val="0"/>
                                  <w:marBottom w:val="0"/>
                                  <w:divBdr>
                                    <w:top w:val="none" w:sz="0" w:space="0" w:color="auto"/>
                                    <w:left w:val="none" w:sz="0" w:space="0" w:color="auto"/>
                                    <w:bottom w:val="none" w:sz="0" w:space="0" w:color="auto"/>
                                    <w:right w:val="none" w:sz="0" w:space="0" w:color="auto"/>
                                  </w:divBdr>
                                </w:div>
                                <w:div w:id="1206020425">
                                  <w:marLeft w:val="0"/>
                                  <w:marRight w:val="0"/>
                                  <w:marTop w:val="0"/>
                                  <w:marBottom w:val="0"/>
                                  <w:divBdr>
                                    <w:top w:val="none" w:sz="0" w:space="0" w:color="auto"/>
                                    <w:left w:val="none" w:sz="0" w:space="0" w:color="auto"/>
                                    <w:bottom w:val="none" w:sz="0" w:space="0" w:color="auto"/>
                                    <w:right w:val="none" w:sz="0" w:space="0" w:color="auto"/>
                                  </w:divBdr>
                                </w:div>
                                <w:div w:id="825515769">
                                  <w:marLeft w:val="0"/>
                                  <w:marRight w:val="0"/>
                                  <w:marTop w:val="0"/>
                                  <w:marBottom w:val="0"/>
                                  <w:divBdr>
                                    <w:top w:val="none" w:sz="0" w:space="0" w:color="auto"/>
                                    <w:left w:val="none" w:sz="0" w:space="0" w:color="auto"/>
                                    <w:bottom w:val="none" w:sz="0" w:space="0" w:color="auto"/>
                                    <w:right w:val="none" w:sz="0" w:space="0" w:color="auto"/>
                                  </w:divBdr>
                                </w:div>
                                <w:div w:id="306980532">
                                  <w:marLeft w:val="0"/>
                                  <w:marRight w:val="0"/>
                                  <w:marTop w:val="0"/>
                                  <w:marBottom w:val="0"/>
                                  <w:divBdr>
                                    <w:top w:val="none" w:sz="0" w:space="0" w:color="auto"/>
                                    <w:left w:val="none" w:sz="0" w:space="0" w:color="auto"/>
                                    <w:bottom w:val="none" w:sz="0" w:space="0" w:color="auto"/>
                                    <w:right w:val="none" w:sz="0" w:space="0" w:color="auto"/>
                                  </w:divBdr>
                                </w:div>
                                <w:div w:id="12397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994618">
      <w:bodyDiv w:val="1"/>
      <w:marLeft w:val="390"/>
      <w:marRight w:val="390"/>
      <w:marTop w:val="0"/>
      <w:marBottom w:val="0"/>
      <w:divBdr>
        <w:top w:val="none" w:sz="0" w:space="0" w:color="auto"/>
        <w:left w:val="none" w:sz="0" w:space="0" w:color="auto"/>
        <w:bottom w:val="none" w:sz="0" w:space="0" w:color="auto"/>
        <w:right w:val="none" w:sz="0" w:space="0" w:color="auto"/>
      </w:divBdr>
      <w:divsChild>
        <w:div w:id="1049299230">
          <w:marLeft w:val="0"/>
          <w:marRight w:val="0"/>
          <w:marTop w:val="0"/>
          <w:marBottom w:val="0"/>
          <w:divBdr>
            <w:top w:val="none" w:sz="0" w:space="0" w:color="auto"/>
            <w:left w:val="none" w:sz="0" w:space="0" w:color="auto"/>
            <w:bottom w:val="none" w:sz="0" w:space="0" w:color="auto"/>
            <w:right w:val="none" w:sz="0" w:space="0" w:color="auto"/>
          </w:divBdr>
          <w:divsChild>
            <w:div w:id="305159917">
              <w:marLeft w:val="0"/>
              <w:marRight w:val="0"/>
              <w:marTop w:val="0"/>
              <w:marBottom w:val="0"/>
              <w:divBdr>
                <w:top w:val="none" w:sz="0" w:space="0" w:color="auto"/>
                <w:left w:val="none" w:sz="0" w:space="0" w:color="auto"/>
                <w:bottom w:val="none" w:sz="0" w:space="0" w:color="auto"/>
                <w:right w:val="none" w:sz="0" w:space="0" w:color="auto"/>
              </w:divBdr>
              <w:divsChild>
                <w:div w:id="518785208">
                  <w:marLeft w:val="-150"/>
                  <w:marRight w:val="-150"/>
                  <w:marTop w:val="0"/>
                  <w:marBottom w:val="0"/>
                  <w:divBdr>
                    <w:top w:val="none" w:sz="0" w:space="0" w:color="auto"/>
                    <w:left w:val="none" w:sz="0" w:space="0" w:color="auto"/>
                    <w:bottom w:val="none" w:sz="0" w:space="0" w:color="auto"/>
                    <w:right w:val="none" w:sz="0" w:space="0" w:color="auto"/>
                  </w:divBdr>
                  <w:divsChild>
                    <w:div w:id="424687030">
                      <w:marLeft w:val="0"/>
                      <w:marRight w:val="0"/>
                      <w:marTop w:val="0"/>
                      <w:marBottom w:val="0"/>
                      <w:divBdr>
                        <w:top w:val="none" w:sz="0" w:space="0" w:color="auto"/>
                        <w:left w:val="none" w:sz="0" w:space="0" w:color="auto"/>
                        <w:bottom w:val="none" w:sz="0" w:space="0" w:color="auto"/>
                        <w:right w:val="none" w:sz="0" w:space="0" w:color="auto"/>
                      </w:divBdr>
                      <w:divsChild>
                        <w:div w:id="1537500458">
                          <w:marLeft w:val="0"/>
                          <w:marRight w:val="0"/>
                          <w:marTop w:val="0"/>
                          <w:marBottom w:val="0"/>
                          <w:divBdr>
                            <w:top w:val="none" w:sz="0" w:space="0" w:color="auto"/>
                            <w:left w:val="none" w:sz="0" w:space="0" w:color="auto"/>
                            <w:bottom w:val="none" w:sz="0" w:space="0" w:color="auto"/>
                            <w:right w:val="none" w:sz="0" w:space="0" w:color="auto"/>
                          </w:divBdr>
                          <w:divsChild>
                            <w:div w:id="707488334">
                              <w:marLeft w:val="0"/>
                              <w:marRight w:val="0"/>
                              <w:marTop w:val="0"/>
                              <w:marBottom w:val="0"/>
                              <w:divBdr>
                                <w:top w:val="none" w:sz="0" w:space="0" w:color="auto"/>
                                <w:left w:val="none" w:sz="0" w:space="0" w:color="auto"/>
                                <w:bottom w:val="none" w:sz="0" w:space="0" w:color="auto"/>
                                <w:right w:val="none" w:sz="0" w:space="0" w:color="auto"/>
                              </w:divBdr>
                              <w:divsChild>
                                <w:div w:id="1894079439">
                                  <w:marLeft w:val="0"/>
                                  <w:marRight w:val="0"/>
                                  <w:marTop w:val="0"/>
                                  <w:marBottom w:val="0"/>
                                  <w:divBdr>
                                    <w:top w:val="none" w:sz="0" w:space="0" w:color="auto"/>
                                    <w:left w:val="none" w:sz="0" w:space="0" w:color="auto"/>
                                    <w:bottom w:val="none" w:sz="0" w:space="0" w:color="auto"/>
                                    <w:right w:val="none" w:sz="0" w:space="0" w:color="auto"/>
                                  </w:divBdr>
                                </w:div>
                                <w:div w:id="1071539208">
                                  <w:marLeft w:val="0"/>
                                  <w:marRight w:val="0"/>
                                  <w:marTop w:val="0"/>
                                  <w:marBottom w:val="0"/>
                                  <w:divBdr>
                                    <w:top w:val="none" w:sz="0" w:space="0" w:color="auto"/>
                                    <w:left w:val="none" w:sz="0" w:space="0" w:color="auto"/>
                                    <w:bottom w:val="none" w:sz="0" w:space="0" w:color="auto"/>
                                    <w:right w:val="none" w:sz="0" w:space="0" w:color="auto"/>
                                  </w:divBdr>
                                </w:div>
                                <w:div w:id="1038895746">
                                  <w:marLeft w:val="0"/>
                                  <w:marRight w:val="0"/>
                                  <w:marTop w:val="0"/>
                                  <w:marBottom w:val="0"/>
                                  <w:divBdr>
                                    <w:top w:val="none" w:sz="0" w:space="0" w:color="auto"/>
                                    <w:left w:val="none" w:sz="0" w:space="0" w:color="auto"/>
                                    <w:bottom w:val="none" w:sz="0" w:space="0" w:color="auto"/>
                                    <w:right w:val="none" w:sz="0" w:space="0" w:color="auto"/>
                                  </w:divBdr>
                                </w:div>
                                <w:div w:id="21016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332335">
      <w:bodyDiv w:val="1"/>
      <w:marLeft w:val="390"/>
      <w:marRight w:val="39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1593588065">
              <w:marLeft w:val="0"/>
              <w:marRight w:val="0"/>
              <w:marTop w:val="0"/>
              <w:marBottom w:val="0"/>
              <w:divBdr>
                <w:top w:val="none" w:sz="0" w:space="0" w:color="auto"/>
                <w:left w:val="none" w:sz="0" w:space="0" w:color="auto"/>
                <w:bottom w:val="none" w:sz="0" w:space="0" w:color="auto"/>
                <w:right w:val="none" w:sz="0" w:space="0" w:color="auto"/>
              </w:divBdr>
              <w:divsChild>
                <w:div w:id="161168744">
                  <w:marLeft w:val="-150"/>
                  <w:marRight w:val="-150"/>
                  <w:marTop w:val="0"/>
                  <w:marBottom w:val="0"/>
                  <w:divBdr>
                    <w:top w:val="none" w:sz="0" w:space="0" w:color="auto"/>
                    <w:left w:val="none" w:sz="0" w:space="0" w:color="auto"/>
                    <w:bottom w:val="none" w:sz="0" w:space="0" w:color="auto"/>
                    <w:right w:val="none" w:sz="0" w:space="0" w:color="auto"/>
                  </w:divBdr>
                  <w:divsChild>
                    <w:div w:id="532425815">
                      <w:marLeft w:val="0"/>
                      <w:marRight w:val="0"/>
                      <w:marTop w:val="0"/>
                      <w:marBottom w:val="0"/>
                      <w:divBdr>
                        <w:top w:val="none" w:sz="0" w:space="0" w:color="auto"/>
                        <w:left w:val="none" w:sz="0" w:space="0" w:color="auto"/>
                        <w:bottom w:val="none" w:sz="0" w:space="0" w:color="auto"/>
                        <w:right w:val="none" w:sz="0" w:space="0" w:color="auto"/>
                      </w:divBdr>
                      <w:divsChild>
                        <w:div w:id="875387070">
                          <w:marLeft w:val="0"/>
                          <w:marRight w:val="0"/>
                          <w:marTop w:val="0"/>
                          <w:marBottom w:val="0"/>
                          <w:divBdr>
                            <w:top w:val="none" w:sz="0" w:space="0" w:color="auto"/>
                            <w:left w:val="none" w:sz="0" w:space="0" w:color="auto"/>
                            <w:bottom w:val="none" w:sz="0" w:space="0" w:color="auto"/>
                            <w:right w:val="none" w:sz="0" w:space="0" w:color="auto"/>
                          </w:divBdr>
                          <w:divsChild>
                            <w:div w:id="11149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325765">
      <w:bodyDiv w:val="1"/>
      <w:marLeft w:val="390"/>
      <w:marRight w:val="390"/>
      <w:marTop w:val="0"/>
      <w:marBottom w:val="0"/>
      <w:divBdr>
        <w:top w:val="none" w:sz="0" w:space="0" w:color="auto"/>
        <w:left w:val="none" w:sz="0" w:space="0" w:color="auto"/>
        <w:bottom w:val="none" w:sz="0" w:space="0" w:color="auto"/>
        <w:right w:val="none" w:sz="0" w:space="0" w:color="auto"/>
      </w:divBdr>
      <w:divsChild>
        <w:div w:id="1774738994">
          <w:marLeft w:val="0"/>
          <w:marRight w:val="0"/>
          <w:marTop w:val="0"/>
          <w:marBottom w:val="0"/>
          <w:divBdr>
            <w:top w:val="none" w:sz="0" w:space="0" w:color="auto"/>
            <w:left w:val="none" w:sz="0" w:space="0" w:color="auto"/>
            <w:bottom w:val="none" w:sz="0" w:space="0" w:color="auto"/>
            <w:right w:val="none" w:sz="0" w:space="0" w:color="auto"/>
          </w:divBdr>
          <w:divsChild>
            <w:div w:id="1484543568">
              <w:marLeft w:val="0"/>
              <w:marRight w:val="0"/>
              <w:marTop w:val="0"/>
              <w:marBottom w:val="0"/>
              <w:divBdr>
                <w:top w:val="none" w:sz="0" w:space="0" w:color="auto"/>
                <w:left w:val="none" w:sz="0" w:space="0" w:color="auto"/>
                <w:bottom w:val="none" w:sz="0" w:space="0" w:color="auto"/>
                <w:right w:val="none" w:sz="0" w:space="0" w:color="auto"/>
              </w:divBdr>
              <w:divsChild>
                <w:div w:id="1402092597">
                  <w:marLeft w:val="-150"/>
                  <w:marRight w:val="-150"/>
                  <w:marTop w:val="0"/>
                  <w:marBottom w:val="0"/>
                  <w:divBdr>
                    <w:top w:val="none" w:sz="0" w:space="0" w:color="auto"/>
                    <w:left w:val="none" w:sz="0" w:space="0" w:color="auto"/>
                    <w:bottom w:val="none" w:sz="0" w:space="0" w:color="auto"/>
                    <w:right w:val="none" w:sz="0" w:space="0" w:color="auto"/>
                  </w:divBdr>
                  <w:divsChild>
                    <w:div w:id="247471952">
                      <w:marLeft w:val="0"/>
                      <w:marRight w:val="0"/>
                      <w:marTop w:val="0"/>
                      <w:marBottom w:val="0"/>
                      <w:divBdr>
                        <w:top w:val="none" w:sz="0" w:space="0" w:color="auto"/>
                        <w:left w:val="none" w:sz="0" w:space="0" w:color="auto"/>
                        <w:bottom w:val="none" w:sz="0" w:space="0" w:color="auto"/>
                        <w:right w:val="none" w:sz="0" w:space="0" w:color="auto"/>
                      </w:divBdr>
                      <w:divsChild>
                        <w:div w:id="929313399">
                          <w:marLeft w:val="0"/>
                          <w:marRight w:val="0"/>
                          <w:marTop w:val="0"/>
                          <w:marBottom w:val="0"/>
                          <w:divBdr>
                            <w:top w:val="none" w:sz="0" w:space="0" w:color="auto"/>
                            <w:left w:val="none" w:sz="0" w:space="0" w:color="auto"/>
                            <w:bottom w:val="none" w:sz="0" w:space="0" w:color="auto"/>
                            <w:right w:val="none" w:sz="0" w:space="0" w:color="auto"/>
                          </w:divBdr>
                          <w:divsChild>
                            <w:div w:id="1377049947">
                              <w:marLeft w:val="0"/>
                              <w:marRight w:val="0"/>
                              <w:marTop w:val="0"/>
                              <w:marBottom w:val="0"/>
                              <w:divBdr>
                                <w:top w:val="none" w:sz="0" w:space="0" w:color="auto"/>
                                <w:left w:val="none" w:sz="0" w:space="0" w:color="auto"/>
                                <w:bottom w:val="none" w:sz="0" w:space="0" w:color="auto"/>
                                <w:right w:val="none" w:sz="0" w:space="0" w:color="auto"/>
                              </w:divBdr>
                              <w:divsChild>
                                <w:div w:id="876694862">
                                  <w:marLeft w:val="0"/>
                                  <w:marRight w:val="0"/>
                                  <w:marTop w:val="0"/>
                                  <w:marBottom w:val="0"/>
                                  <w:divBdr>
                                    <w:top w:val="none" w:sz="0" w:space="0" w:color="auto"/>
                                    <w:left w:val="none" w:sz="0" w:space="0" w:color="auto"/>
                                    <w:bottom w:val="none" w:sz="0" w:space="0" w:color="auto"/>
                                    <w:right w:val="none" w:sz="0" w:space="0" w:color="auto"/>
                                  </w:divBdr>
                                </w:div>
                                <w:div w:id="1377124269">
                                  <w:marLeft w:val="0"/>
                                  <w:marRight w:val="0"/>
                                  <w:marTop w:val="0"/>
                                  <w:marBottom w:val="0"/>
                                  <w:divBdr>
                                    <w:top w:val="none" w:sz="0" w:space="0" w:color="auto"/>
                                    <w:left w:val="none" w:sz="0" w:space="0" w:color="auto"/>
                                    <w:bottom w:val="none" w:sz="0" w:space="0" w:color="auto"/>
                                    <w:right w:val="none" w:sz="0" w:space="0" w:color="auto"/>
                                  </w:divBdr>
                                </w:div>
                                <w:div w:id="1882789328">
                                  <w:marLeft w:val="0"/>
                                  <w:marRight w:val="0"/>
                                  <w:marTop w:val="0"/>
                                  <w:marBottom w:val="0"/>
                                  <w:divBdr>
                                    <w:top w:val="none" w:sz="0" w:space="0" w:color="auto"/>
                                    <w:left w:val="none" w:sz="0" w:space="0" w:color="auto"/>
                                    <w:bottom w:val="none" w:sz="0" w:space="0" w:color="auto"/>
                                    <w:right w:val="none" w:sz="0" w:space="0" w:color="auto"/>
                                  </w:divBdr>
                                </w:div>
                                <w:div w:id="1223130546">
                                  <w:marLeft w:val="0"/>
                                  <w:marRight w:val="0"/>
                                  <w:marTop w:val="0"/>
                                  <w:marBottom w:val="0"/>
                                  <w:divBdr>
                                    <w:top w:val="none" w:sz="0" w:space="0" w:color="auto"/>
                                    <w:left w:val="none" w:sz="0" w:space="0" w:color="auto"/>
                                    <w:bottom w:val="none" w:sz="0" w:space="0" w:color="auto"/>
                                    <w:right w:val="none" w:sz="0" w:space="0" w:color="auto"/>
                                  </w:divBdr>
                                </w:div>
                                <w:div w:id="1064909122">
                                  <w:marLeft w:val="0"/>
                                  <w:marRight w:val="0"/>
                                  <w:marTop w:val="0"/>
                                  <w:marBottom w:val="0"/>
                                  <w:divBdr>
                                    <w:top w:val="none" w:sz="0" w:space="0" w:color="auto"/>
                                    <w:left w:val="none" w:sz="0" w:space="0" w:color="auto"/>
                                    <w:bottom w:val="none" w:sz="0" w:space="0" w:color="auto"/>
                                    <w:right w:val="none" w:sz="0" w:space="0" w:color="auto"/>
                                  </w:divBdr>
                                </w:div>
                                <w:div w:id="1154836087">
                                  <w:marLeft w:val="0"/>
                                  <w:marRight w:val="0"/>
                                  <w:marTop w:val="0"/>
                                  <w:marBottom w:val="0"/>
                                  <w:divBdr>
                                    <w:top w:val="none" w:sz="0" w:space="0" w:color="auto"/>
                                    <w:left w:val="none" w:sz="0" w:space="0" w:color="auto"/>
                                    <w:bottom w:val="none" w:sz="0" w:space="0" w:color="auto"/>
                                    <w:right w:val="none" w:sz="0" w:space="0" w:color="auto"/>
                                  </w:divBdr>
                                </w:div>
                                <w:div w:id="389377994">
                                  <w:marLeft w:val="0"/>
                                  <w:marRight w:val="0"/>
                                  <w:marTop w:val="0"/>
                                  <w:marBottom w:val="0"/>
                                  <w:divBdr>
                                    <w:top w:val="none" w:sz="0" w:space="0" w:color="auto"/>
                                    <w:left w:val="none" w:sz="0" w:space="0" w:color="auto"/>
                                    <w:bottom w:val="none" w:sz="0" w:space="0" w:color="auto"/>
                                    <w:right w:val="none" w:sz="0" w:space="0" w:color="auto"/>
                                  </w:divBdr>
                                </w:div>
                                <w:div w:id="1284386412">
                                  <w:marLeft w:val="0"/>
                                  <w:marRight w:val="0"/>
                                  <w:marTop w:val="0"/>
                                  <w:marBottom w:val="0"/>
                                  <w:divBdr>
                                    <w:top w:val="none" w:sz="0" w:space="0" w:color="auto"/>
                                    <w:left w:val="none" w:sz="0" w:space="0" w:color="auto"/>
                                    <w:bottom w:val="none" w:sz="0" w:space="0" w:color="auto"/>
                                    <w:right w:val="none" w:sz="0" w:space="0" w:color="auto"/>
                                  </w:divBdr>
                                </w:div>
                                <w:div w:id="221907974">
                                  <w:marLeft w:val="0"/>
                                  <w:marRight w:val="0"/>
                                  <w:marTop w:val="0"/>
                                  <w:marBottom w:val="0"/>
                                  <w:divBdr>
                                    <w:top w:val="none" w:sz="0" w:space="0" w:color="auto"/>
                                    <w:left w:val="none" w:sz="0" w:space="0" w:color="auto"/>
                                    <w:bottom w:val="none" w:sz="0" w:space="0" w:color="auto"/>
                                    <w:right w:val="none" w:sz="0" w:space="0" w:color="auto"/>
                                  </w:divBdr>
                                </w:div>
                                <w:div w:id="1535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823701">
      <w:bodyDiv w:val="1"/>
      <w:marLeft w:val="390"/>
      <w:marRight w:val="390"/>
      <w:marTop w:val="0"/>
      <w:marBottom w:val="0"/>
      <w:divBdr>
        <w:top w:val="none" w:sz="0" w:space="0" w:color="auto"/>
        <w:left w:val="none" w:sz="0" w:space="0" w:color="auto"/>
        <w:bottom w:val="none" w:sz="0" w:space="0" w:color="auto"/>
        <w:right w:val="none" w:sz="0" w:space="0" w:color="auto"/>
      </w:divBdr>
      <w:divsChild>
        <w:div w:id="932277351">
          <w:marLeft w:val="0"/>
          <w:marRight w:val="0"/>
          <w:marTop w:val="0"/>
          <w:marBottom w:val="0"/>
          <w:divBdr>
            <w:top w:val="none" w:sz="0" w:space="0" w:color="auto"/>
            <w:left w:val="none" w:sz="0" w:space="0" w:color="auto"/>
            <w:bottom w:val="none" w:sz="0" w:space="0" w:color="auto"/>
            <w:right w:val="none" w:sz="0" w:space="0" w:color="auto"/>
          </w:divBdr>
          <w:divsChild>
            <w:div w:id="269700500">
              <w:marLeft w:val="0"/>
              <w:marRight w:val="0"/>
              <w:marTop w:val="0"/>
              <w:marBottom w:val="0"/>
              <w:divBdr>
                <w:top w:val="none" w:sz="0" w:space="0" w:color="auto"/>
                <w:left w:val="none" w:sz="0" w:space="0" w:color="auto"/>
                <w:bottom w:val="none" w:sz="0" w:space="0" w:color="auto"/>
                <w:right w:val="none" w:sz="0" w:space="0" w:color="auto"/>
              </w:divBdr>
              <w:divsChild>
                <w:div w:id="2018995148">
                  <w:marLeft w:val="-150"/>
                  <w:marRight w:val="-150"/>
                  <w:marTop w:val="0"/>
                  <w:marBottom w:val="0"/>
                  <w:divBdr>
                    <w:top w:val="none" w:sz="0" w:space="0" w:color="auto"/>
                    <w:left w:val="none" w:sz="0" w:space="0" w:color="auto"/>
                    <w:bottom w:val="none" w:sz="0" w:space="0" w:color="auto"/>
                    <w:right w:val="none" w:sz="0" w:space="0" w:color="auto"/>
                  </w:divBdr>
                  <w:divsChild>
                    <w:div w:id="866523077">
                      <w:marLeft w:val="0"/>
                      <w:marRight w:val="0"/>
                      <w:marTop w:val="0"/>
                      <w:marBottom w:val="0"/>
                      <w:divBdr>
                        <w:top w:val="none" w:sz="0" w:space="0" w:color="auto"/>
                        <w:left w:val="none" w:sz="0" w:space="0" w:color="auto"/>
                        <w:bottom w:val="none" w:sz="0" w:space="0" w:color="auto"/>
                        <w:right w:val="none" w:sz="0" w:space="0" w:color="auto"/>
                      </w:divBdr>
                      <w:divsChild>
                        <w:div w:id="459688323">
                          <w:marLeft w:val="0"/>
                          <w:marRight w:val="0"/>
                          <w:marTop w:val="0"/>
                          <w:marBottom w:val="0"/>
                          <w:divBdr>
                            <w:top w:val="none" w:sz="0" w:space="0" w:color="auto"/>
                            <w:left w:val="none" w:sz="0" w:space="0" w:color="auto"/>
                            <w:bottom w:val="none" w:sz="0" w:space="0" w:color="auto"/>
                            <w:right w:val="none" w:sz="0" w:space="0" w:color="auto"/>
                          </w:divBdr>
                          <w:divsChild>
                            <w:div w:id="2109891205">
                              <w:marLeft w:val="0"/>
                              <w:marRight w:val="0"/>
                              <w:marTop w:val="0"/>
                              <w:marBottom w:val="0"/>
                              <w:divBdr>
                                <w:top w:val="none" w:sz="0" w:space="0" w:color="auto"/>
                                <w:left w:val="none" w:sz="0" w:space="0" w:color="auto"/>
                                <w:bottom w:val="none" w:sz="0" w:space="0" w:color="auto"/>
                                <w:right w:val="none" w:sz="0" w:space="0" w:color="auto"/>
                              </w:divBdr>
                              <w:divsChild>
                                <w:div w:id="1967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13834">
      <w:bodyDiv w:val="1"/>
      <w:marLeft w:val="390"/>
      <w:marRight w:val="390"/>
      <w:marTop w:val="0"/>
      <w:marBottom w:val="0"/>
      <w:divBdr>
        <w:top w:val="none" w:sz="0" w:space="0" w:color="auto"/>
        <w:left w:val="none" w:sz="0" w:space="0" w:color="auto"/>
        <w:bottom w:val="none" w:sz="0" w:space="0" w:color="auto"/>
        <w:right w:val="none" w:sz="0" w:space="0" w:color="auto"/>
      </w:divBdr>
      <w:divsChild>
        <w:div w:id="1054740733">
          <w:marLeft w:val="0"/>
          <w:marRight w:val="0"/>
          <w:marTop w:val="0"/>
          <w:marBottom w:val="0"/>
          <w:divBdr>
            <w:top w:val="none" w:sz="0" w:space="0" w:color="auto"/>
            <w:left w:val="none" w:sz="0" w:space="0" w:color="auto"/>
            <w:bottom w:val="none" w:sz="0" w:space="0" w:color="auto"/>
            <w:right w:val="none" w:sz="0" w:space="0" w:color="auto"/>
          </w:divBdr>
          <w:divsChild>
            <w:div w:id="480731478">
              <w:marLeft w:val="0"/>
              <w:marRight w:val="0"/>
              <w:marTop w:val="0"/>
              <w:marBottom w:val="0"/>
              <w:divBdr>
                <w:top w:val="none" w:sz="0" w:space="0" w:color="auto"/>
                <w:left w:val="none" w:sz="0" w:space="0" w:color="auto"/>
                <w:bottom w:val="none" w:sz="0" w:space="0" w:color="auto"/>
                <w:right w:val="none" w:sz="0" w:space="0" w:color="auto"/>
              </w:divBdr>
              <w:divsChild>
                <w:div w:id="555091248">
                  <w:marLeft w:val="-150"/>
                  <w:marRight w:val="-150"/>
                  <w:marTop w:val="0"/>
                  <w:marBottom w:val="0"/>
                  <w:divBdr>
                    <w:top w:val="none" w:sz="0" w:space="0" w:color="auto"/>
                    <w:left w:val="none" w:sz="0" w:space="0" w:color="auto"/>
                    <w:bottom w:val="none" w:sz="0" w:space="0" w:color="auto"/>
                    <w:right w:val="none" w:sz="0" w:space="0" w:color="auto"/>
                  </w:divBdr>
                  <w:divsChild>
                    <w:div w:id="1935212575">
                      <w:marLeft w:val="0"/>
                      <w:marRight w:val="0"/>
                      <w:marTop w:val="0"/>
                      <w:marBottom w:val="0"/>
                      <w:divBdr>
                        <w:top w:val="none" w:sz="0" w:space="0" w:color="auto"/>
                        <w:left w:val="none" w:sz="0" w:space="0" w:color="auto"/>
                        <w:bottom w:val="none" w:sz="0" w:space="0" w:color="auto"/>
                        <w:right w:val="none" w:sz="0" w:space="0" w:color="auto"/>
                      </w:divBdr>
                      <w:divsChild>
                        <w:div w:id="433676308">
                          <w:marLeft w:val="0"/>
                          <w:marRight w:val="0"/>
                          <w:marTop w:val="0"/>
                          <w:marBottom w:val="0"/>
                          <w:divBdr>
                            <w:top w:val="none" w:sz="0" w:space="0" w:color="auto"/>
                            <w:left w:val="none" w:sz="0" w:space="0" w:color="auto"/>
                            <w:bottom w:val="none" w:sz="0" w:space="0" w:color="auto"/>
                            <w:right w:val="none" w:sz="0" w:space="0" w:color="auto"/>
                          </w:divBdr>
                          <w:divsChild>
                            <w:div w:id="1556118387">
                              <w:marLeft w:val="0"/>
                              <w:marRight w:val="0"/>
                              <w:marTop w:val="0"/>
                              <w:marBottom w:val="0"/>
                              <w:divBdr>
                                <w:top w:val="none" w:sz="0" w:space="0" w:color="auto"/>
                                <w:left w:val="none" w:sz="0" w:space="0" w:color="auto"/>
                                <w:bottom w:val="none" w:sz="0" w:space="0" w:color="auto"/>
                                <w:right w:val="none" w:sz="0" w:space="0" w:color="auto"/>
                              </w:divBdr>
                              <w:divsChild>
                                <w:div w:id="19663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920145">
      <w:bodyDiv w:val="1"/>
      <w:marLeft w:val="390"/>
      <w:marRight w:val="390"/>
      <w:marTop w:val="0"/>
      <w:marBottom w:val="0"/>
      <w:divBdr>
        <w:top w:val="none" w:sz="0" w:space="0" w:color="auto"/>
        <w:left w:val="none" w:sz="0" w:space="0" w:color="auto"/>
        <w:bottom w:val="none" w:sz="0" w:space="0" w:color="auto"/>
        <w:right w:val="none" w:sz="0" w:space="0" w:color="auto"/>
      </w:divBdr>
      <w:divsChild>
        <w:div w:id="1046179263">
          <w:marLeft w:val="0"/>
          <w:marRight w:val="0"/>
          <w:marTop w:val="0"/>
          <w:marBottom w:val="0"/>
          <w:divBdr>
            <w:top w:val="none" w:sz="0" w:space="0" w:color="auto"/>
            <w:left w:val="none" w:sz="0" w:space="0" w:color="auto"/>
            <w:bottom w:val="none" w:sz="0" w:space="0" w:color="auto"/>
            <w:right w:val="none" w:sz="0" w:space="0" w:color="auto"/>
          </w:divBdr>
          <w:divsChild>
            <w:div w:id="1500579819">
              <w:marLeft w:val="0"/>
              <w:marRight w:val="0"/>
              <w:marTop w:val="0"/>
              <w:marBottom w:val="0"/>
              <w:divBdr>
                <w:top w:val="none" w:sz="0" w:space="0" w:color="auto"/>
                <w:left w:val="none" w:sz="0" w:space="0" w:color="auto"/>
                <w:bottom w:val="none" w:sz="0" w:space="0" w:color="auto"/>
                <w:right w:val="none" w:sz="0" w:space="0" w:color="auto"/>
              </w:divBdr>
              <w:divsChild>
                <w:div w:id="1412702259">
                  <w:marLeft w:val="-150"/>
                  <w:marRight w:val="-150"/>
                  <w:marTop w:val="0"/>
                  <w:marBottom w:val="0"/>
                  <w:divBdr>
                    <w:top w:val="none" w:sz="0" w:space="0" w:color="auto"/>
                    <w:left w:val="none" w:sz="0" w:space="0" w:color="auto"/>
                    <w:bottom w:val="none" w:sz="0" w:space="0" w:color="auto"/>
                    <w:right w:val="none" w:sz="0" w:space="0" w:color="auto"/>
                  </w:divBdr>
                  <w:divsChild>
                    <w:div w:id="1376663331">
                      <w:marLeft w:val="0"/>
                      <w:marRight w:val="0"/>
                      <w:marTop w:val="0"/>
                      <w:marBottom w:val="0"/>
                      <w:divBdr>
                        <w:top w:val="none" w:sz="0" w:space="0" w:color="auto"/>
                        <w:left w:val="none" w:sz="0" w:space="0" w:color="auto"/>
                        <w:bottom w:val="none" w:sz="0" w:space="0" w:color="auto"/>
                        <w:right w:val="none" w:sz="0" w:space="0" w:color="auto"/>
                      </w:divBdr>
                      <w:divsChild>
                        <w:div w:id="15917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547711">
      <w:bodyDiv w:val="1"/>
      <w:marLeft w:val="390"/>
      <w:marRight w:val="390"/>
      <w:marTop w:val="0"/>
      <w:marBottom w:val="0"/>
      <w:divBdr>
        <w:top w:val="none" w:sz="0" w:space="0" w:color="auto"/>
        <w:left w:val="none" w:sz="0" w:space="0" w:color="auto"/>
        <w:bottom w:val="none" w:sz="0" w:space="0" w:color="auto"/>
        <w:right w:val="none" w:sz="0" w:space="0" w:color="auto"/>
      </w:divBdr>
      <w:divsChild>
        <w:div w:id="758645592">
          <w:marLeft w:val="0"/>
          <w:marRight w:val="0"/>
          <w:marTop w:val="0"/>
          <w:marBottom w:val="0"/>
          <w:divBdr>
            <w:top w:val="none" w:sz="0" w:space="0" w:color="auto"/>
            <w:left w:val="none" w:sz="0" w:space="0" w:color="auto"/>
            <w:bottom w:val="none" w:sz="0" w:space="0" w:color="auto"/>
            <w:right w:val="none" w:sz="0" w:space="0" w:color="auto"/>
          </w:divBdr>
          <w:divsChild>
            <w:div w:id="1816331385">
              <w:marLeft w:val="0"/>
              <w:marRight w:val="0"/>
              <w:marTop w:val="0"/>
              <w:marBottom w:val="0"/>
              <w:divBdr>
                <w:top w:val="none" w:sz="0" w:space="0" w:color="auto"/>
                <w:left w:val="none" w:sz="0" w:space="0" w:color="auto"/>
                <w:bottom w:val="none" w:sz="0" w:space="0" w:color="auto"/>
                <w:right w:val="none" w:sz="0" w:space="0" w:color="auto"/>
              </w:divBdr>
              <w:divsChild>
                <w:div w:id="959409509">
                  <w:marLeft w:val="-150"/>
                  <w:marRight w:val="-150"/>
                  <w:marTop w:val="0"/>
                  <w:marBottom w:val="0"/>
                  <w:divBdr>
                    <w:top w:val="none" w:sz="0" w:space="0" w:color="auto"/>
                    <w:left w:val="none" w:sz="0" w:space="0" w:color="auto"/>
                    <w:bottom w:val="none" w:sz="0" w:space="0" w:color="auto"/>
                    <w:right w:val="none" w:sz="0" w:space="0" w:color="auto"/>
                  </w:divBdr>
                  <w:divsChild>
                    <w:div w:id="1712802876">
                      <w:marLeft w:val="0"/>
                      <w:marRight w:val="0"/>
                      <w:marTop w:val="0"/>
                      <w:marBottom w:val="0"/>
                      <w:divBdr>
                        <w:top w:val="none" w:sz="0" w:space="0" w:color="auto"/>
                        <w:left w:val="none" w:sz="0" w:space="0" w:color="auto"/>
                        <w:bottom w:val="none" w:sz="0" w:space="0" w:color="auto"/>
                        <w:right w:val="none" w:sz="0" w:space="0" w:color="auto"/>
                      </w:divBdr>
                      <w:divsChild>
                        <w:div w:id="231085547">
                          <w:marLeft w:val="0"/>
                          <w:marRight w:val="0"/>
                          <w:marTop w:val="0"/>
                          <w:marBottom w:val="0"/>
                          <w:divBdr>
                            <w:top w:val="none" w:sz="0" w:space="0" w:color="auto"/>
                            <w:left w:val="none" w:sz="0" w:space="0" w:color="auto"/>
                            <w:bottom w:val="none" w:sz="0" w:space="0" w:color="auto"/>
                            <w:right w:val="none" w:sz="0" w:space="0" w:color="auto"/>
                          </w:divBdr>
                          <w:divsChild>
                            <w:div w:id="17084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885213">
      <w:bodyDiv w:val="1"/>
      <w:marLeft w:val="390"/>
      <w:marRight w:val="390"/>
      <w:marTop w:val="0"/>
      <w:marBottom w:val="0"/>
      <w:divBdr>
        <w:top w:val="none" w:sz="0" w:space="0" w:color="auto"/>
        <w:left w:val="none" w:sz="0" w:space="0" w:color="auto"/>
        <w:bottom w:val="none" w:sz="0" w:space="0" w:color="auto"/>
        <w:right w:val="none" w:sz="0" w:space="0" w:color="auto"/>
      </w:divBdr>
      <w:divsChild>
        <w:div w:id="136067532">
          <w:marLeft w:val="0"/>
          <w:marRight w:val="0"/>
          <w:marTop w:val="0"/>
          <w:marBottom w:val="0"/>
          <w:divBdr>
            <w:top w:val="none" w:sz="0" w:space="0" w:color="auto"/>
            <w:left w:val="none" w:sz="0" w:space="0" w:color="auto"/>
            <w:bottom w:val="none" w:sz="0" w:space="0" w:color="auto"/>
            <w:right w:val="none" w:sz="0" w:space="0" w:color="auto"/>
          </w:divBdr>
          <w:divsChild>
            <w:div w:id="1502544830">
              <w:marLeft w:val="0"/>
              <w:marRight w:val="0"/>
              <w:marTop w:val="0"/>
              <w:marBottom w:val="0"/>
              <w:divBdr>
                <w:top w:val="none" w:sz="0" w:space="0" w:color="auto"/>
                <w:left w:val="none" w:sz="0" w:space="0" w:color="auto"/>
                <w:bottom w:val="none" w:sz="0" w:space="0" w:color="auto"/>
                <w:right w:val="none" w:sz="0" w:space="0" w:color="auto"/>
              </w:divBdr>
              <w:divsChild>
                <w:div w:id="1558932046">
                  <w:marLeft w:val="-150"/>
                  <w:marRight w:val="-150"/>
                  <w:marTop w:val="0"/>
                  <w:marBottom w:val="0"/>
                  <w:divBdr>
                    <w:top w:val="none" w:sz="0" w:space="0" w:color="auto"/>
                    <w:left w:val="none" w:sz="0" w:space="0" w:color="auto"/>
                    <w:bottom w:val="none" w:sz="0" w:space="0" w:color="auto"/>
                    <w:right w:val="none" w:sz="0" w:space="0" w:color="auto"/>
                  </w:divBdr>
                  <w:divsChild>
                    <w:div w:id="1600067328">
                      <w:marLeft w:val="0"/>
                      <w:marRight w:val="0"/>
                      <w:marTop w:val="0"/>
                      <w:marBottom w:val="0"/>
                      <w:divBdr>
                        <w:top w:val="none" w:sz="0" w:space="0" w:color="auto"/>
                        <w:left w:val="none" w:sz="0" w:space="0" w:color="auto"/>
                        <w:bottom w:val="none" w:sz="0" w:space="0" w:color="auto"/>
                        <w:right w:val="none" w:sz="0" w:space="0" w:color="auto"/>
                      </w:divBdr>
                      <w:divsChild>
                        <w:div w:id="759104631">
                          <w:marLeft w:val="0"/>
                          <w:marRight w:val="0"/>
                          <w:marTop w:val="0"/>
                          <w:marBottom w:val="0"/>
                          <w:divBdr>
                            <w:top w:val="none" w:sz="0" w:space="0" w:color="auto"/>
                            <w:left w:val="none" w:sz="0" w:space="0" w:color="auto"/>
                            <w:bottom w:val="none" w:sz="0" w:space="0" w:color="auto"/>
                            <w:right w:val="none" w:sz="0" w:space="0" w:color="auto"/>
                          </w:divBdr>
                          <w:divsChild>
                            <w:div w:id="615717697">
                              <w:marLeft w:val="0"/>
                              <w:marRight w:val="0"/>
                              <w:marTop w:val="0"/>
                              <w:marBottom w:val="0"/>
                              <w:divBdr>
                                <w:top w:val="none" w:sz="0" w:space="0" w:color="auto"/>
                                <w:left w:val="none" w:sz="0" w:space="0" w:color="auto"/>
                                <w:bottom w:val="none" w:sz="0" w:space="0" w:color="auto"/>
                                <w:right w:val="none" w:sz="0" w:space="0" w:color="auto"/>
                              </w:divBdr>
                              <w:divsChild>
                                <w:div w:id="1105424160">
                                  <w:marLeft w:val="0"/>
                                  <w:marRight w:val="0"/>
                                  <w:marTop w:val="0"/>
                                  <w:marBottom w:val="0"/>
                                  <w:divBdr>
                                    <w:top w:val="none" w:sz="0" w:space="0" w:color="auto"/>
                                    <w:left w:val="none" w:sz="0" w:space="0" w:color="auto"/>
                                    <w:bottom w:val="none" w:sz="0" w:space="0" w:color="auto"/>
                                    <w:right w:val="none" w:sz="0" w:space="0" w:color="auto"/>
                                  </w:divBdr>
                                </w:div>
                                <w:div w:id="923610773">
                                  <w:marLeft w:val="0"/>
                                  <w:marRight w:val="0"/>
                                  <w:marTop w:val="0"/>
                                  <w:marBottom w:val="0"/>
                                  <w:divBdr>
                                    <w:top w:val="none" w:sz="0" w:space="0" w:color="auto"/>
                                    <w:left w:val="none" w:sz="0" w:space="0" w:color="auto"/>
                                    <w:bottom w:val="none" w:sz="0" w:space="0" w:color="auto"/>
                                    <w:right w:val="none" w:sz="0" w:space="0" w:color="auto"/>
                                  </w:divBdr>
                                </w:div>
                                <w:div w:id="4022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680948">
      <w:bodyDiv w:val="1"/>
      <w:marLeft w:val="390"/>
      <w:marRight w:val="390"/>
      <w:marTop w:val="0"/>
      <w:marBottom w:val="0"/>
      <w:divBdr>
        <w:top w:val="none" w:sz="0" w:space="0" w:color="auto"/>
        <w:left w:val="none" w:sz="0" w:space="0" w:color="auto"/>
        <w:bottom w:val="none" w:sz="0" w:space="0" w:color="auto"/>
        <w:right w:val="none" w:sz="0" w:space="0" w:color="auto"/>
      </w:divBdr>
      <w:divsChild>
        <w:div w:id="300615466">
          <w:marLeft w:val="0"/>
          <w:marRight w:val="0"/>
          <w:marTop w:val="0"/>
          <w:marBottom w:val="0"/>
          <w:divBdr>
            <w:top w:val="none" w:sz="0" w:space="0" w:color="auto"/>
            <w:left w:val="none" w:sz="0" w:space="0" w:color="auto"/>
            <w:bottom w:val="none" w:sz="0" w:space="0" w:color="auto"/>
            <w:right w:val="none" w:sz="0" w:space="0" w:color="auto"/>
          </w:divBdr>
          <w:divsChild>
            <w:div w:id="1455641082">
              <w:marLeft w:val="0"/>
              <w:marRight w:val="0"/>
              <w:marTop w:val="0"/>
              <w:marBottom w:val="0"/>
              <w:divBdr>
                <w:top w:val="none" w:sz="0" w:space="0" w:color="auto"/>
                <w:left w:val="none" w:sz="0" w:space="0" w:color="auto"/>
                <w:bottom w:val="none" w:sz="0" w:space="0" w:color="auto"/>
                <w:right w:val="none" w:sz="0" w:space="0" w:color="auto"/>
              </w:divBdr>
              <w:divsChild>
                <w:div w:id="2121339834">
                  <w:marLeft w:val="-150"/>
                  <w:marRight w:val="-150"/>
                  <w:marTop w:val="0"/>
                  <w:marBottom w:val="0"/>
                  <w:divBdr>
                    <w:top w:val="none" w:sz="0" w:space="0" w:color="auto"/>
                    <w:left w:val="none" w:sz="0" w:space="0" w:color="auto"/>
                    <w:bottom w:val="none" w:sz="0" w:space="0" w:color="auto"/>
                    <w:right w:val="none" w:sz="0" w:space="0" w:color="auto"/>
                  </w:divBdr>
                  <w:divsChild>
                    <w:div w:id="966010869">
                      <w:marLeft w:val="0"/>
                      <w:marRight w:val="0"/>
                      <w:marTop w:val="0"/>
                      <w:marBottom w:val="0"/>
                      <w:divBdr>
                        <w:top w:val="none" w:sz="0" w:space="0" w:color="auto"/>
                        <w:left w:val="none" w:sz="0" w:space="0" w:color="auto"/>
                        <w:bottom w:val="none" w:sz="0" w:space="0" w:color="auto"/>
                        <w:right w:val="none" w:sz="0" w:space="0" w:color="auto"/>
                      </w:divBdr>
                      <w:divsChild>
                        <w:div w:id="623511470">
                          <w:marLeft w:val="0"/>
                          <w:marRight w:val="0"/>
                          <w:marTop w:val="0"/>
                          <w:marBottom w:val="0"/>
                          <w:divBdr>
                            <w:top w:val="none" w:sz="0" w:space="0" w:color="auto"/>
                            <w:left w:val="none" w:sz="0" w:space="0" w:color="auto"/>
                            <w:bottom w:val="none" w:sz="0" w:space="0" w:color="auto"/>
                            <w:right w:val="none" w:sz="0" w:space="0" w:color="auto"/>
                          </w:divBdr>
                          <w:divsChild>
                            <w:div w:id="596671875">
                              <w:marLeft w:val="0"/>
                              <w:marRight w:val="0"/>
                              <w:marTop w:val="0"/>
                              <w:marBottom w:val="0"/>
                              <w:divBdr>
                                <w:top w:val="none" w:sz="0" w:space="0" w:color="auto"/>
                                <w:left w:val="none" w:sz="0" w:space="0" w:color="auto"/>
                                <w:bottom w:val="none" w:sz="0" w:space="0" w:color="auto"/>
                                <w:right w:val="none" w:sz="0" w:space="0" w:color="auto"/>
                              </w:divBdr>
                              <w:divsChild>
                                <w:div w:id="1972904621">
                                  <w:marLeft w:val="0"/>
                                  <w:marRight w:val="0"/>
                                  <w:marTop w:val="0"/>
                                  <w:marBottom w:val="0"/>
                                  <w:divBdr>
                                    <w:top w:val="none" w:sz="0" w:space="0" w:color="auto"/>
                                    <w:left w:val="none" w:sz="0" w:space="0" w:color="auto"/>
                                    <w:bottom w:val="none" w:sz="0" w:space="0" w:color="auto"/>
                                    <w:right w:val="none" w:sz="0" w:space="0" w:color="auto"/>
                                  </w:divBdr>
                                </w:div>
                                <w:div w:id="14327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776798">
      <w:bodyDiv w:val="1"/>
      <w:marLeft w:val="390"/>
      <w:marRight w:val="390"/>
      <w:marTop w:val="0"/>
      <w:marBottom w:val="0"/>
      <w:divBdr>
        <w:top w:val="none" w:sz="0" w:space="0" w:color="auto"/>
        <w:left w:val="none" w:sz="0" w:space="0" w:color="auto"/>
        <w:bottom w:val="none" w:sz="0" w:space="0" w:color="auto"/>
        <w:right w:val="none" w:sz="0" w:space="0" w:color="auto"/>
      </w:divBdr>
      <w:divsChild>
        <w:div w:id="1040476016">
          <w:marLeft w:val="0"/>
          <w:marRight w:val="0"/>
          <w:marTop w:val="0"/>
          <w:marBottom w:val="0"/>
          <w:divBdr>
            <w:top w:val="none" w:sz="0" w:space="0" w:color="auto"/>
            <w:left w:val="none" w:sz="0" w:space="0" w:color="auto"/>
            <w:bottom w:val="none" w:sz="0" w:space="0" w:color="auto"/>
            <w:right w:val="none" w:sz="0" w:space="0" w:color="auto"/>
          </w:divBdr>
          <w:divsChild>
            <w:div w:id="1222253668">
              <w:marLeft w:val="0"/>
              <w:marRight w:val="0"/>
              <w:marTop w:val="0"/>
              <w:marBottom w:val="0"/>
              <w:divBdr>
                <w:top w:val="none" w:sz="0" w:space="0" w:color="auto"/>
                <w:left w:val="none" w:sz="0" w:space="0" w:color="auto"/>
                <w:bottom w:val="none" w:sz="0" w:space="0" w:color="auto"/>
                <w:right w:val="none" w:sz="0" w:space="0" w:color="auto"/>
              </w:divBdr>
              <w:divsChild>
                <w:div w:id="1235243889">
                  <w:marLeft w:val="-150"/>
                  <w:marRight w:val="-150"/>
                  <w:marTop w:val="0"/>
                  <w:marBottom w:val="0"/>
                  <w:divBdr>
                    <w:top w:val="none" w:sz="0" w:space="0" w:color="auto"/>
                    <w:left w:val="none" w:sz="0" w:space="0" w:color="auto"/>
                    <w:bottom w:val="none" w:sz="0" w:space="0" w:color="auto"/>
                    <w:right w:val="none" w:sz="0" w:space="0" w:color="auto"/>
                  </w:divBdr>
                  <w:divsChild>
                    <w:div w:id="413750139">
                      <w:marLeft w:val="0"/>
                      <w:marRight w:val="0"/>
                      <w:marTop w:val="0"/>
                      <w:marBottom w:val="0"/>
                      <w:divBdr>
                        <w:top w:val="none" w:sz="0" w:space="0" w:color="auto"/>
                        <w:left w:val="none" w:sz="0" w:space="0" w:color="auto"/>
                        <w:bottom w:val="none" w:sz="0" w:space="0" w:color="auto"/>
                        <w:right w:val="none" w:sz="0" w:space="0" w:color="auto"/>
                      </w:divBdr>
                      <w:divsChild>
                        <w:div w:id="419912664">
                          <w:marLeft w:val="0"/>
                          <w:marRight w:val="0"/>
                          <w:marTop w:val="0"/>
                          <w:marBottom w:val="0"/>
                          <w:divBdr>
                            <w:top w:val="none" w:sz="0" w:space="0" w:color="auto"/>
                            <w:left w:val="none" w:sz="0" w:space="0" w:color="auto"/>
                            <w:bottom w:val="none" w:sz="0" w:space="0" w:color="auto"/>
                            <w:right w:val="none" w:sz="0" w:space="0" w:color="auto"/>
                          </w:divBdr>
                          <w:divsChild>
                            <w:div w:id="1440949528">
                              <w:marLeft w:val="0"/>
                              <w:marRight w:val="0"/>
                              <w:marTop w:val="0"/>
                              <w:marBottom w:val="0"/>
                              <w:divBdr>
                                <w:top w:val="none" w:sz="0" w:space="0" w:color="auto"/>
                                <w:left w:val="none" w:sz="0" w:space="0" w:color="auto"/>
                                <w:bottom w:val="none" w:sz="0" w:space="0" w:color="auto"/>
                                <w:right w:val="none" w:sz="0" w:space="0" w:color="auto"/>
                              </w:divBdr>
                            </w:div>
                            <w:div w:id="1374232192">
                              <w:marLeft w:val="0"/>
                              <w:marRight w:val="0"/>
                              <w:marTop w:val="0"/>
                              <w:marBottom w:val="0"/>
                              <w:divBdr>
                                <w:top w:val="none" w:sz="0" w:space="0" w:color="auto"/>
                                <w:left w:val="none" w:sz="0" w:space="0" w:color="auto"/>
                                <w:bottom w:val="none" w:sz="0" w:space="0" w:color="auto"/>
                                <w:right w:val="none" w:sz="0" w:space="0" w:color="auto"/>
                              </w:divBdr>
                              <w:divsChild>
                                <w:div w:id="1165320523">
                                  <w:marLeft w:val="0"/>
                                  <w:marRight w:val="0"/>
                                  <w:marTop w:val="0"/>
                                  <w:marBottom w:val="0"/>
                                  <w:divBdr>
                                    <w:top w:val="none" w:sz="0" w:space="0" w:color="auto"/>
                                    <w:left w:val="none" w:sz="0" w:space="0" w:color="auto"/>
                                    <w:bottom w:val="none" w:sz="0" w:space="0" w:color="auto"/>
                                    <w:right w:val="none" w:sz="0" w:space="0" w:color="auto"/>
                                  </w:divBdr>
                                </w:div>
                                <w:div w:id="845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287246">
      <w:bodyDiv w:val="1"/>
      <w:marLeft w:val="390"/>
      <w:marRight w:val="390"/>
      <w:marTop w:val="0"/>
      <w:marBottom w:val="0"/>
      <w:divBdr>
        <w:top w:val="none" w:sz="0" w:space="0" w:color="auto"/>
        <w:left w:val="none" w:sz="0" w:space="0" w:color="auto"/>
        <w:bottom w:val="none" w:sz="0" w:space="0" w:color="auto"/>
        <w:right w:val="none" w:sz="0" w:space="0" w:color="auto"/>
      </w:divBdr>
      <w:divsChild>
        <w:div w:id="938291262">
          <w:marLeft w:val="0"/>
          <w:marRight w:val="0"/>
          <w:marTop w:val="0"/>
          <w:marBottom w:val="0"/>
          <w:divBdr>
            <w:top w:val="none" w:sz="0" w:space="0" w:color="auto"/>
            <w:left w:val="none" w:sz="0" w:space="0" w:color="auto"/>
            <w:bottom w:val="none" w:sz="0" w:space="0" w:color="auto"/>
            <w:right w:val="none" w:sz="0" w:space="0" w:color="auto"/>
          </w:divBdr>
          <w:divsChild>
            <w:div w:id="1571227687">
              <w:marLeft w:val="0"/>
              <w:marRight w:val="0"/>
              <w:marTop w:val="0"/>
              <w:marBottom w:val="0"/>
              <w:divBdr>
                <w:top w:val="none" w:sz="0" w:space="0" w:color="auto"/>
                <w:left w:val="none" w:sz="0" w:space="0" w:color="auto"/>
                <w:bottom w:val="none" w:sz="0" w:space="0" w:color="auto"/>
                <w:right w:val="none" w:sz="0" w:space="0" w:color="auto"/>
              </w:divBdr>
              <w:divsChild>
                <w:div w:id="324748579">
                  <w:marLeft w:val="-150"/>
                  <w:marRight w:val="-150"/>
                  <w:marTop w:val="0"/>
                  <w:marBottom w:val="0"/>
                  <w:divBdr>
                    <w:top w:val="none" w:sz="0" w:space="0" w:color="auto"/>
                    <w:left w:val="none" w:sz="0" w:space="0" w:color="auto"/>
                    <w:bottom w:val="none" w:sz="0" w:space="0" w:color="auto"/>
                    <w:right w:val="none" w:sz="0" w:space="0" w:color="auto"/>
                  </w:divBdr>
                  <w:divsChild>
                    <w:div w:id="493649506">
                      <w:marLeft w:val="0"/>
                      <w:marRight w:val="0"/>
                      <w:marTop w:val="0"/>
                      <w:marBottom w:val="0"/>
                      <w:divBdr>
                        <w:top w:val="none" w:sz="0" w:space="0" w:color="auto"/>
                        <w:left w:val="none" w:sz="0" w:space="0" w:color="auto"/>
                        <w:bottom w:val="none" w:sz="0" w:space="0" w:color="auto"/>
                        <w:right w:val="none" w:sz="0" w:space="0" w:color="auto"/>
                      </w:divBdr>
                      <w:divsChild>
                        <w:div w:id="1955360837">
                          <w:marLeft w:val="0"/>
                          <w:marRight w:val="0"/>
                          <w:marTop w:val="0"/>
                          <w:marBottom w:val="0"/>
                          <w:divBdr>
                            <w:top w:val="none" w:sz="0" w:space="0" w:color="auto"/>
                            <w:left w:val="none" w:sz="0" w:space="0" w:color="auto"/>
                            <w:bottom w:val="none" w:sz="0" w:space="0" w:color="auto"/>
                            <w:right w:val="none" w:sz="0" w:space="0" w:color="auto"/>
                          </w:divBdr>
                          <w:divsChild>
                            <w:div w:id="1170828989">
                              <w:marLeft w:val="0"/>
                              <w:marRight w:val="0"/>
                              <w:marTop w:val="0"/>
                              <w:marBottom w:val="0"/>
                              <w:divBdr>
                                <w:top w:val="none" w:sz="0" w:space="0" w:color="auto"/>
                                <w:left w:val="none" w:sz="0" w:space="0" w:color="auto"/>
                                <w:bottom w:val="none" w:sz="0" w:space="0" w:color="auto"/>
                                <w:right w:val="none" w:sz="0" w:space="0" w:color="auto"/>
                              </w:divBdr>
                              <w:divsChild>
                                <w:div w:id="403179">
                                  <w:marLeft w:val="0"/>
                                  <w:marRight w:val="0"/>
                                  <w:marTop w:val="0"/>
                                  <w:marBottom w:val="0"/>
                                  <w:divBdr>
                                    <w:top w:val="none" w:sz="0" w:space="0" w:color="auto"/>
                                    <w:left w:val="none" w:sz="0" w:space="0" w:color="auto"/>
                                    <w:bottom w:val="none" w:sz="0" w:space="0" w:color="auto"/>
                                    <w:right w:val="none" w:sz="0" w:space="0" w:color="auto"/>
                                  </w:divBdr>
                                </w:div>
                                <w:div w:id="667755776">
                                  <w:marLeft w:val="0"/>
                                  <w:marRight w:val="0"/>
                                  <w:marTop w:val="0"/>
                                  <w:marBottom w:val="0"/>
                                  <w:divBdr>
                                    <w:top w:val="none" w:sz="0" w:space="0" w:color="auto"/>
                                    <w:left w:val="none" w:sz="0" w:space="0" w:color="auto"/>
                                    <w:bottom w:val="none" w:sz="0" w:space="0" w:color="auto"/>
                                    <w:right w:val="none" w:sz="0" w:space="0" w:color="auto"/>
                                  </w:divBdr>
                                </w:div>
                                <w:div w:id="605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734849">
      <w:bodyDiv w:val="1"/>
      <w:marLeft w:val="390"/>
      <w:marRight w:val="390"/>
      <w:marTop w:val="0"/>
      <w:marBottom w:val="0"/>
      <w:divBdr>
        <w:top w:val="none" w:sz="0" w:space="0" w:color="auto"/>
        <w:left w:val="none" w:sz="0" w:space="0" w:color="auto"/>
        <w:bottom w:val="none" w:sz="0" w:space="0" w:color="auto"/>
        <w:right w:val="none" w:sz="0" w:space="0" w:color="auto"/>
      </w:divBdr>
      <w:divsChild>
        <w:div w:id="1529676960">
          <w:marLeft w:val="0"/>
          <w:marRight w:val="0"/>
          <w:marTop w:val="0"/>
          <w:marBottom w:val="0"/>
          <w:divBdr>
            <w:top w:val="none" w:sz="0" w:space="0" w:color="auto"/>
            <w:left w:val="none" w:sz="0" w:space="0" w:color="auto"/>
            <w:bottom w:val="none" w:sz="0" w:space="0" w:color="auto"/>
            <w:right w:val="none" w:sz="0" w:space="0" w:color="auto"/>
          </w:divBdr>
          <w:divsChild>
            <w:div w:id="2054302979">
              <w:marLeft w:val="0"/>
              <w:marRight w:val="0"/>
              <w:marTop w:val="0"/>
              <w:marBottom w:val="0"/>
              <w:divBdr>
                <w:top w:val="none" w:sz="0" w:space="0" w:color="auto"/>
                <w:left w:val="none" w:sz="0" w:space="0" w:color="auto"/>
                <w:bottom w:val="none" w:sz="0" w:space="0" w:color="auto"/>
                <w:right w:val="none" w:sz="0" w:space="0" w:color="auto"/>
              </w:divBdr>
              <w:divsChild>
                <w:div w:id="1106120788">
                  <w:marLeft w:val="-150"/>
                  <w:marRight w:val="-150"/>
                  <w:marTop w:val="0"/>
                  <w:marBottom w:val="0"/>
                  <w:divBdr>
                    <w:top w:val="none" w:sz="0" w:space="0" w:color="auto"/>
                    <w:left w:val="none" w:sz="0" w:space="0" w:color="auto"/>
                    <w:bottom w:val="none" w:sz="0" w:space="0" w:color="auto"/>
                    <w:right w:val="none" w:sz="0" w:space="0" w:color="auto"/>
                  </w:divBdr>
                  <w:divsChild>
                    <w:div w:id="1502889443">
                      <w:marLeft w:val="0"/>
                      <w:marRight w:val="0"/>
                      <w:marTop w:val="0"/>
                      <w:marBottom w:val="0"/>
                      <w:divBdr>
                        <w:top w:val="none" w:sz="0" w:space="0" w:color="auto"/>
                        <w:left w:val="none" w:sz="0" w:space="0" w:color="auto"/>
                        <w:bottom w:val="none" w:sz="0" w:space="0" w:color="auto"/>
                        <w:right w:val="none" w:sz="0" w:space="0" w:color="auto"/>
                      </w:divBdr>
                      <w:divsChild>
                        <w:div w:id="903955640">
                          <w:marLeft w:val="0"/>
                          <w:marRight w:val="0"/>
                          <w:marTop w:val="0"/>
                          <w:marBottom w:val="0"/>
                          <w:divBdr>
                            <w:top w:val="none" w:sz="0" w:space="0" w:color="auto"/>
                            <w:left w:val="none" w:sz="0" w:space="0" w:color="auto"/>
                            <w:bottom w:val="none" w:sz="0" w:space="0" w:color="auto"/>
                            <w:right w:val="none" w:sz="0" w:space="0" w:color="auto"/>
                          </w:divBdr>
                          <w:divsChild>
                            <w:div w:id="247160877">
                              <w:marLeft w:val="0"/>
                              <w:marRight w:val="0"/>
                              <w:marTop w:val="0"/>
                              <w:marBottom w:val="0"/>
                              <w:divBdr>
                                <w:top w:val="none" w:sz="0" w:space="0" w:color="auto"/>
                                <w:left w:val="none" w:sz="0" w:space="0" w:color="auto"/>
                                <w:bottom w:val="none" w:sz="0" w:space="0" w:color="auto"/>
                                <w:right w:val="none" w:sz="0" w:space="0" w:color="auto"/>
                              </w:divBdr>
                              <w:divsChild>
                                <w:div w:id="9824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6215">
      <w:bodyDiv w:val="1"/>
      <w:marLeft w:val="390"/>
      <w:marRight w:val="390"/>
      <w:marTop w:val="0"/>
      <w:marBottom w:val="0"/>
      <w:divBdr>
        <w:top w:val="none" w:sz="0" w:space="0" w:color="auto"/>
        <w:left w:val="none" w:sz="0" w:space="0" w:color="auto"/>
        <w:bottom w:val="none" w:sz="0" w:space="0" w:color="auto"/>
        <w:right w:val="none" w:sz="0" w:space="0" w:color="auto"/>
      </w:divBdr>
      <w:divsChild>
        <w:div w:id="1616403108">
          <w:marLeft w:val="0"/>
          <w:marRight w:val="0"/>
          <w:marTop w:val="0"/>
          <w:marBottom w:val="0"/>
          <w:divBdr>
            <w:top w:val="none" w:sz="0" w:space="0" w:color="auto"/>
            <w:left w:val="none" w:sz="0" w:space="0" w:color="auto"/>
            <w:bottom w:val="none" w:sz="0" w:space="0" w:color="auto"/>
            <w:right w:val="none" w:sz="0" w:space="0" w:color="auto"/>
          </w:divBdr>
          <w:divsChild>
            <w:div w:id="513811751">
              <w:marLeft w:val="0"/>
              <w:marRight w:val="0"/>
              <w:marTop w:val="0"/>
              <w:marBottom w:val="0"/>
              <w:divBdr>
                <w:top w:val="none" w:sz="0" w:space="0" w:color="auto"/>
                <w:left w:val="none" w:sz="0" w:space="0" w:color="auto"/>
                <w:bottom w:val="none" w:sz="0" w:space="0" w:color="auto"/>
                <w:right w:val="none" w:sz="0" w:space="0" w:color="auto"/>
              </w:divBdr>
              <w:divsChild>
                <w:div w:id="1582790829">
                  <w:marLeft w:val="-150"/>
                  <w:marRight w:val="-150"/>
                  <w:marTop w:val="0"/>
                  <w:marBottom w:val="0"/>
                  <w:divBdr>
                    <w:top w:val="none" w:sz="0" w:space="0" w:color="auto"/>
                    <w:left w:val="none" w:sz="0" w:space="0" w:color="auto"/>
                    <w:bottom w:val="none" w:sz="0" w:space="0" w:color="auto"/>
                    <w:right w:val="none" w:sz="0" w:space="0" w:color="auto"/>
                  </w:divBdr>
                  <w:divsChild>
                    <w:div w:id="1402944442">
                      <w:marLeft w:val="0"/>
                      <w:marRight w:val="0"/>
                      <w:marTop w:val="0"/>
                      <w:marBottom w:val="0"/>
                      <w:divBdr>
                        <w:top w:val="none" w:sz="0" w:space="0" w:color="auto"/>
                        <w:left w:val="none" w:sz="0" w:space="0" w:color="auto"/>
                        <w:bottom w:val="none" w:sz="0" w:space="0" w:color="auto"/>
                        <w:right w:val="none" w:sz="0" w:space="0" w:color="auto"/>
                      </w:divBdr>
                      <w:divsChild>
                        <w:div w:id="519045699">
                          <w:marLeft w:val="0"/>
                          <w:marRight w:val="0"/>
                          <w:marTop w:val="0"/>
                          <w:marBottom w:val="0"/>
                          <w:divBdr>
                            <w:top w:val="none" w:sz="0" w:space="0" w:color="auto"/>
                            <w:left w:val="none" w:sz="0" w:space="0" w:color="auto"/>
                            <w:bottom w:val="none" w:sz="0" w:space="0" w:color="auto"/>
                            <w:right w:val="none" w:sz="0" w:space="0" w:color="auto"/>
                          </w:divBdr>
                          <w:divsChild>
                            <w:div w:id="1315525240">
                              <w:marLeft w:val="0"/>
                              <w:marRight w:val="0"/>
                              <w:marTop w:val="0"/>
                              <w:marBottom w:val="0"/>
                              <w:divBdr>
                                <w:top w:val="none" w:sz="0" w:space="0" w:color="auto"/>
                                <w:left w:val="none" w:sz="0" w:space="0" w:color="auto"/>
                                <w:bottom w:val="none" w:sz="0" w:space="0" w:color="auto"/>
                                <w:right w:val="none" w:sz="0" w:space="0" w:color="auto"/>
                              </w:divBdr>
                              <w:divsChild>
                                <w:div w:id="695353323">
                                  <w:marLeft w:val="0"/>
                                  <w:marRight w:val="0"/>
                                  <w:marTop w:val="0"/>
                                  <w:marBottom w:val="0"/>
                                  <w:divBdr>
                                    <w:top w:val="none" w:sz="0" w:space="0" w:color="auto"/>
                                    <w:left w:val="none" w:sz="0" w:space="0" w:color="auto"/>
                                    <w:bottom w:val="none" w:sz="0" w:space="0" w:color="auto"/>
                                    <w:right w:val="none" w:sz="0" w:space="0" w:color="auto"/>
                                  </w:divBdr>
                                </w:div>
                                <w:div w:id="933903289">
                                  <w:marLeft w:val="0"/>
                                  <w:marRight w:val="0"/>
                                  <w:marTop w:val="0"/>
                                  <w:marBottom w:val="0"/>
                                  <w:divBdr>
                                    <w:top w:val="none" w:sz="0" w:space="0" w:color="auto"/>
                                    <w:left w:val="none" w:sz="0" w:space="0" w:color="auto"/>
                                    <w:bottom w:val="none" w:sz="0" w:space="0" w:color="auto"/>
                                    <w:right w:val="none" w:sz="0" w:space="0" w:color="auto"/>
                                  </w:divBdr>
                                </w:div>
                              </w:divsChild>
                            </w:div>
                            <w:div w:id="1842894949">
                              <w:marLeft w:val="0"/>
                              <w:marRight w:val="0"/>
                              <w:marTop w:val="0"/>
                              <w:marBottom w:val="0"/>
                              <w:divBdr>
                                <w:top w:val="none" w:sz="0" w:space="0" w:color="auto"/>
                                <w:left w:val="none" w:sz="0" w:space="0" w:color="auto"/>
                                <w:bottom w:val="none" w:sz="0" w:space="0" w:color="auto"/>
                                <w:right w:val="none" w:sz="0" w:space="0" w:color="auto"/>
                              </w:divBdr>
                            </w:div>
                            <w:div w:id="10341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244902">
      <w:bodyDiv w:val="1"/>
      <w:marLeft w:val="390"/>
      <w:marRight w:val="390"/>
      <w:marTop w:val="0"/>
      <w:marBottom w:val="0"/>
      <w:divBdr>
        <w:top w:val="none" w:sz="0" w:space="0" w:color="auto"/>
        <w:left w:val="none" w:sz="0" w:space="0" w:color="auto"/>
        <w:bottom w:val="none" w:sz="0" w:space="0" w:color="auto"/>
        <w:right w:val="none" w:sz="0" w:space="0" w:color="auto"/>
      </w:divBdr>
      <w:divsChild>
        <w:div w:id="497044638">
          <w:marLeft w:val="0"/>
          <w:marRight w:val="0"/>
          <w:marTop w:val="0"/>
          <w:marBottom w:val="0"/>
          <w:divBdr>
            <w:top w:val="none" w:sz="0" w:space="0" w:color="auto"/>
            <w:left w:val="none" w:sz="0" w:space="0" w:color="auto"/>
            <w:bottom w:val="none" w:sz="0" w:space="0" w:color="auto"/>
            <w:right w:val="none" w:sz="0" w:space="0" w:color="auto"/>
          </w:divBdr>
          <w:divsChild>
            <w:div w:id="1367679946">
              <w:marLeft w:val="0"/>
              <w:marRight w:val="0"/>
              <w:marTop w:val="0"/>
              <w:marBottom w:val="0"/>
              <w:divBdr>
                <w:top w:val="none" w:sz="0" w:space="0" w:color="auto"/>
                <w:left w:val="none" w:sz="0" w:space="0" w:color="auto"/>
                <w:bottom w:val="none" w:sz="0" w:space="0" w:color="auto"/>
                <w:right w:val="none" w:sz="0" w:space="0" w:color="auto"/>
              </w:divBdr>
              <w:divsChild>
                <w:div w:id="1082990296">
                  <w:marLeft w:val="-150"/>
                  <w:marRight w:val="-150"/>
                  <w:marTop w:val="0"/>
                  <w:marBottom w:val="0"/>
                  <w:divBdr>
                    <w:top w:val="none" w:sz="0" w:space="0" w:color="auto"/>
                    <w:left w:val="none" w:sz="0" w:space="0" w:color="auto"/>
                    <w:bottom w:val="none" w:sz="0" w:space="0" w:color="auto"/>
                    <w:right w:val="none" w:sz="0" w:space="0" w:color="auto"/>
                  </w:divBdr>
                  <w:divsChild>
                    <w:div w:id="585845226">
                      <w:marLeft w:val="0"/>
                      <w:marRight w:val="0"/>
                      <w:marTop w:val="0"/>
                      <w:marBottom w:val="0"/>
                      <w:divBdr>
                        <w:top w:val="none" w:sz="0" w:space="0" w:color="auto"/>
                        <w:left w:val="none" w:sz="0" w:space="0" w:color="auto"/>
                        <w:bottom w:val="none" w:sz="0" w:space="0" w:color="auto"/>
                        <w:right w:val="none" w:sz="0" w:space="0" w:color="auto"/>
                      </w:divBdr>
                      <w:divsChild>
                        <w:div w:id="1492453501">
                          <w:marLeft w:val="0"/>
                          <w:marRight w:val="0"/>
                          <w:marTop w:val="0"/>
                          <w:marBottom w:val="0"/>
                          <w:divBdr>
                            <w:top w:val="none" w:sz="0" w:space="0" w:color="auto"/>
                            <w:left w:val="none" w:sz="0" w:space="0" w:color="auto"/>
                            <w:bottom w:val="none" w:sz="0" w:space="0" w:color="auto"/>
                            <w:right w:val="none" w:sz="0" w:space="0" w:color="auto"/>
                          </w:divBdr>
                          <w:divsChild>
                            <w:div w:id="2003006768">
                              <w:marLeft w:val="0"/>
                              <w:marRight w:val="0"/>
                              <w:marTop w:val="0"/>
                              <w:marBottom w:val="0"/>
                              <w:divBdr>
                                <w:top w:val="none" w:sz="0" w:space="0" w:color="auto"/>
                                <w:left w:val="none" w:sz="0" w:space="0" w:color="auto"/>
                                <w:bottom w:val="none" w:sz="0" w:space="0" w:color="auto"/>
                                <w:right w:val="none" w:sz="0" w:space="0" w:color="auto"/>
                              </w:divBdr>
                              <w:divsChild>
                                <w:div w:id="1415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350058">
      <w:bodyDiv w:val="1"/>
      <w:marLeft w:val="390"/>
      <w:marRight w:val="390"/>
      <w:marTop w:val="0"/>
      <w:marBottom w:val="0"/>
      <w:divBdr>
        <w:top w:val="none" w:sz="0" w:space="0" w:color="auto"/>
        <w:left w:val="none" w:sz="0" w:space="0" w:color="auto"/>
        <w:bottom w:val="none" w:sz="0" w:space="0" w:color="auto"/>
        <w:right w:val="none" w:sz="0" w:space="0" w:color="auto"/>
      </w:divBdr>
      <w:divsChild>
        <w:div w:id="1910312230">
          <w:marLeft w:val="0"/>
          <w:marRight w:val="0"/>
          <w:marTop w:val="0"/>
          <w:marBottom w:val="0"/>
          <w:divBdr>
            <w:top w:val="none" w:sz="0" w:space="0" w:color="auto"/>
            <w:left w:val="none" w:sz="0" w:space="0" w:color="auto"/>
            <w:bottom w:val="none" w:sz="0" w:space="0" w:color="auto"/>
            <w:right w:val="none" w:sz="0" w:space="0" w:color="auto"/>
          </w:divBdr>
          <w:divsChild>
            <w:div w:id="977106825">
              <w:marLeft w:val="0"/>
              <w:marRight w:val="0"/>
              <w:marTop w:val="0"/>
              <w:marBottom w:val="0"/>
              <w:divBdr>
                <w:top w:val="none" w:sz="0" w:space="0" w:color="auto"/>
                <w:left w:val="none" w:sz="0" w:space="0" w:color="auto"/>
                <w:bottom w:val="none" w:sz="0" w:space="0" w:color="auto"/>
                <w:right w:val="none" w:sz="0" w:space="0" w:color="auto"/>
              </w:divBdr>
              <w:divsChild>
                <w:div w:id="798380893">
                  <w:marLeft w:val="-150"/>
                  <w:marRight w:val="-150"/>
                  <w:marTop w:val="0"/>
                  <w:marBottom w:val="0"/>
                  <w:divBdr>
                    <w:top w:val="none" w:sz="0" w:space="0" w:color="auto"/>
                    <w:left w:val="none" w:sz="0" w:space="0" w:color="auto"/>
                    <w:bottom w:val="none" w:sz="0" w:space="0" w:color="auto"/>
                    <w:right w:val="none" w:sz="0" w:space="0" w:color="auto"/>
                  </w:divBdr>
                  <w:divsChild>
                    <w:div w:id="503981954">
                      <w:marLeft w:val="0"/>
                      <w:marRight w:val="0"/>
                      <w:marTop w:val="0"/>
                      <w:marBottom w:val="0"/>
                      <w:divBdr>
                        <w:top w:val="none" w:sz="0" w:space="0" w:color="auto"/>
                        <w:left w:val="none" w:sz="0" w:space="0" w:color="auto"/>
                        <w:bottom w:val="none" w:sz="0" w:space="0" w:color="auto"/>
                        <w:right w:val="none" w:sz="0" w:space="0" w:color="auto"/>
                      </w:divBdr>
                      <w:divsChild>
                        <w:div w:id="775490818">
                          <w:marLeft w:val="0"/>
                          <w:marRight w:val="0"/>
                          <w:marTop w:val="0"/>
                          <w:marBottom w:val="0"/>
                          <w:divBdr>
                            <w:top w:val="none" w:sz="0" w:space="0" w:color="auto"/>
                            <w:left w:val="none" w:sz="0" w:space="0" w:color="auto"/>
                            <w:bottom w:val="none" w:sz="0" w:space="0" w:color="auto"/>
                            <w:right w:val="none" w:sz="0" w:space="0" w:color="auto"/>
                          </w:divBdr>
                          <w:divsChild>
                            <w:div w:id="1924028243">
                              <w:marLeft w:val="0"/>
                              <w:marRight w:val="0"/>
                              <w:marTop w:val="0"/>
                              <w:marBottom w:val="0"/>
                              <w:divBdr>
                                <w:top w:val="none" w:sz="0" w:space="0" w:color="auto"/>
                                <w:left w:val="none" w:sz="0" w:space="0" w:color="auto"/>
                                <w:bottom w:val="none" w:sz="0" w:space="0" w:color="auto"/>
                                <w:right w:val="none" w:sz="0" w:space="0" w:color="auto"/>
                              </w:divBdr>
                              <w:divsChild>
                                <w:div w:id="460268677">
                                  <w:marLeft w:val="0"/>
                                  <w:marRight w:val="0"/>
                                  <w:marTop w:val="0"/>
                                  <w:marBottom w:val="0"/>
                                  <w:divBdr>
                                    <w:top w:val="none" w:sz="0" w:space="0" w:color="auto"/>
                                    <w:left w:val="none" w:sz="0" w:space="0" w:color="auto"/>
                                    <w:bottom w:val="none" w:sz="0" w:space="0" w:color="auto"/>
                                    <w:right w:val="none" w:sz="0" w:space="0" w:color="auto"/>
                                  </w:divBdr>
                                </w:div>
                                <w:div w:id="777718528">
                                  <w:marLeft w:val="0"/>
                                  <w:marRight w:val="0"/>
                                  <w:marTop w:val="0"/>
                                  <w:marBottom w:val="0"/>
                                  <w:divBdr>
                                    <w:top w:val="none" w:sz="0" w:space="0" w:color="auto"/>
                                    <w:left w:val="none" w:sz="0" w:space="0" w:color="auto"/>
                                    <w:bottom w:val="none" w:sz="0" w:space="0" w:color="auto"/>
                                    <w:right w:val="none" w:sz="0" w:space="0" w:color="auto"/>
                                  </w:divBdr>
                                </w:div>
                                <w:div w:id="520974649">
                                  <w:marLeft w:val="0"/>
                                  <w:marRight w:val="0"/>
                                  <w:marTop w:val="0"/>
                                  <w:marBottom w:val="0"/>
                                  <w:divBdr>
                                    <w:top w:val="none" w:sz="0" w:space="0" w:color="auto"/>
                                    <w:left w:val="none" w:sz="0" w:space="0" w:color="auto"/>
                                    <w:bottom w:val="none" w:sz="0" w:space="0" w:color="auto"/>
                                    <w:right w:val="none" w:sz="0" w:space="0" w:color="auto"/>
                                  </w:divBdr>
                                </w:div>
                                <w:div w:id="9716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956759">
      <w:bodyDiv w:val="1"/>
      <w:marLeft w:val="390"/>
      <w:marRight w:val="390"/>
      <w:marTop w:val="0"/>
      <w:marBottom w:val="0"/>
      <w:divBdr>
        <w:top w:val="none" w:sz="0" w:space="0" w:color="auto"/>
        <w:left w:val="none" w:sz="0" w:space="0" w:color="auto"/>
        <w:bottom w:val="none" w:sz="0" w:space="0" w:color="auto"/>
        <w:right w:val="none" w:sz="0" w:space="0" w:color="auto"/>
      </w:divBdr>
      <w:divsChild>
        <w:div w:id="1126507962">
          <w:marLeft w:val="0"/>
          <w:marRight w:val="0"/>
          <w:marTop w:val="0"/>
          <w:marBottom w:val="0"/>
          <w:divBdr>
            <w:top w:val="none" w:sz="0" w:space="0" w:color="auto"/>
            <w:left w:val="none" w:sz="0" w:space="0" w:color="auto"/>
            <w:bottom w:val="none" w:sz="0" w:space="0" w:color="auto"/>
            <w:right w:val="none" w:sz="0" w:space="0" w:color="auto"/>
          </w:divBdr>
          <w:divsChild>
            <w:div w:id="1916087174">
              <w:marLeft w:val="0"/>
              <w:marRight w:val="0"/>
              <w:marTop w:val="0"/>
              <w:marBottom w:val="0"/>
              <w:divBdr>
                <w:top w:val="none" w:sz="0" w:space="0" w:color="auto"/>
                <w:left w:val="none" w:sz="0" w:space="0" w:color="auto"/>
                <w:bottom w:val="none" w:sz="0" w:space="0" w:color="auto"/>
                <w:right w:val="none" w:sz="0" w:space="0" w:color="auto"/>
              </w:divBdr>
              <w:divsChild>
                <w:div w:id="772169457">
                  <w:marLeft w:val="-150"/>
                  <w:marRight w:val="-150"/>
                  <w:marTop w:val="0"/>
                  <w:marBottom w:val="0"/>
                  <w:divBdr>
                    <w:top w:val="none" w:sz="0" w:space="0" w:color="auto"/>
                    <w:left w:val="none" w:sz="0" w:space="0" w:color="auto"/>
                    <w:bottom w:val="none" w:sz="0" w:space="0" w:color="auto"/>
                    <w:right w:val="none" w:sz="0" w:space="0" w:color="auto"/>
                  </w:divBdr>
                  <w:divsChild>
                    <w:div w:id="687291074">
                      <w:marLeft w:val="0"/>
                      <w:marRight w:val="0"/>
                      <w:marTop w:val="0"/>
                      <w:marBottom w:val="0"/>
                      <w:divBdr>
                        <w:top w:val="none" w:sz="0" w:space="0" w:color="auto"/>
                        <w:left w:val="none" w:sz="0" w:space="0" w:color="auto"/>
                        <w:bottom w:val="none" w:sz="0" w:space="0" w:color="auto"/>
                        <w:right w:val="none" w:sz="0" w:space="0" w:color="auto"/>
                      </w:divBdr>
                      <w:divsChild>
                        <w:div w:id="1661999424">
                          <w:marLeft w:val="0"/>
                          <w:marRight w:val="0"/>
                          <w:marTop w:val="0"/>
                          <w:marBottom w:val="0"/>
                          <w:divBdr>
                            <w:top w:val="none" w:sz="0" w:space="0" w:color="auto"/>
                            <w:left w:val="none" w:sz="0" w:space="0" w:color="auto"/>
                            <w:bottom w:val="none" w:sz="0" w:space="0" w:color="auto"/>
                            <w:right w:val="none" w:sz="0" w:space="0" w:color="auto"/>
                          </w:divBdr>
                          <w:divsChild>
                            <w:div w:id="932589180">
                              <w:marLeft w:val="0"/>
                              <w:marRight w:val="0"/>
                              <w:marTop w:val="0"/>
                              <w:marBottom w:val="0"/>
                              <w:divBdr>
                                <w:top w:val="none" w:sz="0" w:space="0" w:color="auto"/>
                                <w:left w:val="none" w:sz="0" w:space="0" w:color="auto"/>
                                <w:bottom w:val="none" w:sz="0" w:space="0" w:color="auto"/>
                                <w:right w:val="none" w:sz="0" w:space="0" w:color="auto"/>
                              </w:divBdr>
                              <w:divsChild>
                                <w:div w:id="1107702972">
                                  <w:marLeft w:val="0"/>
                                  <w:marRight w:val="0"/>
                                  <w:marTop w:val="0"/>
                                  <w:marBottom w:val="0"/>
                                  <w:divBdr>
                                    <w:top w:val="none" w:sz="0" w:space="0" w:color="auto"/>
                                    <w:left w:val="none" w:sz="0" w:space="0" w:color="auto"/>
                                    <w:bottom w:val="none" w:sz="0" w:space="0" w:color="auto"/>
                                    <w:right w:val="none" w:sz="0" w:space="0" w:color="auto"/>
                                  </w:divBdr>
                                </w:div>
                                <w:div w:id="961379055">
                                  <w:marLeft w:val="0"/>
                                  <w:marRight w:val="0"/>
                                  <w:marTop w:val="0"/>
                                  <w:marBottom w:val="0"/>
                                  <w:divBdr>
                                    <w:top w:val="none" w:sz="0" w:space="0" w:color="auto"/>
                                    <w:left w:val="none" w:sz="0" w:space="0" w:color="auto"/>
                                    <w:bottom w:val="none" w:sz="0" w:space="0" w:color="auto"/>
                                    <w:right w:val="none" w:sz="0" w:space="0" w:color="auto"/>
                                  </w:divBdr>
                                </w:div>
                                <w:div w:id="2107338152">
                                  <w:marLeft w:val="0"/>
                                  <w:marRight w:val="0"/>
                                  <w:marTop w:val="0"/>
                                  <w:marBottom w:val="0"/>
                                  <w:divBdr>
                                    <w:top w:val="none" w:sz="0" w:space="0" w:color="auto"/>
                                    <w:left w:val="none" w:sz="0" w:space="0" w:color="auto"/>
                                    <w:bottom w:val="none" w:sz="0" w:space="0" w:color="auto"/>
                                    <w:right w:val="none" w:sz="0" w:space="0" w:color="auto"/>
                                  </w:divBdr>
                                </w:div>
                                <w:div w:id="211991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490872">
      <w:bodyDiv w:val="1"/>
      <w:marLeft w:val="390"/>
      <w:marRight w:val="390"/>
      <w:marTop w:val="0"/>
      <w:marBottom w:val="0"/>
      <w:divBdr>
        <w:top w:val="none" w:sz="0" w:space="0" w:color="auto"/>
        <w:left w:val="none" w:sz="0" w:space="0" w:color="auto"/>
        <w:bottom w:val="none" w:sz="0" w:space="0" w:color="auto"/>
        <w:right w:val="none" w:sz="0" w:space="0" w:color="auto"/>
      </w:divBdr>
      <w:divsChild>
        <w:div w:id="409498428">
          <w:marLeft w:val="0"/>
          <w:marRight w:val="0"/>
          <w:marTop w:val="0"/>
          <w:marBottom w:val="0"/>
          <w:divBdr>
            <w:top w:val="none" w:sz="0" w:space="0" w:color="auto"/>
            <w:left w:val="none" w:sz="0" w:space="0" w:color="auto"/>
            <w:bottom w:val="none" w:sz="0" w:space="0" w:color="auto"/>
            <w:right w:val="none" w:sz="0" w:space="0" w:color="auto"/>
          </w:divBdr>
          <w:divsChild>
            <w:div w:id="1755734791">
              <w:marLeft w:val="0"/>
              <w:marRight w:val="0"/>
              <w:marTop w:val="0"/>
              <w:marBottom w:val="0"/>
              <w:divBdr>
                <w:top w:val="none" w:sz="0" w:space="0" w:color="auto"/>
                <w:left w:val="none" w:sz="0" w:space="0" w:color="auto"/>
                <w:bottom w:val="none" w:sz="0" w:space="0" w:color="auto"/>
                <w:right w:val="none" w:sz="0" w:space="0" w:color="auto"/>
              </w:divBdr>
              <w:divsChild>
                <w:div w:id="664094691">
                  <w:marLeft w:val="-150"/>
                  <w:marRight w:val="-150"/>
                  <w:marTop w:val="0"/>
                  <w:marBottom w:val="0"/>
                  <w:divBdr>
                    <w:top w:val="none" w:sz="0" w:space="0" w:color="auto"/>
                    <w:left w:val="none" w:sz="0" w:space="0" w:color="auto"/>
                    <w:bottom w:val="none" w:sz="0" w:space="0" w:color="auto"/>
                    <w:right w:val="none" w:sz="0" w:space="0" w:color="auto"/>
                  </w:divBdr>
                  <w:divsChild>
                    <w:div w:id="93328983">
                      <w:marLeft w:val="0"/>
                      <w:marRight w:val="0"/>
                      <w:marTop w:val="0"/>
                      <w:marBottom w:val="0"/>
                      <w:divBdr>
                        <w:top w:val="none" w:sz="0" w:space="0" w:color="auto"/>
                        <w:left w:val="none" w:sz="0" w:space="0" w:color="auto"/>
                        <w:bottom w:val="none" w:sz="0" w:space="0" w:color="auto"/>
                        <w:right w:val="none" w:sz="0" w:space="0" w:color="auto"/>
                      </w:divBdr>
                      <w:divsChild>
                        <w:div w:id="453064504">
                          <w:marLeft w:val="0"/>
                          <w:marRight w:val="0"/>
                          <w:marTop w:val="0"/>
                          <w:marBottom w:val="0"/>
                          <w:divBdr>
                            <w:top w:val="none" w:sz="0" w:space="0" w:color="auto"/>
                            <w:left w:val="none" w:sz="0" w:space="0" w:color="auto"/>
                            <w:bottom w:val="none" w:sz="0" w:space="0" w:color="auto"/>
                            <w:right w:val="none" w:sz="0" w:space="0" w:color="auto"/>
                          </w:divBdr>
                          <w:divsChild>
                            <w:div w:id="1328636849">
                              <w:marLeft w:val="0"/>
                              <w:marRight w:val="0"/>
                              <w:marTop w:val="0"/>
                              <w:marBottom w:val="0"/>
                              <w:divBdr>
                                <w:top w:val="none" w:sz="0" w:space="0" w:color="auto"/>
                                <w:left w:val="none" w:sz="0" w:space="0" w:color="auto"/>
                                <w:bottom w:val="none" w:sz="0" w:space="0" w:color="auto"/>
                                <w:right w:val="none" w:sz="0" w:space="0" w:color="auto"/>
                              </w:divBdr>
                              <w:divsChild>
                                <w:div w:id="7123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104111">
      <w:bodyDiv w:val="1"/>
      <w:marLeft w:val="390"/>
      <w:marRight w:val="390"/>
      <w:marTop w:val="0"/>
      <w:marBottom w:val="0"/>
      <w:divBdr>
        <w:top w:val="none" w:sz="0" w:space="0" w:color="auto"/>
        <w:left w:val="none" w:sz="0" w:space="0" w:color="auto"/>
        <w:bottom w:val="none" w:sz="0" w:space="0" w:color="auto"/>
        <w:right w:val="none" w:sz="0" w:space="0" w:color="auto"/>
      </w:divBdr>
      <w:divsChild>
        <w:div w:id="1331369999">
          <w:marLeft w:val="0"/>
          <w:marRight w:val="0"/>
          <w:marTop w:val="0"/>
          <w:marBottom w:val="0"/>
          <w:divBdr>
            <w:top w:val="none" w:sz="0" w:space="0" w:color="auto"/>
            <w:left w:val="none" w:sz="0" w:space="0" w:color="auto"/>
            <w:bottom w:val="none" w:sz="0" w:space="0" w:color="auto"/>
            <w:right w:val="none" w:sz="0" w:space="0" w:color="auto"/>
          </w:divBdr>
          <w:divsChild>
            <w:div w:id="966163960">
              <w:marLeft w:val="0"/>
              <w:marRight w:val="0"/>
              <w:marTop w:val="0"/>
              <w:marBottom w:val="0"/>
              <w:divBdr>
                <w:top w:val="none" w:sz="0" w:space="0" w:color="auto"/>
                <w:left w:val="none" w:sz="0" w:space="0" w:color="auto"/>
                <w:bottom w:val="none" w:sz="0" w:space="0" w:color="auto"/>
                <w:right w:val="none" w:sz="0" w:space="0" w:color="auto"/>
              </w:divBdr>
              <w:divsChild>
                <w:div w:id="559630823">
                  <w:marLeft w:val="-150"/>
                  <w:marRight w:val="-150"/>
                  <w:marTop w:val="0"/>
                  <w:marBottom w:val="0"/>
                  <w:divBdr>
                    <w:top w:val="none" w:sz="0" w:space="0" w:color="auto"/>
                    <w:left w:val="none" w:sz="0" w:space="0" w:color="auto"/>
                    <w:bottom w:val="none" w:sz="0" w:space="0" w:color="auto"/>
                    <w:right w:val="none" w:sz="0" w:space="0" w:color="auto"/>
                  </w:divBdr>
                  <w:divsChild>
                    <w:div w:id="1104036726">
                      <w:marLeft w:val="0"/>
                      <w:marRight w:val="0"/>
                      <w:marTop w:val="0"/>
                      <w:marBottom w:val="0"/>
                      <w:divBdr>
                        <w:top w:val="none" w:sz="0" w:space="0" w:color="auto"/>
                        <w:left w:val="none" w:sz="0" w:space="0" w:color="auto"/>
                        <w:bottom w:val="none" w:sz="0" w:space="0" w:color="auto"/>
                        <w:right w:val="none" w:sz="0" w:space="0" w:color="auto"/>
                      </w:divBdr>
                      <w:divsChild>
                        <w:div w:id="1912543959">
                          <w:marLeft w:val="0"/>
                          <w:marRight w:val="0"/>
                          <w:marTop w:val="0"/>
                          <w:marBottom w:val="0"/>
                          <w:divBdr>
                            <w:top w:val="none" w:sz="0" w:space="0" w:color="auto"/>
                            <w:left w:val="none" w:sz="0" w:space="0" w:color="auto"/>
                            <w:bottom w:val="none" w:sz="0" w:space="0" w:color="auto"/>
                            <w:right w:val="none" w:sz="0" w:space="0" w:color="auto"/>
                          </w:divBdr>
                          <w:divsChild>
                            <w:div w:id="2454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7789">
      <w:bodyDiv w:val="1"/>
      <w:marLeft w:val="390"/>
      <w:marRight w:val="390"/>
      <w:marTop w:val="0"/>
      <w:marBottom w:val="0"/>
      <w:divBdr>
        <w:top w:val="none" w:sz="0" w:space="0" w:color="auto"/>
        <w:left w:val="none" w:sz="0" w:space="0" w:color="auto"/>
        <w:bottom w:val="none" w:sz="0" w:space="0" w:color="auto"/>
        <w:right w:val="none" w:sz="0" w:space="0" w:color="auto"/>
      </w:divBdr>
      <w:divsChild>
        <w:div w:id="1907492741">
          <w:marLeft w:val="0"/>
          <w:marRight w:val="0"/>
          <w:marTop w:val="0"/>
          <w:marBottom w:val="0"/>
          <w:divBdr>
            <w:top w:val="none" w:sz="0" w:space="0" w:color="auto"/>
            <w:left w:val="none" w:sz="0" w:space="0" w:color="auto"/>
            <w:bottom w:val="none" w:sz="0" w:space="0" w:color="auto"/>
            <w:right w:val="none" w:sz="0" w:space="0" w:color="auto"/>
          </w:divBdr>
          <w:divsChild>
            <w:div w:id="1589387823">
              <w:marLeft w:val="0"/>
              <w:marRight w:val="0"/>
              <w:marTop w:val="0"/>
              <w:marBottom w:val="0"/>
              <w:divBdr>
                <w:top w:val="none" w:sz="0" w:space="0" w:color="auto"/>
                <w:left w:val="none" w:sz="0" w:space="0" w:color="auto"/>
                <w:bottom w:val="none" w:sz="0" w:space="0" w:color="auto"/>
                <w:right w:val="none" w:sz="0" w:space="0" w:color="auto"/>
              </w:divBdr>
              <w:divsChild>
                <w:div w:id="752164381">
                  <w:marLeft w:val="-150"/>
                  <w:marRight w:val="-150"/>
                  <w:marTop w:val="0"/>
                  <w:marBottom w:val="0"/>
                  <w:divBdr>
                    <w:top w:val="none" w:sz="0" w:space="0" w:color="auto"/>
                    <w:left w:val="none" w:sz="0" w:space="0" w:color="auto"/>
                    <w:bottom w:val="none" w:sz="0" w:space="0" w:color="auto"/>
                    <w:right w:val="none" w:sz="0" w:space="0" w:color="auto"/>
                  </w:divBdr>
                  <w:divsChild>
                    <w:div w:id="1955213066">
                      <w:marLeft w:val="0"/>
                      <w:marRight w:val="0"/>
                      <w:marTop w:val="0"/>
                      <w:marBottom w:val="0"/>
                      <w:divBdr>
                        <w:top w:val="none" w:sz="0" w:space="0" w:color="auto"/>
                        <w:left w:val="none" w:sz="0" w:space="0" w:color="auto"/>
                        <w:bottom w:val="none" w:sz="0" w:space="0" w:color="auto"/>
                        <w:right w:val="none" w:sz="0" w:space="0" w:color="auto"/>
                      </w:divBdr>
                      <w:divsChild>
                        <w:div w:id="683364060">
                          <w:marLeft w:val="0"/>
                          <w:marRight w:val="0"/>
                          <w:marTop w:val="0"/>
                          <w:marBottom w:val="0"/>
                          <w:divBdr>
                            <w:top w:val="none" w:sz="0" w:space="0" w:color="auto"/>
                            <w:left w:val="none" w:sz="0" w:space="0" w:color="auto"/>
                            <w:bottom w:val="none" w:sz="0" w:space="0" w:color="auto"/>
                            <w:right w:val="none" w:sz="0" w:space="0" w:color="auto"/>
                          </w:divBdr>
                          <w:divsChild>
                            <w:div w:id="1862084852">
                              <w:marLeft w:val="0"/>
                              <w:marRight w:val="0"/>
                              <w:marTop w:val="0"/>
                              <w:marBottom w:val="0"/>
                              <w:divBdr>
                                <w:top w:val="none" w:sz="0" w:space="0" w:color="auto"/>
                                <w:left w:val="none" w:sz="0" w:space="0" w:color="auto"/>
                                <w:bottom w:val="none" w:sz="0" w:space="0" w:color="auto"/>
                                <w:right w:val="none" w:sz="0" w:space="0" w:color="auto"/>
                              </w:divBdr>
                              <w:divsChild>
                                <w:div w:id="442650870">
                                  <w:marLeft w:val="0"/>
                                  <w:marRight w:val="0"/>
                                  <w:marTop w:val="0"/>
                                  <w:marBottom w:val="0"/>
                                  <w:divBdr>
                                    <w:top w:val="none" w:sz="0" w:space="0" w:color="auto"/>
                                    <w:left w:val="none" w:sz="0" w:space="0" w:color="auto"/>
                                    <w:bottom w:val="none" w:sz="0" w:space="0" w:color="auto"/>
                                    <w:right w:val="none" w:sz="0" w:space="0" w:color="auto"/>
                                  </w:divBdr>
                                </w:div>
                                <w:div w:id="5159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78756">
      <w:bodyDiv w:val="1"/>
      <w:marLeft w:val="390"/>
      <w:marRight w:val="390"/>
      <w:marTop w:val="0"/>
      <w:marBottom w:val="0"/>
      <w:divBdr>
        <w:top w:val="none" w:sz="0" w:space="0" w:color="auto"/>
        <w:left w:val="none" w:sz="0" w:space="0" w:color="auto"/>
        <w:bottom w:val="none" w:sz="0" w:space="0" w:color="auto"/>
        <w:right w:val="none" w:sz="0" w:space="0" w:color="auto"/>
      </w:divBdr>
      <w:divsChild>
        <w:div w:id="1987471604">
          <w:marLeft w:val="0"/>
          <w:marRight w:val="0"/>
          <w:marTop w:val="0"/>
          <w:marBottom w:val="0"/>
          <w:divBdr>
            <w:top w:val="none" w:sz="0" w:space="0" w:color="auto"/>
            <w:left w:val="none" w:sz="0" w:space="0" w:color="auto"/>
            <w:bottom w:val="none" w:sz="0" w:space="0" w:color="auto"/>
            <w:right w:val="none" w:sz="0" w:space="0" w:color="auto"/>
          </w:divBdr>
          <w:divsChild>
            <w:div w:id="1971206481">
              <w:marLeft w:val="0"/>
              <w:marRight w:val="0"/>
              <w:marTop w:val="0"/>
              <w:marBottom w:val="0"/>
              <w:divBdr>
                <w:top w:val="none" w:sz="0" w:space="0" w:color="auto"/>
                <w:left w:val="none" w:sz="0" w:space="0" w:color="auto"/>
                <w:bottom w:val="none" w:sz="0" w:space="0" w:color="auto"/>
                <w:right w:val="none" w:sz="0" w:space="0" w:color="auto"/>
              </w:divBdr>
              <w:divsChild>
                <w:div w:id="827088585">
                  <w:marLeft w:val="-150"/>
                  <w:marRight w:val="-150"/>
                  <w:marTop w:val="0"/>
                  <w:marBottom w:val="0"/>
                  <w:divBdr>
                    <w:top w:val="none" w:sz="0" w:space="0" w:color="auto"/>
                    <w:left w:val="none" w:sz="0" w:space="0" w:color="auto"/>
                    <w:bottom w:val="none" w:sz="0" w:space="0" w:color="auto"/>
                    <w:right w:val="none" w:sz="0" w:space="0" w:color="auto"/>
                  </w:divBdr>
                  <w:divsChild>
                    <w:div w:id="1212762615">
                      <w:marLeft w:val="0"/>
                      <w:marRight w:val="0"/>
                      <w:marTop w:val="0"/>
                      <w:marBottom w:val="0"/>
                      <w:divBdr>
                        <w:top w:val="none" w:sz="0" w:space="0" w:color="auto"/>
                        <w:left w:val="none" w:sz="0" w:space="0" w:color="auto"/>
                        <w:bottom w:val="none" w:sz="0" w:space="0" w:color="auto"/>
                        <w:right w:val="none" w:sz="0" w:space="0" w:color="auto"/>
                      </w:divBdr>
                      <w:divsChild>
                        <w:div w:id="639920351">
                          <w:marLeft w:val="0"/>
                          <w:marRight w:val="0"/>
                          <w:marTop w:val="0"/>
                          <w:marBottom w:val="0"/>
                          <w:divBdr>
                            <w:top w:val="none" w:sz="0" w:space="0" w:color="auto"/>
                            <w:left w:val="none" w:sz="0" w:space="0" w:color="auto"/>
                            <w:bottom w:val="none" w:sz="0" w:space="0" w:color="auto"/>
                            <w:right w:val="none" w:sz="0" w:space="0" w:color="auto"/>
                          </w:divBdr>
                          <w:divsChild>
                            <w:div w:id="680663831">
                              <w:marLeft w:val="0"/>
                              <w:marRight w:val="0"/>
                              <w:marTop w:val="0"/>
                              <w:marBottom w:val="0"/>
                              <w:divBdr>
                                <w:top w:val="none" w:sz="0" w:space="0" w:color="auto"/>
                                <w:left w:val="none" w:sz="0" w:space="0" w:color="auto"/>
                                <w:bottom w:val="none" w:sz="0" w:space="0" w:color="auto"/>
                                <w:right w:val="none" w:sz="0" w:space="0" w:color="auto"/>
                              </w:divBdr>
                              <w:divsChild>
                                <w:div w:id="385884271">
                                  <w:marLeft w:val="0"/>
                                  <w:marRight w:val="0"/>
                                  <w:marTop w:val="0"/>
                                  <w:marBottom w:val="0"/>
                                  <w:divBdr>
                                    <w:top w:val="none" w:sz="0" w:space="0" w:color="auto"/>
                                    <w:left w:val="none" w:sz="0" w:space="0" w:color="auto"/>
                                    <w:bottom w:val="none" w:sz="0" w:space="0" w:color="auto"/>
                                    <w:right w:val="none" w:sz="0" w:space="0" w:color="auto"/>
                                  </w:divBdr>
                                </w:div>
                                <w:div w:id="1664816785">
                                  <w:marLeft w:val="0"/>
                                  <w:marRight w:val="0"/>
                                  <w:marTop w:val="0"/>
                                  <w:marBottom w:val="0"/>
                                  <w:divBdr>
                                    <w:top w:val="none" w:sz="0" w:space="0" w:color="auto"/>
                                    <w:left w:val="none" w:sz="0" w:space="0" w:color="auto"/>
                                    <w:bottom w:val="none" w:sz="0" w:space="0" w:color="auto"/>
                                    <w:right w:val="none" w:sz="0" w:space="0" w:color="auto"/>
                                  </w:divBdr>
                                </w:div>
                                <w:div w:id="965545027">
                                  <w:marLeft w:val="0"/>
                                  <w:marRight w:val="0"/>
                                  <w:marTop w:val="0"/>
                                  <w:marBottom w:val="0"/>
                                  <w:divBdr>
                                    <w:top w:val="none" w:sz="0" w:space="0" w:color="auto"/>
                                    <w:left w:val="none" w:sz="0" w:space="0" w:color="auto"/>
                                    <w:bottom w:val="none" w:sz="0" w:space="0" w:color="auto"/>
                                    <w:right w:val="none" w:sz="0" w:space="0" w:color="auto"/>
                                  </w:divBdr>
                                </w:div>
                                <w:div w:id="51127608">
                                  <w:marLeft w:val="0"/>
                                  <w:marRight w:val="0"/>
                                  <w:marTop w:val="0"/>
                                  <w:marBottom w:val="0"/>
                                  <w:divBdr>
                                    <w:top w:val="none" w:sz="0" w:space="0" w:color="auto"/>
                                    <w:left w:val="none" w:sz="0" w:space="0" w:color="auto"/>
                                    <w:bottom w:val="none" w:sz="0" w:space="0" w:color="auto"/>
                                    <w:right w:val="none" w:sz="0" w:space="0" w:color="auto"/>
                                  </w:divBdr>
                                </w:div>
                                <w:div w:id="1592733447">
                                  <w:marLeft w:val="0"/>
                                  <w:marRight w:val="0"/>
                                  <w:marTop w:val="0"/>
                                  <w:marBottom w:val="0"/>
                                  <w:divBdr>
                                    <w:top w:val="none" w:sz="0" w:space="0" w:color="auto"/>
                                    <w:left w:val="none" w:sz="0" w:space="0" w:color="auto"/>
                                    <w:bottom w:val="none" w:sz="0" w:space="0" w:color="auto"/>
                                    <w:right w:val="none" w:sz="0" w:space="0" w:color="auto"/>
                                  </w:divBdr>
                                </w:div>
                                <w:div w:id="880172860">
                                  <w:marLeft w:val="0"/>
                                  <w:marRight w:val="0"/>
                                  <w:marTop w:val="0"/>
                                  <w:marBottom w:val="0"/>
                                  <w:divBdr>
                                    <w:top w:val="none" w:sz="0" w:space="0" w:color="auto"/>
                                    <w:left w:val="none" w:sz="0" w:space="0" w:color="auto"/>
                                    <w:bottom w:val="none" w:sz="0" w:space="0" w:color="auto"/>
                                    <w:right w:val="none" w:sz="0" w:space="0" w:color="auto"/>
                                  </w:divBdr>
                                </w:div>
                              </w:divsChild>
                            </w:div>
                            <w:div w:id="283313487">
                              <w:marLeft w:val="0"/>
                              <w:marRight w:val="0"/>
                              <w:marTop w:val="0"/>
                              <w:marBottom w:val="0"/>
                              <w:divBdr>
                                <w:top w:val="none" w:sz="0" w:space="0" w:color="auto"/>
                                <w:left w:val="none" w:sz="0" w:space="0" w:color="auto"/>
                                <w:bottom w:val="none" w:sz="0" w:space="0" w:color="auto"/>
                                <w:right w:val="none" w:sz="0" w:space="0" w:color="auto"/>
                              </w:divBdr>
                              <w:divsChild>
                                <w:div w:id="1477141788">
                                  <w:marLeft w:val="0"/>
                                  <w:marRight w:val="0"/>
                                  <w:marTop w:val="0"/>
                                  <w:marBottom w:val="0"/>
                                  <w:divBdr>
                                    <w:top w:val="none" w:sz="0" w:space="0" w:color="auto"/>
                                    <w:left w:val="none" w:sz="0" w:space="0" w:color="auto"/>
                                    <w:bottom w:val="none" w:sz="0" w:space="0" w:color="auto"/>
                                    <w:right w:val="none" w:sz="0" w:space="0" w:color="auto"/>
                                  </w:divBdr>
                                </w:div>
                                <w:div w:id="19894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463556">
      <w:bodyDiv w:val="1"/>
      <w:marLeft w:val="390"/>
      <w:marRight w:val="390"/>
      <w:marTop w:val="0"/>
      <w:marBottom w:val="0"/>
      <w:divBdr>
        <w:top w:val="none" w:sz="0" w:space="0" w:color="auto"/>
        <w:left w:val="none" w:sz="0" w:space="0" w:color="auto"/>
        <w:bottom w:val="none" w:sz="0" w:space="0" w:color="auto"/>
        <w:right w:val="none" w:sz="0" w:space="0" w:color="auto"/>
      </w:divBdr>
      <w:divsChild>
        <w:div w:id="1314219852">
          <w:marLeft w:val="0"/>
          <w:marRight w:val="0"/>
          <w:marTop w:val="0"/>
          <w:marBottom w:val="0"/>
          <w:divBdr>
            <w:top w:val="none" w:sz="0" w:space="0" w:color="auto"/>
            <w:left w:val="none" w:sz="0" w:space="0" w:color="auto"/>
            <w:bottom w:val="none" w:sz="0" w:space="0" w:color="auto"/>
            <w:right w:val="none" w:sz="0" w:space="0" w:color="auto"/>
          </w:divBdr>
          <w:divsChild>
            <w:div w:id="1569806744">
              <w:marLeft w:val="0"/>
              <w:marRight w:val="0"/>
              <w:marTop w:val="0"/>
              <w:marBottom w:val="0"/>
              <w:divBdr>
                <w:top w:val="none" w:sz="0" w:space="0" w:color="auto"/>
                <w:left w:val="none" w:sz="0" w:space="0" w:color="auto"/>
                <w:bottom w:val="none" w:sz="0" w:space="0" w:color="auto"/>
                <w:right w:val="none" w:sz="0" w:space="0" w:color="auto"/>
              </w:divBdr>
              <w:divsChild>
                <w:div w:id="1467744468">
                  <w:marLeft w:val="-150"/>
                  <w:marRight w:val="-150"/>
                  <w:marTop w:val="0"/>
                  <w:marBottom w:val="0"/>
                  <w:divBdr>
                    <w:top w:val="none" w:sz="0" w:space="0" w:color="auto"/>
                    <w:left w:val="none" w:sz="0" w:space="0" w:color="auto"/>
                    <w:bottom w:val="none" w:sz="0" w:space="0" w:color="auto"/>
                    <w:right w:val="none" w:sz="0" w:space="0" w:color="auto"/>
                  </w:divBdr>
                  <w:divsChild>
                    <w:div w:id="519047888">
                      <w:marLeft w:val="0"/>
                      <w:marRight w:val="0"/>
                      <w:marTop w:val="0"/>
                      <w:marBottom w:val="0"/>
                      <w:divBdr>
                        <w:top w:val="none" w:sz="0" w:space="0" w:color="auto"/>
                        <w:left w:val="none" w:sz="0" w:space="0" w:color="auto"/>
                        <w:bottom w:val="none" w:sz="0" w:space="0" w:color="auto"/>
                        <w:right w:val="none" w:sz="0" w:space="0" w:color="auto"/>
                      </w:divBdr>
                      <w:divsChild>
                        <w:div w:id="1934781081">
                          <w:marLeft w:val="0"/>
                          <w:marRight w:val="0"/>
                          <w:marTop w:val="0"/>
                          <w:marBottom w:val="0"/>
                          <w:divBdr>
                            <w:top w:val="none" w:sz="0" w:space="0" w:color="auto"/>
                            <w:left w:val="none" w:sz="0" w:space="0" w:color="auto"/>
                            <w:bottom w:val="none" w:sz="0" w:space="0" w:color="auto"/>
                            <w:right w:val="none" w:sz="0" w:space="0" w:color="auto"/>
                          </w:divBdr>
                          <w:divsChild>
                            <w:div w:id="17412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905593">
      <w:bodyDiv w:val="1"/>
      <w:marLeft w:val="390"/>
      <w:marRight w:val="390"/>
      <w:marTop w:val="0"/>
      <w:marBottom w:val="0"/>
      <w:divBdr>
        <w:top w:val="none" w:sz="0" w:space="0" w:color="auto"/>
        <w:left w:val="none" w:sz="0" w:space="0" w:color="auto"/>
        <w:bottom w:val="none" w:sz="0" w:space="0" w:color="auto"/>
        <w:right w:val="none" w:sz="0" w:space="0" w:color="auto"/>
      </w:divBdr>
      <w:divsChild>
        <w:div w:id="1294021936">
          <w:marLeft w:val="0"/>
          <w:marRight w:val="0"/>
          <w:marTop w:val="0"/>
          <w:marBottom w:val="0"/>
          <w:divBdr>
            <w:top w:val="none" w:sz="0" w:space="0" w:color="auto"/>
            <w:left w:val="none" w:sz="0" w:space="0" w:color="auto"/>
            <w:bottom w:val="none" w:sz="0" w:space="0" w:color="auto"/>
            <w:right w:val="none" w:sz="0" w:space="0" w:color="auto"/>
          </w:divBdr>
          <w:divsChild>
            <w:div w:id="1728263103">
              <w:marLeft w:val="0"/>
              <w:marRight w:val="0"/>
              <w:marTop w:val="0"/>
              <w:marBottom w:val="0"/>
              <w:divBdr>
                <w:top w:val="none" w:sz="0" w:space="0" w:color="auto"/>
                <w:left w:val="none" w:sz="0" w:space="0" w:color="auto"/>
                <w:bottom w:val="none" w:sz="0" w:space="0" w:color="auto"/>
                <w:right w:val="none" w:sz="0" w:space="0" w:color="auto"/>
              </w:divBdr>
              <w:divsChild>
                <w:div w:id="700596408">
                  <w:marLeft w:val="-150"/>
                  <w:marRight w:val="-150"/>
                  <w:marTop w:val="0"/>
                  <w:marBottom w:val="0"/>
                  <w:divBdr>
                    <w:top w:val="none" w:sz="0" w:space="0" w:color="auto"/>
                    <w:left w:val="none" w:sz="0" w:space="0" w:color="auto"/>
                    <w:bottom w:val="none" w:sz="0" w:space="0" w:color="auto"/>
                    <w:right w:val="none" w:sz="0" w:space="0" w:color="auto"/>
                  </w:divBdr>
                  <w:divsChild>
                    <w:div w:id="173957204">
                      <w:marLeft w:val="0"/>
                      <w:marRight w:val="0"/>
                      <w:marTop w:val="0"/>
                      <w:marBottom w:val="0"/>
                      <w:divBdr>
                        <w:top w:val="none" w:sz="0" w:space="0" w:color="auto"/>
                        <w:left w:val="none" w:sz="0" w:space="0" w:color="auto"/>
                        <w:bottom w:val="none" w:sz="0" w:space="0" w:color="auto"/>
                        <w:right w:val="none" w:sz="0" w:space="0" w:color="auto"/>
                      </w:divBdr>
                      <w:divsChild>
                        <w:div w:id="770320517">
                          <w:marLeft w:val="0"/>
                          <w:marRight w:val="0"/>
                          <w:marTop w:val="0"/>
                          <w:marBottom w:val="0"/>
                          <w:divBdr>
                            <w:top w:val="none" w:sz="0" w:space="0" w:color="auto"/>
                            <w:left w:val="none" w:sz="0" w:space="0" w:color="auto"/>
                            <w:bottom w:val="none" w:sz="0" w:space="0" w:color="auto"/>
                            <w:right w:val="none" w:sz="0" w:space="0" w:color="auto"/>
                          </w:divBdr>
                          <w:divsChild>
                            <w:div w:id="16599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953830">
      <w:bodyDiv w:val="1"/>
      <w:marLeft w:val="390"/>
      <w:marRight w:val="390"/>
      <w:marTop w:val="0"/>
      <w:marBottom w:val="0"/>
      <w:divBdr>
        <w:top w:val="none" w:sz="0" w:space="0" w:color="auto"/>
        <w:left w:val="none" w:sz="0" w:space="0" w:color="auto"/>
        <w:bottom w:val="none" w:sz="0" w:space="0" w:color="auto"/>
        <w:right w:val="none" w:sz="0" w:space="0" w:color="auto"/>
      </w:divBdr>
      <w:divsChild>
        <w:div w:id="1266381024">
          <w:marLeft w:val="0"/>
          <w:marRight w:val="0"/>
          <w:marTop w:val="0"/>
          <w:marBottom w:val="0"/>
          <w:divBdr>
            <w:top w:val="none" w:sz="0" w:space="0" w:color="auto"/>
            <w:left w:val="none" w:sz="0" w:space="0" w:color="auto"/>
            <w:bottom w:val="none" w:sz="0" w:space="0" w:color="auto"/>
            <w:right w:val="none" w:sz="0" w:space="0" w:color="auto"/>
          </w:divBdr>
          <w:divsChild>
            <w:div w:id="860362288">
              <w:marLeft w:val="0"/>
              <w:marRight w:val="0"/>
              <w:marTop w:val="0"/>
              <w:marBottom w:val="0"/>
              <w:divBdr>
                <w:top w:val="none" w:sz="0" w:space="0" w:color="auto"/>
                <w:left w:val="none" w:sz="0" w:space="0" w:color="auto"/>
                <w:bottom w:val="none" w:sz="0" w:space="0" w:color="auto"/>
                <w:right w:val="none" w:sz="0" w:space="0" w:color="auto"/>
              </w:divBdr>
              <w:divsChild>
                <w:div w:id="1666202976">
                  <w:marLeft w:val="-150"/>
                  <w:marRight w:val="-150"/>
                  <w:marTop w:val="0"/>
                  <w:marBottom w:val="0"/>
                  <w:divBdr>
                    <w:top w:val="none" w:sz="0" w:space="0" w:color="auto"/>
                    <w:left w:val="none" w:sz="0" w:space="0" w:color="auto"/>
                    <w:bottom w:val="none" w:sz="0" w:space="0" w:color="auto"/>
                    <w:right w:val="none" w:sz="0" w:space="0" w:color="auto"/>
                  </w:divBdr>
                  <w:divsChild>
                    <w:div w:id="1278296938">
                      <w:marLeft w:val="0"/>
                      <w:marRight w:val="0"/>
                      <w:marTop w:val="0"/>
                      <w:marBottom w:val="0"/>
                      <w:divBdr>
                        <w:top w:val="none" w:sz="0" w:space="0" w:color="auto"/>
                        <w:left w:val="none" w:sz="0" w:space="0" w:color="auto"/>
                        <w:bottom w:val="none" w:sz="0" w:space="0" w:color="auto"/>
                        <w:right w:val="none" w:sz="0" w:space="0" w:color="auto"/>
                      </w:divBdr>
                      <w:divsChild>
                        <w:div w:id="589849178">
                          <w:marLeft w:val="0"/>
                          <w:marRight w:val="0"/>
                          <w:marTop w:val="0"/>
                          <w:marBottom w:val="0"/>
                          <w:divBdr>
                            <w:top w:val="none" w:sz="0" w:space="0" w:color="auto"/>
                            <w:left w:val="none" w:sz="0" w:space="0" w:color="auto"/>
                            <w:bottom w:val="none" w:sz="0" w:space="0" w:color="auto"/>
                            <w:right w:val="none" w:sz="0" w:space="0" w:color="auto"/>
                          </w:divBdr>
                          <w:divsChild>
                            <w:div w:id="1929801523">
                              <w:marLeft w:val="0"/>
                              <w:marRight w:val="0"/>
                              <w:marTop w:val="0"/>
                              <w:marBottom w:val="0"/>
                              <w:divBdr>
                                <w:top w:val="none" w:sz="0" w:space="0" w:color="auto"/>
                                <w:left w:val="none" w:sz="0" w:space="0" w:color="auto"/>
                                <w:bottom w:val="none" w:sz="0" w:space="0" w:color="auto"/>
                                <w:right w:val="none" w:sz="0" w:space="0" w:color="auto"/>
                              </w:divBdr>
                              <w:divsChild>
                                <w:div w:id="12659002">
                                  <w:marLeft w:val="0"/>
                                  <w:marRight w:val="0"/>
                                  <w:marTop w:val="0"/>
                                  <w:marBottom w:val="0"/>
                                  <w:divBdr>
                                    <w:top w:val="none" w:sz="0" w:space="0" w:color="auto"/>
                                    <w:left w:val="none" w:sz="0" w:space="0" w:color="auto"/>
                                    <w:bottom w:val="none" w:sz="0" w:space="0" w:color="auto"/>
                                    <w:right w:val="none" w:sz="0" w:space="0" w:color="auto"/>
                                  </w:divBdr>
                                </w:div>
                                <w:div w:id="1027023525">
                                  <w:marLeft w:val="0"/>
                                  <w:marRight w:val="0"/>
                                  <w:marTop w:val="0"/>
                                  <w:marBottom w:val="0"/>
                                  <w:divBdr>
                                    <w:top w:val="none" w:sz="0" w:space="0" w:color="auto"/>
                                    <w:left w:val="none" w:sz="0" w:space="0" w:color="auto"/>
                                    <w:bottom w:val="none" w:sz="0" w:space="0" w:color="auto"/>
                                    <w:right w:val="none" w:sz="0" w:space="0" w:color="auto"/>
                                  </w:divBdr>
                                </w:div>
                                <w:div w:id="792527567">
                                  <w:marLeft w:val="0"/>
                                  <w:marRight w:val="0"/>
                                  <w:marTop w:val="0"/>
                                  <w:marBottom w:val="0"/>
                                  <w:divBdr>
                                    <w:top w:val="none" w:sz="0" w:space="0" w:color="auto"/>
                                    <w:left w:val="none" w:sz="0" w:space="0" w:color="auto"/>
                                    <w:bottom w:val="none" w:sz="0" w:space="0" w:color="auto"/>
                                    <w:right w:val="none" w:sz="0" w:space="0" w:color="auto"/>
                                  </w:divBdr>
                                </w:div>
                                <w:div w:id="1072435970">
                                  <w:marLeft w:val="0"/>
                                  <w:marRight w:val="0"/>
                                  <w:marTop w:val="0"/>
                                  <w:marBottom w:val="0"/>
                                  <w:divBdr>
                                    <w:top w:val="none" w:sz="0" w:space="0" w:color="auto"/>
                                    <w:left w:val="none" w:sz="0" w:space="0" w:color="auto"/>
                                    <w:bottom w:val="none" w:sz="0" w:space="0" w:color="auto"/>
                                    <w:right w:val="none" w:sz="0" w:space="0" w:color="auto"/>
                                  </w:divBdr>
                                </w:div>
                                <w:div w:id="11361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800008">
      <w:bodyDiv w:val="1"/>
      <w:marLeft w:val="390"/>
      <w:marRight w:val="390"/>
      <w:marTop w:val="0"/>
      <w:marBottom w:val="0"/>
      <w:divBdr>
        <w:top w:val="none" w:sz="0" w:space="0" w:color="auto"/>
        <w:left w:val="none" w:sz="0" w:space="0" w:color="auto"/>
        <w:bottom w:val="none" w:sz="0" w:space="0" w:color="auto"/>
        <w:right w:val="none" w:sz="0" w:space="0" w:color="auto"/>
      </w:divBdr>
      <w:divsChild>
        <w:div w:id="473567940">
          <w:marLeft w:val="0"/>
          <w:marRight w:val="0"/>
          <w:marTop w:val="0"/>
          <w:marBottom w:val="0"/>
          <w:divBdr>
            <w:top w:val="none" w:sz="0" w:space="0" w:color="auto"/>
            <w:left w:val="none" w:sz="0" w:space="0" w:color="auto"/>
            <w:bottom w:val="none" w:sz="0" w:space="0" w:color="auto"/>
            <w:right w:val="none" w:sz="0" w:space="0" w:color="auto"/>
          </w:divBdr>
          <w:divsChild>
            <w:div w:id="1773738900">
              <w:marLeft w:val="0"/>
              <w:marRight w:val="0"/>
              <w:marTop w:val="0"/>
              <w:marBottom w:val="0"/>
              <w:divBdr>
                <w:top w:val="none" w:sz="0" w:space="0" w:color="auto"/>
                <w:left w:val="none" w:sz="0" w:space="0" w:color="auto"/>
                <w:bottom w:val="none" w:sz="0" w:space="0" w:color="auto"/>
                <w:right w:val="none" w:sz="0" w:space="0" w:color="auto"/>
              </w:divBdr>
              <w:divsChild>
                <w:div w:id="1916546197">
                  <w:marLeft w:val="-150"/>
                  <w:marRight w:val="-150"/>
                  <w:marTop w:val="0"/>
                  <w:marBottom w:val="0"/>
                  <w:divBdr>
                    <w:top w:val="none" w:sz="0" w:space="0" w:color="auto"/>
                    <w:left w:val="none" w:sz="0" w:space="0" w:color="auto"/>
                    <w:bottom w:val="none" w:sz="0" w:space="0" w:color="auto"/>
                    <w:right w:val="none" w:sz="0" w:space="0" w:color="auto"/>
                  </w:divBdr>
                  <w:divsChild>
                    <w:div w:id="127288541">
                      <w:marLeft w:val="0"/>
                      <w:marRight w:val="0"/>
                      <w:marTop w:val="0"/>
                      <w:marBottom w:val="0"/>
                      <w:divBdr>
                        <w:top w:val="none" w:sz="0" w:space="0" w:color="auto"/>
                        <w:left w:val="none" w:sz="0" w:space="0" w:color="auto"/>
                        <w:bottom w:val="none" w:sz="0" w:space="0" w:color="auto"/>
                        <w:right w:val="none" w:sz="0" w:space="0" w:color="auto"/>
                      </w:divBdr>
                      <w:divsChild>
                        <w:div w:id="1930455895">
                          <w:marLeft w:val="0"/>
                          <w:marRight w:val="0"/>
                          <w:marTop w:val="0"/>
                          <w:marBottom w:val="0"/>
                          <w:divBdr>
                            <w:top w:val="none" w:sz="0" w:space="0" w:color="auto"/>
                            <w:left w:val="none" w:sz="0" w:space="0" w:color="auto"/>
                            <w:bottom w:val="none" w:sz="0" w:space="0" w:color="auto"/>
                            <w:right w:val="none" w:sz="0" w:space="0" w:color="auto"/>
                          </w:divBdr>
                          <w:divsChild>
                            <w:div w:id="1869904087">
                              <w:marLeft w:val="0"/>
                              <w:marRight w:val="0"/>
                              <w:marTop w:val="0"/>
                              <w:marBottom w:val="0"/>
                              <w:divBdr>
                                <w:top w:val="none" w:sz="0" w:space="0" w:color="auto"/>
                                <w:left w:val="none" w:sz="0" w:space="0" w:color="auto"/>
                                <w:bottom w:val="none" w:sz="0" w:space="0" w:color="auto"/>
                                <w:right w:val="none" w:sz="0" w:space="0" w:color="auto"/>
                              </w:divBdr>
                              <w:divsChild>
                                <w:div w:id="18120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2116">
      <w:bodyDiv w:val="1"/>
      <w:marLeft w:val="390"/>
      <w:marRight w:val="390"/>
      <w:marTop w:val="0"/>
      <w:marBottom w:val="0"/>
      <w:divBdr>
        <w:top w:val="none" w:sz="0" w:space="0" w:color="auto"/>
        <w:left w:val="none" w:sz="0" w:space="0" w:color="auto"/>
        <w:bottom w:val="none" w:sz="0" w:space="0" w:color="auto"/>
        <w:right w:val="none" w:sz="0" w:space="0" w:color="auto"/>
      </w:divBdr>
      <w:divsChild>
        <w:div w:id="1255898524">
          <w:marLeft w:val="0"/>
          <w:marRight w:val="0"/>
          <w:marTop w:val="0"/>
          <w:marBottom w:val="0"/>
          <w:divBdr>
            <w:top w:val="none" w:sz="0" w:space="0" w:color="auto"/>
            <w:left w:val="none" w:sz="0" w:space="0" w:color="auto"/>
            <w:bottom w:val="none" w:sz="0" w:space="0" w:color="auto"/>
            <w:right w:val="none" w:sz="0" w:space="0" w:color="auto"/>
          </w:divBdr>
          <w:divsChild>
            <w:div w:id="1314215477">
              <w:marLeft w:val="0"/>
              <w:marRight w:val="0"/>
              <w:marTop w:val="0"/>
              <w:marBottom w:val="0"/>
              <w:divBdr>
                <w:top w:val="none" w:sz="0" w:space="0" w:color="auto"/>
                <w:left w:val="none" w:sz="0" w:space="0" w:color="auto"/>
                <w:bottom w:val="none" w:sz="0" w:space="0" w:color="auto"/>
                <w:right w:val="none" w:sz="0" w:space="0" w:color="auto"/>
              </w:divBdr>
              <w:divsChild>
                <w:div w:id="183056680">
                  <w:marLeft w:val="-150"/>
                  <w:marRight w:val="-150"/>
                  <w:marTop w:val="0"/>
                  <w:marBottom w:val="0"/>
                  <w:divBdr>
                    <w:top w:val="none" w:sz="0" w:space="0" w:color="auto"/>
                    <w:left w:val="none" w:sz="0" w:space="0" w:color="auto"/>
                    <w:bottom w:val="none" w:sz="0" w:space="0" w:color="auto"/>
                    <w:right w:val="none" w:sz="0" w:space="0" w:color="auto"/>
                  </w:divBdr>
                  <w:divsChild>
                    <w:div w:id="284505666">
                      <w:marLeft w:val="0"/>
                      <w:marRight w:val="0"/>
                      <w:marTop w:val="0"/>
                      <w:marBottom w:val="0"/>
                      <w:divBdr>
                        <w:top w:val="none" w:sz="0" w:space="0" w:color="auto"/>
                        <w:left w:val="none" w:sz="0" w:space="0" w:color="auto"/>
                        <w:bottom w:val="none" w:sz="0" w:space="0" w:color="auto"/>
                        <w:right w:val="none" w:sz="0" w:space="0" w:color="auto"/>
                      </w:divBdr>
                      <w:divsChild>
                        <w:div w:id="1104232930">
                          <w:marLeft w:val="0"/>
                          <w:marRight w:val="0"/>
                          <w:marTop w:val="0"/>
                          <w:marBottom w:val="0"/>
                          <w:divBdr>
                            <w:top w:val="none" w:sz="0" w:space="0" w:color="auto"/>
                            <w:left w:val="none" w:sz="0" w:space="0" w:color="auto"/>
                            <w:bottom w:val="none" w:sz="0" w:space="0" w:color="auto"/>
                            <w:right w:val="none" w:sz="0" w:space="0" w:color="auto"/>
                          </w:divBdr>
                          <w:divsChild>
                            <w:div w:id="1126510290">
                              <w:marLeft w:val="0"/>
                              <w:marRight w:val="0"/>
                              <w:marTop w:val="0"/>
                              <w:marBottom w:val="0"/>
                              <w:divBdr>
                                <w:top w:val="none" w:sz="0" w:space="0" w:color="auto"/>
                                <w:left w:val="none" w:sz="0" w:space="0" w:color="auto"/>
                                <w:bottom w:val="none" w:sz="0" w:space="0" w:color="auto"/>
                                <w:right w:val="none" w:sz="0" w:space="0" w:color="auto"/>
                              </w:divBdr>
                              <w:divsChild>
                                <w:div w:id="305358446">
                                  <w:marLeft w:val="0"/>
                                  <w:marRight w:val="0"/>
                                  <w:marTop w:val="0"/>
                                  <w:marBottom w:val="0"/>
                                  <w:divBdr>
                                    <w:top w:val="none" w:sz="0" w:space="0" w:color="auto"/>
                                    <w:left w:val="none" w:sz="0" w:space="0" w:color="auto"/>
                                    <w:bottom w:val="none" w:sz="0" w:space="0" w:color="auto"/>
                                    <w:right w:val="none" w:sz="0" w:space="0" w:color="auto"/>
                                  </w:divBdr>
                                </w:div>
                                <w:div w:id="1912226550">
                                  <w:marLeft w:val="0"/>
                                  <w:marRight w:val="0"/>
                                  <w:marTop w:val="0"/>
                                  <w:marBottom w:val="0"/>
                                  <w:divBdr>
                                    <w:top w:val="none" w:sz="0" w:space="0" w:color="auto"/>
                                    <w:left w:val="none" w:sz="0" w:space="0" w:color="auto"/>
                                    <w:bottom w:val="none" w:sz="0" w:space="0" w:color="auto"/>
                                    <w:right w:val="none" w:sz="0" w:space="0" w:color="auto"/>
                                  </w:divBdr>
                                </w:div>
                                <w:div w:id="1618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709585">
      <w:bodyDiv w:val="1"/>
      <w:marLeft w:val="390"/>
      <w:marRight w:val="390"/>
      <w:marTop w:val="0"/>
      <w:marBottom w:val="0"/>
      <w:divBdr>
        <w:top w:val="none" w:sz="0" w:space="0" w:color="auto"/>
        <w:left w:val="none" w:sz="0" w:space="0" w:color="auto"/>
        <w:bottom w:val="none" w:sz="0" w:space="0" w:color="auto"/>
        <w:right w:val="none" w:sz="0" w:space="0" w:color="auto"/>
      </w:divBdr>
      <w:divsChild>
        <w:div w:id="1551308745">
          <w:marLeft w:val="0"/>
          <w:marRight w:val="0"/>
          <w:marTop w:val="0"/>
          <w:marBottom w:val="0"/>
          <w:divBdr>
            <w:top w:val="none" w:sz="0" w:space="0" w:color="auto"/>
            <w:left w:val="none" w:sz="0" w:space="0" w:color="auto"/>
            <w:bottom w:val="none" w:sz="0" w:space="0" w:color="auto"/>
            <w:right w:val="none" w:sz="0" w:space="0" w:color="auto"/>
          </w:divBdr>
          <w:divsChild>
            <w:div w:id="976883091">
              <w:marLeft w:val="0"/>
              <w:marRight w:val="0"/>
              <w:marTop w:val="0"/>
              <w:marBottom w:val="0"/>
              <w:divBdr>
                <w:top w:val="none" w:sz="0" w:space="0" w:color="auto"/>
                <w:left w:val="none" w:sz="0" w:space="0" w:color="auto"/>
                <w:bottom w:val="none" w:sz="0" w:space="0" w:color="auto"/>
                <w:right w:val="none" w:sz="0" w:space="0" w:color="auto"/>
              </w:divBdr>
              <w:divsChild>
                <w:div w:id="984164553">
                  <w:marLeft w:val="-150"/>
                  <w:marRight w:val="-150"/>
                  <w:marTop w:val="0"/>
                  <w:marBottom w:val="0"/>
                  <w:divBdr>
                    <w:top w:val="none" w:sz="0" w:space="0" w:color="auto"/>
                    <w:left w:val="none" w:sz="0" w:space="0" w:color="auto"/>
                    <w:bottom w:val="none" w:sz="0" w:space="0" w:color="auto"/>
                    <w:right w:val="none" w:sz="0" w:space="0" w:color="auto"/>
                  </w:divBdr>
                  <w:divsChild>
                    <w:div w:id="1712850195">
                      <w:marLeft w:val="0"/>
                      <w:marRight w:val="0"/>
                      <w:marTop w:val="0"/>
                      <w:marBottom w:val="0"/>
                      <w:divBdr>
                        <w:top w:val="none" w:sz="0" w:space="0" w:color="auto"/>
                        <w:left w:val="none" w:sz="0" w:space="0" w:color="auto"/>
                        <w:bottom w:val="none" w:sz="0" w:space="0" w:color="auto"/>
                        <w:right w:val="none" w:sz="0" w:space="0" w:color="auto"/>
                      </w:divBdr>
                      <w:divsChild>
                        <w:div w:id="1119180151">
                          <w:marLeft w:val="0"/>
                          <w:marRight w:val="0"/>
                          <w:marTop w:val="0"/>
                          <w:marBottom w:val="0"/>
                          <w:divBdr>
                            <w:top w:val="none" w:sz="0" w:space="0" w:color="auto"/>
                            <w:left w:val="none" w:sz="0" w:space="0" w:color="auto"/>
                            <w:bottom w:val="none" w:sz="0" w:space="0" w:color="auto"/>
                            <w:right w:val="none" w:sz="0" w:space="0" w:color="auto"/>
                          </w:divBdr>
                          <w:divsChild>
                            <w:div w:id="1998529834">
                              <w:marLeft w:val="0"/>
                              <w:marRight w:val="0"/>
                              <w:marTop w:val="0"/>
                              <w:marBottom w:val="0"/>
                              <w:divBdr>
                                <w:top w:val="none" w:sz="0" w:space="0" w:color="auto"/>
                                <w:left w:val="none" w:sz="0" w:space="0" w:color="auto"/>
                                <w:bottom w:val="none" w:sz="0" w:space="0" w:color="auto"/>
                                <w:right w:val="none" w:sz="0" w:space="0" w:color="auto"/>
                              </w:divBdr>
                              <w:divsChild>
                                <w:div w:id="2068217846">
                                  <w:marLeft w:val="0"/>
                                  <w:marRight w:val="0"/>
                                  <w:marTop w:val="0"/>
                                  <w:marBottom w:val="0"/>
                                  <w:divBdr>
                                    <w:top w:val="none" w:sz="0" w:space="0" w:color="auto"/>
                                    <w:left w:val="none" w:sz="0" w:space="0" w:color="auto"/>
                                    <w:bottom w:val="none" w:sz="0" w:space="0" w:color="auto"/>
                                    <w:right w:val="none" w:sz="0" w:space="0" w:color="auto"/>
                                  </w:divBdr>
                                </w:div>
                                <w:div w:id="832767993">
                                  <w:marLeft w:val="0"/>
                                  <w:marRight w:val="0"/>
                                  <w:marTop w:val="0"/>
                                  <w:marBottom w:val="0"/>
                                  <w:divBdr>
                                    <w:top w:val="none" w:sz="0" w:space="0" w:color="auto"/>
                                    <w:left w:val="none" w:sz="0" w:space="0" w:color="auto"/>
                                    <w:bottom w:val="none" w:sz="0" w:space="0" w:color="auto"/>
                                    <w:right w:val="none" w:sz="0" w:space="0" w:color="auto"/>
                                  </w:divBdr>
                                </w:div>
                                <w:div w:id="5532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1C870-0C7B-4EC2-9FCB-65D31047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10529</Words>
  <Characters>62122</Characters>
  <Application>Microsoft Office Word</Application>
  <DocSecurity>0</DocSecurity>
  <Lines>517</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2023-03-17T13:56:00Z</dcterms:created>
  <dcterms:modified xsi:type="dcterms:W3CDTF">2023-03-17T13:56:00Z</dcterms:modified>
</cp:coreProperties>
</file>