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20" w:line="400" w:lineRule="exact"/>
        <w:jc w:val="left"/>
        <w:rPr>
          <w:b/>
          <w:color w:val="004B8D" w:themeColor="text2"/>
          <w:sz w:val="36"/>
          <w:szCs w:val="22"/>
        </w:rPr>
      </w:pPr>
      <w:bookmarkStart w:id="0" w:name="_GoBack"/>
      <w:bookmarkEnd w:id="0"/>
      <w:r>
        <w:rPr>
          <w:b/>
          <w:color w:val="004B8D" w:themeColor="text2"/>
          <w:sz w:val="36"/>
          <w:szCs w:val="22"/>
        </w:rPr>
        <w:t>11. ZPRÁVA O POKROKU V OBLASTI PLNĚNÍ VNITROSTÁTNÍCH CÍLŮ ENERGETICKÉ ÚČINNOSTI V ČESKÉ REPUBLICE</w:t>
      </w:r>
    </w:p>
    <w:p>
      <w:pPr>
        <w:spacing w:after="120" w:line="400" w:lineRule="exact"/>
        <w:rPr>
          <w:b/>
          <w:color w:val="004B8D" w:themeColor="text2"/>
          <w:sz w:val="36"/>
          <w:szCs w:val="22"/>
        </w:rPr>
      </w:pPr>
    </w:p>
    <w:p>
      <w:pPr>
        <w:rPr>
          <w:b/>
          <w:color w:val="004B8D" w:themeColor="text2"/>
          <w:sz w:val="36"/>
          <w:szCs w:val="22"/>
        </w:rPr>
      </w:pPr>
      <w:bookmarkStart w:id="1" w:name="_Toc67493652"/>
      <w:bookmarkStart w:id="2" w:name="_Toc68695511"/>
      <w:r>
        <w:rPr>
          <w:b/>
          <w:color w:val="004B8D" w:themeColor="text2"/>
          <w:sz w:val="36"/>
          <w:szCs w:val="22"/>
        </w:rPr>
        <w:t>Manažerské shrnutí</w:t>
      </w:r>
      <w:bookmarkEnd w:id="1"/>
      <w:bookmarkEnd w:id="2"/>
    </w:p>
    <w:p>
      <w:r>
        <w:t>Vykazovací období 2021–2030, plnění cílů a závazků v oblasti energetické účinnosti:</w:t>
      </w:r>
    </w:p>
    <w:p>
      <w:pPr>
        <w:pStyle w:val="Odstavecseseznamem"/>
        <w:numPr>
          <w:ilvl w:val="0"/>
          <w:numId w:val="35"/>
        </w:numPr>
      </w:pPr>
      <w:r>
        <w:t>v rámci čl. 3 stanovit nezávazný vnitrostátní cíl a tím přispět k 32,5 % snížení spotřeby energie</w:t>
      </w:r>
      <w:r>
        <w:rPr>
          <w:vertAlign w:val="subscript"/>
        </w:rPr>
        <w:t> </w:t>
      </w:r>
      <w:r>
        <w:t>v EU do roku 2030,</w:t>
      </w:r>
    </w:p>
    <w:p>
      <w:pPr>
        <w:pStyle w:val="Odstavecseseznamem"/>
        <w:numPr>
          <w:ilvl w:val="0"/>
          <w:numId w:val="35"/>
        </w:numPr>
      </w:pPr>
      <w:r>
        <w:t xml:space="preserve">v rámci čl. 5 povinnost renovovat </w:t>
      </w:r>
      <w:r>
        <w:rPr>
          <w:rFonts w:cs="Arial"/>
          <w:bCs/>
          <w:iCs/>
        </w:rPr>
        <w:t>budovy vlastněné a užívané ústředními institucemi,</w:t>
      </w:r>
    </w:p>
    <w:p>
      <w:pPr>
        <w:pStyle w:val="Odstavecseseznamem"/>
        <w:numPr>
          <w:ilvl w:val="0"/>
          <w:numId w:val="35"/>
        </w:numPr>
      </w:pPr>
      <w:r>
        <w:t>v rámci čl. 7 povinnost generovat kumulované úspory energie odpovídající každoročnímu snížení konečné spotřeby energie o 0,8 % konečné spotřeby energie, a to do roku 2030.</w:t>
      </w:r>
    </w:p>
    <w:tbl>
      <w:tblPr>
        <w:tblW w:w="9045" w:type="dxa"/>
        <w:jc w:val="center"/>
        <w:tblCellMar>
          <w:left w:w="70" w:type="dxa"/>
          <w:right w:w="70" w:type="dxa"/>
        </w:tblCellMar>
        <w:tblLook w:val="04A0" w:firstRow="1" w:lastRow="0" w:firstColumn="1" w:lastColumn="0" w:noHBand="0" w:noVBand="1"/>
      </w:tblPr>
      <w:tblGrid>
        <w:gridCol w:w="3321"/>
        <w:gridCol w:w="3003"/>
        <w:gridCol w:w="2721"/>
      </w:tblGrid>
      <w:tr>
        <w:trPr>
          <w:trHeight w:val="385"/>
          <w:jc w:val="center"/>
        </w:trPr>
        <w:tc>
          <w:tcPr>
            <w:tcW w:w="9045"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 xml:space="preserve">Cíle a závazky ČR do roku 2030  </w:t>
            </w:r>
          </w:p>
        </w:tc>
      </w:tr>
      <w:tr>
        <w:trPr>
          <w:trHeight w:val="322"/>
          <w:jc w:val="center"/>
        </w:trPr>
        <w:tc>
          <w:tcPr>
            <w:tcW w:w="3321" w:type="dxa"/>
            <w:tcBorders>
              <w:top w:val="nil"/>
              <w:left w:val="single" w:sz="8" w:space="0" w:color="auto"/>
              <w:bottom w:val="single" w:sz="8" w:space="0" w:color="auto"/>
              <w:right w:val="single" w:sz="8" w:space="0" w:color="auto"/>
            </w:tcBorders>
            <w:shd w:val="clear" w:color="000000" w:fill="D9D9D9"/>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článek 3 (nezávazný cíl)</w:t>
            </w:r>
          </w:p>
        </w:tc>
        <w:tc>
          <w:tcPr>
            <w:tcW w:w="3003" w:type="dxa"/>
            <w:tcBorders>
              <w:top w:val="nil"/>
              <w:left w:val="nil"/>
              <w:bottom w:val="single" w:sz="8" w:space="0" w:color="auto"/>
              <w:right w:val="single" w:sz="8" w:space="0" w:color="auto"/>
            </w:tcBorders>
            <w:shd w:val="clear" w:color="000000" w:fill="D9D9D9"/>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hyperlink r:id="rId8" w:anchor="RANGE!#ODKAZ!" w:history="1">
              <w:r>
                <w:rPr>
                  <w:rFonts w:ascii="Calibri" w:hAnsi="Calibri" w:cs="Calibri"/>
                  <w:b/>
                  <w:bCs/>
                  <w:color w:val="000000"/>
                  <w:sz w:val="20"/>
                </w:rPr>
                <w:t>článek 5 (závazný cíl)</w:t>
              </w:r>
            </w:hyperlink>
          </w:p>
        </w:tc>
        <w:tc>
          <w:tcPr>
            <w:tcW w:w="2721" w:type="dxa"/>
            <w:tcBorders>
              <w:top w:val="nil"/>
              <w:left w:val="nil"/>
              <w:bottom w:val="single" w:sz="8" w:space="0" w:color="auto"/>
              <w:right w:val="single" w:sz="8" w:space="0" w:color="auto"/>
            </w:tcBorders>
            <w:shd w:val="clear" w:color="000000" w:fill="D9D9D9"/>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článek 7 (závazný cíl)</w:t>
            </w:r>
          </w:p>
        </w:tc>
      </w:tr>
      <w:tr>
        <w:trPr>
          <w:trHeight w:val="567"/>
          <w:jc w:val="center"/>
        </w:trPr>
        <w:tc>
          <w:tcPr>
            <w:tcW w:w="3321" w:type="dxa"/>
            <w:tcBorders>
              <w:top w:val="nil"/>
              <w:left w:val="single" w:sz="8" w:space="0" w:color="auto"/>
              <w:bottom w:val="nil"/>
              <w:right w:val="single" w:sz="8" w:space="0" w:color="auto"/>
            </w:tcBorders>
            <w:shd w:val="clear" w:color="auto" w:fill="auto"/>
            <w:noWrap/>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Konečná spotřeba energie:</w:t>
            </w:r>
          </w:p>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990 PJ</w:t>
            </w:r>
          </w:p>
        </w:tc>
        <w:tc>
          <w:tcPr>
            <w:tcW w:w="3003" w:type="dxa"/>
            <w:vMerge w:val="restart"/>
            <w:tcBorders>
              <w:top w:val="nil"/>
              <w:left w:val="single" w:sz="8" w:space="0" w:color="auto"/>
              <w:bottom w:val="single" w:sz="8" w:space="0" w:color="000000"/>
              <w:right w:val="single" w:sz="8" w:space="0" w:color="auto"/>
            </w:tcBorders>
            <w:shd w:val="clear" w:color="auto" w:fill="auto"/>
            <w:noWrap/>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Roční úspora energie: 12,4 TJ</w:t>
            </w:r>
            <w:r>
              <w:rPr>
                <w:rStyle w:val="Znakapoznpodarou"/>
                <w:rFonts w:ascii="Calibri" w:hAnsi="Calibri" w:cs="Calibri"/>
                <w:color w:val="000000"/>
                <w:sz w:val="20"/>
              </w:rPr>
              <w:footnoteReference w:id="1"/>
            </w:r>
          </w:p>
        </w:tc>
        <w:tc>
          <w:tcPr>
            <w:tcW w:w="2721" w:type="dxa"/>
            <w:tcBorders>
              <w:top w:val="nil"/>
              <w:left w:val="nil"/>
              <w:bottom w:val="nil"/>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Roční úspory energie:</w:t>
            </w:r>
          </w:p>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84 PJ</w:t>
            </w:r>
          </w:p>
        </w:tc>
      </w:tr>
      <w:tr>
        <w:trPr>
          <w:trHeight w:val="184"/>
          <w:jc w:val="center"/>
        </w:trPr>
        <w:tc>
          <w:tcPr>
            <w:tcW w:w="3321" w:type="dxa"/>
            <w:tcBorders>
              <w:top w:val="nil"/>
              <w:left w:val="single" w:sz="8" w:space="0" w:color="auto"/>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Spotřeba primární energie:</w:t>
            </w:r>
          </w:p>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1 735 PJ</w:t>
            </w:r>
          </w:p>
        </w:tc>
        <w:tc>
          <w:tcPr>
            <w:tcW w:w="3003" w:type="dxa"/>
            <w:vMerge/>
            <w:tcBorders>
              <w:top w:val="nil"/>
              <w:left w:val="single" w:sz="8" w:space="0" w:color="auto"/>
              <w:bottom w:val="single" w:sz="8" w:space="0" w:color="000000"/>
              <w:right w:val="single" w:sz="8" w:space="0" w:color="auto"/>
            </w:tcBorders>
            <w:vAlign w:val="center"/>
            <w:hideMark/>
          </w:tcPr>
          <w:p>
            <w:pPr>
              <w:overflowPunct/>
              <w:autoSpaceDE/>
              <w:autoSpaceDN/>
              <w:adjustRightInd/>
              <w:spacing w:after="0" w:line="240" w:lineRule="auto"/>
              <w:jc w:val="center"/>
              <w:textAlignment w:val="auto"/>
              <w:rPr>
                <w:rFonts w:ascii="Calibri" w:hAnsi="Calibri" w:cs="Calibri"/>
                <w:color w:val="000000"/>
                <w:sz w:val="20"/>
              </w:rPr>
            </w:pPr>
          </w:p>
        </w:tc>
        <w:tc>
          <w:tcPr>
            <w:tcW w:w="2721"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Kumulované úspory:</w:t>
            </w:r>
          </w:p>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462 PJ</w:t>
            </w:r>
          </w:p>
        </w:tc>
      </w:tr>
      <w:tr>
        <w:trPr>
          <w:trHeight w:val="322"/>
          <w:jc w:val="center"/>
        </w:trPr>
        <w:tc>
          <w:tcPr>
            <w:tcW w:w="9045" w:type="dxa"/>
            <w:gridSpan w:val="3"/>
            <w:tcBorders>
              <w:top w:val="single" w:sz="8" w:space="0" w:color="auto"/>
              <w:left w:val="single" w:sz="8" w:space="0" w:color="auto"/>
              <w:bottom w:val="nil"/>
              <w:right w:val="single" w:sz="8" w:space="0" w:color="000000"/>
            </w:tcBorders>
            <w:shd w:val="clear" w:color="000000" w:fill="D9D9D9"/>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Zhodnocení plnění cíle a závazků ČR za rok 2022</w:t>
            </w:r>
          </w:p>
        </w:tc>
      </w:tr>
      <w:tr>
        <w:trPr>
          <w:trHeight w:val="170"/>
          <w:jc w:val="center"/>
        </w:trPr>
        <w:tc>
          <w:tcPr>
            <w:tcW w:w="3321" w:type="dxa"/>
            <w:tcBorders>
              <w:top w:val="single" w:sz="8" w:space="0" w:color="auto"/>
              <w:left w:val="single" w:sz="8" w:space="0" w:color="auto"/>
              <w:right w:val="single" w:sz="4" w:space="0" w:color="auto"/>
            </w:tcBorders>
            <w:shd w:val="clear" w:color="auto" w:fill="auto"/>
            <w:noWrap/>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Konečná spotřeba energie:</w:t>
            </w:r>
            <w:r>
              <w:rPr>
                <w:rStyle w:val="Znakapoznpodarou"/>
                <w:rFonts w:ascii="Calibri" w:hAnsi="Calibri" w:cs="Calibri"/>
                <w:color w:val="000000"/>
                <w:sz w:val="20"/>
              </w:rPr>
              <w:footnoteReference w:id="2"/>
            </w:r>
          </w:p>
        </w:tc>
        <w:tc>
          <w:tcPr>
            <w:tcW w:w="3003" w:type="dxa"/>
            <w:vMerge w:val="restart"/>
            <w:tcBorders>
              <w:top w:val="single" w:sz="8" w:space="0" w:color="auto"/>
              <w:left w:val="single" w:sz="4" w:space="0" w:color="auto"/>
              <w:right w:val="single" w:sz="4" w:space="0" w:color="auto"/>
            </w:tcBorders>
            <w:shd w:val="clear" w:color="auto" w:fill="auto"/>
            <w:noWrap/>
            <w:vAlign w:val="center"/>
            <w:hideMark/>
          </w:tcPr>
          <w:p>
            <w:pPr>
              <w:overflowPunct/>
              <w:autoSpaceDE/>
              <w:autoSpaceDN/>
              <w:adjustRightInd/>
              <w:spacing w:after="0" w:line="240" w:lineRule="auto"/>
              <w:jc w:val="center"/>
              <w:textAlignment w:val="auto"/>
              <w:rPr>
                <w:rFonts w:ascii="Calibri" w:hAnsi="Calibri" w:cs="Calibri"/>
                <w:color w:val="000000"/>
                <w:sz w:val="20"/>
                <w:u w:val="single"/>
              </w:rPr>
            </w:pPr>
            <w:r>
              <w:rPr>
                <w:rFonts w:ascii="Calibri" w:hAnsi="Calibri" w:cs="Calibri"/>
                <w:color w:val="000000"/>
                <w:sz w:val="20"/>
              </w:rPr>
              <w:t>Úspora energie: 7,2 TJ</w:t>
            </w:r>
          </w:p>
        </w:tc>
        <w:tc>
          <w:tcPr>
            <w:tcW w:w="2721" w:type="dxa"/>
            <w:tcBorders>
              <w:top w:val="single" w:sz="8" w:space="0" w:color="auto"/>
              <w:left w:val="nil"/>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Roční úspory energie:</w:t>
            </w:r>
          </w:p>
          <w:p>
            <w:pPr>
              <w:overflowPunct/>
              <w:autoSpaceDE/>
              <w:autoSpaceDN/>
              <w:adjustRightInd/>
              <w:spacing w:after="0" w:line="240" w:lineRule="auto"/>
              <w:jc w:val="center"/>
              <w:textAlignment w:val="auto"/>
              <w:rPr>
                <w:rFonts w:ascii="Calibri" w:hAnsi="Calibri" w:cs="Calibri"/>
                <w:color w:val="000000"/>
                <w:sz w:val="20"/>
              </w:rPr>
            </w:pPr>
          </w:p>
        </w:tc>
      </w:tr>
      <w:tr>
        <w:trPr>
          <w:trHeight w:val="113"/>
          <w:jc w:val="center"/>
        </w:trPr>
        <w:tc>
          <w:tcPr>
            <w:tcW w:w="3321" w:type="dxa"/>
            <w:tcBorders>
              <w:left w:val="single" w:sz="8" w:space="0" w:color="auto"/>
              <w:bottom w:val="single" w:sz="8" w:space="0" w:color="auto"/>
              <w:right w:val="single" w:sz="4" w:space="0" w:color="auto"/>
            </w:tcBorders>
            <w:shd w:val="clear" w:color="auto" w:fill="auto"/>
            <w:noWrap/>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1 096 PJ</w:t>
            </w:r>
          </w:p>
        </w:tc>
        <w:tc>
          <w:tcPr>
            <w:tcW w:w="3003" w:type="dxa"/>
            <w:vMerge/>
            <w:tcBorders>
              <w:left w:val="single" w:sz="4" w:space="0" w:color="auto"/>
              <w:right w:val="single" w:sz="4" w:space="0" w:color="auto"/>
            </w:tcBorders>
            <w:vAlign w:val="center"/>
            <w:hideMark/>
          </w:tcPr>
          <w:p>
            <w:pPr>
              <w:spacing w:after="0" w:line="240" w:lineRule="auto"/>
              <w:jc w:val="center"/>
              <w:rPr>
                <w:rFonts w:ascii="Calibri" w:hAnsi="Calibri" w:cs="Calibri"/>
                <w:color w:val="000000"/>
                <w:sz w:val="20"/>
              </w:rPr>
            </w:pPr>
          </w:p>
        </w:tc>
        <w:tc>
          <w:tcPr>
            <w:tcW w:w="2721"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11,6 PJ</w:t>
            </w:r>
          </w:p>
        </w:tc>
      </w:tr>
      <w:tr>
        <w:trPr>
          <w:trHeight w:val="307"/>
          <w:jc w:val="center"/>
        </w:trPr>
        <w:tc>
          <w:tcPr>
            <w:tcW w:w="3321" w:type="dxa"/>
            <w:tcBorders>
              <w:top w:val="single" w:sz="8" w:space="0" w:color="auto"/>
              <w:left w:val="single" w:sz="8" w:space="0" w:color="auto"/>
              <w:right w:val="single" w:sz="4" w:space="0" w:color="auto"/>
            </w:tcBorders>
            <w:shd w:val="clear" w:color="auto" w:fill="auto"/>
            <w:noWrap/>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Spotřeba primární energie:</w:t>
            </w:r>
            <w:r>
              <w:rPr>
                <w:rFonts w:ascii="Calibri" w:hAnsi="Calibri" w:cs="Calibri"/>
                <w:color w:val="000000"/>
                <w:sz w:val="20"/>
                <w:vertAlign w:val="superscript"/>
              </w:rPr>
              <w:t>2</w:t>
            </w:r>
          </w:p>
        </w:tc>
        <w:tc>
          <w:tcPr>
            <w:tcW w:w="3003" w:type="dxa"/>
            <w:vMerge/>
            <w:tcBorders>
              <w:left w:val="single" w:sz="4" w:space="0" w:color="auto"/>
              <w:right w:val="single" w:sz="4" w:space="0" w:color="auto"/>
            </w:tcBorders>
            <w:shd w:val="clear" w:color="auto" w:fill="auto"/>
            <w:noWrap/>
            <w:vAlign w:val="center"/>
            <w:hideMark/>
          </w:tcPr>
          <w:p>
            <w:pPr>
              <w:overflowPunct/>
              <w:autoSpaceDE/>
              <w:autoSpaceDN/>
              <w:adjustRightInd/>
              <w:spacing w:after="0" w:line="240" w:lineRule="auto"/>
              <w:jc w:val="center"/>
              <w:textAlignment w:val="auto"/>
              <w:rPr>
                <w:rFonts w:ascii="Calibri" w:hAnsi="Calibri" w:cs="Calibri"/>
                <w:color w:val="000000"/>
                <w:sz w:val="20"/>
              </w:rPr>
            </w:pPr>
          </w:p>
        </w:tc>
        <w:tc>
          <w:tcPr>
            <w:tcW w:w="2721" w:type="dxa"/>
            <w:tcBorders>
              <w:top w:val="single" w:sz="8" w:space="0" w:color="auto"/>
              <w:left w:val="nil"/>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Kumulované úspory:</w:t>
            </w:r>
          </w:p>
          <w:p>
            <w:pPr>
              <w:overflowPunct/>
              <w:autoSpaceDE/>
              <w:autoSpaceDN/>
              <w:adjustRightInd/>
              <w:spacing w:after="0" w:line="240" w:lineRule="auto"/>
              <w:jc w:val="center"/>
              <w:textAlignment w:val="auto"/>
              <w:rPr>
                <w:rFonts w:ascii="Calibri" w:hAnsi="Calibri" w:cs="Calibri"/>
                <w:color w:val="000000"/>
                <w:sz w:val="20"/>
              </w:rPr>
            </w:pPr>
          </w:p>
        </w:tc>
      </w:tr>
      <w:tr>
        <w:trPr>
          <w:trHeight w:val="57"/>
          <w:jc w:val="center"/>
        </w:trPr>
        <w:tc>
          <w:tcPr>
            <w:tcW w:w="3321" w:type="dxa"/>
            <w:tcBorders>
              <w:left w:val="single" w:sz="8" w:space="0" w:color="auto"/>
              <w:bottom w:val="single" w:sz="8" w:space="0" w:color="auto"/>
              <w:right w:val="single" w:sz="4" w:space="0" w:color="auto"/>
            </w:tcBorders>
            <w:shd w:val="clear" w:color="auto" w:fill="auto"/>
            <w:noWrap/>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1 657 PJ</w:t>
            </w:r>
          </w:p>
        </w:tc>
        <w:tc>
          <w:tcPr>
            <w:tcW w:w="3003" w:type="dxa"/>
            <w:vMerge/>
            <w:tcBorders>
              <w:left w:val="single" w:sz="4" w:space="0" w:color="auto"/>
              <w:bottom w:val="single" w:sz="8" w:space="0" w:color="000000"/>
              <w:right w:val="single" w:sz="4" w:space="0" w:color="auto"/>
            </w:tcBorders>
            <w:vAlign w:val="center"/>
            <w:hideMark/>
          </w:tcPr>
          <w:p>
            <w:pPr>
              <w:overflowPunct/>
              <w:autoSpaceDE/>
              <w:autoSpaceDN/>
              <w:adjustRightInd/>
              <w:spacing w:after="0" w:line="240" w:lineRule="auto"/>
              <w:jc w:val="center"/>
              <w:textAlignment w:val="auto"/>
              <w:rPr>
                <w:rFonts w:ascii="Calibri" w:hAnsi="Calibri" w:cs="Calibri"/>
                <w:color w:val="000000"/>
                <w:sz w:val="20"/>
              </w:rPr>
            </w:pPr>
          </w:p>
        </w:tc>
        <w:tc>
          <w:tcPr>
            <w:tcW w:w="2721" w:type="dxa"/>
            <w:tcBorders>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color w:val="000000"/>
                <w:sz w:val="20"/>
              </w:rPr>
            </w:pPr>
            <w:r>
              <w:rPr>
                <w:rFonts w:ascii="Calibri" w:hAnsi="Calibri" w:cs="Calibri"/>
                <w:color w:val="000000"/>
                <w:sz w:val="20"/>
              </w:rPr>
              <w:t>13,8 PJ</w:t>
            </w:r>
          </w:p>
        </w:tc>
      </w:tr>
    </w:tbl>
    <w:p>
      <w:pPr>
        <w:overflowPunct/>
        <w:autoSpaceDE/>
        <w:autoSpaceDN/>
        <w:adjustRightInd/>
        <w:spacing w:after="200" w:line="276" w:lineRule="auto"/>
        <w:jc w:val="right"/>
        <w:textAlignment w:val="auto"/>
      </w:pPr>
      <w:r>
        <w:rPr>
          <w:rFonts w:cs="Arial"/>
          <w:bCs/>
          <w:iCs/>
          <w:sz w:val="20"/>
          <w:szCs w:val="22"/>
        </w:rPr>
        <w:t>Zdroj: MPO</w:t>
      </w:r>
    </w:p>
    <w:p>
      <w:pPr>
        <w:overflowPunct/>
        <w:autoSpaceDE/>
        <w:autoSpaceDN/>
        <w:adjustRightInd/>
        <w:spacing w:after="200" w:line="276" w:lineRule="auto"/>
        <w:textAlignment w:val="auto"/>
      </w:pPr>
      <w:r>
        <w:t xml:space="preserve">V rámci balíčku „Fit </w:t>
      </w:r>
      <w:proofErr w:type="spellStart"/>
      <w:r>
        <w:t>for</w:t>
      </w:r>
      <w:proofErr w:type="spellEnd"/>
      <w:r>
        <w:t xml:space="preserve"> 55“ byla představena revize směrnice 2012/27/EU, ve které je navrženo zpřísnění cílů a závazků v období 2021-2030, a to oproti momentálně schválené výši. Takové zpřísnění bude nutně vést k revizi navrženého rámce dle „Vnitrostátního plánu pro energetiku a klima“ a dále dle materiálu „Informace o stavu implementace schématu pro naplnění závazku povinných úspor energie podle čl. 7 směrnice Evropského parlamentu a Rady 2012/27/EU ze dne 25. října 2012 o energetické účinnosti a revize predikce dosažených úspor energie z jednotlivých opatření“ a také k implementaci nových opatření, aby ČR byla schopna svoje závazky naplnit.</w:t>
      </w:r>
      <w:r>
        <w:rPr>
          <w:rFonts w:ascii="Calibri" w:hAnsi="Calibri" w:cs="Calibri"/>
          <w:b/>
          <w:bCs/>
          <w:color w:val="000000"/>
          <w:sz w:val="20"/>
        </w:rPr>
        <w:t xml:space="preserve"> </w:t>
      </w:r>
      <w:r>
        <w:br w:type="page"/>
      </w:r>
    </w:p>
    <w:p>
      <w:pPr>
        <w:rPr>
          <w:b/>
          <w:color w:val="004B8D" w:themeColor="text2"/>
          <w:sz w:val="36"/>
          <w:szCs w:val="22"/>
        </w:rPr>
      </w:pPr>
      <w:bookmarkStart w:id="3" w:name="_Toc67493653"/>
      <w:bookmarkStart w:id="4" w:name="_Toc68695512"/>
      <w:r>
        <w:rPr>
          <w:b/>
          <w:color w:val="004B8D" w:themeColor="text2"/>
          <w:sz w:val="36"/>
          <w:szCs w:val="22"/>
        </w:rPr>
        <w:lastRenderedPageBreak/>
        <w:t>Obsah</w:t>
      </w:r>
      <w:bookmarkEnd w:id="3"/>
      <w:bookmarkEnd w:id="4"/>
    </w:p>
    <w:sdt>
      <w:sdtPr>
        <w:rPr>
          <w:b w:val="0"/>
          <w:bCs w:val="0"/>
          <w:sz w:val="22"/>
          <w:szCs w:val="20"/>
        </w:rPr>
        <w:id w:val="-1022318559"/>
        <w:docPartObj>
          <w:docPartGallery w:val="Table of Contents"/>
          <w:docPartUnique/>
        </w:docPartObj>
      </w:sdtPr>
      <w:sdtEndPr>
        <w:rPr>
          <w:noProof/>
        </w:rPr>
      </w:sdtEndPr>
      <w:sdtContent>
        <w:p>
          <w:pPr>
            <w:pStyle w:val="Obsah1"/>
            <w:rPr>
              <w:rFonts w:eastAsiaTheme="minorEastAsia" w:cstheme="minorBidi"/>
              <w:b w:val="0"/>
              <w:bCs w:val="0"/>
              <w:noProof/>
              <w:sz w:val="22"/>
              <w:szCs w:val="22"/>
            </w:rPr>
          </w:pPr>
          <w:r>
            <w:fldChar w:fldCharType="begin"/>
          </w:r>
          <w:r>
            <w:instrText xml:space="preserve"> TOC \o "1-3" \h \z \u </w:instrText>
          </w:r>
          <w:r>
            <w:rPr>
              <w:sz w:val="28"/>
            </w:rPr>
            <w:fldChar w:fldCharType="separate"/>
          </w:r>
          <w:hyperlink w:anchor="_Toc138078639" w:history="1">
            <w:r>
              <w:rPr>
                <w:rStyle w:val="Hypertextovodkaz"/>
                <w:rFonts w:eastAsiaTheme="majorEastAsia"/>
                <w:noProof/>
              </w:rPr>
              <w:t>1. Úvod</w:t>
            </w:r>
            <w:r>
              <w:rPr>
                <w:noProof/>
                <w:webHidden/>
              </w:rPr>
              <w:tab/>
            </w:r>
            <w:r>
              <w:rPr>
                <w:noProof/>
                <w:webHidden/>
              </w:rPr>
              <w:fldChar w:fldCharType="begin"/>
            </w:r>
            <w:r>
              <w:rPr>
                <w:noProof/>
                <w:webHidden/>
              </w:rPr>
              <w:instrText xml:space="preserve"> PAGEREF _Toc138078639 \h </w:instrText>
            </w:r>
            <w:r>
              <w:rPr>
                <w:noProof/>
                <w:webHidden/>
              </w:rPr>
            </w:r>
            <w:r>
              <w:rPr>
                <w:noProof/>
                <w:webHidden/>
              </w:rPr>
              <w:fldChar w:fldCharType="separate"/>
            </w:r>
            <w:r>
              <w:rPr>
                <w:noProof/>
                <w:webHidden/>
              </w:rPr>
              <w:t>3</w:t>
            </w:r>
            <w:r>
              <w:rPr>
                <w:noProof/>
                <w:webHidden/>
              </w:rPr>
              <w:fldChar w:fldCharType="end"/>
            </w:r>
          </w:hyperlink>
        </w:p>
        <w:p>
          <w:pPr>
            <w:pStyle w:val="Obsah1"/>
            <w:rPr>
              <w:rFonts w:eastAsiaTheme="minorEastAsia" w:cstheme="minorBidi"/>
              <w:b w:val="0"/>
              <w:bCs w:val="0"/>
              <w:noProof/>
              <w:sz w:val="22"/>
              <w:szCs w:val="22"/>
            </w:rPr>
          </w:pPr>
          <w:hyperlink w:anchor="_Toc138078640" w:history="1">
            <w:r>
              <w:rPr>
                <w:rStyle w:val="Hypertextovodkaz"/>
                <w:rFonts w:eastAsiaTheme="majorEastAsia"/>
                <w:noProof/>
              </w:rPr>
              <w:t>2. Vnitrostátní orientační cíl energetické účinnosti České republiky do roku 2030 (článek 3 směrnice 2012/27/EU)</w:t>
            </w:r>
            <w:r>
              <w:rPr>
                <w:noProof/>
                <w:webHidden/>
              </w:rPr>
              <w:tab/>
            </w:r>
            <w:r>
              <w:rPr>
                <w:noProof/>
                <w:webHidden/>
              </w:rPr>
              <w:fldChar w:fldCharType="begin"/>
            </w:r>
            <w:r>
              <w:rPr>
                <w:noProof/>
                <w:webHidden/>
              </w:rPr>
              <w:instrText xml:space="preserve"> PAGEREF _Toc138078640 \h </w:instrText>
            </w:r>
            <w:r>
              <w:rPr>
                <w:noProof/>
                <w:webHidden/>
              </w:rPr>
            </w:r>
            <w:r>
              <w:rPr>
                <w:noProof/>
                <w:webHidden/>
              </w:rPr>
              <w:fldChar w:fldCharType="separate"/>
            </w:r>
            <w:r>
              <w:rPr>
                <w:noProof/>
                <w:webHidden/>
              </w:rPr>
              <w:t>3</w:t>
            </w:r>
            <w:r>
              <w:rPr>
                <w:noProof/>
                <w:webHidden/>
              </w:rPr>
              <w:fldChar w:fldCharType="end"/>
            </w:r>
          </w:hyperlink>
        </w:p>
        <w:p>
          <w:pPr>
            <w:pStyle w:val="Obsah2"/>
            <w:tabs>
              <w:tab w:val="right" w:leader="dot" w:pos="9060"/>
            </w:tabs>
            <w:rPr>
              <w:rFonts w:eastAsiaTheme="minorEastAsia" w:cstheme="minorBidi"/>
              <w:b w:val="0"/>
              <w:bCs w:val="0"/>
              <w:noProof/>
            </w:rPr>
          </w:pPr>
          <w:hyperlink w:anchor="_Toc138078641" w:history="1">
            <w:r>
              <w:rPr>
                <w:rStyle w:val="Hypertextovodkaz"/>
                <w:rFonts w:eastAsiaTheme="majorEastAsia"/>
                <w:noProof/>
              </w:rPr>
              <w:t>Statistické údaje ČR</w:t>
            </w:r>
            <w:r>
              <w:rPr>
                <w:noProof/>
                <w:webHidden/>
              </w:rPr>
              <w:tab/>
            </w:r>
            <w:r>
              <w:rPr>
                <w:noProof/>
                <w:webHidden/>
              </w:rPr>
              <w:fldChar w:fldCharType="begin"/>
            </w:r>
            <w:r>
              <w:rPr>
                <w:noProof/>
                <w:webHidden/>
              </w:rPr>
              <w:instrText xml:space="preserve"> PAGEREF _Toc138078641 \h </w:instrText>
            </w:r>
            <w:r>
              <w:rPr>
                <w:noProof/>
                <w:webHidden/>
              </w:rPr>
            </w:r>
            <w:r>
              <w:rPr>
                <w:noProof/>
                <w:webHidden/>
              </w:rPr>
              <w:fldChar w:fldCharType="separate"/>
            </w:r>
            <w:r>
              <w:rPr>
                <w:noProof/>
                <w:webHidden/>
              </w:rPr>
              <w:t>3</w:t>
            </w:r>
            <w:r>
              <w:rPr>
                <w:noProof/>
                <w:webHidden/>
              </w:rPr>
              <w:fldChar w:fldCharType="end"/>
            </w:r>
          </w:hyperlink>
        </w:p>
        <w:p>
          <w:pPr>
            <w:pStyle w:val="Obsah2"/>
            <w:tabs>
              <w:tab w:val="right" w:leader="dot" w:pos="9060"/>
            </w:tabs>
            <w:rPr>
              <w:rFonts w:eastAsiaTheme="minorEastAsia" w:cstheme="minorBidi"/>
              <w:b w:val="0"/>
              <w:bCs w:val="0"/>
              <w:noProof/>
            </w:rPr>
          </w:pPr>
          <w:hyperlink w:anchor="_Toc138078642" w:history="1">
            <w:r>
              <w:rPr>
                <w:rStyle w:val="Hypertextovodkaz"/>
                <w:rFonts w:eastAsiaTheme="majorEastAsia"/>
                <w:noProof/>
              </w:rPr>
              <w:t>Vývoj konečné spotřeby energie ČR</w:t>
            </w:r>
            <w:r>
              <w:rPr>
                <w:noProof/>
                <w:webHidden/>
              </w:rPr>
              <w:tab/>
            </w:r>
            <w:r>
              <w:rPr>
                <w:noProof/>
                <w:webHidden/>
              </w:rPr>
              <w:fldChar w:fldCharType="begin"/>
            </w:r>
            <w:r>
              <w:rPr>
                <w:noProof/>
                <w:webHidden/>
              </w:rPr>
              <w:instrText xml:space="preserve"> PAGEREF _Toc138078642 \h </w:instrText>
            </w:r>
            <w:r>
              <w:rPr>
                <w:noProof/>
                <w:webHidden/>
              </w:rPr>
            </w:r>
            <w:r>
              <w:rPr>
                <w:noProof/>
                <w:webHidden/>
              </w:rPr>
              <w:fldChar w:fldCharType="separate"/>
            </w:r>
            <w:r>
              <w:rPr>
                <w:noProof/>
                <w:webHidden/>
              </w:rPr>
              <w:t>5</w:t>
            </w:r>
            <w:r>
              <w:rPr>
                <w:noProof/>
                <w:webHidden/>
              </w:rPr>
              <w:fldChar w:fldCharType="end"/>
            </w:r>
          </w:hyperlink>
        </w:p>
        <w:p>
          <w:pPr>
            <w:pStyle w:val="Obsah3"/>
            <w:tabs>
              <w:tab w:val="right" w:leader="dot" w:pos="9060"/>
            </w:tabs>
            <w:rPr>
              <w:rFonts w:eastAsiaTheme="minorEastAsia" w:cstheme="minorBidi"/>
              <w:noProof/>
            </w:rPr>
          </w:pPr>
          <w:hyperlink w:anchor="_Toc138078643" w:history="1">
            <w:r>
              <w:rPr>
                <w:rStyle w:val="Hypertextovodkaz"/>
                <w:rFonts w:eastAsiaTheme="majorEastAsia"/>
                <w:noProof/>
              </w:rPr>
              <w:t>Sektor domácností</w:t>
            </w:r>
            <w:r>
              <w:rPr>
                <w:noProof/>
                <w:webHidden/>
              </w:rPr>
              <w:tab/>
            </w:r>
            <w:r>
              <w:rPr>
                <w:noProof/>
                <w:webHidden/>
              </w:rPr>
              <w:fldChar w:fldCharType="begin"/>
            </w:r>
            <w:r>
              <w:rPr>
                <w:noProof/>
                <w:webHidden/>
              </w:rPr>
              <w:instrText xml:space="preserve"> PAGEREF _Toc138078643 \h </w:instrText>
            </w:r>
            <w:r>
              <w:rPr>
                <w:noProof/>
                <w:webHidden/>
              </w:rPr>
            </w:r>
            <w:r>
              <w:rPr>
                <w:noProof/>
                <w:webHidden/>
              </w:rPr>
              <w:fldChar w:fldCharType="separate"/>
            </w:r>
            <w:r>
              <w:rPr>
                <w:noProof/>
                <w:webHidden/>
              </w:rPr>
              <w:t>6</w:t>
            </w:r>
            <w:r>
              <w:rPr>
                <w:noProof/>
                <w:webHidden/>
              </w:rPr>
              <w:fldChar w:fldCharType="end"/>
            </w:r>
          </w:hyperlink>
        </w:p>
        <w:p>
          <w:pPr>
            <w:pStyle w:val="Obsah3"/>
            <w:tabs>
              <w:tab w:val="right" w:leader="dot" w:pos="9060"/>
            </w:tabs>
            <w:rPr>
              <w:rFonts w:eastAsiaTheme="minorEastAsia" w:cstheme="minorBidi"/>
              <w:noProof/>
            </w:rPr>
          </w:pPr>
          <w:hyperlink w:anchor="_Toc138078644" w:history="1">
            <w:r>
              <w:rPr>
                <w:rStyle w:val="Hypertextovodkaz"/>
                <w:rFonts w:eastAsiaTheme="majorEastAsia"/>
                <w:noProof/>
              </w:rPr>
              <w:t>Sektor dopravy</w:t>
            </w:r>
            <w:r>
              <w:rPr>
                <w:noProof/>
                <w:webHidden/>
              </w:rPr>
              <w:tab/>
            </w:r>
            <w:r>
              <w:rPr>
                <w:noProof/>
                <w:webHidden/>
              </w:rPr>
              <w:fldChar w:fldCharType="begin"/>
            </w:r>
            <w:r>
              <w:rPr>
                <w:noProof/>
                <w:webHidden/>
              </w:rPr>
              <w:instrText xml:space="preserve"> PAGEREF _Toc138078644 \h </w:instrText>
            </w:r>
            <w:r>
              <w:rPr>
                <w:noProof/>
                <w:webHidden/>
              </w:rPr>
            </w:r>
            <w:r>
              <w:rPr>
                <w:noProof/>
                <w:webHidden/>
              </w:rPr>
              <w:fldChar w:fldCharType="separate"/>
            </w:r>
            <w:r>
              <w:rPr>
                <w:noProof/>
                <w:webHidden/>
              </w:rPr>
              <w:t>7</w:t>
            </w:r>
            <w:r>
              <w:rPr>
                <w:noProof/>
                <w:webHidden/>
              </w:rPr>
              <w:fldChar w:fldCharType="end"/>
            </w:r>
          </w:hyperlink>
        </w:p>
        <w:p>
          <w:pPr>
            <w:pStyle w:val="Obsah3"/>
            <w:tabs>
              <w:tab w:val="right" w:leader="dot" w:pos="9060"/>
            </w:tabs>
            <w:rPr>
              <w:rFonts w:eastAsiaTheme="minorEastAsia" w:cstheme="minorBidi"/>
              <w:noProof/>
            </w:rPr>
          </w:pPr>
          <w:hyperlink w:anchor="_Toc138078645" w:history="1">
            <w:r>
              <w:rPr>
                <w:rStyle w:val="Hypertextovodkaz"/>
                <w:rFonts w:eastAsiaTheme="majorEastAsia"/>
                <w:noProof/>
              </w:rPr>
              <w:t>Sektor průmyslu</w:t>
            </w:r>
            <w:r>
              <w:rPr>
                <w:noProof/>
                <w:webHidden/>
              </w:rPr>
              <w:tab/>
            </w:r>
            <w:r>
              <w:rPr>
                <w:noProof/>
                <w:webHidden/>
              </w:rPr>
              <w:fldChar w:fldCharType="begin"/>
            </w:r>
            <w:r>
              <w:rPr>
                <w:noProof/>
                <w:webHidden/>
              </w:rPr>
              <w:instrText xml:space="preserve"> PAGEREF _Toc138078645 \h </w:instrText>
            </w:r>
            <w:r>
              <w:rPr>
                <w:noProof/>
                <w:webHidden/>
              </w:rPr>
            </w:r>
            <w:r>
              <w:rPr>
                <w:noProof/>
                <w:webHidden/>
              </w:rPr>
              <w:fldChar w:fldCharType="separate"/>
            </w:r>
            <w:r>
              <w:rPr>
                <w:noProof/>
                <w:webHidden/>
              </w:rPr>
              <w:t>8</w:t>
            </w:r>
            <w:r>
              <w:rPr>
                <w:noProof/>
                <w:webHidden/>
              </w:rPr>
              <w:fldChar w:fldCharType="end"/>
            </w:r>
          </w:hyperlink>
        </w:p>
        <w:p>
          <w:pPr>
            <w:pStyle w:val="Obsah3"/>
            <w:tabs>
              <w:tab w:val="right" w:leader="dot" w:pos="9060"/>
            </w:tabs>
            <w:rPr>
              <w:rFonts w:eastAsiaTheme="minorEastAsia" w:cstheme="minorBidi"/>
              <w:noProof/>
            </w:rPr>
          </w:pPr>
          <w:hyperlink w:anchor="_Toc138078646" w:history="1">
            <w:r>
              <w:rPr>
                <w:rStyle w:val="Hypertextovodkaz"/>
                <w:rFonts w:eastAsiaTheme="majorEastAsia"/>
                <w:noProof/>
              </w:rPr>
              <w:t>Sektor služeb</w:t>
            </w:r>
            <w:r>
              <w:rPr>
                <w:noProof/>
                <w:webHidden/>
              </w:rPr>
              <w:tab/>
            </w:r>
            <w:r>
              <w:rPr>
                <w:noProof/>
                <w:webHidden/>
              </w:rPr>
              <w:fldChar w:fldCharType="begin"/>
            </w:r>
            <w:r>
              <w:rPr>
                <w:noProof/>
                <w:webHidden/>
              </w:rPr>
              <w:instrText xml:space="preserve"> PAGEREF _Toc138078646 \h </w:instrText>
            </w:r>
            <w:r>
              <w:rPr>
                <w:noProof/>
                <w:webHidden/>
              </w:rPr>
            </w:r>
            <w:r>
              <w:rPr>
                <w:noProof/>
                <w:webHidden/>
              </w:rPr>
              <w:fldChar w:fldCharType="separate"/>
            </w:r>
            <w:r>
              <w:rPr>
                <w:noProof/>
                <w:webHidden/>
              </w:rPr>
              <w:t>9</w:t>
            </w:r>
            <w:r>
              <w:rPr>
                <w:noProof/>
                <w:webHidden/>
              </w:rPr>
              <w:fldChar w:fldCharType="end"/>
            </w:r>
          </w:hyperlink>
        </w:p>
        <w:p>
          <w:pPr>
            <w:pStyle w:val="Obsah3"/>
            <w:tabs>
              <w:tab w:val="right" w:leader="dot" w:pos="9060"/>
            </w:tabs>
            <w:rPr>
              <w:rFonts w:eastAsiaTheme="minorEastAsia" w:cstheme="minorBidi"/>
              <w:noProof/>
            </w:rPr>
          </w:pPr>
          <w:hyperlink w:anchor="_Toc138078647" w:history="1">
            <w:r>
              <w:rPr>
                <w:rStyle w:val="Hypertextovodkaz"/>
                <w:rFonts w:eastAsiaTheme="majorEastAsia"/>
                <w:noProof/>
              </w:rPr>
              <w:t>Revize směrnice o energetické účinnosti – cíl spotřeby energie</w:t>
            </w:r>
            <w:r>
              <w:rPr>
                <w:noProof/>
                <w:webHidden/>
              </w:rPr>
              <w:tab/>
            </w:r>
            <w:r>
              <w:rPr>
                <w:noProof/>
                <w:webHidden/>
              </w:rPr>
              <w:fldChar w:fldCharType="begin"/>
            </w:r>
            <w:r>
              <w:rPr>
                <w:noProof/>
                <w:webHidden/>
              </w:rPr>
              <w:instrText xml:space="preserve"> PAGEREF _Toc138078647 \h </w:instrText>
            </w:r>
            <w:r>
              <w:rPr>
                <w:noProof/>
                <w:webHidden/>
              </w:rPr>
            </w:r>
            <w:r>
              <w:rPr>
                <w:noProof/>
                <w:webHidden/>
              </w:rPr>
              <w:fldChar w:fldCharType="separate"/>
            </w:r>
            <w:r>
              <w:rPr>
                <w:noProof/>
                <w:webHidden/>
              </w:rPr>
              <w:t>9</w:t>
            </w:r>
            <w:r>
              <w:rPr>
                <w:noProof/>
                <w:webHidden/>
              </w:rPr>
              <w:fldChar w:fldCharType="end"/>
            </w:r>
          </w:hyperlink>
        </w:p>
        <w:p>
          <w:pPr>
            <w:pStyle w:val="Obsah1"/>
            <w:rPr>
              <w:rFonts w:eastAsiaTheme="minorEastAsia" w:cstheme="minorBidi"/>
              <w:b w:val="0"/>
              <w:bCs w:val="0"/>
              <w:noProof/>
              <w:sz w:val="22"/>
              <w:szCs w:val="22"/>
            </w:rPr>
          </w:pPr>
          <w:hyperlink w:anchor="_Toc138078648" w:history="1">
            <w:r>
              <w:rPr>
                <w:rStyle w:val="Hypertextovodkaz"/>
                <w:rFonts w:eastAsiaTheme="majorEastAsia"/>
                <w:noProof/>
              </w:rPr>
              <w:t>3. Příkladná úloha budov veřejných subjektů (článek 5 směrnice 2012/27/EU)</w:t>
            </w:r>
            <w:r>
              <w:rPr>
                <w:noProof/>
                <w:webHidden/>
              </w:rPr>
              <w:tab/>
            </w:r>
            <w:r>
              <w:rPr>
                <w:noProof/>
                <w:webHidden/>
              </w:rPr>
              <w:fldChar w:fldCharType="begin"/>
            </w:r>
            <w:r>
              <w:rPr>
                <w:noProof/>
                <w:webHidden/>
              </w:rPr>
              <w:instrText xml:space="preserve"> PAGEREF _Toc138078648 \h </w:instrText>
            </w:r>
            <w:r>
              <w:rPr>
                <w:noProof/>
                <w:webHidden/>
              </w:rPr>
            </w:r>
            <w:r>
              <w:rPr>
                <w:noProof/>
                <w:webHidden/>
              </w:rPr>
              <w:fldChar w:fldCharType="separate"/>
            </w:r>
            <w:r>
              <w:rPr>
                <w:noProof/>
                <w:webHidden/>
              </w:rPr>
              <w:t>10</w:t>
            </w:r>
            <w:r>
              <w:rPr>
                <w:noProof/>
                <w:webHidden/>
              </w:rPr>
              <w:fldChar w:fldCharType="end"/>
            </w:r>
          </w:hyperlink>
        </w:p>
        <w:p>
          <w:pPr>
            <w:pStyle w:val="Obsah2"/>
            <w:tabs>
              <w:tab w:val="right" w:leader="dot" w:pos="9060"/>
            </w:tabs>
            <w:rPr>
              <w:rFonts w:eastAsiaTheme="minorEastAsia" w:cstheme="minorBidi"/>
              <w:b w:val="0"/>
              <w:bCs w:val="0"/>
              <w:noProof/>
            </w:rPr>
          </w:pPr>
          <w:hyperlink w:anchor="_Toc138078649" w:history="1">
            <w:r>
              <w:rPr>
                <w:rStyle w:val="Hypertextovodkaz"/>
                <w:rFonts w:eastAsiaTheme="majorEastAsia"/>
                <w:noProof/>
              </w:rPr>
              <w:t>Plnění závazku čl. 5</w:t>
            </w:r>
            <w:r>
              <w:rPr>
                <w:noProof/>
                <w:webHidden/>
              </w:rPr>
              <w:tab/>
            </w:r>
            <w:r>
              <w:rPr>
                <w:noProof/>
                <w:webHidden/>
              </w:rPr>
              <w:fldChar w:fldCharType="begin"/>
            </w:r>
            <w:r>
              <w:rPr>
                <w:noProof/>
                <w:webHidden/>
              </w:rPr>
              <w:instrText xml:space="preserve"> PAGEREF _Toc138078649 \h </w:instrText>
            </w:r>
            <w:r>
              <w:rPr>
                <w:noProof/>
                <w:webHidden/>
              </w:rPr>
            </w:r>
            <w:r>
              <w:rPr>
                <w:noProof/>
                <w:webHidden/>
              </w:rPr>
              <w:fldChar w:fldCharType="separate"/>
            </w:r>
            <w:r>
              <w:rPr>
                <w:noProof/>
                <w:webHidden/>
              </w:rPr>
              <w:t>11</w:t>
            </w:r>
            <w:r>
              <w:rPr>
                <w:noProof/>
                <w:webHidden/>
              </w:rPr>
              <w:fldChar w:fldCharType="end"/>
            </w:r>
          </w:hyperlink>
        </w:p>
        <w:p>
          <w:pPr>
            <w:pStyle w:val="Obsah3"/>
            <w:tabs>
              <w:tab w:val="right" w:leader="dot" w:pos="9060"/>
            </w:tabs>
            <w:rPr>
              <w:rFonts w:eastAsiaTheme="minorEastAsia" w:cstheme="minorBidi"/>
              <w:noProof/>
            </w:rPr>
          </w:pPr>
          <w:hyperlink w:anchor="_Toc138078650" w:history="1">
            <w:r>
              <w:rPr>
                <w:rStyle w:val="Hypertextovodkaz"/>
                <w:rFonts w:eastAsiaTheme="majorEastAsia"/>
                <w:noProof/>
              </w:rPr>
              <w:t>Revize směrnice o energetické účinnosti – renovace budov veřejné moci</w:t>
            </w:r>
            <w:r>
              <w:rPr>
                <w:noProof/>
                <w:webHidden/>
              </w:rPr>
              <w:tab/>
            </w:r>
            <w:r>
              <w:rPr>
                <w:noProof/>
                <w:webHidden/>
              </w:rPr>
              <w:fldChar w:fldCharType="begin"/>
            </w:r>
            <w:r>
              <w:rPr>
                <w:noProof/>
                <w:webHidden/>
              </w:rPr>
              <w:instrText xml:space="preserve"> PAGEREF _Toc138078650 \h </w:instrText>
            </w:r>
            <w:r>
              <w:rPr>
                <w:noProof/>
                <w:webHidden/>
              </w:rPr>
            </w:r>
            <w:r>
              <w:rPr>
                <w:noProof/>
                <w:webHidden/>
              </w:rPr>
              <w:fldChar w:fldCharType="separate"/>
            </w:r>
            <w:r>
              <w:rPr>
                <w:noProof/>
                <w:webHidden/>
              </w:rPr>
              <w:t>12</w:t>
            </w:r>
            <w:r>
              <w:rPr>
                <w:noProof/>
                <w:webHidden/>
              </w:rPr>
              <w:fldChar w:fldCharType="end"/>
            </w:r>
          </w:hyperlink>
        </w:p>
        <w:p>
          <w:pPr>
            <w:pStyle w:val="Obsah1"/>
            <w:rPr>
              <w:rFonts w:eastAsiaTheme="minorEastAsia" w:cstheme="minorBidi"/>
              <w:b w:val="0"/>
              <w:bCs w:val="0"/>
              <w:noProof/>
              <w:sz w:val="22"/>
              <w:szCs w:val="22"/>
            </w:rPr>
          </w:pPr>
          <w:hyperlink w:anchor="_Toc138078651" w:history="1">
            <w:r>
              <w:rPr>
                <w:rStyle w:val="Hypertextovodkaz"/>
                <w:rFonts w:eastAsiaTheme="majorEastAsia"/>
                <w:noProof/>
              </w:rPr>
              <w:t>4. Systém povinného zvyšování energetické účinnosti (čl. 7 směrnice 2012/27/EU)</w:t>
            </w:r>
            <w:r>
              <w:rPr>
                <w:noProof/>
                <w:webHidden/>
              </w:rPr>
              <w:tab/>
            </w:r>
            <w:r>
              <w:rPr>
                <w:noProof/>
                <w:webHidden/>
              </w:rPr>
              <w:fldChar w:fldCharType="begin"/>
            </w:r>
            <w:r>
              <w:rPr>
                <w:noProof/>
                <w:webHidden/>
              </w:rPr>
              <w:instrText xml:space="preserve"> PAGEREF _Toc138078651 \h </w:instrText>
            </w:r>
            <w:r>
              <w:rPr>
                <w:noProof/>
                <w:webHidden/>
              </w:rPr>
            </w:r>
            <w:r>
              <w:rPr>
                <w:noProof/>
                <w:webHidden/>
              </w:rPr>
              <w:fldChar w:fldCharType="separate"/>
            </w:r>
            <w:r>
              <w:rPr>
                <w:noProof/>
                <w:webHidden/>
              </w:rPr>
              <w:t>13</w:t>
            </w:r>
            <w:r>
              <w:rPr>
                <w:noProof/>
                <w:webHidden/>
              </w:rPr>
              <w:fldChar w:fldCharType="end"/>
            </w:r>
          </w:hyperlink>
        </w:p>
        <w:p>
          <w:pPr>
            <w:pStyle w:val="Obsah3"/>
            <w:tabs>
              <w:tab w:val="right" w:leader="dot" w:pos="9060"/>
            </w:tabs>
            <w:rPr>
              <w:rFonts w:eastAsiaTheme="minorEastAsia" w:cstheme="minorBidi"/>
              <w:noProof/>
            </w:rPr>
          </w:pPr>
          <w:hyperlink w:anchor="_Toc138078652" w:history="1">
            <w:r>
              <w:rPr>
                <w:rStyle w:val="Hypertextovodkaz"/>
                <w:rFonts w:eastAsiaTheme="majorEastAsia"/>
                <w:noProof/>
              </w:rPr>
              <w:t>Revize směrnice o energetické účinnosti – povinné úspory energie</w:t>
            </w:r>
            <w:r>
              <w:rPr>
                <w:noProof/>
                <w:webHidden/>
              </w:rPr>
              <w:tab/>
            </w:r>
            <w:r>
              <w:rPr>
                <w:noProof/>
                <w:webHidden/>
              </w:rPr>
              <w:fldChar w:fldCharType="begin"/>
            </w:r>
            <w:r>
              <w:rPr>
                <w:noProof/>
                <w:webHidden/>
              </w:rPr>
              <w:instrText xml:space="preserve"> PAGEREF _Toc138078652 \h </w:instrText>
            </w:r>
            <w:r>
              <w:rPr>
                <w:noProof/>
                <w:webHidden/>
              </w:rPr>
            </w:r>
            <w:r>
              <w:rPr>
                <w:noProof/>
                <w:webHidden/>
              </w:rPr>
              <w:fldChar w:fldCharType="separate"/>
            </w:r>
            <w:r>
              <w:rPr>
                <w:noProof/>
                <w:webHidden/>
              </w:rPr>
              <w:t>13</w:t>
            </w:r>
            <w:r>
              <w:rPr>
                <w:noProof/>
                <w:webHidden/>
              </w:rPr>
              <w:fldChar w:fldCharType="end"/>
            </w:r>
          </w:hyperlink>
        </w:p>
        <w:p>
          <w:pPr>
            <w:pStyle w:val="Obsah1"/>
            <w:rPr>
              <w:rFonts w:eastAsiaTheme="minorEastAsia" w:cstheme="minorBidi"/>
              <w:b w:val="0"/>
              <w:bCs w:val="0"/>
              <w:noProof/>
              <w:sz w:val="22"/>
              <w:szCs w:val="22"/>
            </w:rPr>
          </w:pPr>
          <w:hyperlink w:anchor="_Toc138078653" w:history="1">
            <w:r>
              <w:rPr>
                <w:rStyle w:val="Hypertextovodkaz"/>
                <w:rFonts w:eastAsiaTheme="minorHAnsi"/>
                <w:noProof/>
                <w:lang w:eastAsia="en-US"/>
              </w:rPr>
              <w:t>5. Implementace nástrojů pro plnění cílů směrnice o energetické účinnosti v roce 2022</w:t>
            </w:r>
            <w:r>
              <w:rPr>
                <w:noProof/>
                <w:webHidden/>
              </w:rPr>
              <w:tab/>
            </w:r>
            <w:r>
              <w:rPr>
                <w:noProof/>
                <w:webHidden/>
              </w:rPr>
              <w:fldChar w:fldCharType="begin"/>
            </w:r>
            <w:r>
              <w:rPr>
                <w:noProof/>
                <w:webHidden/>
              </w:rPr>
              <w:instrText xml:space="preserve"> PAGEREF _Toc138078653 \h </w:instrText>
            </w:r>
            <w:r>
              <w:rPr>
                <w:noProof/>
                <w:webHidden/>
              </w:rPr>
            </w:r>
            <w:r>
              <w:rPr>
                <w:noProof/>
                <w:webHidden/>
              </w:rPr>
              <w:fldChar w:fldCharType="separate"/>
            </w:r>
            <w:r>
              <w:rPr>
                <w:noProof/>
                <w:webHidden/>
              </w:rPr>
              <w:t>15</w:t>
            </w:r>
            <w:r>
              <w:rPr>
                <w:noProof/>
                <w:webHidden/>
              </w:rPr>
              <w:fldChar w:fldCharType="end"/>
            </w:r>
          </w:hyperlink>
        </w:p>
        <w:p>
          <w:pPr>
            <w:pStyle w:val="Obsah1"/>
            <w:rPr>
              <w:rFonts w:eastAsiaTheme="minorEastAsia" w:cstheme="minorBidi"/>
              <w:b w:val="0"/>
              <w:bCs w:val="0"/>
              <w:noProof/>
              <w:sz w:val="22"/>
              <w:szCs w:val="22"/>
            </w:rPr>
          </w:pPr>
          <w:hyperlink w:anchor="_Toc138078654" w:history="1">
            <w:r>
              <w:rPr>
                <w:rStyle w:val="Hypertextovodkaz"/>
                <w:rFonts w:eastAsiaTheme="majorEastAsia"/>
                <w:noProof/>
              </w:rPr>
              <w:t>Příloha č. 1 Seznam realizovaných úsporných opatření ústředních institucí v roce 2022</w:t>
            </w:r>
            <w:r>
              <w:rPr>
                <w:noProof/>
                <w:webHidden/>
              </w:rPr>
              <w:tab/>
            </w:r>
            <w:r>
              <w:rPr>
                <w:noProof/>
                <w:webHidden/>
              </w:rPr>
              <w:fldChar w:fldCharType="begin"/>
            </w:r>
            <w:r>
              <w:rPr>
                <w:noProof/>
                <w:webHidden/>
              </w:rPr>
              <w:instrText xml:space="preserve"> PAGEREF _Toc138078654 \h </w:instrText>
            </w:r>
            <w:r>
              <w:rPr>
                <w:noProof/>
                <w:webHidden/>
              </w:rPr>
            </w:r>
            <w:r>
              <w:rPr>
                <w:noProof/>
                <w:webHidden/>
              </w:rPr>
              <w:fldChar w:fldCharType="separate"/>
            </w:r>
            <w:r>
              <w:rPr>
                <w:noProof/>
                <w:webHidden/>
              </w:rPr>
              <w:t>16</w:t>
            </w:r>
            <w:r>
              <w:rPr>
                <w:noProof/>
                <w:webHidden/>
              </w:rPr>
              <w:fldChar w:fldCharType="end"/>
            </w:r>
          </w:hyperlink>
        </w:p>
        <w:p>
          <w:pPr>
            <w:pStyle w:val="Obsah1"/>
            <w:rPr>
              <w:rFonts w:eastAsiaTheme="minorEastAsia" w:cstheme="minorBidi"/>
              <w:b w:val="0"/>
              <w:bCs w:val="0"/>
              <w:noProof/>
              <w:sz w:val="22"/>
              <w:szCs w:val="22"/>
            </w:rPr>
          </w:pPr>
          <w:hyperlink w:anchor="_Toc138078655" w:history="1">
            <w:r>
              <w:rPr>
                <w:rStyle w:val="Hypertextovodkaz"/>
                <w:rFonts w:eastAsiaTheme="majorEastAsia"/>
                <w:noProof/>
              </w:rPr>
              <w:t>Příloha č. 2 Přehled plánovaných úsporných opatření ústředních institucí v letech 2023–2025</w:t>
            </w:r>
            <w:r>
              <w:rPr>
                <w:noProof/>
                <w:webHidden/>
              </w:rPr>
              <w:tab/>
            </w:r>
            <w:r>
              <w:rPr>
                <w:noProof/>
                <w:webHidden/>
              </w:rPr>
              <w:fldChar w:fldCharType="begin"/>
            </w:r>
            <w:r>
              <w:rPr>
                <w:noProof/>
                <w:webHidden/>
              </w:rPr>
              <w:instrText xml:space="preserve"> PAGEREF _Toc138078655 \h </w:instrText>
            </w:r>
            <w:r>
              <w:rPr>
                <w:noProof/>
                <w:webHidden/>
              </w:rPr>
            </w:r>
            <w:r>
              <w:rPr>
                <w:noProof/>
                <w:webHidden/>
              </w:rPr>
              <w:fldChar w:fldCharType="separate"/>
            </w:r>
            <w:r>
              <w:rPr>
                <w:noProof/>
                <w:webHidden/>
              </w:rPr>
              <w:t>17</w:t>
            </w:r>
            <w:r>
              <w:rPr>
                <w:noProof/>
                <w:webHidden/>
              </w:rPr>
              <w:fldChar w:fldCharType="end"/>
            </w:r>
          </w:hyperlink>
        </w:p>
        <w:p>
          <w:pPr>
            <w:pStyle w:val="Obsah1"/>
            <w:rPr>
              <w:rFonts w:eastAsiaTheme="minorEastAsia" w:cstheme="minorBidi"/>
              <w:b w:val="0"/>
              <w:bCs w:val="0"/>
              <w:noProof/>
              <w:sz w:val="22"/>
              <w:szCs w:val="22"/>
            </w:rPr>
          </w:pPr>
          <w:hyperlink w:anchor="_Toc138078656" w:history="1">
            <w:r>
              <w:rPr>
                <w:rStyle w:val="Hypertextovodkaz"/>
                <w:rFonts w:eastAsiaTheme="majorEastAsia"/>
                <w:noProof/>
              </w:rPr>
              <w:t>Seznam tabulek</w:t>
            </w:r>
            <w:r>
              <w:rPr>
                <w:noProof/>
                <w:webHidden/>
              </w:rPr>
              <w:tab/>
            </w:r>
            <w:r>
              <w:rPr>
                <w:noProof/>
                <w:webHidden/>
              </w:rPr>
              <w:fldChar w:fldCharType="begin"/>
            </w:r>
            <w:r>
              <w:rPr>
                <w:noProof/>
                <w:webHidden/>
              </w:rPr>
              <w:instrText xml:space="preserve"> PAGEREF _Toc138078656 \h </w:instrText>
            </w:r>
            <w:r>
              <w:rPr>
                <w:noProof/>
                <w:webHidden/>
              </w:rPr>
            </w:r>
            <w:r>
              <w:rPr>
                <w:noProof/>
                <w:webHidden/>
              </w:rPr>
              <w:fldChar w:fldCharType="separate"/>
            </w:r>
            <w:r>
              <w:rPr>
                <w:noProof/>
                <w:webHidden/>
              </w:rPr>
              <w:t>21</w:t>
            </w:r>
            <w:r>
              <w:rPr>
                <w:noProof/>
                <w:webHidden/>
              </w:rPr>
              <w:fldChar w:fldCharType="end"/>
            </w:r>
          </w:hyperlink>
        </w:p>
        <w:p>
          <w:pPr>
            <w:pStyle w:val="Obsah1"/>
            <w:rPr>
              <w:rFonts w:eastAsiaTheme="minorEastAsia" w:cstheme="minorBidi"/>
              <w:b w:val="0"/>
              <w:bCs w:val="0"/>
              <w:noProof/>
              <w:sz w:val="22"/>
              <w:szCs w:val="22"/>
            </w:rPr>
          </w:pPr>
          <w:hyperlink w:anchor="_Toc138078657" w:history="1">
            <w:r>
              <w:rPr>
                <w:rStyle w:val="Hypertextovodkaz"/>
                <w:rFonts w:eastAsiaTheme="majorEastAsia"/>
                <w:noProof/>
              </w:rPr>
              <w:t>Seznam grafů</w:t>
            </w:r>
            <w:r>
              <w:rPr>
                <w:noProof/>
                <w:webHidden/>
              </w:rPr>
              <w:tab/>
            </w:r>
            <w:r>
              <w:rPr>
                <w:noProof/>
                <w:webHidden/>
              </w:rPr>
              <w:fldChar w:fldCharType="begin"/>
            </w:r>
            <w:r>
              <w:rPr>
                <w:noProof/>
                <w:webHidden/>
              </w:rPr>
              <w:instrText xml:space="preserve"> PAGEREF _Toc138078657 \h </w:instrText>
            </w:r>
            <w:r>
              <w:rPr>
                <w:noProof/>
                <w:webHidden/>
              </w:rPr>
            </w:r>
            <w:r>
              <w:rPr>
                <w:noProof/>
                <w:webHidden/>
              </w:rPr>
              <w:fldChar w:fldCharType="separate"/>
            </w:r>
            <w:r>
              <w:rPr>
                <w:noProof/>
                <w:webHidden/>
              </w:rPr>
              <w:t>22</w:t>
            </w:r>
            <w:r>
              <w:rPr>
                <w:noProof/>
                <w:webHidden/>
              </w:rPr>
              <w:fldChar w:fldCharType="end"/>
            </w:r>
          </w:hyperlink>
        </w:p>
        <w:p>
          <w:r>
            <w:rPr>
              <w:b/>
              <w:bCs/>
              <w:noProof/>
            </w:rPr>
            <w:fldChar w:fldCharType="end"/>
          </w:r>
        </w:p>
      </w:sdtContent>
    </w:sdt>
    <w:p/>
    <w:p>
      <w:pPr>
        <w:overflowPunct/>
        <w:autoSpaceDE/>
        <w:autoSpaceDN/>
        <w:adjustRightInd/>
        <w:spacing w:after="200" w:line="276" w:lineRule="auto"/>
        <w:jc w:val="left"/>
        <w:textAlignment w:val="auto"/>
      </w:pPr>
      <w:r>
        <w:br w:type="page"/>
      </w:r>
    </w:p>
    <w:p>
      <w:pPr>
        <w:pStyle w:val="Nadpis1"/>
      </w:pPr>
      <w:bookmarkStart w:id="5" w:name="_Toc67493654"/>
      <w:bookmarkStart w:id="6" w:name="_Toc138078639"/>
      <w:r>
        <w:lastRenderedPageBreak/>
        <w:t>1.</w:t>
      </w:r>
      <w:bookmarkEnd w:id="5"/>
      <w:r>
        <w:t xml:space="preserve"> Úvod</w:t>
      </w:r>
      <w:bookmarkEnd w:id="6"/>
    </w:p>
    <w:p>
      <w:r>
        <w:t>Tato Zpráva o pokroku informuje o plnění cílů a závazků vyplývajících ze směrnice Evropského parlamentu a Rady 2012/27/EU ze dne 25. října 2012 o energetické účinnosti, o změně směrnic 2009/125/ES a 2010/30/EU a o zrušení směrnice 2004/8/ES a 2006/32/ES ve znění směrnice Evropského parlamentu a Rady (EU) 2018/2002 ze dne 11. prosince 2018, kterou se mění směrnice 2015/27/EU o energetické účinnosti (dále jen „směrnice 2012/27/EU“). Součástí této zprávy o pokroku je i informace o hodnocení plnění Plánu rekonstrukce objektů v působnosti článku 5 směrnice 2012/27/EU za rok 2022.</w:t>
      </w:r>
      <w:r>
        <w:rPr>
          <w:rStyle w:val="Znakapoznpodarou"/>
        </w:rPr>
        <w:footnoteReference w:id="3"/>
      </w:r>
    </w:p>
    <w:p>
      <w:r>
        <w:t>V současné době prochází směrnice 2012/27/EU revizemi, kde se schválení konečné podoby očekává na podzim 2023. Nová podoba směrnice obsahuje navýšení cílů a závazků pro jednotlivé členské státy, a to zásadním způsobem. Revize také přináší nový závazek snižování spotřeby energie ve státní správě a rozšiřuje dopad dosavadních závazků.</w:t>
      </w:r>
    </w:p>
    <w:p>
      <w:pPr>
        <w:spacing w:after="240"/>
      </w:pPr>
      <w:r>
        <w:t xml:space="preserve">Pro aktuální období do roku 2030 je strategie plnění popsána ve </w:t>
      </w:r>
      <w:bookmarkStart w:id="7" w:name="_Hlk135376218"/>
      <w:r>
        <w:t>Vnitrostátním plánu pro energetiku a klima schváleném vládou dne 13. ledna 2020, v</w:t>
      </w:r>
      <w:bookmarkEnd w:id="7"/>
      <w:r>
        <w:t> současné době probíhá jeho aktualizace.</w:t>
      </w:r>
    </w:p>
    <w:p>
      <w:pPr>
        <w:spacing w:after="240"/>
      </w:pPr>
    </w:p>
    <w:p>
      <w:pPr>
        <w:pStyle w:val="Nadpis1"/>
      </w:pPr>
      <w:bookmarkStart w:id="8" w:name="_Toc67493658"/>
      <w:bookmarkStart w:id="9" w:name="_Toc138078640"/>
      <w:r>
        <w:t xml:space="preserve">2. </w:t>
      </w:r>
      <w:bookmarkEnd w:id="8"/>
      <w:r>
        <w:t>Vnitrostátní orientační cíl energetické účinnosti České republiky do roku 2030 (článek 3 směrnice 2012/27/EU)</w:t>
      </w:r>
      <w:bookmarkEnd w:id="9"/>
    </w:p>
    <w:p>
      <w:pPr>
        <w:pStyle w:val="Nadpis2"/>
        <w:rPr>
          <w:color w:val="004B8D" w:themeColor="text2"/>
          <w:sz w:val="28"/>
        </w:rPr>
      </w:pPr>
      <w:bookmarkStart w:id="10" w:name="_Toc138078641"/>
      <w:r>
        <w:rPr>
          <w:color w:val="004B8D" w:themeColor="text2"/>
          <w:sz w:val="28"/>
        </w:rPr>
        <w:t>Statistické údaje ČR</w:t>
      </w:r>
      <w:bookmarkEnd w:id="10"/>
    </w:p>
    <w:p>
      <w:pPr>
        <w:spacing w:before="240" w:after="240"/>
        <w:rPr>
          <w:szCs w:val="22"/>
        </w:rPr>
      </w:pPr>
      <w:r>
        <w:rPr>
          <w:szCs w:val="22"/>
        </w:rPr>
        <w:t>Hodnocení naplňování čl. 3 směrnice 2012/27/EU v konečné a primární spotřebě energie, a to po zavedení politik na zvyšování energetické účinnosti</w:t>
      </w:r>
      <w:r>
        <w:rPr>
          <w:rStyle w:val="Znakapoznpodarou"/>
          <w:szCs w:val="22"/>
        </w:rPr>
        <w:footnoteReference w:id="4"/>
      </w:r>
      <w:r>
        <w:rPr>
          <w:szCs w:val="22"/>
        </w:rPr>
        <w:t>, probíhá na základě srovnání oficiálních statistických dat. Jejich základní přehled je uveden v souhrnné tabulce č. 1. S ohledem na dostupnost dat n-2 jsou dostupné informace pouze za rok 2021.</w:t>
      </w:r>
    </w:p>
    <w:p/>
    <w:p>
      <w:pPr>
        <w:overflowPunct/>
        <w:autoSpaceDE/>
        <w:autoSpaceDN/>
        <w:adjustRightInd/>
        <w:spacing w:after="200" w:line="276" w:lineRule="auto"/>
        <w:jc w:val="left"/>
        <w:textAlignment w:val="auto"/>
        <w:rPr>
          <w:b/>
          <w:szCs w:val="22"/>
        </w:rPr>
      </w:pPr>
      <w:r>
        <w:rPr>
          <w:b/>
          <w:szCs w:val="22"/>
        </w:rPr>
        <w:br w:type="page"/>
      </w:r>
    </w:p>
    <w:p>
      <w:pPr>
        <w:pStyle w:val="Titulek"/>
        <w:keepNext/>
        <w:rPr>
          <w:i w:val="0"/>
          <w:color w:val="auto"/>
          <w:sz w:val="22"/>
          <w:szCs w:val="22"/>
        </w:rPr>
      </w:pPr>
      <w:bookmarkStart w:id="11" w:name="_Toc138073337"/>
      <w:r>
        <w:rPr>
          <w:b/>
          <w:i w:val="0"/>
          <w:color w:val="auto"/>
          <w:sz w:val="22"/>
          <w:szCs w:val="22"/>
        </w:rPr>
        <w:lastRenderedPageBreak/>
        <w:t xml:space="preserve">Tabulka č. </w:t>
      </w:r>
      <w:r>
        <w:rPr>
          <w:b/>
          <w:i w:val="0"/>
          <w:color w:val="auto"/>
          <w:sz w:val="22"/>
          <w:szCs w:val="22"/>
        </w:rPr>
        <w:fldChar w:fldCharType="begin"/>
      </w:r>
      <w:r>
        <w:rPr>
          <w:b/>
          <w:i w:val="0"/>
          <w:color w:val="auto"/>
          <w:sz w:val="22"/>
          <w:szCs w:val="22"/>
        </w:rPr>
        <w:instrText xml:space="preserve"> SEQ Tabulka \* ARABIC </w:instrText>
      </w:r>
      <w:r>
        <w:rPr>
          <w:b/>
          <w:i w:val="0"/>
          <w:color w:val="auto"/>
          <w:sz w:val="22"/>
          <w:szCs w:val="22"/>
        </w:rPr>
        <w:fldChar w:fldCharType="separate"/>
      </w:r>
      <w:r>
        <w:rPr>
          <w:b/>
          <w:i w:val="0"/>
          <w:noProof/>
          <w:color w:val="auto"/>
          <w:sz w:val="22"/>
          <w:szCs w:val="22"/>
        </w:rPr>
        <w:t>1</w:t>
      </w:r>
      <w:r>
        <w:rPr>
          <w:b/>
          <w:i w:val="0"/>
          <w:color w:val="auto"/>
          <w:sz w:val="22"/>
          <w:szCs w:val="22"/>
        </w:rPr>
        <w:fldChar w:fldCharType="end"/>
      </w:r>
      <w:r>
        <w:rPr>
          <w:b/>
          <w:i w:val="0"/>
          <w:color w:val="auto"/>
          <w:sz w:val="22"/>
          <w:szCs w:val="22"/>
        </w:rPr>
        <w:t>:</w:t>
      </w:r>
      <w:r>
        <w:rPr>
          <w:i w:val="0"/>
          <w:color w:val="auto"/>
          <w:sz w:val="22"/>
          <w:szCs w:val="22"/>
        </w:rPr>
        <w:t xml:space="preserve"> Statistické údaje ČR</w:t>
      </w:r>
      <w:bookmarkEnd w:id="11"/>
    </w:p>
    <w:tbl>
      <w:tblPr>
        <w:tblW w:w="9968" w:type="dxa"/>
        <w:tblInd w:w="-10" w:type="dxa"/>
        <w:tblCellMar>
          <w:left w:w="70" w:type="dxa"/>
          <w:right w:w="70" w:type="dxa"/>
        </w:tblCellMar>
        <w:tblLook w:val="04A0" w:firstRow="1" w:lastRow="0" w:firstColumn="1" w:lastColumn="0" w:noHBand="0" w:noVBand="1"/>
      </w:tblPr>
      <w:tblGrid>
        <w:gridCol w:w="2410"/>
        <w:gridCol w:w="612"/>
        <w:gridCol w:w="992"/>
        <w:gridCol w:w="993"/>
        <w:gridCol w:w="992"/>
        <w:gridCol w:w="992"/>
        <w:gridCol w:w="992"/>
        <w:gridCol w:w="993"/>
        <w:gridCol w:w="992"/>
      </w:tblGrid>
      <w:tr>
        <w:trPr>
          <w:trHeight w:val="315"/>
        </w:trPr>
        <w:tc>
          <w:tcPr>
            <w:tcW w:w="2410" w:type="dxa"/>
            <w:tcBorders>
              <w:top w:val="single" w:sz="8" w:space="0" w:color="auto"/>
              <w:left w:val="single" w:sz="8" w:space="0" w:color="auto"/>
              <w:bottom w:val="double" w:sz="6" w:space="0" w:color="auto"/>
              <w:right w:val="single" w:sz="8" w:space="0" w:color="auto"/>
            </w:tcBorders>
            <w:shd w:val="clear" w:color="000000" w:fill="FFFFFF"/>
            <w:noWrap/>
            <w:vAlign w:val="center"/>
            <w:hideMark/>
          </w:tcPr>
          <w:p>
            <w:pPr>
              <w:overflowPunct/>
              <w:autoSpaceDE/>
              <w:autoSpaceDN/>
              <w:adjustRightInd/>
              <w:spacing w:after="0" w:line="240" w:lineRule="auto"/>
              <w:textAlignment w:val="auto"/>
              <w:rPr>
                <w:rFonts w:ascii="Calibri" w:hAnsi="Calibri" w:cs="Calibri"/>
                <w:color w:val="000000"/>
                <w:sz w:val="19"/>
                <w:szCs w:val="19"/>
              </w:rPr>
            </w:pPr>
            <w:r>
              <w:rPr>
                <w:rFonts w:ascii="Calibri" w:hAnsi="Calibri" w:cs="Calibri"/>
                <w:color w:val="000000"/>
                <w:sz w:val="19"/>
                <w:szCs w:val="19"/>
              </w:rPr>
              <w:t> </w:t>
            </w:r>
          </w:p>
        </w:tc>
        <w:tc>
          <w:tcPr>
            <w:tcW w:w="612" w:type="dxa"/>
            <w:tcBorders>
              <w:top w:val="single" w:sz="8" w:space="0" w:color="auto"/>
              <w:left w:val="nil"/>
              <w:bottom w:val="double" w:sz="6" w:space="0" w:color="auto"/>
              <w:right w:val="single" w:sz="8" w:space="0" w:color="auto"/>
            </w:tcBorders>
            <w:shd w:val="clear" w:color="000000" w:fill="F2F2F2"/>
            <w:vAlign w:val="center"/>
            <w:hideMark/>
          </w:tcPr>
          <w:p>
            <w:pPr>
              <w:overflowPunct/>
              <w:autoSpaceDE/>
              <w:autoSpaceDN/>
              <w:adjustRightInd/>
              <w:spacing w:after="0" w:line="240" w:lineRule="auto"/>
              <w:jc w:val="center"/>
              <w:textAlignment w:val="auto"/>
              <w:rPr>
                <w:rFonts w:ascii="Calibri" w:hAnsi="Calibri" w:cs="Calibri"/>
                <w:b/>
                <w:bCs/>
                <w:color w:val="000000"/>
                <w:sz w:val="19"/>
                <w:szCs w:val="19"/>
              </w:rPr>
            </w:pPr>
            <w:r>
              <w:rPr>
                <w:rFonts w:ascii="Calibri" w:hAnsi="Calibri" w:cs="Calibri"/>
                <w:b/>
                <w:bCs/>
                <w:color w:val="000000"/>
                <w:sz w:val="19"/>
                <w:szCs w:val="19"/>
              </w:rPr>
              <w:t>Zdroj</w:t>
            </w:r>
            <w:r>
              <w:rPr>
                <w:rStyle w:val="Znakapoznpodarou"/>
                <w:rFonts w:ascii="Calibri" w:hAnsi="Calibri" w:cs="Calibri"/>
                <w:b/>
                <w:bCs/>
                <w:color w:val="000000"/>
                <w:sz w:val="19"/>
                <w:szCs w:val="19"/>
              </w:rPr>
              <w:footnoteReference w:id="5"/>
            </w:r>
          </w:p>
        </w:tc>
        <w:tc>
          <w:tcPr>
            <w:tcW w:w="992" w:type="dxa"/>
            <w:tcBorders>
              <w:top w:val="single" w:sz="8" w:space="0" w:color="auto"/>
              <w:left w:val="nil"/>
              <w:bottom w:val="double" w:sz="6" w:space="0" w:color="auto"/>
              <w:right w:val="single" w:sz="8"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19"/>
                <w:szCs w:val="19"/>
              </w:rPr>
            </w:pPr>
            <w:r>
              <w:rPr>
                <w:rFonts w:ascii="Calibri" w:hAnsi="Calibri" w:cs="Calibri"/>
                <w:b/>
                <w:bCs/>
                <w:color w:val="000000"/>
                <w:sz w:val="19"/>
                <w:szCs w:val="19"/>
              </w:rPr>
              <w:t>Jednotka</w:t>
            </w:r>
          </w:p>
        </w:tc>
        <w:tc>
          <w:tcPr>
            <w:tcW w:w="993" w:type="dxa"/>
            <w:tcBorders>
              <w:top w:val="single" w:sz="8" w:space="0" w:color="auto"/>
              <w:left w:val="nil"/>
              <w:bottom w:val="double" w:sz="6" w:space="0" w:color="auto"/>
              <w:right w:val="single" w:sz="8"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19"/>
                <w:szCs w:val="19"/>
              </w:rPr>
            </w:pPr>
            <w:r>
              <w:rPr>
                <w:rFonts w:ascii="Calibri" w:hAnsi="Calibri" w:cs="Calibri"/>
                <w:b/>
                <w:bCs/>
                <w:color w:val="000000"/>
                <w:sz w:val="19"/>
                <w:szCs w:val="19"/>
              </w:rPr>
              <w:t>2016</w:t>
            </w:r>
          </w:p>
        </w:tc>
        <w:tc>
          <w:tcPr>
            <w:tcW w:w="992" w:type="dxa"/>
            <w:tcBorders>
              <w:top w:val="single" w:sz="8" w:space="0" w:color="auto"/>
              <w:left w:val="nil"/>
              <w:bottom w:val="double" w:sz="6" w:space="0" w:color="auto"/>
              <w:right w:val="single" w:sz="8"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19"/>
                <w:szCs w:val="19"/>
              </w:rPr>
            </w:pPr>
            <w:r>
              <w:rPr>
                <w:rFonts w:ascii="Calibri" w:hAnsi="Calibri" w:cs="Calibri"/>
                <w:b/>
                <w:bCs/>
                <w:color w:val="000000"/>
                <w:sz w:val="19"/>
                <w:szCs w:val="19"/>
              </w:rPr>
              <w:t>2017</w:t>
            </w:r>
          </w:p>
        </w:tc>
        <w:tc>
          <w:tcPr>
            <w:tcW w:w="992" w:type="dxa"/>
            <w:tcBorders>
              <w:top w:val="single" w:sz="8" w:space="0" w:color="auto"/>
              <w:left w:val="nil"/>
              <w:bottom w:val="double" w:sz="6" w:space="0" w:color="auto"/>
              <w:right w:val="single" w:sz="8"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19"/>
                <w:szCs w:val="19"/>
              </w:rPr>
            </w:pPr>
            <w:r>
              <w:rPr>
                <w:rFonts w:ascii="Calibri" w:hAnsi="Calibri" w:cs="Calibri"/>
                <w:b/>
                <w:bCs/>
                <w:color w:val="000000"/>
                <w:sz w:val="19"/>
                <w:szCs w:val="19"/>
              </w:rPr>
              <w:t>2018</w:t>
            </w:r>
          </w:p>
        </w:tc>
        <w:tc>
          <w:tcPr>
            <w:tcW w:w="992" w:type="dxa"/>
            <w:tcBorders>
              <w:top w:val="single" w:sz="8" w:space="0" w:color="auto"/>
              <w:left w:val="nil"/>
              <w:bottom w:val="double" w:sz="6" w:space="0" w:color="auto"/>
              <w:right w:val="single" w:sz="8"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19"/>
                <w:szCs w:val="19"/>
              </w:rPr>
            </w:pPr>
            <w:r>
              <w:rPr>
                <w:rFonts w:ascii="Calibri" w:hAnsi="Calibri" w:cs="Calibri"/>
                <w:b/>
                <w:bCs/>
                <w:color w:val="000000"/>
                <w:sz w:val="19"/>
                <w:szCs w:val="19"/>
              </w:rPr>
              <w:t>2019</w:t>
            </w:r>
          </w:p>
        </w:tc>
        <w:tc>
          <w:tcPr>
            <w:tcW w:w="993" w:type="dxa"/>
            <w:tcBorders>
              <w:top w:val="single" w:sz="8" w:space="0" w:color="auto"/>
              <w:left w:val="nil"/>
              <w:bottom w:val="double" w:sz="6" w:space="0" w:color="auto"/>
              <w:right w:val="single" w:sz="8"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19"/>
                <w:szCs w:val="19"/>
              </w:rPr>
            </w:pPr>
            <w:r>
              <w:rPr>
                <w:rFonts w:ascii="Calibri" w:hAnsi="Calibri" w:cs="Calibri"/>
                <w:b/>
                <w:bCs/>
                <w:color w:val="000000"/>
                <w:sz w:val="19"/>
                <w:szCs w:val="19"/>
              </w:rPr>
              <w:t>2020</w:t>
            </w:r>
          </w:p>
        </w:tc>
        <w:tc>
          <w:tcPr>
            <w:tcW w:w="992" w:type="dxa"/>
            <w:tcBorders>
              <w:top w:val="single" w:sz="8" w:space="0" w:color="auto"/>
              <w:left w:val="nil"/>
              <w:bottom w:val="double" w:sz="6" w:space="0" w:color="auto"/>
              <w:right w:val="single" w:sz="8"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19"/>
                <w:szCs w:val="19"/>
              </w:rPr>
            </w:pPr>
            <w:r>
              <w:rPr>
                <w:rFonts w:ascii="Calibri" w:hAnsi="Calibri" w:cs="Calibri"/>
                <w:b/>
                <w:bCs/>
                <w:color w:val="000000"/>
                <w:sz w:val="19"/>
                <w:szCs w:val="19"/>
              </w:rPr>
              <w:t>2021</w:t>
            </w:r>
          </w:p>
        </w:tc>
      </w:tr>
      <w:tr>
        <w:trPr>
          <w:trHeight w:val="605"/>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Spotřeba primárních energetických zdrojů</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1 722 299</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1 799 801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1 804 260</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1 782 909</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1 681 895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1 777 503</w:t>
            </w:r>
          </w:p>
        </w:tc>
      </w:tr>
      <w:tr>
        <w:trPr>
          <w:trHeight w:val="680"/>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Celková konečná spotřeba energie</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999 234</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1 030 453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1 018 403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1 019 143</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999 041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1 067 510</w:t>
            </w:r>
          </w:p>
        </w:tc>
      </w:tr>
      <w:tr>
        <w:trPr>
          <w:trHeight w:val="315"/>
        </w:trPr>
        <w:tc>
          <w:tcPr>
            <w:tcW w:w="9968"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Konečná spotřeba energie podle odvětví:</w:t>
            </w:r>
          </w:p>
        </w:tc>
      </w:tr>
      <w:tr>
        <w:trPr>
          <w:trHeight w:val="315"/>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průmysl</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269 332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282 092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280 723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277 492</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275 121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293 484</w:t>
            </w:r>
          </w:p>
        </w:tc>
      </w:tr>
      <w:tr>
        <w:trPr>
          <w:trHeight w:val="315"/>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doprava</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268 680</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277 057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278 836</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283 814</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267 063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288 046</w:t>
            </w:r>
          </w:p>
        </w:tc>
      </w:tr>
      <w:tr>
        <w:trPr>
          <w:trHeight w:val="525"/>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domácnosti</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302 981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308 163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300 073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295 771</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302 982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332 751</w:t>
            </w:r>
          </w:p>
        </w:tc>
      </w:tr>
      <w:tr>
        <w:trPr>
          <w:trHeight w:val="315"/>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služby</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129 535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133 338</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131 017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133 759</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125 146</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124 192</w:t>
            </w:r>
          </w:p>
        </w:tc>
      </w:tr>
      <w:tr>
        <w:trPr>
          <w:trHeight w:val="930"/>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Konečná spotřeba energie dle metodiky Evropa 2020-2030</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1 039 409</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1 067 746</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1 060 494</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1 057 998</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1 025 465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1 095 906</w:t>
            </w:r>
          </w:p>
        </w:tc>
      </w:tr>
      <w:tr>
        <w:trPr>
          <w:trHeight w:val="844"/>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Primární spotřeba energie dle metodiky Evropa 2020-2030</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1 663 847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1 689 592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1 694 846</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1 663 957</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1 573 720</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1 656 670</w:t>
            </w:r>
          </w:p>
        </w:tc>
      </w:tr>
      <w:tr>
        <w:trPr>
          <w:trHeight w:val="315"/>
        </w:trPr>
        <w:tc>
          <w:tcPr>
            <w:tcW w:w="9968"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Hrubá přidaná hodnota podle odvětví – ceny roku 2005:</w:t>
            </w:r>
          </w:p>
        </w:tc>
      </w:tr>
      <w:tr>
        <w:trPr>
          <w:trHeight w:val="315"/>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Průmysl</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mil. Kč</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1 478 630</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1 577 321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1 600 188</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1 631 646</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1 469 897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1 518 627</w:t>
            </w:r>
          </w:p>
        </w:tc>
      </w:tr>
      <w:tr>
        <w:trPr>
          <w:trHeight w:val="315"/>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Služby</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mil. Kč</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2 222 873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2 334 310</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2 448 397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2 541 595</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2 454 597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2 570 372</w:t>
            </w:r>
          </w:p>
        </w:tc>
      </w:tr>
      <w:tr>
        <w:trPr>
          <w:trHeight w:val="315"/>
        </w:trPr>
        <w:tc>
          <w:tcPr>
            <w:tcW w:w="9968"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Hrubá přidaná hodnota podle odvětví – běžné ceny:</w:t>
            </w:r>
          </w:p>
        </w:tc>
      </w:tr>
      <w:tr>
        <w:trPr>
          <w:trHeight w:val="315"/>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Průmysl</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mil. Kč</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1 602 603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1 671 637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1 719 045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1 826 073</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1 751 957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1 848 845</w:t>
            </w:r>
          </w:p>
        </w:tc>
      </w:tr>
      <w:tr>
        <w:trPr>
          <w:trHeight w:val="315"/>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Služby</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mil. Kč</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2 612 003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2 815 824</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3 052 304</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3 299 045</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3 332 288</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3 589 275</w:t>
            </w:r>
          </w:p>
        </w:tc>
      </w:tr>
      <w:tr>
        <w:trPr>
          <w:trHeight w:val="517"/>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Disponibilní příjem domácností</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mil. Kč</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2 496 929</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2 666 442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2 841 747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3 029 061</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3 105 556</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3 331 115</w:t>
            </w:r>
          </w:p>
        </w:tc>
      </w:tr>
      <w:tr>
        <w:trPr>
          <w:trHeight w:val="681"/>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Hrubý domácí produkt (HDP) - ceny roku 2005</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mil. Kč</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4 141 785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4 355 863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4 496 125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4 632 352</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4 377 435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4 532 954</w:t>
            </w:r>
          </w:p>
        </w:tc>
      </w:tr>
      <w:tr>
        <w:trPr>
          <w:trHeight w:val="563"/>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Hrubý domácí produkt (HDP) - běžné ceny</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mil. Kč</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4 796 873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5 110 743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5 410 761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5 791 498</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5 709 131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6 108 717</w:t>
            </w:r>
          </w:p>
        </w:tc>
      </w:tr>
      <w:tr>
        <w:trPr>
          <w:trHeight w:val="543"/>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Výroba elektřiny z tepelných elektráren</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proofErr w:type="spellStart"/>
            <w:r>
              <w:rPr>
                <w:rFonts w:ascii="Calibri" w:hAnsi="Calibri" w:cs="Calibri"/>
                <w:color w:val="000000"/>
                <w:sz w:val="19"/>
                <w:szCs w:val="19"/>
              </w:rPr>
              <w:t>GWh</w:t>
            </w:r>
            <w:proofErr w:type="spellEnd"/>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77 479</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81 226</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82 384</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80 844</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75 094</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78 544</w:t>
            </w:r>
          </w:p>
        </w:tc>
      </w:tr>
      <w:tr>
        <w:trPr>
          <w:trHeight w:val="396"/>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Výroba elektřiny z kombinované výroby</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proofErr w:type="spellStart"/>
            <w:r>
              <w:rPr>
                <w:rFonts w:ascii="Calibri" w:hAnsi="Calibri" w:cs="Calibri"/>
                <w:color w:val="000000"/>
                <w:sz w:val="19"/>
                <w:szCs w:val="19"/>
              </w:rPr>
              <w:t>GWh</w:t>
            </w:r>
            <w:proofErr w:type="spellEnd"/>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17 113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16 690</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16 141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15 872</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16 078</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15 624</w:t>
            </w:r>
          </w:p>
        </w:tc>
      </w:tr>
      <w:tr>
        <w:trPr>
          <w:trHeight w:val="419"/>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Výroba tepla z tepelných energetických zdrojů</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127 519</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122 851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118 123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116 266</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112 845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121 343</w:t>
            </w:r>
          </w:p>
        </w:tc>
      </w:tr>
      <w:tr>
        <w:trPr>
          <w:trHeight w:val="547"/>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Výroba tepla z kombinované výroby vč. odpadního tepla z průmyslových procesů</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99 023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94 710</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90 221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87 830</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85 752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91 927</w:t>
            </w:r>
          </w:p>
        </w:tc>
      </w:tr>
      <w:tr>
        <w:trPr>
          <w:trHeight w:val="263"/>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Spotřeba paliva pro výrobu energie z tepelných energetických zdrojů</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1</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TJ</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889 383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924 497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933 186</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907 701</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843 885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882 153</w:t>
            </w:r>
          </w:p>
        </w:tc>
      </w:tr>
      <w:tr>
        <w:trPr>
          <w:trHeight w:val="367"/>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 xml:space="preserve">Počet osobokilometrů </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 xml:space="preserve">mil. </w:t>
            </w:r>
            <w:proofErr w:type="spellStart"/>
            <w:r>
              <w:rPr>
                <w:rFonts w:ascii="Calibri" w:hAnsi="Calibri" w:cs="Calibri"/>
                <w:color w:val="000000"/>
                <w:sz w:val="19"/>
                <w:szCs w:val="19"/>
              </w:rPr>
              <w:t>oskm</w:t>
            </w:r>
            <w:proofErr w:type="spellEnd"/>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118 957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124 165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129 967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132 996</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90 600</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111 721</w:t>
            </w:r>
          </w:p>
        </w:tc>
      </w:tr>
      <w:tr>
        <w:trPr>
          <w:trHeight w:val="60"/>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 xml:space="preserve">Počet tunokilometrů </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3</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 xml:space="preserve">mil. </w:t>
            </w:r>
            <w:proofErr w:type="spellStart"/>
            <w:r>
              <w:rPr>
                <w:rFonts w:ascii="Calibri" w:hAnsi="Calibri" w:cs="Calibri"/>
                <w:color w:val="000000"/>
                <w:sz w:val="19"/>
                <w:szCs w:val="19"/>
              </w:rPr>
              <w:t>tkm</w:t>
            </w:r>
            <w:proofErr w:type="spellEnd"/>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68 172</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62 936</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60 327</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57 888</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73 529</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82 493</w:t>
            </w:r>
          </w:p>
        </w:tc>
      </w:tr>
      <w:tr>
        <w:trPr>
          <w:trHeight w:val="60"/>
        </w:trPr>
        <w:tc>
          <w:tcPr>
            <w:tcW w:w="2410" w:type="dxa"/>
            <w:tcBorders>
              <w:top w:val="nil"/>
              <w:left w:val="single" w:sz="8" w:space="0" w:color="auto"/>
              <w:bottom w:val="single" w:sz="8" w:space="0" w:color="auto"/>
              <w:right w:val="single" w:sz="8" w:space="0" w:color="auto"/>
            </w:tcBorders>
            <w:shd w:val="clear" w:color="000000" w:fill="FFFFFF"/>
            <w:noWrap/>
            <w:vAlign w:val="center"/>
            <w:hideMark/>
          </w:tcPr>
          <w:p>
            <w:pPr>
              <w:overflowPunct/>
              <w:autoSpaceDE/>
              <w:autoSpaceDN/>
              <w:adjustRightInd/>
              <w:spacing w:after="0" w:line="240" w:lineRule="auto"/>
              <w:jc w:val="left"/>
              <w:textAlignment w:val="auto"/>
              <w:rPr>
                <w:rFonts w:ascii="Calibri" w:hAnsi="Calibri" w:cs="Calibri"/>
                <w:color w:val="000000"/>
                <w:sz w:val="19"/>
                <w:szCs w:val="19"/>
              </w:rPr>
            </w:pPr>
            <w:r>
              <w:rPr>
                <w:rFonts w:ascii="Calibri" w:hAnsi="Calibri" w:cs="Calibri"/>
                <w:color w:val="000000"/>
                <w:sz w:val="19"/>
                <w:szCs w:val="19"/>
              </w:rPr>
              <w:t xml:space="preserve">Počet obyvatel (střední stav) </w:t>
            </w:r>
          </w:p>
        </w:tc>
        <w:tc>
          <w:tcPr>
            <w:tcW w:w="6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4</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9"/>
                <w:szCs w:val="19"/>
              </w:rPr>
            </w:pPr>
            <w:r>
              <w:rPr>
                <w:rFonts w:ascii="Calibri" w:hAnsi="Calibri" w:cs="Calibri"/>
                <w:color w:val="000000"/>
                <w:sz w:val="19"/>
                <w:szCs w:val="19"/>
              </w:rPr>
              <w:t>osoba</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10 565 284</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10 589 526</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10 625 695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10 669 324</w:t>
            </w:r>
          </w:p>
        </w:tc>
        <w:tc>
          <w:tcPr>
            <w:tcW w:w="993"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10 700 155</w:t>
            </w:r>
          </w:p>
        </w:tc>
        <w:tc>
          <w:tcPr>
            <w:tcW w:w="992"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s="Calibri"/>
                <w:color w:val="000000"/>
                <w:sz w:val="18"/>
                <w:szCs w:val="18"/>
              </w:rPr>
            </w:pPr>
            <w:r>
              <w:rPr>
                <w:rFonts w:ascii="Calibri" w:hAnsi="Calibri" w:cs="Calibri"/>
                <w:color w:val="000000"/>
                <w:sz w:val="18"/>
                <w:szCs w:val="18"/>
              </w:rPr>
              <w:t>10 499 812</w:t>
            </w:r>
          </w:p>
        </w:tc>
      </w:tr>
    </w:tbl>
    <w:p>
      <w:pPr>
        <w:pStyle w:val="Nadpis2"/>
        <w:rPr>
          <w:color w:val="004B8D" w:themeColor="accent2"/>
          <w:sz w:val="28"/>
        </w:rPr>
      </w:pPr>
      <w:bookmarkStart w:id="12" w:name="_Toc138078642"/>
      <w:bookmarkStart w:id="13" w:name="_Hlk35514287"/>
      <w:r>
        <w:rPr>
          <w:color w:val="004B8D" w:themeColor="accent2"/>
          <w:sz w:val="28"/>
        </w:rPr>
        <w:lastRenderedPageBreak/>
        <w:t>Vývoj konečné spotřeby energie ČR</w:t>
      </w:r>
      <w:bookmarkEnd w:id="12"/>
    </w:p>
    <w:p>
      <w:pPr>
        <w:spacing w:before="240" w:after="240"/>
        <w:rPr>
          <w:rFonts w:cs="Arial"/>
          <w:b/>
          <w:bCs/>
          <w:iCs/>
          <w:szCs w:val="22"/>
        </w:rPr>
      </w:pPr>
      <w:r>
        <w:rPr>
          <w:rFonts w:cs="Arial"/>
          <w:bCs/>
          <w:iCs/>
          <w:szCs w:val="22"/>
        </w:rPr>
        <w:t>Cíl ČR v konečné a primární spotřebě energie byl stanoven v souladu s původní metodikou Eurostat Evropa 2020-2030 (dále jen „Eurostat Evropa 2020“). Ta je i přes svou revizi z roku 2017</w:t>
      </w:r>
      <w:r>
        <w:rPr>
          <w:rStyle w:val="Znakapoznpodarou"/>
          <w:rFonts w:cs="Arial"/>
          <w:bCs/>
          <w:iCs/>
          <w:szCs w:val="22"/>
        </w:rPr>
        <w:footnoteReference w:id="6"/>
      </w:r>
      <w:r>
        <w:rPr>
          <w:rFonts w:cs="Arial"/>
          <w:bCs/>
          <w:iCs/>
          <w:szCs w:val="22"/>
        </w:rPr>
        <w:t xml:space="preserve"> pro ČR směrodatná při prokazování plnění vnitrostátního cíle energetické účinnosti do roku 2030 dle čl. 3 směrnice 2012/27/EU. </w:t>
      </w:r>
      <w:r>
        <w:rPr>
          <w:rFonts w:cs="Arial"/>
          <w:b/>
          <w:bCs/>
          <w:iCs/>
          <w:szCs w:val="22"/>
        </w:rPr>
        <w:t>Dle metodiky Eurostat Evropa 2020 byla konečná spotřeba energie ČR v roce 2021 ve výši 1 096 PJ a 1 657 PJ v případě primární spotřeby energie.</w:t>
      </w:r>
      <w:r>
        <w:rPr>
          <w:rFonts w:cs="Arial"/>
          <w:bCs/>
          <w:iCs/>
          <w:szCs w:val="22"/>
        </w:rPr>
        <w:t xml:space="preserve"> Je tudíž možné konstatovat, že </w:t>
      </w:r>
      <w:r>
        <w:rPr>
          <w:rFonts w:cs="Arial"/>
          <w:b/>
          <w:bCs/>
          <w:iCs/>
          <w:szCs w:val="22"/>
        </w:rPr>
        <w:t>konečná spotřeba energie ČR v roce 2021 nebyla pod cílovou hodnotou konečné spotřeby energie stanovené pro rok 2030, tzn. byla vyšší než 990 PJ</w:t>
      </w:r>
      <w:r>
        <w:rPr>
          <w:rFonts w:cs="Arial"/>
          <w:bCs/>
          <w:iCs/>
          <w:szCs w:val="22"/>
        </w:rPr>
        <w:t xml:space="preserve">.  V případě primární spotřeby se ČR drží pod úrovní cílové hodnoty </w:t>
      </w:r>
      <w:r>
        <w:rPr>
          <w:rFonts w:cs="Arial"/>
          <w:b/>
          <w:bCs/>
          <w:iCs/>
          <w:szCs w:val="22"/>
        </w:rPr>
        <w:t>1 735 PJ</w:t>
      </w:r>
      <w:r>
        <w:rPr>
          <w:rFonts w:cs="Arial"/>
          <w:bCs/>
          <w:iCs/>
          <w:szCs w:val="22"/>
        </w:rPr>
        <w:t xml:space="preserve">. </w:t>
      </w:r>
    </w:p>
    <w:p>
      <w:pPr>
        <w:spacing w:before="240" w:after="240"/>
        <w:rPr>
          <w:rFonts w:cs="Arial"/>
          <w:bCs/>
          <w:iCs/>
          <w:szCs w:val="22"/>
        </w:rPr>
      </w:pPr>
      <w:r>
        <w:rPr>
          <w:rFonts w:cs="Arial"/>
          <w:bCs/>
          <w:iCs/>
          <w:szCs w:val="22"/>
        </w:rPr>
        <w:t>Níže je zobrazen vývoj konečné spotřeby energie podle revidované metodiky Eurostat z roku 2017, podle které je zpracována i souhrnná energetické bilance ČR (dále jen Zdroj: MPO) s podrobnější analýzou vývoje spotřeby jednotlivých sektorů. Sledování konečné spotřeby energie dle jednotlivých sektorů do určité míry napomáhá identifikovat faktory ovlivňující trend celkové konečné spotřeby energie.</w:t>
      </w:r>
    </w:p>
    <w:p>
      <w:pPr>
        <w:spacing w:before="240" w:after="240"/>
        <w:rPr>
          <w:rFonts w:cs="Arial"/>
          <w:bCs/>
          <w:iCs/>
          <w:szCs w:val="22"/>
        </w:rPr>
      </w:pPr>
      <w:r>
        <w:rPr>
          <w:noProof/>
        </w:rPr>
        <w:drawing>
          <wp:anchor distT="0" distB="0" distL="114300" distR="114300" simplePos="0" relativeHeight="251865088" behindDoc="1" locked="0" layoutInCell="1" allowOverlap="1">
            <wp:simplePos x="0" y="0"/>
            <wp:positionH relativeFrom="margin">
              <wp:align>left</wp:align>
            </wp:positionH>
            <wp:positionV relativeFrom="paragraph">
              <wp:posOffset>1257300</wp:posOffset>
            </wp:positionV>
            <wp:extent cx="5759450" cy="2879725"/>
            <wp:effectExtent l="0" t="0" r="12700" b="15875"/>
            <wp:wrapTight wrapText="bothSides">
              <wp:wrapPolygon edited="0">
                <wp:start x="0" y="0"/>
                <wp:lineTo x="0" y="21576"/>
                <wp:lineTo x="21576" y="21576"/>
                <wp:lineTo x="21576" y="0"/>
                <wp:lineTo x="0" y="0"/>
              </wp:wrapPolygon>
            </wp:wrapTight>
            <wp:docPr id="2" name="Graf 2">
              <a:extLst xmlns:a="http://schemas.openxmlformats.org/drawingml/2006/main">
                <a:ext uri="{FF2B5EF4-FFF2-40B4-BE49-F238E27FC236}">
                  <a16:creationId xmlns:a16="http://schemas.microsoft.com/office/drawing/2014/main" id="{51528D45-BD07-47C3-8DF6-A2CB0E629E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74304" behindDoc="1" locked="0" layoutInCell="1" allowOverlap="1">
                <wp:simplePos x="0" y="0"/>
                <wp:positionH relativeFrom="margin">
                  <wp:align>left</wp:align>
                </wp:positionH>
                <wp:positionV relativeFrom="paragraph">
                  <wp:posOffset>1038860</wp:posOffset>
                </wp:positionV>
                <wp:extent cx="5759450" cy="209550"/>
                <wp:effectExtent l="0" t="0" r="0" b="0"/>
                <wp:wrapTight wrapText="bothSides">
                  <wp:wrapPolygon edited="0">
                    <wp:start x="0" y="0"/>
                    <wp:lineTo x="0" y="19636"/>
                    <wp:lineTo x="21505" y="19636"/>
                    <wp:lineTo x="21505" y="0"/>
                    <wp:lineTo x="0" y="0"/>
                  </wp:wrapPolygon>
                </wp:wrapTight>
                <wp:docPr id="5" name="Textové pole 5"/>
                <wp:cNvGraphicFramePr/>
                <a:graphic xmlns:a="http://schemas.openxmlformats.org/drawingml/2006/main">
                  <a:graphicData uri="http://schemas.microsoft.com/office/word/2010/wordprocessingShape">
                    <wps:wsp>
                      <wps:cNvSpPr txBox="1"/>
                      <wps:spPr>
                        <a:xfrm>
                          <a:off x="0" y="0"/>
                          <a:ext cx="5759450" cy="209550"/>
                        </a:xfrm>
                        <a:prstGeom prst="rect">
                          <a:avLst/>
                        </a:prstGeom>
                        <a:solidFill>
                          <a:prstClr val="white"/>
                        </a:solidFill>
                        <a:ln>
                          <a:noFill/>
                        </a:ln>
                      </wps:spPr>
                      <wps:txbx>
                        <w:txbxContent>
                          <w:p>
                            <w:pPr>
                              <w:pStyle w:val="Titulek"/>
                              <w:rPr>
                                <w:i w:val="0"/>
                                <w:noProof/>
                                <w:color w:val="auto"/>
                                <w:sz w:val="22"/>
                                <w:szCs w:val="22"/>
                              </w:rPr>
                            </w:pPr>
                            <w:bookmarkStart w:id="14" w:name="_Toc138075068"/>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1</w:t>
                            </w:r>
                            <w:r>
                              <w:rPr>
                                <w:b/>
                                <w:i w:val="0"/>
                                <w:color w:val="auto"/>
                                <w:sz w:val="22"/>
                                <w:szCs w:val="22"/>
                              </w:rPr>
                              <w:fldChar w:fldCharType="end"/>
                            </w:r>
                            <w:r>
                              <w:rPr>
                                <w:i w:val="0"/>
                                <w:color w:val="auto"/>
                                <w:sz w:val="22"/>
                                <w:szCs w:val="22"/>
                              </w:rPr>
                              <w:t>: Vývoj konečné spotřeby energie, 2014-2021</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0;margin-top:81.8pt;width:453.5pt;height:16.5pt;z-index:-251442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" stroked="f">
                <v:textbox inset="0,0,0,0">
                  <w:txbxContent>
                    <w:p>
                      <w:pPr>
                        <w:pStyle w:val="Titulek"/>
                        <w:rPr>
                          <w:i w:val="0"/>
                          <w:noProof/>
                          <w:color w:val="auto"/>
                          <w:sz w:val="22"/>
                          <w:szCs w:val="22"/>
                        </w:rPr>
                      </w:pPr>
                      <w:bookmarkStart w:id="14" w:name="_Toc138075068"/>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1</w:t>
                      </w:r>
                      <w:r>
                        <w:rPr>
                          <w:b/>
                          <w:i w:val="0"/>
                          <w:color w:val="auto"/>
                          <w:sz w:val="22"/>
                          <w:szCs w:val="22"/>
                        </w:rPr>
                        <w:fldChar w:fldCharType="end"/>
                      </w:r>
                      <w:r>
                        <w:rPr>
                          <w:i w:val="0"/>
                          <w:color w:val="auto"/>
                          <w:sz w:val="22"/>
                          <w:szCs w:val="22"/>
                        </w:rPr>
                        <w:t>: Vývoj konečné spotřeby energie, 2014-2021</w:t>
                      </w:r>
                      <w:bookmarkEnd w:id="14"/>
                    </w:p>
                  </w:txbxContent>
                </v:textbox>
                <w10:wrap type="tight" anchorx="margin"/>
              </v:shape>
            </w:pict>
          </mc:Fallback>
        </mc:AlternateContent>
      </w:r>
      <w:r>
        <w:rPr>
          <w:rFonts w:cs="Arial"/>
          <w:bCs/>
          <w:iCs/>
          <w:szCs w:val="22"/>
        </w:rPr>
        <w:t xml:space="preserve">Trend konečné spotřeby energie (graf č. 1), který je již založen na souhrnné energetické bilanci ČR, vykazuje od roku 2017 meziroční pokles, a to až do roku 2020, který byl nicméně poznamenán pandemií </w:t>
      </w:r>
      <w:proofErr w:type="spellStart"/>
      <w:r>
        <w:rPr>
          <w:rFonts w:cs="Arial"/>
          <w:bCs/>
          <w:iCs/>
          <w:szCs w:val="22"/>
        </w:rPr>
        <w:t>Covid</w:t>
      </w:r>
      <w:proofErr w:type="spellEnd"/>
      <w:r>
        <w:rPr>
          <w:rFonts w:cs="Arial"/>
          <w:bCs/>
          <w:iCs/>
          <w:szCs w:val="22"/>
        </w:rPr>
        <w:t xml:space="preserve"> – 19. V roce 2021 potom došlo ke skokovému nárůstu a překonání spotřeby konečné energie i v porovnání s před pandemickým rokem 2019. </w:t>
      </w:r>
      <w:bookmarkEnd w:id="13"/>
    </w:p>
    <w:p>
      <w:pPr>
        <w:jc w:val="right"/>
      </w:pPr>
      <w:r>
        <w:rPr>
          <w:rFonts w:cs="Arial"/>
          <w:bCs/>
          <w:iCs/>
          <w:sz w:val="20"/>
          <w:szCs w:val="22"/>
        </w:rPr>
        <w:t>Zdroj: MPO</w:t>
      </w:r>
    </w:p>
    <w:p>
      <w:pPr>
        <w:spacing w:before="240" w:after="240"/>
        <w:rPr>
          <w:rFonts w:cs="Arial"/>
          <w:bCs/>
          <w:iCs/>
          <w:szCs w:val="22"/>
        </w:rPr>
      </w:pPr>
      <w:r>
        <w:rPr>
          <w:rFonts w:cs="Arial"/>
          <w:iCs/>
          <w:szCs w:val="22"/>
        </w:rPr>
        <w:lastRenderedPageBreak/>
        <w:t>Při sledování trendu konečné spotřeby bez očištění vnějších vlivů lze pozorovat výrazné výkyvy, jejichž původ je problematické identifikovat. I z tohoto důvodu je zajímavé podívat se na zvyšování energetické účinnosti skrze jiný ukazatel, než je absolutní hodnota konečné spotřeby, a to například z pohledu energetické náročnosti ČR (graf č.2).</w:t>
      </w:r>
      <w:r>
        <w:rPr>
          <w:rFonts w:cs="Arial"/>
          <w:b/>
          <w:bCs/>
          <w:iCs/>
          <w:szCs w:val="22"/>
        </w:rPr>
        <w:t xml:space="preserve"> V roce 2021 úroveň energetické náročnosti vzrostla poprvé po dlouhé době a upustila tak od dlouhotrvajícího trendu poklesu. V roce 2021 dosáhla hodnoty 342 GJ/mil. Kč HDP což je porovnatelné s hodnotou před rokem 2019</w:t>
      </w:r>
      <w:r>
        <w:rPr>
          <w:rFonts w:cs="Arial"/>
          <w:b/>
          <w:bCs/>
          <w:iCs/>
          <w:szCs w:val="22"/>
          <w:vertAlign w:val="superscript"/>
        </w:rPr>
        <w:footnoteReference w:id="7"/>
      </w:r>
      <w:r>
        <w:rPr>
          <w:rFonts w:cs="Arial"/>
          <w:b/>
          <w:bCs/>
          <w:iCs/>
          <w:szCs w:val="22"/>
        </w:rPr>
        <w:t xml:space="preserve">. </w:t>
      </w:r>
      <w:r>
        <w:rPr>
          <w:rFonts w:cs="Arial"/>
          <w:bCs/>
          <w:iCs/>
          <w:szCs w:val="22"/>
        </w:rPr>
        <w:t>Křivka energetické náročnosti tak kopíruje křivku konečné spotřeby energie.</w:t>
      </w:r>
    </w:p>
    <w:p>
      <w:pPr>
        <w:pStyle w:val="Titulek"/>
        <w:keepNext/>
        <w:rPr>
          <w:i w:val="0"/>
          <w:color w:val="auto"/>
          <w:sz w:val="22"/>
          <w:szCs w:val="22"/>
        </w:rPr>
      </w:pPr>
      <w:bookmarkStart w:id="15" w:name="_Toc138075069"/>
      <w:r>
        <w:rPr>
          <w:b/>
          <w:i w:val="0"/>
          <w:noProof/>
          <w:color w:val="auto"/>
          <w:sz w:val="22"/>
          <w:szCs w:val="22"/>
        </w:rPr>
        <w:drawing>
          <wp:anchor distT="0" distB="0" distL="114300" distR="114300" simplePos="0" relativeHeight="251866112" behindDoc="0" locked="0" layoutInCell="1" allowOverlap="1">
            <wp:simplePos x="0" y="0"/>
            <wp:positionH relativeFrom="margin">
              <wp:align>left</wp:align>
            </wp:positionH>
            <wp:positionV relativeFrom="paragraph">
              <wp:posOffset>200025</wp:posOffset>
            </wp:positionV>
            <wp:extent cx="5760000" cy="2880000"/>
            <wp:effectExtent l="0" t="0" r="12700" b="15875"/>
            <wp:wrapTopAndBottom/>
            <wp:docPr id="1" name="Graf 1">
              <a:extLst xmlns:a="http://schemas.openxmlformats.org/drawingml/2006/main">
                <a:ext uri="{FF2B5EF4-FFF2-40B4-BE49-F238E27FC236}">
                  <a16:creationId xmlns:a16="http://schemas.microsoft.com/office/drawing/2014/main" id="{8569C90B-D2C8-476E-84D4-BC454CE8A4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2</w:t>
      </w:r>
      <w:r>
        <w:rPr>
          <w:b/>
          <w:i w:val="0"/>
          <w:color w:val="auto"/>
          <w:sz w:val="22"/>
          <w:szCs w:val="22"/>
        </w:rPr>
        <w:fldChar w:fldCharType="end"/>
      </w:r>
      <w:r>
        <w:rPr>
          <w:i w:val="0"/>
          <w:color w:val="auto"/>
          <w:sz w:val="22"/>
          <w:szCs w:val="22"/>
        </w:rPr>
        <w:t>: Vývoj energetické náročnosti ČR, 2014–2021</w:t>
      </w:r>
      <w:bookmarkEnd w:id="15"/>
    </w:p>
    <w:p>
      <w:pPr>
        <w:spacing w:before="240" w:after="240"/>
        <w:ind w:left="6372" w:firstLine="708"/>
        <w:rPr>
          <w:rFonts w:cs="Arial"/>
          <w:bCs/>
          <w:iCs/>
          <w:szCs w:val="22"/>
        </w:rPr>
      </w:pPr>
      <w:r>
        <w:rPr>
          <w:rFonts w:cs="Arial"/>
          <w:bCs/>
          <w:iCs/>
          <w:sz w:val="20"/>
          <w:szCs w:val="22"/>
        </w:rPr>
        <w:t>Zdroj: MPO, Eurostat</w:t>
      </w:r>
    </w:p>
    <w:p>
      <w:pPr>
        <w:spacing w:before="240" w:after="240"/>
        <w:rPr>
          <w:rFonts w:cs="Arial"/>
          <w:bCs/>
          <w:iCs/>
          <w:szCs w:val="22"/>
        </w:rPr>
      </w:pPr>
      <w:bookmarkStart w:id="16" w:name="_Hlk35515666"/>
      <w:r>
        <w:rPr>
          <w:rFonts w:cs="Arial"/>
          <w:bCs/>
          <w:iCs/>
          <w:szCs w:val="22"/>
        </w:rPr>
        <w:t xml:space="preserve">Níže je zobrazena podrobnější analýza vývoje konečné spotřeby energie v jednotlivých sektorech. </w:t>
      </w:r>
    </w:p>
    <w:p>
      <w:pPr>
        <w:pStyle w:val="Nadpis3"/>
        <w:rPr>
          <w:color w:val="004B8D" w:themeColor="text2"/>
        </w:rPr>
      </w:pPr>
      <w:bookmarkStart w:id="17" w:name="_Toc138078643"/>
      <w:r>
        <w:rPr>
          <w:color w:val="004B8D" w:themeColor="text2"/>
        </w:rPr>
        <w:t>Sektor domácností</w:t>
      </w:r>
      <w:bookmarkEnd w:id="17"/>
    </w:p>
    <w:p>
      <w:pPr>
        <w:spacing w:before="240" w:after="240"/>
        <w:rPr>
          <w:rFonts w:cs="Arial"/>
          <w:bCs/>
          <w:iCs/>
          <w:szCs w:val="22"/>
        </w:rPr>
      </w:pPr>
      <w:r>
        <w:rPr>
          <w:rFonts w:cs="Arial"/>
          <w:bCs/>
          <w:iCs/>
          <w:szCs w:val="22"/>
        </w:rPr>
        <w:t>Sektor domácností zaznamenal skokový růst spotřeby energie, který byl způsoben proti pandemickými opatřeními, v </w:t>
      </w:r>
      <w:proofErr w:type="gramStart"/>
      <w:r>
        <w:rPr>
          <w:rFonts w:cs="Arial"/>
          <w:bCs/>
          <w:iCs/>
          <w:szCs w:val="22"/>
        </w:rPr>
        <w:t>rámci</w:t>
      </w:r>
      <w:proofErr w:type="gramEnd"/>
      <w:r>
        <w:rPr>
          <w:rFonts w:cs="Arial"/>
          <w:bCs/>
          <w:iCs/>
          <w:szCs w:val="22"/>
        </w:rPr>
        <w:t xml:space="preserve"> kterých obyvatelé trávili mnohem více času ve svých domovech. Energetická náročnost domácností vyjádřena na jednu bytovou jednotku taktéž zaznamenává v roce 2021 růst a dosáhla úrovně 76 GJ/byt (graf č. 3). </w:t>
      </w:r>
      <w:bookmarkEnd w:id="16"/>
    </w:p>
    <w:p>
      <w:pPr>
        <w:spacing w:before="240" w:after="240"/>
        <w:ind w:left="7080" w:firstLine="708"/>
        <w:rPr>
          <w:rFonts w:cs="Arial"/>
          <w:bCs/>
          <w:iCs/>
          <w:szCs w:val="22"/>
        </w:rPr>
      </w:pPr>
      <w:r>
        <w:rPr>
          <w:noProof/>
        </w:rPr>
        <w:lastRenderedPageBreak/>
        <w:drawing>
          <wp:anchor distT="0" distB="0" distL="114300" distR="114300" simplePos="0" relativeHeight="251867136" behindDoc="1" locked="0" layoutInCell="1" allowOverlap="1">
            <wp:simplePos x="0" y="0"/>
            <wp:positionH relativeFrom="margin">
              <wp:align>right</wp:align>
            </wp:positionH>
            <wp:positionV relativeFrom="paragraph">
              <wp:posOffset>343535</wp:posOffset>
            </wp:positionV>
            <wp:extent cx="5760000" cy="2880000"/>
            <wp:effectExtent l="0" t="0" r="12700" b="15875"/>
            <wp:wrapTopAndBottom/>
            <wp:docPr id="8" name="Graf 8">
              <a:extLst xmlns:a="http://schemas.openxmlformats.org/drawingml/2006/main">
                <a:ext uri="{FF2B5EF4-FFF2-40B4-BE49-F238E27FC236}">
                  <a16:creationId xmlns:a16="http://schemas.microsoft.com/office/drawing/2014/main" id="{67C19B9F-60BD-4730-A2BD-2B4BCF28A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76352" behindDoc="0" locked="0" layoutInCell="1" allowOverlap="1">
                <wp:simplePos x="0" y="0"/>
                <wp:positionH relativeFrom="margin">
                  <wp:align>left</wp:align>
                </wp:positionH>
                <wp:positionV relativeFrom="paragraph">
                  <wp:posOffset>0</wp:posOffset>
                </wp:positionV>
                <wp:extent cx="5759450" cy="219075"/>
                <wp:effectExtent l="0" t="0" r="0" b="9525"/>
                <wp:wrapTopAndBottom/>
                <wp:docPr id="9" name="Textové pole 9"/>
                <wp:cNvGraphicFramePr/>
                <a:graphic xmlns:a="http://schemas.openxmlformats.org/drawingml/2006/main">
                  <a:graphicData uri="http://schemas.microsoft.com/office/word/2010/wordprocessingShape">
                    <wps:wsp>
                      <wps:cNvSpPr txBox="1"/>
                      <wps:spPr>
                        <a:xfrm>
                          <a:off x="0" y="0"/>
                          <a:ext cx="5759450" cy="219075"/>
                        </a:xfrm>
                        <a:prstGeom prst="rect">
                          <a:avLst/>
                        </a:prstGeom>
                        <a:solidFill>
                          <a:prstClr val="white"/>
                        </a:solidFill>
                        <a:ln>
                          <a:noFill/>
                        </a:ln>
                      </wps:spPr>
                      <wps:txbx>
                        <w:txbxContent>
                          <w:p>
                            <w:pPr>
                              <w:pStyle w:val="Titulek"/>
                              <w:rPr>
                                <w:i w:val="0"/>
                                <w:noProof/>
                                <w:color w:val="auto"/>
                                <w:sz w:val="22"/>
                                <w:szCs w:val="22"/>
                              </w:rPr>
                            </w:pPr>
                            <w:bookmarkStart w:id="18" w:name="_Toc138075070"/>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3</w:t>
                            </w:r>
                            <w:r>
                              <w:rPr>
                                <w:b/>
                                <w:i w:val="0"/>
                                <w:color w:val="auto"/>
                                <w:sz w:val="22"/>
                                <w:szCs w:val="22"/>
                              </w:rPr>
                              <w:fldChar w:fldCharType="end"/>
                            </w:r>
                            <w:r>
                              <w:rPr>
                                <w:b/>
                                <w:i w:val="0"/>
                                <w:color w:val="auto"/>
                                <w:sz w:val="22"/>
                                <w:szCs w:val="22"/>
                              </w:rPr>
                              <w:t>:</w:t>
                            </w:r>
                            <w:r>
                              <w:rPr>
                                <w:i w:val="0"/>
                                <w:color w:val="auto"/>
                                <w:sz w:val="22"/>
                                <w:szCs w:val="22"/>
                              </w:rPr>
                              <w:t xml:space="preserve"> Konečná spotřeba energie na domácnost, 2014-2021</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9" o:spid="_x0000_s1027" type="#_x0000_t202" style="position:absolute;left:0;text-align:left;margin-left:0;margin-top:0;width:453.5pt;height:17.25pt;z-index:2518763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" stroked="f">
                <v:textbox inset="0,0,0,0">
                  <w:txbxContent>
                    <w:p>
                      <w:pPr>
                        <w:pStyle w:val="Titulek"/>
                        <w:rPr>
                          <w:i w:val="0"/>
                          <w:noProof/>
                          <w:color w:val="auto"/>
                          <w:sz w:val="22"/>
                          <w:szCs w:val="22"/>
                        </w:rPr>
                      </w:pPr>
                      <w:bookmarkStart w:id="19" w:name="_Toc138075070"/>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3</w:t>
                      </w:r>
                      <w:r>
                        <w:rPr>
                          <w:b/>
                          <w:i w:val="0"/>
                          <w:color w:val="auto"/>
                          <w:sz w:val="22"/>
                          <w:szCs w:val="22"/>
                        </w:rPr>
                        <w:fldChar w:fldCharType="end"/>
                      </w:r>
                      <w:r>
                        <w:rPr>
                          <w:b/>
                          <w:i w:val="0"/>
                          <w:color w:val="auto"/>
                          <w:sz w:val="22"/>
                          <w:szCs w:val="22"/>
                        </w:rPr>
                        <w:t>:</w:t>
                      </w:r>
                      <w:r>
                        <w:rPr>
                          <w:i w:val="0"/>
                          <w:color w:val="auto"/>
                          <w:sz w:val="22"/>
                          <w:szCs w:val="22"/>
                        </w:rPr>
                        <w:t xml:space="preserve"> Konečná spotřeba energie na domácnost, 2014-2021</w:t>
                      </w:r>
                      <w:bookmarkEnd w:id="19"/>
                    </w:p>
                  </w:txbxContent>
                </v:textbox>
                <w10:wrap type="topAndBottom" anchorx="margin"/>
              </v:shape>
            </w:pict>
          </mc:Fallback>
        </mc:AlternateContent>
      </w:r>
      <w:r>
        <w:rPr>
          <w:rFonts w:cs="Arial"/>
          <w:bCs/>
          <w:iCs/>
          <w:sz w:val="20"/>
          <w:szCs w:val="22"/>
        </w:rPr>
        <w:t>Zdroj: MPO</w:t>
      </w:r>
    </w:p>
    <w:p>
      <w:pPr>
        <w:pStyle w:val="Nadpis3"/>
        <w:rPr>
          <w:color w:val="004B8D" w:themeColor="text2"/>
        </w:rPr>
      </w:pPr>
      <w:bookmarkStart w:id="19" w:name="_Toc138078644"/>
      <w:r>
        <w:rPr>
          <w:color w:val="004B8D" w:themeColor="text2"/>
        </w:rPr>
        <w:t>Sektor dopravy</w:t>
      </w:r>
      <w:bookmarkEnd w:id="19"/>
    </w:p>
    <w:p>
      <w:pPr>
        <w:spacing w:before="240" w:after="240"/>
        <w:rPr>
          <w:rFonts w:cs="Arial"/>
          <w:bCs/>
          <w:iCs/>
          <w:szCs w:val="22"/>
        </w:rPr>
      </w:pPr>
      <w:r>
        <w:rPr>
          <w:rFonts w:cstheme="minorHAnsi"/>
          <w:noProof/>
        </w:rPr>
        <w:drawing>
          <wp:anchor distT="0" distB="0" distL="114300" distR="114300" simplePos="0" relativeHeight="251868160" behindDoc="0" locked="0" layoutInCell="1" allowOverlap="1">
            <wp:simplePos x="0" y="0"/>
            <wp:positionH relativeFrom="margin">
              <wp:align>left</wp:align>
            </wp:positionH>
            <wp:positionV relativeFrom="paragraph">
              <wp:posOffset>1155776</wp:posOffset>
            </wp:positionV>
            <wp:extent cx="5759450" cy="2879725"/>
            <wp:effectExtent l="0" t="0" r="12700" b="15875"/>
            <wp:wrapTopAndBottom/>
            <wp:docPr id="14" name="Graf 14">
              <a:extLst xmlns:a="http://schemas.openxmlformats.org/drawingml/2006/main">
                <a:ext uri="{FF2B5EF4-FFF2-40B4-BE49-F238E27FC236}">
                  <a16:creationId xmlns:a16="http://schemas.microsoft.com/office/drawing/2014/main" id="{B845D2B1-0484-48ED-B742-BD7F0640AE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78400" behindDoc="0" locked="0" layoutInCell="1" allowOverlap="1">
                <wp:simplePos x="0" y="0"/>
                <wp:positionH relativeFrom="margin">
                  <wp:align>right</wp:align>
                </wp:positionH>
                <wp:positionV relativeFrom="paragraph">
                  <wp:posOffset>966978</wp:posOffset>
                </wp:positionV>
                <wp:extent cx="5759450" cy="180975"/>
                <wp:effectExtent l="0" t="0" r="0" b="9525"/>
                <wp:wrapTopAndBottom/>
                <wp:docPr id="10" name="Textové pole 10"/>
                <wp:cNvGraphicFramePr/>
                <a:graphic xmlns:a="http://schemas.openxmlformats.org/drawingml/2006/main">
                  <a:graphicData uri="http://schemas.microsoft.com/office/word/2010/wordprocessingShape">
                    <wps:wsp>
                      <wps:cNvSpPr txBox="1"/>
                      <wps:spPr>
                        <a:xfrm>
                          <a:off x="0" y="0"/>
                          <a:ext cx="5759450" cy="180975"/>
                        </a:xfrm>
                        <a:prstGeom prst="rect">
                          <a:avLst/>
                        </a:prstGeom>
                        <a:solidFill>
                          <a:prstClr val="white"/>
                        </a:solidFill>
                        <a:ln>
                          <a:noFill/>
                        </a:ln>
                      </wps:spPr>
                      <wps:txbx>
                        <w:txbxContent>
                          <w:p>
                            <w:pPr>
                              <w:pStyle w:val="Titulek"/>
                              <w:rPr>
                                <w:rFonts w:cstheme="minorHAnsi"/>
                                <w:i w:val="0"/>
                                <w:noProof/>
                                <w:color w:val="auto"/>
                                <w:sz w:val="22"/>
                                <w:szCs w:val="22"/>
                              </w:rPr>
                            </w:pPr>
                            <w:bookmarkStart w:id="20" w:name="_Toc138075071"/>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4</w:t>
                            </w:r>
                            <w:r>
                              <w:rPr>
                                <w:b/>
                                <w:i w:val="0"/>
                                <w:color w:val="auto"/>
                                <w:sz w:val="22"/>
                                <w:szCs w:val="22"/>
                              </w:rPr>
                              <w:fldChar w:fldCharType="end"/>
                            </w:r>
                            <w:r>
                              <w:rPr>
                                <w:i w:val="0"/>
                                <w:color w:val="auto"/>
                                <w:sz w:val="22"/>
                                <w:szCs w:val="22"/>
                              </w:rPr>
                              <w:t>: Spotřeba energie v sektoru dopravy na jeden automobil, 2014-2021</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10" o:spid="_x0000_s1028" type="#_x0000_t202" style="position:absolute;left:0;text-align:left;margin-left:402.3pt;margin-top:76.15pt;width:453.5pt;height:14.25pt;z-index:2518784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" stroked="f">
                <v:textbox inset="0,0,0,0">
                  <w:txbxContent>
                    <w:p>
                      <w:pPr>
                        <w:pStyle w:val="Titulek"/>
                        <w:rPr>
                          <w:rFonts w:cstheme="minorHAnsi"/>
                          <w:i w:val="0"/>
                          <w:noProof/>
                          <w:color w:val="auto"/>
                          <w:sz w:val="22"/>
                          <w:szCs w:val="22"/>
                        </w:rPr>
                      </w:pPr>
                      <w:bookmarkStart w:id="22" w:name="_Toc138075071"/>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4</w:t>
                      </w:r>
                      <w:r>
                        <w:rPr>
                          <w:b/>
                          <w:i w:val="0"/>
                          <w:color w:val="auto"/>
                          <w:sz w:val="22"/>
                          <w:szCs w:val="22"/>
                        </w:rPr>
                        <w:fldChar w:fldCharType="end"/>
                      </w:r>
                      <w:r>
                        <w:rPr>
                          <w:i w:val="0"/>
                          <w:color w:val="auto"/>
                          <w:sz w:val="22"/>
                          <w:szCs w:val="22"/>
                        </w:rPr>
                        <w:t>: Spotřeba energie v sektoru dopravy na jeden automobil, 2014-2021</w:t>
                      </w:r>
                      <w:bookmarkEnd w:id="22"/>
                    </w:p>
                  </w:txbxContent>
                </v:textbox>
                <w10:wrap type="topAndBottom" anchorx="margin"/>
              </v:shape>
            </w:pict>
          </mc:Fallback>
        </mc:AlternateContent>
      </w:r>
      <w:r>
        <w:rPr>
          <w:rFonts w:cs="Arial"/>
          <w:bCs/>
          <w:iCs/>
          <w:szCs w:val="22"/>
        </w:rPr>
        <w:t xml:space="preserve">Spotřeba energie v sektoru dopravy se v roce 2021 po výrazném poklesu v roce 2020 způsobeném proti pandemickými opatřeními vrátila na výchozí hodnotu z roku 2019. V hodnotovém vyjádření se spotřeba drží na úrovni 288 PJ.   </w:t>
      </w:r>
    </w:p>
    <w:p>
      <w:pPr>
        <w:spacing w:after="0"/>
        <w:jc w:val="right"/>
        <w:rPr>
          <w:rFonts w:cs="Arial"/>
          <w:bCs/>
          <w:iCs/>
          <w:szCs w:val="22"/>
        </w:rPr>
      </w:pPr>
      <w:r>
        <w:rPr>
          <w:rFonts w:cs="Arial"/>
          <w:bCs/>
          <w:iCs/>
          <w:sz w:val="20"/>
          <w:szCs w:val="22"/>
        </w:rPr>
        <w:t>Zdroj: Ministerstvo dopravy, MPO</w:t>
      </w:r>
    </w:p>
    <w:p>
      <w:pPr>
        <w:spacing w:before="240" w:after="240"/>
        <w:rPr>
          <w:rFonts w:cs="Arial"/>
          <w:bCs/>
          <w:iCs/>
          <w:szCs w:val="22"/>
        </w:rPr>
      </w:pPr>
      <w:r>
        <w:rPr>
          <w:rFonts w:cs="Arial"/>
          <w:bCs/>
          <w:iCs/>
          <w:szCs w:val="22"/>
        </w:rPr>
        <w:t>Z pohledu spotřeby energie na jeden automobil (zahrnuje pouze individuální automobilovou dopravu), také došlo k růstu, ale hodnota je podobně vysoká jak v roce 2019, a to 47 GJ/automobil (graf 4).</w:t>
      </w:r>
    </w:p>
    <w:p>
      <w:pPr>
        <w:pStyle w:val="Nadpis3"/>
        <w:rPr>
          <w:b w:val="0"/>
          <w:color w:val="004B8D" w:themeColor="text2"/>
        </w:rPr>
      </w:pPr>
      <w:bookmarkStart w:id="21" w:name="_Toc138078645"/>
      <w:r>
        <w:rPr>
          <w:color w:val="004B8D" w:themeColor="text2"/>
        </w:rPr>
        <w:lastRenderedPageBreak/>
        <w:t>Sektor průmyslu</w:t>
      </w:r>
      <w:bookmarkEnd w:id="21"/>
    </w:p>
    <w:p>
      <w:pPr>
        <w:spacing w:before="240" w:after="240"/>
        <w:rPr>
          <w:rFonts w:cs="Arial"/>
          <w:b/>
          <w:bCs/>
          <w:iCs/>
          <w:szCs w:val="22"/>
        </w:rPr>
      </w:pPr>
      <w:r>
        <w:rPr>
          <w:rFonts w:cs="Arial"/>
          <w:b/>
          <w:bCs/>
          <w:iCs/>
          <w:szCs w:val="22"/>
        </w:rPr>
        <w:t xml:space="preserve">Sektor průmyslu v porovnaní s rokem před pandemií vykazuje nárůst konečné spotřeby energie </w:t>
      </w:r>
      <w:r>
        <w:rPr>
          <w:rFonts w:cs="Arial"/>
          <w:b/>
          <w:bCs/>
          <w:iCs/>
          <w:szCs w:val="22"/>
        </w:rPr>
        <w:br/>
        <w:t>o 5,8 %,</w:t>
      </w:r>
      <w:r>
        <w:rPr>
          <w:rFonts w:cs="Arial"/>
          <w:bCs/>
          <w:iCs/>
          <w:szCs w:val="22"/>
        </w:rPr>
        <w:t xml:space="preserve"> což se taky odráží na růstu energetické náročnosti průmyslu (graf č. 5). Růst energetické náročnosti průmyslu byl způsoben kromě růstu spotřeby energie také poklesem hrubé přidané hodnoty (HPH) na kterou je vztažená. </w:t>
      </w:r>
    </w:p>
    <w:p>
      <w:pPr>
        <w:spacing w:before="240" w:after="240"/>
        <w:rPr>
          <w:rFonts w:cs="Arial"/>
          <w:bCs/>
          <w:iCs/>
          <w:szCs w:val="22"/>
        </w:rPr>
      </w:pPr>
      <w:r>
        <w:rPr>
          <w:noProof/>
        </w:rPr>
        <mc:AlternateContent>
          <mc:Choice Requires="wps">
            <w:drawing>
              <wp:anchor distT="0" distB="0" distL="114300" distR="114300" simplePos="0" relativeHeight="251880448" behindDoc="0" locked="0" layoutInCell="1" allowOverlap="1">
                <wp:simplePos x="0" y="0"/>
                <wp:positionH relativeFrom="margin">
                  <wp:align>right</wp:align>
                </wp:positionH>
                <wp:positionV relativeFrom="paragraph">
                  <wp:posOffset>809422</wp:posOffset>
                </wp:positionV>
                <wp:extent cx="5759450" cy="276225"/>
                <wp:effectExtent l="0" t="0" r="0" b="9525"/>
                <wp:wrapTopAndBottom/>
                <wp:docPr id="11" name="Textové pole 11"/>
                <wp:cNvGraphicFramePr/>
                <a:graphic xmlns:a="http://schemas.openxmlformats.org/drawingml/2006/main">
                  <a:graphicData uri="http://schemas.microsoft.com/office/word/2010/wordprocessingShape">
                    <wps:wsp>
                      <wps:cNvSpPr txBox="1"/>
                      <wps:spPr>
                        <a:xfrm>
                          <a:off x="0" y="0"/>
                          <a:ext cx="5759450" cy="276225"/>
                        </a:xfrm>
                        <a:prstGeom prst="rect">
                          <a:avLst/>
                        </a:prstGeom>
                        <a:solidFill>
                          <a:prstClr val="white"/>
                        </a:solidFill>
                        <a:ln>
                          <a:noFill/>
                        </a:ln>
                      </wps:spPr>
                      <wps:txbx>
                        <w:txbxContent>
                          <w:p>
                            <w:pPr>
                              <w:pStyle w:val="Titulek"/>
                              <w:rPr>
                                <w:i w:val="0"/>
                                <w:noProof/>
                                <w:color w:val="auto"/>
                                <w:sz w:val="22"/>
                                <w:szCs w:val="22"/>
                              </w:rPr>
                            </w:pPr>
                            <w:bookmarkStart w:id="22" w:name="_Toc138075072"/>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5</w:t>
                            </w:r>
                            <w:r>
                              <w:rPr>
                                <w:b/>
                                <w:i w:val="0"/>
                                <w:color w:val="auto"/>
                                <w:sz w:val="22"/>
                                <w:szCs w:val="22"/>
                              </w:rPr>
                              <w:fldChar w:fldCharType="end"/>
                            </w:r>
                            <w:r>
                              <w:rPr>
                                <w:b/>
                                <w:i w:val="0"/>
                                <w:color w:val="auto"/>
                                <w:sz w:val="22"/>
                                <w:szCs w:val="22"/>
                              </w:rPr>
                              <w:t>:</w:t>
                            </w:r>
                            <w:r>
                              <w:rPr>
                                <w:i w:val="0"/>
                                <w:color w:val="auto"/>
                                <w:sz w:val="22"/>
                                <w:szCs w:val="22"/>
                              </w:rPr>
                              <w:t xml:space="preserve"> Vývoj energetické náročnosti průmyslu ČR, 2014–2021</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11" o:spid="_x0000_s1029" type="#_x0000_t202" style="position:absolute;left:0;text-align:left;margin-left:402.3pt;margin-top:63.75pt;width:453.5pt;height:21.75pt;z-index:2518804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" stroked="f">
                <v:textbox inset="0,0,0,0">
                  <w:txbxContent>
                    <w:p>
                      <w:pPr>
                        <w:pStyle w:val="Titulek"/>
                        <w:rPr>
                          <w:i w:val="0"/>
                          <w:noProof/>
                          <w:color w:val="auto"/>
                          <w:sz w:val="22"/>
                          <w:szCs w:val="22"/>
                        </w:rPr>
                      </w:pPr>
                      <w:bookmarkStart w:id="25" w:name="_Toc138075072"/>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5</w:t>
                      </w:r>
                      <w:r>
                        <w:rPr>
                          <w:b/>
                          <w:i w:val="0"/>
                          <w:color w:val="auto"/>
                          <w:sz w:val="22"/>
                          <w:szCs w:val="22"/>
                        </w:rPr>
                        <w:fldChar w:fldCharType="end"/>
                      </w:r>
                      <w:r>
                        <w:rPr>
                          <w:b/>
                          <w:i w:val="0"/>
                          <w:color w:val="auto"/>
                          <w:sz w:val="22"/>
                          <w:szCs w:val="22"/>
                        </w:rPr>
                        <w:t>:</w:t>
                      </w:r>
                      <w:r>
                        <w:rPr>
                          <w:i w:val="0"/>
                          <w:color w:val="auto"/>
                          <w:sz w:val="22"/>
                          <w:szCs w:val="22"/>
                        </w:rPr>
                        <w:t xml:space="preserve"> Vývoj energetické náročnosti průmyslu ČR, 2014–2021</w:t>
                      </w:r>
                      <w:bookmarkEnd w:id="25"/>
                    </w:p>
                  </w:txbxContent>
                </v:textbox>
                <w10:wrap type="topAndBottom" anchorx="margin"/>
              </v:shape>
            </w:pict>
          </mc:Fallback>
        </mc:AlternateContent>
      </w:r>
      <w:r>
        <w:rPr>
          <w:rFonts w:cs="Arial"/>
          <w:bCs/>
          <w:iCs/>
          <w:szCs w:val="22"/>
        </w:rPr>
        <w:t>Pokud jde o poměr spotřeby energie vůči průmyslové produkci (graf č. 6), který se měří vůči indexu průmyslové produkce (IPP)</w:t>
      </w:r>
      <w:r>
        <w:rPr>
          <w:rStyle w:val="Znakapoznpodarou"/>
          <w:rFonts w:cs="Arial"/>
          <w:bCs/>
          <w:iCs/>
          <w:szCs w:val="22"/>
        </w:rPr>
        <w:footnoteReference w:id="8"/>
      </w:r>
      <w:r>
        <w:rPr>
          <w:rFonts w:cs="Arial"/>
          <w:bCs/>
          <w:iCs/>
          <w:szCs w:val="22"/>
        </w:rPr>
        <w:t xml:space="preserve">, došlo k mírnému meziročnímu poklesu, a to o 0,3 %, ale nedostal se na výchozí hodnotu z před období pandemie COVID-19. </w:t>
      </w:r>
    </w:p>
    <w:p>
      <w:pPr>
        <w:spacing w:before="240" w:after="240"/>
        <w:ind w:left="6372" w:firstLine="708"/>
        <w:rPr>
          <w:rFonts w:cs="Arial"/>
          <w:bCs/>
          <w:iCs/>
          <w:szCs w:val="22"/>
        </w:rPr>
      </w:pPr>
      <w:r>
        <w:rPr>
          <w:noProof/>
        </w:rPr>
        <w:drawing>
          <wp:anchor distT="0" distB="0" distL="114300" distR="114300" simplePos="0" relativeHeight="251869184" behindDoc="0" locked="0" layoutInCell="1" allowOverlap="1">
            <wp:simplePos x="0" y="0"/>
            <wp:positionH relativeFrom="margin">
              <wp:align>left</wp:align>
            </wp:positionH>
            <wp:positionV relativeFrom="paragraph">
              <wp:posOffset>314325</wp:posOffset>
            </wp:positionV>
            <wp:extent cx="5760000" cy="2880000"/>
            <wp:effectExtent l="0" t="0" r="12700" b="15875"/>
            <wp:wrapTopAndBottom/>
            <wp:docPr id="22" name="Graf 22">
              <a:extLst xmlns:a="http://schemas.openxmlformats.org/drawingml/2006/main">
                <a:ext uri="{FF2B5EF4-FFF2-40B4-BE49-F238E27FC236}">
                  <a16:creationId xmlns:a16="http://schemas.microsoft.com/office/drawing/2014/main" id="{62D4613D-E98B-44A7-B10D-F45360E217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Theme="majorHAnsi" w:hAnsiTheme="majorHAnsi" w:cs="Arial"/>
          <w:bCs/>
          <w:iCs/>
          <w:sz w:val="20"/>
          <w:szCs w:val="22"/>
        </w:rPr>
        <w:t>Zdroj: Eurostat, MPO</w:t>
      </w:r>
    </w:p>
    <w:p>
      <w:pPr>
        <w:pStyle w:val="Titulek"/>
        <w:ind w:left="5664"/>
        <w:rPr>
          <w:i w:val="0"/>
          <w:color w:val="auto"/>
          <w:sz w:val="22"/>
          <w:szCs w:val="22"/>
        </w:rPr>
      </w:pPr>
      <w:r>
        <w:rPr>
          <w:i w:val="0"/>
          <w:noProof/>
          <w:color w:val="auto"/>
          <w:sz w:val="22"/>
          <w:szCs w:val="22"/>
        </w:rPr>
        <w:lastRenderedPageBreak/>
        <mc:AlternateContent>
          <mc:Choice Requires="wps">
            <w:drawing>
              <wp:anchor distT="0" distB="0" distL="114300" distR="114300" simplePos="0" relativeHeight="251882496" behindDoc="0" locked="0" layoutInCell="1" allowOverlap="1">
                <wp:simplePos x="0" y="0"/>
                <wp:positionH relativeFrom="margin">
                  <wp:align>left</wp:align>
                </wp:positionH>
                <wp:positionV relativeFrom="paragraph">
                  <wp:posOffset>3810</wp:posOffset>
                </wp:positionV>
                <wp:extent cx="5759450" cy="219075"/>
                <wp:effectExtent l="0" t="0" r="0" b="9525"/>
                <wp:wrapTopAndBottom/>
                <wp:docPr id="12" name="Textové pole 12"/>
                <wp:cNvGraphicFramePr/>
                <a:graphic xmlns:a="http://schemas.openxmlformats.org/drawingml/2006/main">
                  <a:graphicData uri="http://schemas.microsoft.com/office/word/2010/wordprocessingShape">
                    <wps:wsp>
                      <wps:cNvSpPr txBox="1"/>
                      <wps:spPr>
                        <a:xfrm>
                          <a:off x="0" y="0"/>
                          <a:ext cx="5759450" cy="219075"/>
                        </a:xfrm>
                        <a:prstGeom prst="rect">
                          <a:avLst/>
                        </a:prstGeom>
                        <a:solidFill>
                          <a:prstClr val="white"/>
                        </a:solidFill>
                        <a:ln>
                          <a:noFill/>
                        </a:ln>
                      </wps:spPr>
                      <wps:txbx>
                        <w:txbxContent>
                          <w:p>
                            <w:pPr>
                              <w:pStyle w:val="Titulek"/>
                              <w:rPr>
                                <w:i w:val="0"/>
                                <w:noProof/>
                                <w:color w:val="auto"/>
                                <w:sz w:val="22"/>
                                <w:szCs w:val="22"/>
                              </w:rPr>
                            </w:pPr>
                            <w:bookmarkStart w:id="23" w:name="_Toc138075073"/>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6</w:t>
                            </w:r>
                            <w:r>
                              <w:rPr>
                                <w:b/>
                                <w:i w:val="0"/>
                                <w:color w:val="auto"/>
                                <w:sz w:val="22"/>
                                <w:szCs w:val="22"/>
                              </w:rPr>
                              <w:fldChar w:fldCharType="end"/>
                            </w:r>
                            <w:r>
                              <w:rPr>
                                <w:b/>
                                <w:i w:val="0"/>
                                <w:color w:val="auto"/>
                                <w:sz w:val="22"/>
                                <w:szCs w:val="22"/>
                              </w:rPr>
                              <w:t xml:space="preserve">: </w:t>
                            </w:r>
                            <w:r>
                              <w:rPr>
                                <w:i w:val="0"/>
                                <w:color w:val="auto"/>
                                <w:sz w:val="22"/>
                                <w:szCs w:val="22"/>
                              </w:rPr>
                              <w:t>Spotřeba energie ve vazbě na průmyslovou produkci, 2014-2021</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12" o:spid="_x0000_s1030" type="#_x0000_t202" style="position:absolute;left:0;text-align:left;margin-left:0;margin-top:.3pt;width:453.5pt;height:17.25pt;z-index:251882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" stroked="f">
                <v:textbox inset="0,0,0,0">
                  <w:txbxContent>
                    <w:p>
                      <w:pPr>
                        <w:pStyle w:val="Titulek"/>
                        <w:rPr>
                          <w:i w:val="0"/>
                          <w:noProof/>
                          <w:color w:val="auto"/>
                          <w:sz w:val="22"/>
                          <w:szCs w:val="22"/>
                        </w:rPr>
                      </w:pPr>
                      <w:bookmarkStart w:id="27" w:name="_Toc138075073"/>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6</w:t>
                      </w:r>
                      <w:r>
                        <w:rPr>
                          <w:b/>
                          <w:i w:val="0"/>
                          <w:color w:val="auto"/>
                          <w:sz w:val="22"/>
                          <w:szCs w:val="22"/>
                        </w:rPr>
                        <w:fldChar w:fldCharType="end"/>
                      </w:r>
                      <w:r>
                        <w:rPr>
                          <w:b/>
                          <w:i w:val="0"/>
                          <w:color w:val="auto"/>
                          <w:sz w:val="22"/>
                          <w:szCs w:val="22"/>
                        </w:rPr>
                        <w:t xml:space="preserve">: </w:t>
                      </w:r>
                      <w:r>
                        <w:rPr>
                          <w:i w:val="0"/>
                          <w:color w:val="auto"/>
                          <w:sz w:val="22"/>
                          <w:szCs w:val="22"/>
                        </w:rPr>
                        <w:t>Spotřeba energie ve vazbě na průmyslovou produkci, 2014-2021</w:t>
                      </w:r>
                      <w:bookmarkEnd w:id="27"/>
                    </w:p>
                  </w:txbxContent>
                </v:textbox>
                <w10:wrap type="topAndBottom" anchorx="margin"/>
              </v:shape>
            </w:pict>
          </mc:Fallback>
        </mc:AlternateContent>
      </w:r>
      <w:r>
        <w:rPr>
          <w:i w:val="0"/>
          <w:noProof/>
          <w:color w:val="auto"/>
          <w:sz w:val="22"/>
          <w:szCs w:val="22"/>
        </w:rPr>
        <w:drawing>
          <wp:anchor distT="0" distB="0" distL="114300" distR="114300" simplePos="0" relativeHeight="251870208" behindDoc="0" locked="0" layoutInCell="1" allowOverlap="1">
            <wp:simplePos x="0" y="0"/>
            <wp:positionH relativeFrom="margin">
              <wp:align>left</wp:align>
            </wp:positionH>
            <wp:positionV relativeFrom="paragraph">
              <wp:posOffset>233680</wp:posOffset>
            </wp:positionV>
            <wp:extent cx="5760000" cy="2880000"/>
            <wp:effectExtent l="0" t="0" r="12700" b="15875"/>
            <wp:wrapTopAndBottom/>
            <wp:docPr id="23" name="Graf 23">
              <a:extLst xmlns:a="http://schemas.openxmlformats.org/drawingml/2006/main">
                <a:ext uri="{FF2B5EF4-FFF2-40B4-BE49-F238E27FC236}">
                  <a16:creationId xmlns:a16="http://schemas.microsoft.com/office/drawing/2014/main" id="{EDE7F64B-C465-47C7-8789-FEDA3D33AC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Theme="majorHAnsi" w:hAnsiTheme="majorHAnsi" w:cs="Arial"/>
          <w:bCs/>
          <w:i w:val="0"/>
          <w:iCs w:val="0"/>
          <w:color w:val="auto"/>
          <w:sz w:val="22"/>
          <w:szCs w:val="22"/>
        </w:rPr>
        <w:t>Zdroj: Český statistický úřad, MPO</w:t>
      </w:r>
    </w:p>
    <w:p>
      <w:pPr>
        <w:pStyle w:val="Nadpis3"/>
        <w:rPr>
          <w:b w:val="0"/>
          <w:color w:val="004B8D" w:themeColor="text2"/>
        </w:rPr>
      </w:pPr>
      <w:bookmarkStart w:id="24" w:name="_Toc138078646"/>
      <w:r>
        <w:rPr>
          <w:color w:val="004B8D" w:themeColor="text2"/>
        </w:rPr>
        <w:t>Sektor služeb</w:t>
      </w:r>
      <w:bookmarkEnd w:id="24"/>
    </w:p>
    <w:p>
      <w:r>
        <w:rPr>
          <w:noProof/>
        </w:rPr>
        <mc:AlternateContent>
          <mc:Choice Requires="wps">
            <w:drawing>
              <wp:anchor distT="0" distB="0" distL="114300" distR="114300" simplePos="0" relativeHeight="251884544" behindDoc="0" locked="0" layoutInCell="1" allowOverlap="1">
                <wp:simplePos x="0" y="0"/>
                <wp:positionH relativeFrom="margin">
                  <wp:align>left</wp:align>
                </wp:positionH>
                <wp:positionV relativeFrom="paragraph">
                  <wp:posOffset>798057</wp:posOffset>
                </wp:positionV>
                <wp:extent cx="5759450" cy="200025"/>
                <wp:effectExtent l="0" t="0" r="0" b="9525"/>
                <wp:wrapTopAndBottom/>
                <wp:docPr id="13" name="Textové pole 13"/>
                <wp:cNvGraphicFramePr/>
                <a:graphic xmlns:a="http://schemas.openxmlformats.org/drawingml/2006/main">
                  <a:graphicData uri="http://schemas.microsoft.com/office/word/2010/wordprocessingShape">
                    <wps:wsp>
                      <wps:cNvSpPr txBox="1"/>
                      <wps:spPr>
                        <a:xfrm>
                          <a:off x="0" y="0"/>
                          <a:ext cx="5759450" cy="200025"/>
                        </a:xfrm>
                        <a:prstGeom prst="rect">
                          <a:avLst/>
                        </a:prstGeom>
                        <a:solidFill>
                          <a:prstClr val="white"/>
                        </a:solidFill>
                        <a:ln>
                          <a:noFill/>
                        </a:ln>
                      </wps:spPr>
                      <wps:txbx>
                        <w:txbxContent>
                          <w:p>
                            <w:pPr>
                              <w:pStyle w:val="Titulek"/>
                              <w:rPr>
                                <w:i w:val="0"/>
                                <w:color w:val="auto"/>
                                <w:sz w:val="22"/>
                                <w:szCs w:val="22"/>
                              </w:rPr>
                            </w:pPr>
                            <w:bookmarkStart w:id="25" w:name="_Toc138075074"/>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7</w:t>
                            </w:r>
                            <w:r>
                              <w:rPr>
                                <w:b/>
                                <w:i w:val="0"/>
                                <w:color w:val="auto"/>
                                <w:sz w:val="22"/>
                                <w:szCs w:val="22"/>
                              </w:rPr>
                              <w:fldChar w:fldCharType="end"/>
                            </w:r>
                            <w:r>
                              <w:rPr>
                                <w:i w:val="0"/>
                                <w:color w:val="auto"/>
                                <w:sz w:val="22"/>
                                <w:szCs w:val="22"/>
                              </w:rPr>
                              <w:t>: Energetická náročnost sektoru služeb na zaměstnance, 2014-2021</w:t>
                            </w:r>
                            <w:bookmarkEnd w:id="25"/>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13" o:spid="_x0000_s1031" type="#_x0000_t202" style="position:absolute;left:0;text-align:left;margin-left:0;margin-top:62.85pt;width:453.5pt;height:15.75pt;z-index:251884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" stroked="f">
                <v:textbox inset="0,0,0,0">
                  <w:txbxContent>
                    <w:p>
                      <w:pPr>
                        <w:pStyle w:val="Titulek"/>
                        <w:rPr>
                          <w:i w:val="0"/>
                          <w:color w:val="auto"/>
                          <w:sz w:val="22"/>
                          <w:szCs w:val="22"/>
                        </w:rPr>
                      </w:pPr>
                      <w:bookmarkStart w:id="30" w:name="_Toc138075074"/>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7</w:t>
                      </w:r>
                      <w:r>
                        <w:rPr>
                          <w:b/>
                          <w:i w:val="0"/>
                          <w:color w:val="auto"/>
                          <w:sz w:val="22"/>
                          <w:szCs w:val="22"/>
                        </w:rPr>
                        <w:fldChar w:fldCharType="end"/>
                      </w:r>
                      <w:r>
                        <w:rPr>
                          <w:i w:val="0"/>
                          <w:color w:val="auto"/>
                          <w:sz w:val="22"/>
                          <w:szCs w:val="22"/>
                        </w:rPr>
                        <w:t>: Energetická náročnost sektoru služeb na zaměstnance, 2014-2021</w:t>
                      </w:r>
                      <w:bookmarkEnd w:id="30"/>
                    </w:p>
                    <w:p/>
                  </w:txbxContent>
                </v:textbox>
                <w10:wrap type="topAndBottom" anchorx="margin"/>
              </v:shape>
            </w:pict>
          </mc:Fallback>
        </mc:AlternateContent>
      </w:r>
      <w:r>
        <w:rPr>
          <w:noProof/>
        </w:rPr>
        <w:drawing>
          <wp:anchor distT="0" distB="0" distL="114300" distR="114300" simplePos="0" relativeHeight="251871232" behindDoc="0" locked="0" layoutInCell="1" allowOverlap="1">
            <wp:simplePos x="0" y="0"/>
            <wp:positionH relativeFrom="margin">
              <wp:align>left</wp:align>
            </wp:positionH>
            <wp:positionV relativeFrom="paragraph">
              <wp:posOffset>991704</wp:posOffset>
            </wp:positionV>
            <wp:extent cx="5759450" cy="2880000"/>
            <wp:effectExtent l="0" t="0" r="12700" b="15875"/>
            <wp:wrapTopAndBottom/>
            <wp:docPr id="24" name="Graf 24">
              <a:extLst xmlns:a="http://schemas.openxmlformats.org/drawingml/2006/main">
                <a:ext uri="{FF2B5EF4-FFF2-40B4-BE49-F238E27FC236}">
                  <a16:creationId xmlns:a16="http://schemas.microsoft.com/office/drawing/2014/main" id="{6583EF3D-B037-4D16-B0D1-44C7EE4A3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b/>
        </w:rPr>
        <w:t xml:space="preserve">Sektor služeb jako jediný vykazuje dlouhodobý pokles spotřeby energie, který nebyl narušen ani pandemií. </w:t>
      </w:r>
      <w:r>
        <w:t>Z toho důvodu poklesla také energetická náročnost v sektoru služeb v přepočtu na zaměstnance na 39,8 GJ a meziročně poklesla o 1,2 %.</w:t>
      </w:r>
    </w:p>
    <w:p>
      <w:pPr>
        <w:jc w:val="right"/>
        <w:rPr>
          <w:rFonts w:asciiTheme="majorHAnsi" w:hAnsiTheme="majorHAnsi" w:cs="Arial"/>
          <w:bCs/>
          <w:iCs/>
          <w:sz w:val="20"/>
          <w:szCs w:val="22"/>
        </w:rPr>
      </w:pPr>
      <w:r>
        <w:rPr>
          <w:rFonts w:asciiTheme="majorHAnsi" w:hAnsiTheme="majorHAnsi" w:cs="Arial"/>
          <w:bCs/>
          <w:iCs/>
          <w:sz w:val="20"/>
          <w:szCs w:val="22"/>
        </w:rPr>
        <w:t>Zdroj: Český statistický úřad, MPO</w:t>
      </w:r>
    </w:p>
    <w:p>
      <w:pPr>
        <w:pStyle w:val="Nadpis3"/>
        <w:rPr>
          <w:color w:val="004B8D" w:themeColor="accent2"/>
        </w:rPr>
      </w:pPr>
      <w:bookmarkStart w:id="26" w:name="_Toc138078647"/>
      <w:r>
        <w:rPr>
          <w:color w:val="004B8D" w:themeColor="accent2"/>
        </w:rPr>
        <w:t>Revize směrnice o energetické účinnosti – cíl spotřeby energie</w:t>
      </w:r>
      <w:bookmarkEnd w:id="26"/>
    </w:p>
    <w:p>
      <w:r>
        <w:t>V rámci revize směrnice je cíl konečné spotřeby závazný na úrovni EU, kde jednotlivé členské státy do tohoto závazného cíle přispívají tzv. národními příspěvky. Tyto příspěvky jsou indikativní, avšak Evropská komise do výše závazku může zasahovat, a </w:t>
      </w:r>
      <w:proofErr w:type="gramStart"/>
      <w:r>
        <w:t>to</w:t>
      </w:r>
      <w:proofErr w:type="gramEnd"/>
      <w:r>
        <w:t xml:space="preserve"> pokud nedojde jejich prostřednictvím k naplnění EU cíle. Dochází k aktualizaci referenčního scénáře na PRIMES 2020. Cíl se pro ČR zpřísní a je </w:t>
      </w:r>
      <w:r>
        <w:lastRenderedPageBreak/>
        <w:t xml:space="preserve">odhadováno, že do roku 2030 bude ČR muset snížit svou konečnou spotřebu zhruba o 20 % oproti roku 2021. </w:t>
      </w:r>
    </w:p>
    <w:p/>
    <w:p>
      <w:pPr>
        <w:pStyle w:val="Nadpis1"/>
      </w:pPr>
      <w:bookmarkStart w:id="27" w:name="_Toc138078648"/>
      <w:r>
        <w:t>3. Příkladná úloha budov veřejných subjektů (článek 5 směrnice 2012/27/EU)</w:t>
      </w:r>
      <w:bookmarkEnd w:id="27"/>
    </w:p>
    <w:p>
      <w:pPr>
        <w:spacing w:after="240"/>
        <w:rPr>
          <w:rFonts w:cs="Arial"/>
          <w:bCs/>
          <w:iCs/>
          <w:szCs w:val="22"/>
        </w:rPr>
      </w:pPr>
      <w:bookmarkStart w:id="28" w:name="_Hlk38288096"/>
      <w:r>
        <w:rPr>
          <w:rFonts w:cs="Arial"/>
          <w:bCs/>
          <w:iCs/>
          <w:szCs w:val="22"/>
        </w:rPr>
        <w:t xml:space="preserve">Tento závazek byl stanoven v souladu s čl. 5 směrnice 2012/27/EU. Jedná se o závazný cíl, který je ČR povinna splnit a jeho případným neplněním se vystavuje postihům ze strany EU. Dle tohoto článku směrnice mají členské státy povinnost každoročně renovovat 3 % energeticky vztažné plochy vlastněných a užívaných budov ústředních institucí, které nesplňují požadavky na energetickou náročnost budov. </w:t>
      </w:r>
    </w:p>
    <w:p>
      <w:pPr>
        <w:spacing w:after="240"/>
        <w:rPr>
          <w:rFonts w:cs="Arial"/>
          <w:bCs/>
          <w:iCs/>
          <w:szCs w:val="22"/>
        </w:rPr>
      </w:pPr>
      <w:r>
        <w:rPr>
          <w:rFonts w:cs="Arial"/>
          <w:bCs/>
          <w:iCs/>
          <w:szCs w:val="22"/>
        </w:rPr>
        <w:t>Ministerstvo průmyslu a obchodu ve spolupráci s ostatními dotčenými subjekty připravilo v roce 2015 materiál, který představoval investiční plán rekonstrukce objektů ve vlastnictví ústředních institucí podle pravidel uvedených v čl. 5 směrnice 2012/27/EU (dále jen „Plán“). Součástí materiálu byla specifikace povinných institucí k závazku čl. 5 směrnice 2012/27/EU a jejich plán renovací s vyčíslením předpokládaných úspor spotřeby energií realizovaných na budovách v jejich užívání a vlastnictví s energeticky vztažnou plochou nad 250 m2 neplnící požadavky na energetickou náročnost podle § 7 zákona č. 406/2000 Sb.</w:t>
      </w:r>
    </w:p>
    <w:p>
      <w:pPr>
        <w:spacing w:after="240"/>
        <w:rPr>
          <w:rFonts w:cs="Arial"/>
          <w:bCs/>
          <w:iCs/>
          <w:szCs w:val="22"/>
        </w:rPr>
      </w:pPr>
      <w:r>
        <w:rPr>
          <w:rFonts w:cs="Arial"/>
          <w:bCs/>
          <w:iCs/>
          <w:szCs w:val="22"/>
        </w:rPr>
        <w:t>Podle čl. 5 odst. 1 směrnice 2012/27/EU se povinnost renovovat týká budov, které jsou jak ve vlastnictví, tak i v užívání ústředních institucí. Seznam je každoročně revidován v důsledku možného vzniku nové ústřední instituce, stejně tak jako seznam budov směrodatný pro stanovení závazku snížení konečné spotřeby energie v budovách nesplňujících požadavky na energetickou účinnost. V ČR se do plnění zapojují následující instituce:</w:t>
      </w:r>
    </w:p>
    <w:p>
      <w:pPr>
        <w:pStyle w:val="Titulek"/>
        <w:keepNext/>
        <w:rPr>
          <w:i w:val="0"/>
          <w:color w:val="auto"/>
          <w:sz w:val="22"/>
          <w:szCs w:val="22"/>
        </w:rPr>
      </w:pPr>
      <w:bookmarkStart w:id="29" w:name="_Toc138073338"/>
      <w:r>
        <w:rPr>
          <w:b/>
          <w:i w:val="0"/>
          <w:color w:val="auto"/>
          <w:sz w:val="22"/>
          <w:szCs w:val="22"/>
        </w:rPr>
        <w:t xml:space="preserve">Tabulka č. </w:t>
      </w:r>
      <w:r>
        <w:rPr>
          <w:b/>
          <w:i w:val="0"/>
          <w:color w:val="auto"/>
          <w:sz w:val="22"/>
          <w:szCs w:val="22"/>
        </w:rPr>
        <w:fldChar w:fldCharType="begin"/>
      </w:r>
      <w:r>
        <w:rPr>
          <w:b/>
          <w:i w:val="0"/>
          <w:color w:val="auto"/>
          <w:sz w:val="22"/>
          <w:szCs w:val="22"/>
        </w:rPr>
        <w:instrText xml:space="preserve"> SEQ Tabulka \* ARABIC </w:instrText>
      </w:r>
      <w:r>
        <w:rPr>
          <w:b/>
          <w:i w:val="0"/>
          <w:color w:val="auto"/>
          <w:sz w:val="22"/>
          <w:szCs w:val="22"/>
        </w:rPr>
        <w:fldChar w:fldCharType="separate"/>
      </w:r>
      <w:r>
        <w:rPr>
          <w:b/>
          <w:i w:val="0"/>
          <w:noProof/>
          <w:color w:val="auto"/>
          <w:sz w:val="22"/>
          <w:szCs w:val="22"/>
        </w:rPr>
        <w:t>2</w:t>
      </w:r>
      <w:r>
        <w:rPr>
          <w:b/>
          <w:i w:val="0"/>
          <w:color w:val="auto"/>
          <w:sz w:val="22"/>
          <w:szCs w:val="22"/>
        </w:rPr>
        <w:fldChar w:fldCharType="end"/>
      </w:r>
      <w:r>
        <w:rPr>
          <w:b/>
          <w:i w:val="0"/>
          <w:color w:val="auto"/>
          <w:sz w:val="22"/>
          <w:szCs w:val="22"/>
        </w:rPr>
        <w:t xml:space="preserve">: </w:t>
      </w:r>
      <w:r>
        <w:rPr>
          <w:i w:val="0"/>
          <w:color w:val="auto"/>
          <w:sz w:val="22"/>
          <w:szCs w:val="22"/>
        </w:rPr>
        <w:t>Ústřední instituce zahrnuté do plnění čl. 5 směrnice k 5.4. 2023</w:t>
      </w:r>
      <w:bookmarkEnd w:id="29"/>
    </w:p>
    <w:tbl>
      <w:tblPr>
        <w:tblW w:w="8926"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left w:w="70" w:type="dxa"/>
          <w:right w:w="70" w:type="dxa"/>
        </w:tblCellMar>
        <w:tblLook w:val="04A0" w:firstRow="1" w:lastRow="0" w:firstColumn="1" w:lastColumn="0" w:noHBand="0" w:noVBand="1"/>
      </w:tblPr>
      <w:tblGrid>
        <w:gridCol w:w="562"/>
        <w:gridCol w:w="3969"/>
        <w:gridCol w:w="567"/>
        <w:gridCol w:w="3828"/>
      </w:tblGrid>
      <w:tr>
        <w:trPr>
          <w:trHeight w:val="361"/>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1.</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Česká národní banka</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20.</w:t>
            </w:r>
          </w:p>
        </w:tc>
        <w:tc>
          <w:tcPr>
            <w:tcW w:w="3828"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životního prostředí</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Český báňský úřad</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21.</w:t>
            </w:r>
          </w:p>
        </w:tc>
        <w:tc>
          <w:tcPr>
            <w:tcW w:w="3828"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Národní bezpečnostní úřad</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3.</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Český statistický úřad</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22.</w:t>
            </w:r>
          </w:p>
        </w:tc>
        <w:tc>
          <w:tcPr>
            <w:tcW w:w="3828" w:type="dxa"/>
            <w:tcBorders>
              <w:left w:val="dotted" w:sz="4" w:space="0" w:color="auto"/>
            </w:tcBorders>
            <w:shd w:val="clear" w:color="000000" w:fill="FFFFFF"/>
            <w:vAlign w:val="center"/>
          </w:tcPr>
          <w:p>
            <w:pPr>
              <w:spacing w:after="0" w:line="276" w:lineRule="auto"/>
              <w:jc w:val="left"/>
              <w:rPr>
                <w:rFonts w:cs="Arial"/>
                <w:bCs/>
                <w:i/>
                <w:iCs/>
                <w:szCs w:val="22"/>
              </w:rPr>
            </w:pPr>
            <w:r>
              <w:rPr>
                <w:rFonts w:cs="Arial"/>
                <w:bCs/>
                <w:i/>
                <w:iCs/>
                <w:szCs w:val="22"/>
              </w:rPr>
              <w:t>Národní úřad pro kybernetickou a informační bezpečnost</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4.</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Český telekomunikační úřad</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23.</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Nejvyšší kontrolní úřad</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5.</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Český úřad zeměměřický a katastrální</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24.</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Nejvyšší soud</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6.</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Energetický regulační úřad</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25.</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Nejvyšší správní soud</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7.</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Kancelář veřejného ochránce práv</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26.</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Nejvyšší státní zastupitelství</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8.</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dopravy</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27.</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Poslanecká sněmovna PČR</w:t>
            </w:r>
          </w:p>
        </w:tc>
      </w:tr>
      <w:tr>
        <w:trPr>
          <w:trHeight w:val="361"/>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9.</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financí</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28.</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Senát PČR</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10.</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kultury</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29.</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Správa státních hmotných rezerv</w:t>
            </w:r>
          </w:p>
        </w:tc>
      </w:tr>
      <w:tr>
        <w:trPr>
          <w:trHeight w:val="361"/>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11.</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obrany</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30.</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Státní úřad inspekce práce</w:t>
            </w:r>
          </w:p>
        </w:tc>
      </w:tr>
      <w:tr>
        <w:trPr>
          <w:trHeight w:val="361"/>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12.</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práce a sociálních věcí</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31.</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Státní úřad pro jadernou bezpečnost</w:t>
            </w:r>
          </w:p>
        </w:tc>
      </w:tr>
      <w:tr>
        <w:trPr>
          <w:trHeight w:val="361"/>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13.</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pro místní rozvoj</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32.</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Úřad pro ochranu hospodářské soutěže</w:t>
            </w:r>
          </w:p>
        </w:tc>
      </w:tr>
      <w:tr>
        <w:trPr>
          <w:trHeight w:val="361"/>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14.</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průmyslu a obchodu</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33.</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Úřad pro ochranu osobních údajů</w:t>
            </w:r>
          </w:p>
        </w:tc>
      </w:tr>
      <w:tr>
        <w:trPr>
          <w:trHeight w:val="361"/>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lastRenderedPageBreak/>
              <w:t>15.</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spravedlnosti</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34.</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Úřad pro zastupování státu ve věcech majetkových</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16.</w:t>
            </w:r>
          </w:p>
        </w:tc>
        <w:tc>
          <w:tcPr>
            <w:tcW w:w="3969" w:type="dxa"/>
            <w:tcBorders>
              <w:left w:val="dotted" w:sz="4" w:space="0" w:color="auto"/>
            </w:tcBorders>
            <w:shd w:val="clear" w:color="000000" w:fill="FFFFFF"/>
            <w:vAlign w:val="center"/>
            <w:hideMark/>
          </w:tcPr>
          <w:p>
            <w:pPr>
              <w:spacing w:after="0" w:line="276" w:lineRule="auto"/>
              <w:jc w:val="left"/>
              <w:rPr>
                <w:rFonts w:cs="Arial"/>
                <w:bCs/>
                <w:i/>
                <w:iCs/>
                <w:szCs w:val="22"/>
              </w:rPr>
            </w:pPr>
            <w:r>
              <w:rPr>
                <w:rFonts w:cs="Arial"/>
                <w:bCs/>
                <w:i/>
                <w:iCs/>
                <w:szCs w:val="22"/>
              </w:rPr>
              <w:t>Ministerstvo školství, mládeže a tělovýchovy</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35.</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Úřad průmyslového vlastnictví</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17.</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zahraničních věcí</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36.</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Úřad vlády České republiky</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18.</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zdravotnictví</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37.</w:t>
            </w:r>
          </w:p>
        </w:tc>
        <w:tc>
          <w:tcPr>
            <w:tcW w:w="3828" w:type="dxa"/>
            <w:tcBorders>
              <w:left w:val="dotted" w:sz="4" w:space="0" w:color="auto"/>
            </w:tcBorders>
            <w:shd w:val="clear" w:color="000000" w:fill="FFFFFF"/>
            <w:vAlign w:val="center"/>
          </w:tcPr>
          <w:p>
            <w:pPr>
              <w:spacing w:after="0" w:line="276" w:lineRule="auto"/>
              <w:rPr>
                <w:rFonts w:cs="Arial"/>
                <w:bCs/>
                <w:i/>
                <w:iCs/>
                <w:szCs w:val="22"/>
              </w:rPr>
            </w:pPr>
            <w:r>
              <w:rPr>
                <w:rFonts w:cs="Arial"/>
                <w:bCs/>
                <w:i/>
                <w:iCs/>
                <w:szCs w:val="22"/>
              </w:rPr>
              <w:t>Ústavní soud</w:t>
            </w:r>
          </w:p>
        </w:tc>
      </w:tr>
      <w:tr>
        <w:trPr>
          <w:trHeight w:val="212"/>
        </w:trPr>
        <w:tc>
          <w:tcPr>
            <w:tcW w:w="562"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19.</w:t>
            </w:r>
          </w:p>
        </w:tc>
        <w:tc>
          <w:tcPr>
            <w:tcW w:w="3969" w:type="dxa"/>
            <w:tcBorders>
              <w:left w:val="dotted" w:sz="4" w:space="0" w:color="auto"/>
            </w:tcBorders>
            <w:shd w:val="clear" w:color="000000" w:fill="FFFFFF"/>
            <w:vAlign w:val="center"/>
            <w:hideMark/>
          </w:tcPr>
          <w:p>
            <w:pPr>
              <w:spacing w:after="0" w:line="276" w:lineRule="auto"/>
              <w:rPr>
                <w:rFonts w:cs="Arial"/>
                <w:bCs/>
                <w:i/>
                <w:iCs/>
                <w:szCs w:val="22"/>
              </w:rPr>
            </w:pPr>
            <w:r>
              <w:rPr>
                <w:rFonts w:cs="Arial"/>
                <w:bCs/>
                <w:i/>
                <w:iCs/>
                <w:szCs w:val="22"/>
              </w:rPr>
              <w:t>Ministerstvo zemědělství</w:t>
            </w:r>
          </w:p>
        </w:tc>
        <w:tc>
          <w:tcPr>
            <w:tcW w:w="567" w:type="dxa"/>
            <w:tcBorders>
              <w:right w:val="dotted" w:sz="4" w:space="0" w:color="auto"/>
            </w:tcBorders>
            <w:shd w:val="clear" w:color="000000" w:fill="FFFFFF"/>
            <w:noWrap/>
            <w:vAlign w:val="bottom"/>
            <w:hideMark/>
          </w:tcPr>
          <w:p>
            <w:pPr>
              <w:spacing w:after="0" w:line="276" w:lineRule="auto"/>
              <w:rPr>
                <w:rFonts w:cs="Arial"/>
                <w:bCs/>
                <w:i/>
                <w:iCs/>
                <w:szCs w:val="22"/>
              </w:rPr>
            </w:pPr>
            <w:r>
              <w:rPr>
                <w:rFonts w:cs="Arial"/>
                <w:bCs/>
                <w:i/>
                <w:iCs/>
                <w:szCs w:val="22"/>
              </w:rPr>
              <w:t>38.</w:t>
            </w:r>
          </w:p>
        </w:tc>
        <w:tc>
          <w:tcPr>
            <w:tcW w:w="3828" w:type="dxa"/>
            <w:tcBorders>
              <w:left w:val="dotted" w:sz="4" w:space="0" w:color="auto"/>
            </w:tcBorders>
            <w:shd w:val="clear" w:color="000000" w:fill="FFFFFF"/>
            <w:noWrap/>
            <w:vAlign w:val="center"/>
            <w:hideMark/>
          </w:tcPr>
          <w:p>
            <w:pPr>
              <w:spacing w:after="0" w:line="276" w:lineRule="auto"/>
              <w:rPr>
                <w:rFonts w:cs="Arial"/>
                <w:bCs/>
                <w:i/>
                <w:iCs/>
                <w:szCs w:val="22"/>
              </w:rPr>
            </w:pPr>
            <w:r>
              <w:rPr>
                <w:rFonts w:cs="Arial"/>
                <w:bCs/>
                <w:i/>
                <w:iCs/>
                <w:szCs w:val="22"/>
              </w:rPr>
              <w:t>Vězeňská služba ČR</w:t>
            </w:r>
          </w:p>
        </w:tc>
      </w:tr>
    </w:tbl>
    <w:p>
      <w:pPr>
        <w:spacing w:after="240"/>
        <w:jc w:val="right"/>
        <w:rPr>
          <w:rFonts w:cs="Arial"/>
          <w:bCs/>
          <w:iCs/>
          <w:sz w:val="20"/>
          <w:szCs w:val="22"/>
        </w:rPr>
      </w:pPr>
      <w:r>
        <w:rPr>
          <w:rFonts w:cs="Arial"/>
          <w:bCs/>
          <w:iCs/>
          <w:sz w:val="20"/>
          <w:szCs w:val="22"/>
        </w:rPr>
        <w:t>Zdroj: MPO</w:t>
      </w:r>
    </w:p>
    <w:p>
      <w:pPr>
        <w:pStyle w:val="Titulek"/>
        <w:keepNext/>
        <w:rPr>
          <w:i w:val="0"/>
          <w:color w:val="auto"/>
          <w:sz w:val="22"/>
          <w:szCs w:val="22"/>
        </w:rPr>
      </w:pPr>
      <w:bookmarkStart w:id="30" w:name="_Toc138073339"/>
      <w:r>
        <w:rPr>
          <w:b/>
          <w:i w:val="0"/>
          <w:color w:val="auto"/>
          <w:sz w:val="22"/>
          <w:szCs w:val="22"/>
        </w:rPr>
        <w:t xml:space="preserve">Tabulka č. </w:t>
      </w:r>
      <w:r>
        <w:rPr>
          <w:b/>
          <w:i w:val="0"/>
          <w:color w:val="auto"/>
          <w:sz w:val="22"/>
          <w:szCs w:val="22"/>
        </w:rPr>
        <w:fldChar w:fldCharType="begin"/>
      </w:r>
      <w:r>
        <w:rPr>
          <w:b/>
          <w:i w:val="0"/>
          <w:color w:val="auto"/>
          <w:sz w:val="22"/>
          <w:szCs w:val="22"/>
        </w:rPr>
        <w:instrText xml:space="preserve"> SEQ Tabulka \* ARABIC </w:instrText>
      </w:r>
      <w:r>
        <w:rPr>
          <w:b/>
          <w:i w:val="0"/>
          <w:color w:val="auto"/>
          <w:sz w:val="22"/>
          <w:szCs w:val="22"/>
        </w:rPr>
        <w:fldChar w:fldCharType="separate"/>
      </w:r>
      <w:r>
        <w:rPr>
          <w:b/>
          <w:i w:val="0"/>
          <w:noProof/>
          <w:color w:val="auto"/>
          <w:sz w:val="22"/>
          <w:szCs w:val="22"/>
        </w:rPr>
        <w:t>3</w:t>
      </w:r>
      <w:r>
        <w:rPr>
          <w:b/>
          <w:i w:val="0"/>
          <w:color w:val="auto"/>
          <w:sz w:val="22"/>
          <w:szCs w:val="22"/>
        </w:rPr>
        <w:fldChar w:fldCharType="end"/>
      </w:r>
      <w:r>
        <w:rPr>
          <w:b/>
          <w:i w:val="0"/>
          <w:color w:val="auto"/>
          <w:sz w:val="22"/>
          <w:szCs w:val="22"/>
        </w:rPr>
        <w:t>:</w:t>
      </w:r>
      <w:r>
        <w:rPr>
          <w:i w:val="0"/>
          <w:color w:val="auto"/>
          <w:sz w:val="22"/>
          <w:szCs w:val="22"/>
        </w:rPr>
        <w:t xml:space="preserve"> Stav fondu budov povinných institucí čl. 5 směrnice 2012/27/EU za rok 2022</w:t>
      </w:r>
      <w:bookmarkEnd w:id="30"/>
    </w:p>
    <w:tbl>
      <w:tblPr>
        <w:tblW w:w="8860" w:type="dxa"/>
        <w:tblCellMar>
          <w:left w:w="70" w:type="dxa"/>
          <w:right w:w="70" w:type="dxa"/>
        </w:tblCellMar>
        <w:tblLook w:val="04A0" w:firstRow="1" w:lastRow="0" w:firstColumn="1" w:lastColumn="0" w:noHBand="0" w:noVBand="1"/>
      </w:tblPr>
      <w:tblGrid>
        <w:gridCol w:w="1463"/>
        <w:gridCol w:w="985"/>
        <w:gridCol w:w="1171"/>
        <w:gridCol w:w="1171"/>
        <w:gridCol w:w="1379"/>
        <w:gridCol w:w="1379"/>
        <w:gridCol w:w="1312"/>
      </w:tblGrid>
      <w:tr>
        <w:trPr>
          <w:trHeight w:val="2310"/>
        </w:trPr>
        <w:tc>
          <w:tcPr>
            <w:tcW w:w="1463" w:type="dxa"/>
            <w:tcBorders>
              <w:top w:val="single" w:sz="8" w:space="0" w:color="auto"/>
              <w:left w:val="single" w:sz="8" w:space="0" w:color="auto"/>
              <w:bottom w:val="double" w:sz="6" w:space="0" w:color="auto"/>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Počet institucí</w:t>
            </w:r>
          </w:p>
        </w:tc>
        <w:tc>
          <w:tcPr>
            <w:tcW w:w="985" w:type="dxa"/>
            <w:tcBorders>
              <w:top w:val="single" w:sz="8" w:space="0" w:color="auto"/>
              <w:left w:val="nil"/>
              <w:bottom w:val="double" w:sz="6" w:space="0" w:color="auto"/>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Počet objektů ve vlastnictví a užívání</w:t>
            </w:r>
          </w:p>
        </w:tc>
        <w:tc>
          <w:tcPr>
            <w:tcW w:w="1171" w:type="dxa"/>
            <w:tcBorders>
              <w:top w:val="single" w:sz="8" w:space="0" w:color="auto"/>
              <w:left w:val="nil"/>
              <w:bottom w:val="double" w:sz="6" w:space="0" w:color="auto"/>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Počet vyhovujících objektů</w:t>
            </w:r>
          </w:p>
        </w:tc>
        <w:tc>
          <w:tcPr>
            <w:tcW w:w="1171" w:type="dxa"/>
            <w:tcBorders>
              <w:top w:val="single" w:sz="8" w:space="0" w:color="auto"/>
              <w:left w:val="nil"/>
              <w:bottom w:val="double" w:sz="6" w:space="0" w:color="auto"/>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Energeticky vztažná plocha vyhovujících objektů [m</w:t>
            </w:r>
            <w:r>
              <w:rPr>
                <w:rFonts w:ascii="Calibri" w:hAnsi="Calibri" w:cs="Calibri"/>
                <w:b/>
                <w:bCs/>
                <w:color w:val="000000"/>
                <w:sz w:val="20"/>
                <w:vertAlign w:val="superscript"/>
              </w:rPr>
              <w:t>2</w:t>
            </w:r>
            <w:r>
              <w:rPr>
                <w:rFonts w:ascii="Calibri" w:hAnsi="Calibri" w:cs="Calibri"/>
                <w:b/>
                <w:bCs/>
                <w:color w:val="000000"/>
                <w:sz w:val="20"/>
              </w:rPr>
              <w:t>]</w:t>
            </w:r>
          </w:p>
        </w:tc>
        <w:tc>
          <w:tcPr>
            <w:tcW w:w="1379" w:type="dxa"/>
            <w:tcBorders>
              <w:top w:val="single" w:sz="8" w:space="0" w:color="auto"/>
              <w:left w:val="nil"/>
              <w:bottom w:val="double" w:sz="6" w:space="0" w:color="auto"/>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Počet nevyhovujících objektů</w:t>
            </w:r>
          </w:p>
        </w:tc>
        <w:tc>
          <w:tcPr>
            <w:tcW w:w="1379" w:type="dxa"/>
            <w:tcBorders>
              <w:top w:val="single" w:sz="8" w:space="0" w:color="auto"/>
              <w:left w:val="nil"/>
              <w:bottom w:val="double" w:sz="6" w:space="0" w:color="auto"/>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Energeticky vztažná plocha nevyhovujících objektů [m</w:t>
            </w:r>
            <w:r>
              <w:rPr>
                <w:rFonts w:ascii="Calibri" w:hAnsi="Calibri" w:cs="Calibri"/>
                <w:b/>
                <w:bCs/>
                <w:color w:val="000000"/>
                <w:sz w:val="20"/>
                <w:vertAlign w:val="superscript"/>
              </w:rPr>
              <w:t>2</w:t>
            </w:r>
            <w:r>
              <w:rPr>
                <w:rFonts w:ascii="Calibri" w:hAnsi="Calibri" w:cs="Calibri"/>
                <w:b/>
                <w:bCs/>
                <w:color w:val="000000"/>
                <w:sz w:val="20"/>
              </w:rPr>
              <w:t>]</w:t>
            </w:r>
          </w:p>
        </w:tc>
        <w:tc>
          <w:tcPr>
            <w:tcW w:w="1312" w:type="dxa"/>
            <w:tcBorders>
              <w:top w:val="single" w:sz="8" w:space="0" w:color="auto"/>
              <w:left w:val="nil"/>
              <w:bottom w:val="double" w:sz="6" w:space="0" w:color="auto"/>
              <w:right w:val="single" w:sz="8" w:space="0" w:color="auto"/>
            </w:tcBorders>
            <w:shd w:val="clear" w:color="auto" w:fill="auto"/>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Roční závazek vyplývající z nevyhovující energeticky vztažné plochy [TJ]</w:t>
            </w:r>
          </w:p>
        </w:tc>
      </w:tr>
      <w:tr>
        <w:trPr>
          <w:trHeight w:val="330"/>
        </w:trPr>
        <w:tc>
          <w:tcPr>
            <w:tcW w:w="1463" w:type="dxa"/>
            <w:tcBorders>
              <w:top w:val="nil"/>
              <w:left w:val="single" w:sz="8" w:space="0" w:color="auto"/>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b/>
                <w:bCs/>
                <w:i/>
                <w:iCs/>
                <w:color w:val="000000"/>
                <w:sz w:val="20"/>
              </w:rPr>
            </w:pPr>
            <w:r>
              <w:rPr>
                <w:rFonts w:ascii="Calibri" w:hAnsi="Calibri" w:cs="Calibri"/>
                <w:b/>
                <w:bCs/>
                <w:i/>
                <w:iCs/>
                <w:color w:val="000000"/>
                <w:sz w:val="20"/>
              </w:rPr>
              <w:t>38</w:t>
            </w:r>
          </w:p>
        </w:tc>
        <w:tc>
          <w:tcPr>
            <w:tcW w:w="985"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b/>
                <w:bCs/>
                <w:i/>
                <w:iCs/>
                <w:color w:val="000000"/>
                <w:sz w:val="20"/>
              </w:rPr>
            </w:pPr>
            <w:r>
              <w:rPr>
                <w:rFonts w:ascii="Calibri" w:hAnsi="Calibri" w:cs="Calibri"/>
                <w:b/>
                <w:bCs/>
                <w:i/>
                <w:iCs/>
                <w:color w:val="000000"/>
                <w:sz w:val="20"/>
              </w:rPr>
              <w:t>780</w:t>
            </w:r>
          </w:p>
        </w:tc>
        <w:tc>
          <w:tcPr>
            <w:tcW w:w="1171"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b/>
                <w:bCs/>
                <w:i/>
                <w:iCs/>
                <w:color w:val="000000"/>
                <w:sz w:val="20"/>
              </w:rPr>
            </w:pPr>
            <w:r>
              <w:rPr>
                <w:rFonts w:ascii="Calibri" w:hAnsi="Calibri" w:cs="Calibri"/>
                <w:b/>
                <w:bCs/>
                <w:i/>
                <w:iCs/>
                <w:color w:val="000000"/>
                <w:sz w:val="20"/>
              </w:rPr>
              <w:t>187</w:t>
            </w:r>
          </w:p>
        </w:tc>
        <w:tc>
          <w:tcPr>
            <w:tcW w:w="1171"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b/>
                <w:bCs/>
                <w:i/>
                <w:iCs/>
                <w:color w:val="000000"/>
                <w:sz w:val="20"/>
              </w:rPr>
            </w:pPr>
            <w:r>
              <w:rPr>
                <w:rFonts w:ascii="Calibri" w:hAnsi="Calibri" w:cs="Calibri"/>
                <w:b/>
                <w:bCs/>
                <w:i/>
                <w:iCs/>
                <w:color w:val="000000"/>
                <w:sz w:val="20"/>
              </w:rPr>
              <w:t>697 127</w:t>
            </w:r>
          </w:p>
        </w:tc>
        <w:tc>
          <w:tcPr>
            <w:tcW w:w="1379"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b/>
                <w:bCs/>
                <w:i/>
                <w:iCs/>
                <w:color w:val="000000"/>
                <w:sz w:val="20"/>
              </w:rPr>
            </w:pPr>
            <w:r>
              <w:rPr>
                <w:rFonts w:ascii="Calibri" w:hAnsi="Calibri" w:cs="Calibri"/>
                <w:b/>
                <w:bCs/>
                <w:i/>
                <w:iCs/>
                <w:color w:val="000000"/>
                <w:sz w:val="20"/>
              </w:rPr>
              <w:t>593</w:t>
            </w:r>
          </w:p>
        </w:tc>
        <w:tc>
          <w:tcPr>
            <w:tcW w:w="1379"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b/>
                <w:bCs/>
                <w:i/>
                <w:iCs/>
                <w:color w:val="000000"/>
                <w:sz w:val="20"/>
              </w:rPr>
            </w:pPr>
            <w:r>
              <w:rPr>
                <w:rFonts w:ascii="Calibri" w:hAnsi="Calibri" w:cs="Calibri"/>
                <w:b/>
                <w:bCs/>
                <w:i/>
                <w:iCs/>
                <w:color w:val="000000"/>
                <w:sz w:val="20"/>
              </w:rPr>
              <w:t>1 805 017</w:t>
            </w:r>
          </w:p>
        </w:tc>
        <w:tc>
          <w:tcPr>
            <w:tcW w:w="1312" w:type="dxa"/>
            <w:tcBorders>
              <w:top w:val="nil"/>
              <w:left w:val="nil"/>
              <w:bottom w:val="single" w:sz="8" w:space="0" w:color="auto"/>
              <w:right w:val="single" w:sz="8" w:space="0" w:color="auto"/>
            </w:tcBorders>
            <w:shd w:val="clear" w:color="auto" w:fill="auto"/>
            <w:vAlign w:val="center"/>
            <w:hideMark/>
          </w:tcPr>
          <w:p>
            <w:pPr>
              <w:overflowPunct/>
              <w:autoSpaceDE/>
              <w:autoSpaceDN/>
              <w:adjustRightInd/>
              <w:spacing w:after="0" w:line="240" w:lineRule="auto"/>
              <w:jc w:val="right"/>
              <w:textAlignment w:val="auto"/>
              <w:rPr>
                <w:rFonts w:ascii="Calibri" w:hAnsi="Calibri" w:cs="Calibri"/>
                <w:b/>
                <w:bCs/>
                <w:i/>
                <w:iCs/>
                <w:color w:val="000000"/>
                <w:sz w:val="20"/>
              </w:rPr>
            </w:pPr>
            <w:r>
              <w:rPr>
                <w:rFonts w:ascii="Calibri" w:hAnsi="Calibri" w:cs="Calibri"/>
                <w:b/>
                <w:bCs/>
                <w:i/>
                <w:iCs/>
                <w:color w:val="000000"/>
                <w:sz w:val="20"/>
              </w:rPr>
              <w:t>14,62</w:t>
            </w:r>
          </w:p>
        </w:tc>
      </w:tr>
    </w:tbl>
    <w:p>
      <w:pPr>
        <w:spacing w:after="240"/>
        <w:jc w:val="right"/>
        <w:rPr>
          <w:rFonts w:cs="Arial"/>
          <w:bCs/>
          <w:iCs/>
          <w:sz w:val="20"/>
          <w:szCs w:val="22"/>
        </w:rPr>
      </w:pPr>
      <w:r>
        <w:rPr>
          <w:rFonts w:cs="Arial"/>
          <w:bCs/>
          <w:iCs/>
          <w:sz w:val="20"/>
          <w:szCs w:val="22"/>
        </w:rPr>
        <w:t>Zdroj: MPO</w:t>
      </w:r>
    </w:p>
    <w:p>
      <w:pPr>
        <w:spacing w:after="240"/>
        <w:rPr>
          <w:rFonts w:cs="Arial"/>
          <w:bCs/>
          <w:iCs/>
          <w:szCs w:val="22"/>
        </w:rPr>
      </w:pPr>
      <w:r>
        <w:rPr>
          <w:rFonts w:cs="Arial"/>
          <w:bCs/>
          <w:iCs/>
          <w:szCs w:val="22"/>
        </w:rPr>
        <w:t>Výše uvedených 38 ústředních institucí (tabulka č.3) vlastní a užívá 780 budov s energeticky vztažnou plochou větší než 250 m</w:t>
      </w:r>
      <w:r>
        <w:rPr>
          <w:rFonts w:cs="Arial"/>
          <w:bCs/>
          <w:iCs/>
          <w:szCs w:val="22"/>
          <w:vertAlign w:val="superscript"/>
        </w:rPr>
        <w:t>2</w:t>
      </w:r>
      <w:r>
        <w:rPr>
          <w:rFonts w:cs="Arial"/>
          <w:bCs/>
          <w:iCs/>
          <w:szCs w:val="22"/>
        </w:rPr>
        <w:t xml:space="preserve"> o celkové energeticky vztažné ploše 2 502 144 m</w:t>
      </w:r>
      <w:r>
        <w:rPr>
          <w:rFonts w:cs="Arial"/>
          <w:bCs/>
          <w:iCs/>
          <w:szCs w:val="22"/>
          <w:vertAlign w:val="superscript"/>
        </w:rPr>
        <w:t>2</w:t>
      </w:r>
      <w:r>
        <w:rPr>
          <w:rFonts w:cs="Arial"/>
          <w:bCs/>
          <w:iCs/>
          <w:szCs w:val="22"/>
        </w:rPr>
        <w:t xml:space="preserve">. </w:t>
      </w:r>
      <w:r>
        <w:rPr>
          <w:rFonts w:cs="Arial"/>
          <w:b/>
          <w:bCs/>
          <w:iCs/>
          <w:szCs w:val="22"/>
        </w:rPr>
        <w:t>Z těchto budov k roku 2022 nesplnilo požadavky na energetickou náročnost budov (klasifikační třídu C – úsporná) 593 budov s celkově nevyhovující energeticky vztažnou plochou o velkosti 1 805 017 m</w:t>
      </w:r>
      <w:r>
        <w:rPr>
          <w:rFonts w:cs="Arial"/>
          <w:b/>
          <w:bCs/>
          <w:iCs/>
          <w:szCs w:val="22"/>
          <w:vertAlign w:val="superscript"/>
        </w:rPr>
        <w:t>2</w:t>
      </w:r>
      <w:r>
        <w:rPr>
          <w:rFonts w:cs="Arial"/>
          <w:b/>
          <w:bCs/>
          <w:iCs/>
          <w:szCs w:val="22"/>
        </w:rPr>
        <w:t xml:space="preserve">. </w:t>
      </w:r>
      <w:r>
        <w:rPr>
          <w:rFonts w:cs="Arial"/>
          <w:bCs/>
          <w:iCs/>
          <w:szCs w:val="22"/>
        </w:rPr>
        <w:t>Výše úspory energie pro rok 2022 vyplývající z požadavku na renovaci nevyhovující energeticky vztažné plochy byla</w:t>
      </w:r>
      <w:r>
        <w:rPr>
          <w:rFonts w:cs="Arial"/>
          <w:b/>
          <w:bCs/>
          <w:iCs/>
          <w:szCs w:val="22"/>
        </w:rPr>
        <w:t xml:space="preserve"> </w:t>
      </w:r>
      <w:r>
        <w:rPr>
          <w:rFonts w:cs="Arial"/>
          <w:bCs/>
          <w:iCs/>
          <w:szCs w:val="22"/>
        </w:rPr>
        <w:t>vypočítána z její velikosti a stanovena na základě aktualizace fondu budov zahrnující i změny ve fondu budov.</w:t>
      </w:r>
    </w:p>
    <w:p>
      <w:pPr>
        <w:pStyle w:val="Nadpis2"/>
        <w:rPr>
          <w:b w:val="0"/>
          <w:color w:val="004B8D" w:themeColor="text2"/>
          <w:sz w:val="28"/>
        </w:rPr>
      </w:pPr>
      <w:bookmarkStart w:id="31" w:name="_Toc138078649"/>
      <w:r>
        <w:rPr>
          <w:color w:val="004B8D" w:themeColor="text2"/>
          <w:sz w:val="28"/>
        </w:rPr>
        <w:t>Plnění závazku čl. 5</w:t>
      </w:r>
      <w:bookmarkEnd w:id="31"/>
    </w:p>
    <w:p>
      <w:pPr>
        <w:spacing w:after="240"/>
        <w:rPr>
          <w:rFonts w:cs="Arial"/>
          <w:bCs/>
          <w:iCs/>
          <w:szCs w:val="22"/>
        </w:rPr>
      </w:pPr>
      <w:r>
        <w:rPr>
          <w:szCs w:val="22"/>
        </w:rPr>
        <w:t>Dle Vnitrostátního plánu ČR v oblasti energetiky a klimatu je indikativní výše závazku pro rok 2022 stanovena na úrovni 12,4 TJ.</w:t>
      </w:r>
      <w:r>
        <w:rPr>
          <w:rStyle w:val="Znakapoznpodarou"/>
          <w:szCs w:val="22"/>
        </w:rPr>
        <w:footnoteReference w:id="9"/>
      </w:r>
      <w:r>
        <w:rPr>
          <w:sz w:val="13"/>
          <w:szCs w:val="13"/>
        </w:rPr>
        <w:t xml:space="preserve"> </w:t>
      </w:r>
      <w:r>
        <w:rPr>
          <w:szCs w:val="22"/>
        </w:rPr>
        <w:t>V roce 2022 došlo k realizaci energeticky úsporných opatření s celkovou úsporou energie ve výši 7,2 TJ.</w:t>
      </w:r>
    </w:p>
    <w:p>
      <w:pPr>
        <w:spacing w:after="240"/>
        <w:rPr>
          <w:rFonts w:cs="Arial"/>
          <w:b/>
          <w:bCs/>
          <w:iCs/>
          <w:szCs w:val="22"/>
        </w:rPr>
      </w:pPr>
      <w:r>
        <w:rPr>
          <w:rFonts w:cs="Arial"/>
          <w:bCs/>
          <w:iCs/>
          <w:szCs w:val="22"/>
        </w:rPr>
        <w:t xml:space="preserve">Plnění závazku pro rok 2022 bylo v dubnu 2023 vyhodnoceno na základě dat nashromážděných v rámci pravidelného monitoringu podle § </w:t>
      </w:r>
      <w:proofErr w:type="gramStart"/>
      <w:r>
        <w:rPr>
          <w:rFonts w:cs="Arial"/>
          <w:bCs/>
          <w:iCs/>
          <w:szCs w:val="22"/>
        </w:rPr>
        <w:t>9b</w:t>
      </w:r>
      <w:proofErr w:type="gramEnd"/>
      <w:r>
        <w:rPr>
          <w:rFonts w:cs="Arial"/>
          <w:bCs/>
          <w:iCs/>
          <w:szCs w:val="22"/>
        </w:rPr>
        <w:t xml:space="preserve"> odst. 3 zákona č. 406/2000 Sb., ke dni 5. 4. 2023. </w:t>
      </w:r>
      <w:r>
        <w:rPr>
          <w:rFonts w:cs="Arial"/>
          <w:b/>
          <w:bCs/>
          <w:iCs/>
          <w:szCs w:val="22"/>
        </w:rPr>
        <w:t>V roce 2022 se realizovala energeticky úsporná opatření na budovách České národní banky a Vězeňské služby, kde došlo k realizaci energeticky úsporných opatření s celkovou výší roční úspory energie 7,2 TJ.</w:t>
      </w:r>
    </w:p>
    <w:p>
      <w:pPr>
        <w:spacing w:after="240"/>
        <w:rPr>
          <w:rFonts w:cs="Arial"/>
          <w:b/>
          <w:bCs/>
          <w:iCs/>
          <w:szCs w:val="22"/>
        </w:rPr>
      </w:pPr>
    </w:p>
    <w:p>
      <w:pPr>
        <w:spacing w:after="240"/>
        <w:rPr>
          <w:rFonts w:cs="Arial"/>
          <w:b/>
          <w:bCs/>
          <w:iCs/>
          <w:szCs w:val="22"/>
        </w:rPr>
      </w:pPr>
    </w:p>
    <w:p>
      <w:pPr>
        <w:spacing w:after="240"/>
        <w:rPr>
          <w:rFonts w:cs="Arial"/>
          <w:b/>
          <w:bCs/>
          <w:iCs/>
          <w:szCs w:val="22"/>
        </w:rPr>
      </w:pPr>
    </w:p>
    <w:p>
      <w:pPr>
        <w:pStyle w:val="Titulek"/>
        <w:keepNext/>
        <w:rPr>
          <w:i w:val="0"/>
          <w:color w:val="auto"/>
          <w:sz w:val="22"/>
          <w:szCs w:val="22"/>
        </w:rPr>
      </w:pPr>
      <w:bookmarkStart w:id="32" w:name="_Toc138073340"/>
      <w:r>
        <w:rPr>
          <w:b/>
          <w:i w:val="0"/>
          <w:color w:val="auto"/>
          <w:sz w:val="22"/>
          <w:szCs w:val="22"/>
        </w:rPr>
        <w:t xml:space="preserve">Tabulka č. </w:t>
      </w:r>
      <w:r>
        <w:rPr>
          <w:b/>
          <w:i w:val="0"/>
          <w:color w:val="auto"/>
          <w:sz w:val="22"/>
          <w:szCs w:val="22"/>
        </w:rPr>
        <w:fldChar w:fldCharType="begin"/>
      </w:r>
      <w:r>
        <w:rPr>
          <w:b/>
          <w:i w:val="0"/>
          <w:color w:val="auto"/>
          <w:sz w:val="22"/>
          <w:szCs w:val="22"/>
        </w:rPr>
        <w:instrText xml:space="preserve"> SEQ Tabulka \* ARABIC </w:instrText>
      </w:r>
      <w:r>
        <w:rPr>
          <w:b/>
          <w:i w:val="0"/>
          <w:color w:val="auto"/>
          <w:sz w:val="22"/>
          <w:szCs w:val="22"/>
        </w:rPr>
        <w:fldChar w:fldCharType="separate"/>
      </w:r>
      <w:r>
        <w:rPr>
          <w:b/>
          <w:i w:val="0"/>
          <w:noProof/>
          <w:color w:val="auto"/>
          <w:sz w:val="22"/>
          <w:szCs w:val="22"/>
        </w:rPr>
        <w:t>4</w:t>
      </w:r>
      <w:r>
        <w:rPr>
          <w:b/>
          <w:i w:val="0"/>
          <w:color w:val="auto"/>
          <w:sz w:val="22"/>
          <w:szCs w:val="22"/>
        </w:rPr>
        <w:fldChar w:fldCharType="end"/>
      </w:r>
      <w:r>
        <w:rPr>
          <w:b/>
          <w:i w:val="0"/>
          <w:color w:val="auto"/>
          <w:sz w:val="22"/>
          <w:szCs w:val="22"/>
        </w:rPr>
        <w:t>:</w:t>
      </w:r>
      <w:r>
        <w:rPr>
          <w:i w:val="0"/>
          <w:color w:val="auto"/>
          <w:sz w:val="22"/>
          <w:szCs w:val="22"/>
        </w:rPr>
        <w:t xml:space="preserve"> Přehled ročních úspor podle čl. 5 směrnice za rok 2022</w:t>
      </w:r>
      <w:bookmarkEnd w:id="32"/>
    </w:p>
    <w:tbl>
      <w:tblPr>
        <w:tblW w:w="9629" w:type="dxa"/>
        <w:tblCellMar>
          <w:left w:w="70" w:type="dxa"/>
          <w:right w:w="70" w:type="dxa"/>
        </w:tblCellMar>
        <w:tblLook w:val="04A0" w:firstRow="1" w:lastRow="0" w:firstColumn="1" w:lastColumn="0" w:noHBand="0" w:noVBand="1"/>
      </w:tblPr>
      <w:tblGrid>
        <w:gridCol w:w="1550"/>
        <w:gridCol w:w="850"/>
        <w:gridCol w:w="709"/>
        <w:gridCol w:w="850"/>
        <w:gridCol w:w="709"/>
        <w:gridCol w:w="709"/>
        <w:gridCol w:w="850"/>
        <w:gridCol w:w="851"/>
        <w:gridCol w:w="850"/>
        <w:gridCol w:w="851"/>
        <w:gridCol w:w="850"/>
      </w:tblGrid>
      <w:tr>
        <w:trPr>
          <w:trHeight w:val="315"/>
        </w:trPr>
        <w:tc>
          <w:tcPr>
            <w:tcW w:w="155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pPr>
              <w:overflowPunct/>
              <w:autoSpaceDE/>
              <w:autoSpaceDN/>
              <w:adjustRightInd/>
              <w:spacing w:after="0" w:line="240" w:lineRule="auto"/>
              <w:jc w:val="center"/>
              <w:textAlignment w:val="auto"/>
              <w:rPr>
                <w:rFonts w:ascii="Calibri" w:hAnsi="Calibri"/>
                <w:color w:val="000000"/>
                <w:szCs w:val="22"/>
              </w:rPr>
            </w:pPr>
            <w:r>
              <w:rPr>
                <w:rFonts w:ascii="Calibri" w:hAnsi="Calibri"/>
                <w:color w:val="000000"/>
                <w:szCs w:val="22"/>
              </w:rPr>
              <w:t> </w:t>
            </w:r>
          </w:p>
        </w:tc>
        <w:tc>
          <w:tcPr>
            <w:tcW w:w="850" w:type="dxa"/>
            <w:tcBorders>
              <w:top w:val="single" w:sz="8" w:space="0" w:color="auto"/>
              <w:left w:val="nil"/>
              <w:bottom w:val="single" w:sz="8" w:space="0" w:color="auto"/>
              <w:right w:val="nil"/>
            </w:tcBorders>
            <w:shd w:val="clear" w:color="auto" w:fill="auto"/>
            <w:noWrap/>
            <w:vAlign w:val="bottom"/>
            <w:hideMark/>
          </w:tcPr>
          <w:p>
            <w:pPr>
              <w:overflowPunct/>
              <w:autoSpaceDE/>
              <w:autoSpaceDN/>
              <w:adjustRightInd/>
              <w:spacing w:after="0" w:line="240" w:lineRule="auto"/>
              <w:jc w:val="right"/>
              <w:textAlignment w:val="auto"/>
              <w:rPr>
                <w:rFonts w:ascii="Calibri" w:hAnsi="Calibri"/>
                <w:color w:val="000000"/>
                <w:szCs w:val="22"/>
              </w:rPr>
            </w:pPr>
            <w:r>
              <w:rPr>
                <w:rFonts w:ascii="Calibri" w:hAnsi="Calibri"/>
                <w:color w:val="000000"/>
                <w:szCs w:val="22"/>
              </w:rPr>
              <w:t>2021</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olor w:val="000000"/>
                <w:szCs w:val="22"/>
              </w:rPr>
            </w:pPr>
            <w:r>
              <w:rPr>
                <w:rFonts w:ascii="Calibri" w:hAnsi="Calibri"/>
                <w:color w:val="000000"/>
                <w:szCs w:val="22"/>
              </w:rPr>
              <w:t>2022</w:t>
            </w:r>
          </w:p>
        </w:tc>
        <w:tc>
          <w:tcPr>
            <w:tcW w:w="850" w:type="dxa"/>
            <w:tcBorders>
              <w:top w:val="single" w:sz="8" w:space="0" w:color="auto"/>
              <w:left w:val="nil"/>
              <w:bottom w:val="nil"/>
              <w:right w:val="nil"/>
            </w:tcBorders>
            <w:shd w:val="clear" w:color="auto" w:fill="auto"/>
            <w:noWrap/>
            <w:vAlign w:val="bottom"/>
            <w:hideMark/>
          </w:tcPr>
          <w:p>
            <w:pPr>
              <w:overflowPunct/>
              <w:autoSpaceDE/>
              <w:autoSpaceDN/>
              <w:adjustRightInd/>
              <w:spacing w:after="0" w:line="240" w:lineRule="auto"/>
              <w:jc w:val="right"/>
              <w:textAlignment w:val="auto"/>
              <w:rPr>
                <w:rFonts w:ascii="Calibri" w:hAnsi="Calibri"/>
                <w:color w:val="000000"/>
                <w:szCs w:val="22"/>
              </w:rPr>
            </w:pPr>
            <w:r>
              <w:rPr>
                <w:rFonts w:ascii="Calibri" w:hAnsi="Calibri"/>
                <w:color w:val="000000"/>
                <w:szCs w:val="22"/>
              </w:rPr>
              <w:t>2023</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olor w:val="000000"/>
                <w:szCs w:val="22"/>
              </w:rPr>
            </w:pPr>
            <w:r>
              <w:rPr>
                <w:rFonts w:ascii="Calibri" w:hAnsi="Calibri"/>
                <w:color w:val="000000"/>
                <w:szCs w:val="22"/>
              </w:rPr>
              <w:t>2024</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olor w:val="000000"/>
                <w:szCs w:val="22"/>
              </w:rPr>
            </w:pPr>
            <w:r>
              <w:rPr>
                <w:rFonts w:ascii="Calibri" w:hAnsi="Calibri"/>
                <w:color w:val="000000"/>
                <w:szCs w:val="22"/>
              </w:rPr>
              <w:t>2025</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olor w:val="000000"/>
                <w:szCs w:val="22"/>
              </w:rPr>
            </w:pPr>
            <w:r>
              <w:rPr>
                <w:rFonts w:ascii="Calibri" w:hAnsi="Calibri"/>
                <w:color w:val="000000"/>
                <w:szCs w:val="22"/>
              </w:rPr>
              <w:t>2026</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olor w:val="000000"/>
                <w:szCs w:val="22"/>
              </w:rPr>
            </w:pPr>
            <w:r>
              <w:rPr>
                <w:rFonts w:ascii="Calibri" w:hAnsi="Calibri"/>
                <w:color w:val="000000"/>
                <w:szCs w:val="22"/>
              </w:rPr>
              <w:t>2027</w:t>
            </w:r>
          </w:p>
        </w:tc>
        <w:tc>
          <w:tcPr>
            <w:tcW w:w="850" w:type="dxa"/>
            <w:tcBorders>
              <w:top w:val="single" w:sz="8" w:space="0" w:color="auto"/>
              <w:left w:val="nil"/>
              <w:bottom w:val="single" w:sz="8" w:space="0" w:color="auto"/>
              <w:right w:val="nil"/>
            </w:tcBorders>
            <w:shd w:val="clear" w:color="auto" w:fill="auto"/>
            <w:noWrap/>
            <w:vAlign w:val="bottom"/>
            <w:hideMark/>
          </w:tcPr>
          <w:p>
            <w:pPr>
              <w:overflowPunct/>
              <w:autoSpaceDE/>
              <w:autoSpaceDN/>
              <w:adjustRightInd/>
              <w:spacing w:after="0" w:line="240" w:lineRule="auto"/>
              <w:jc w:val="right"/>
              <w:textAlignment w:val="auto"/>
              <w:rPr>
                <w:rFonts w:ascii="Calibri" w:hAnsi="Calibri"/>
                <w:color w:val="000000"/>
                <w:szCs w:val="22"/>
              </w:rPr>
            </w:pPr>
            <w:r>
              <w:rPr>
                <w:rFonts w:ascii="Calibri" w:hAnsi="Calibri"/>
                <w:color w:val="000000"/>
                <w:szCs w:val="22"/>
              </w:rPr>
              <w:t>2028</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olor w:val="000000"/>
                <w:szCs w:val="22"/>
              </w:rPr>
            </w:pPr>
            <w:r>
              <w:rPr>
                <w:rFonts w:ascii="Calibri" w:hAnsi="Calibri"/>
                <w:color w:val="000000"/>
                <w:szCs w:val="22"/>
              </w:rPr>
              <w:t>2029</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olor w:val="000000"/>
                <w:szCs w:val="22"/>
              </w:rPr>
            </w:pPr>
            <w:r>
              <w:rPr>
                <w:rFonts w:ascii="Calibri" w:hAnsi="Calibri"/>
                <w:color w:val="000000"/>
                <w:szCs w:val="22"/>
              </w:rPr>
              <w:t>2030</w:t>
            </w:r>
          </w:p>
        </w:tc>
      </w:tr>
      <w:tr>
        <w:trPr>
          <w:trHeight w:val="315"/>
        </w:trPr>
        <w:tc>
          <w:tcPr>
            <w:tcW w:w="1550" w:type="dxa"/>
            <w:vMerge/>
            <w:tcBorders>
              <w:top w:val="single" w:sz="8" w:space="0" w:color="auto"/>
              <w:left w:val="single" w:sz="8" w:space="0" w:color="auto"/>
              <w:bottom w:val="single" w:sz="8" w:space="0" w:color="000000"/>
              <w:right w:val="single" w:sz="8" w:space="0" w:color="auto"/>
            </w:tcBorders>
            <w:vAlign w:val="center"/>
            <w:hideMark/>
          </w:tcPr>
          <w:p>
            <w:pPr>
              <w:overflowPunct/>
              <w:autoSpaceDE/>
              <w:autoSpaceDN/>
              <w:adjustRightInd/>
              <w:spacing w:after="0" w:line="240" w:lineRule="auto"/>
              <w:jc w:val="left"/>
              <w:textAlignment w:val="auto"/>
              <w:rPr>
                <w:rFonts w:ascii="Calibri" w:hAnsi="Calibri"/>
                <w:color w:val="000000"/>
                <w:szCs w:val="22"/>
              </w:rPr>
            </w:pPr>
          </w:p>
        </w:tc>
        <w:tc>
          <w:tcPr>
            <w:tcW w:w="1559" w:type="dxa"/>
            <w:gridSpan w:val="2"/>
            <w:tcBorders>
              <w:top w:val="single" w:sz="8" w:space="0" w:color="auto"/>
              <w:left w:val="nil"/>
              <w:bottom w:val="single" w:sz="8" w:space="0" w:color="auto"/>
              <w:right w:val="single" w:sz="8" w:space="0" w:color="000000"/>
            </w:tcBorders>
            <w:shd w:val="clear" w:color="000000" w:fill="92CEF2"/>
            <w:noWrap/>
            <w:vAlign w:val="center"/>
            <w:hideMark/>
          </w:tcPr>
          <w:p>
            <w:pPr>
              <w:overflowPunct/>
              <w:autoSpaceDE/>
              <w:autoSpaceDN/>
              <w:adjustRightInd/>
              <w:spacing w:after="0" w:line="240" w:lineRule="auto"/>
              <w:jc w:val="center"/>
              <w:textAlignment w:val="auto"/>
              <w:rPr>
                <w:rFonts w:ascii="Calibri" w:hAnsi="Calibri"/>
                <w:b/>
                <w:bCs/>
                <w:color w:val="000000"/>
                <w:sz w:val="20"/>
              </w:rPr>
            </w:pPr>
            <w:r>
              <w:rPr>
                <w:rFonts w:ascii="Calibri" w:hAnsi="Calibri"/>
                <w:b/>
                <w:bCs/>
                <w:color w:val="000000"/>
                <w:sz w:val="20"/>
              </w:rPr>
              <w:t>Realizované</w:t>
            </w:r>
          </w:p>
        </w:tc>
        <w:tc>
          <w:tcPr>
            <w:tcW w:w="6520" w:type="dxa"/>
            <w:gridSpan w:val="8"/>
            <w:tcBorders>
              <w:top w:val="single" w:sz="8" w:space="0" w:color="auto"/>
              <w:left w:val="nil"/>
              <w:bottom w:val="single" w:sz="8" w:space="0" w:color="auto"/>
              <w:right w:val="single" w:sz="8" w:space="0" w:color="000000"/>
            </w:tcBorders>
            <w:shd w:val="clear" w:color="000000" w:fill="006FA0"/>
            <w:noWrap/>
            <w:vAlign w:val="center"/>
            <w:hideMark/>
          </w:tcPr>
          <w:p>
            <w:pPr>
              <w:overflowPunct/>
              <w:autoSpaceDE/>
              <w:autoSpaceDN/>
              <w:adjustRightInd/>
              <w:spacing w:after="0" w:line="240" w:lineRule="auto"/>
              <w:jc w:val="center"/>
              <w:textAlignment w:val="auto"/>
              <w:rPr>
                <w:rFonts w:ascii="Calibri" w:hAnsi="Calibri"/>
                <w:b/>
                <w:bCs/>
                <w:color w:val="000000"/>
                <w:sz w:val="20"/>
              </w:rPr>
            </w:pPr>
            <w:r>
              <w:rPr>
                <w:rFonts w:ascii="Calibri" w:hAnsi="Calibri"/>
                <w:b/>
                <w:bCs/>
                <w:color w:val="000000"/>
                <w:sz w:val="20"/>
              </w:rPr>
              <w:t> </w:t>
            </w:r>
          </w:p>
        </w:tc>
      </w:tr>
      <w:tr>
        <w:trPr>
          <w:trHeight w:val="959"/>
        </w:trPr>
        <w:tc>
          <w:tcPr>
            <w:tcW w:w="1550" w:type="dxa"/>
            <w:tcBorders>
              <w:top w:val="nil"/>
              <w:left w:val="single" w:sz="8" w:space="0" w:color="auto"/>
              <w:bottom w:val="single" w:sz="8" w:space="0" w:color="auto"/>
              <w:right w:val="single" w:sz="8" w:space="0" w:color="auto"/>
            </w:tcBorders>
            <w:shd w:val="clear" w:color="auto" w:fill="auto"/>
            <w:vAlign w:val="center"/>
            <w:hideMark/>
          </w:tcPr>
          <w:p>
            <w:pPr>
              <w:overflowPunct/>
              <w:autoSpaceDE/>
              <w:autoSpaceDN/>
              <w:adjustRightInd/>
              <w:spacing w:after="0" w:line="240" w:lineRule="auto"/>
              <w:textAlignment w:val="auto"/>
              <w:rPr>
                <w:rFonts w:ascii="Calibri" w:hAnsi="Calibri"/>
                <w:b/>
                <w:bCs/>
                <w:color w:val="000000"/>
                <w:sz w:val="20"/>
              </w:rPr>
            </w:pPr>
            <w:r>
              <w:rPr>
                <w:rFonts w:ascii="Calibri" w:hAnsi="Calibri"/>
                <w:b/>
                <w:bCs/>
                <w:color w:val="000000"/>
                <w:sz w:val="20"/>
              </w:rPr>
              <w:t>Roční úspory energie [TJ]</w:t>
            </w:r>
          </w:p>
        </w:tc>
        <w:tc>
          <w:tcPr>
            <w:tcW w:w="850"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21,5</w:t>
            </w:r>
          </w:p>
        </w:tc>
        <w:tc>
          <w:tcPr>
            <w:tcW w:w="709"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7,2</w:t>
            </w:r>
          </w:p>
        </w:tc>
        <w:tc>
          <w:tcPr>
            <w:tcW w:w="850"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 </w:t>
            </w:r>
          </w:p>
        </w:tc>
        <w:tc>
          <w:tcPr>
            <w:tcW w:w="709"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 </w:t>
            </w:r>
          </w:p>
        </w:tc>
        <w:tc>
          <w:tcPr>
            <w:tcW w:w="709"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 </w:t>
            </w:r>
          </w:p>
        </w:tc>
        <w:tc>
          <w:tcPr>
            <w:tcW w:w="850"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 </w:t>
            </w:r>
          </w:p>
        </w:tc>
        <w:tc>
          <w:tcPr>
            <w:tcW w:w="851"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 </w:t>
            </w:r>
          </w:p>
        </w:tc>
        <w:tc>
          <w:tcPr>
            <w:tcW w:w="850"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b/>
                <w:bCs/>
                <w:color w:val="000000"/>
                <w:sz w:val="20"/>
              </w:rPr>
            </w:pPr>
            <w:r>
              <w:rPr>
                <w:rFonts w:ascii="Calibri" w:hAnsi="Calibri"/>
                <w:b/>
                <w:bCs/>
                <w:color w:val="000000"/>
                <w:sz w:val="20"/>
              </w:rPr>
              <w:t> </w:t>
            </w:r>
          </w:p>
        </w:tc>
        <w:tc>
          <w:tcPr>
            <w:tcW w:w="851" w:type="dxa"/>
            <w:tcBorders>
              <w:top w:val="nil"/>
              <w:left w:val="nil"/>
              <w:bottom w:val="nil"/>
              <w:right w:val="nil"/>
            </w:tcBorders>
            <w:shd w:val="clear" w:color="auto" w:fill="auto"/>
            <w:noWrap/>
            <w:vAlign w:val="bottom"/>
            <w:hideMark/>
          </w:tcPr>
          <w:p>
            <w:pPr>
              <w:overflowPunct/>
              <w:autoSpaceDE/>
              <w:autoSpaceDN/>
              <w:adjustRightInd/>
              <w:spacing w:after="0" w:line="240" w:lineRule="auto"/>
              <w:jc w:val="right"/>
              <w:textAlignment w:val="auto"/>
              <w:rPr>
                <w:rFonts w:ascii="Calibri" w:hAnsi="Calibri"/>
                <w:b/>
                <w:bCs/>
                <w:color w:val="000000"/>
                <w:sz w:val="20"/>
              </w:rPr>
            </w:pP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olor w:val="000000"/>
                <w:szCs w:val="22"/>
              </w:rPr>
            </w:pPr>
            <w:r>
              <w:rPr>
                <w:rFonts w:ascii="Calibri" w:hAnsi="Calibri"/>
                <w:color w:val="000000"/>
                <w:szCs w:val="22"/>
              </w:rPr>
              <w:t> </w:t>
            </w:r>
          </w:p>
        </w:tc>
      </w:tr>
      <w:tr>
        <w:trPr>
          <w:trHeight w:val="525"/>
        </w:trPr>
        <w:tc>
          <w:tcPr>
            <w:tcW w:w="1550" w:type="dxa"/>
            <w:tcBorders>
              <w:top w:val="nil"/>
              <w:left w:val="single" w:sz="8" w:space="0" w:color="auto"/>
              <w:bottom w:val="single" w:sz="8" w:space="0" w:color="auto"/>
              <w:right w:val="single" w:sz="8" w:space="0" w:color="auto"/>
            </w:tcBorders>
            <w:shd w:val="clear" w:color="auto" w:fill="auto"/>
            <w:vAlign w:val="center"/>
            <w:hideMark/>
          </w:tcPr>
          <w:p>
            <w:pPr>
              <w:overflowPunct/>
              <w:autoSpaceDE/>
              <w:autoSpaceDN/>
              <w:adjustRightInd/>
              <w:spacing w:after="0" w:line="240" w:lineRule="auto"/>
              <w:textAlignment w:val="auto"/>
              <w:rPr>
                <w:rFonts w:ascii="Calibri" w:hAnsi="Calibri"/>
                <w:b/>
                <w:bCs/>
                <w:color w:val="000000"/>
                <w:sz w:val="20"/>
              </w:rPr>
            </w:pPr>
            <w:r>
              <w:rPr>
                <w:rFonts w:ascii="Calibri" w:hAnsi="Calibri"/>
                <w:b/>
                <w:bCs/>
                <w:color w:val="000000"/>
                <w:sz w:val="20"/>
              </w:rPr>
              <w:t>Finanční náročnost renovací [mil. Kč]</w:t>
            </w:r>
          </w:p>
        </w:tc>
        <w:tc>
          <w:tcPr>
            <w:tcW w:w="850"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473,6</w:t>
            </w:r>
          </w:p>
        </w:tc>
        <w:tc>
          <w:tcPr>
            <w:tcW w:w="709"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51,9</w:t>
            </w:r>
          </w:p>
        </w:tc>
        <w:tc>
          <w:tcPr>
            <w:tcW w:w="850"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 </w:t>
            </w:r>
          </w:p>
        </w:tc>
        <w:tc>
          <w:tcPr>
            <w:tcW w:w="709"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 </w:t>
            </w:r>
          </w:p>
        </w:tc>
        <w:tc>
          <w:tcPr>
            <w:tcW w:w="709"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 </w:t>
            </w:r>
          </w:p>
        </w:tc>
        <w:tc>
          <w:tcPr>
            <w:tcW w:w="850"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 </w:t>
            </w:r>
          </w:p>
        </w:tc>
        <w:tc>
          <w:tcPr>
            <w:tcW w:w="851"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color w:val="000000"/>
                <w:sz w:val="20"/>
              </w:rPr>
            </w:pPr>
            <w:r>
              <w:rPr>
                <w:rFonts w:ascii="Calibri" w:hAnsi="Calibri"/>
                <w:color w:val="000000"/>
                <w:sz w:val="20"/>
              </w:rPr>
              <w:t> </w:t>
            </w:r>
          </w:p>
        </w:tc>
        <w:tc>
          <w:tcPr>
            <w:tcW w:w="850" w:type="dxa"/>
            <w:tcBorders>
              <w:top w:val="nil"/>
              <w:left w:val="nil"/>
              <w:bottom w:val="single" w:sz="8" w:space="0" w:color="auto"/>
              <w:right w:val="single" w:sz="8" w:space="0" w:color="auto"/>
            </w:tcBorders>
            <w:shd w:val="clear" w:color="auto" w:fill="auto"/>
            <w:noWrap/>
            <w:vAlign w:val="center"/>
            <w:hideMark/>
          </w:tcPr>
          <w:p>
            <w:pPr>
              <w:overflowPunct/>
              <w:autoSpaceDE/>
              <w:autoSpaceDN/>
              <w:adjustRightInd/>
              <w:spacing w:after="0" w:line="240" w:lineRule="auto"/>
              <w:jc w:val="right"/>
              <w:textAlignment w:val="auto"/>
              <w:rPr>
                <w:rFonts w:ascii="Calibri" w:hAnsi="Calibri"/>
                <w:b/>
                <w:bCs/>
                <w:color w:val="000000"/>
                <w:sz w:val="20"/>
              </w:rPr>
            </w:pPr>
            <w:r>
              <w:rPr>
                <w:rFonts w:ascii="Calibri" w:hAnsi="Calibri"/>
                <w:b/>
                <w:bCs/>
                <w:color w:val="000000"/>
                <w:sz w:val="20"/>
              </w:rPr>
              <w:t> </w:t>
            </w:r>
          </w:p>
        </w:tc>
        <w:tc>
          <w:tcPr>
            <w:tcW w:w="851" w:type="dxa"/>
            <w:tcBorders>
              <w:top w:val="single" w:sz="8" w:space="0" w:color="auto"/>
              <w:left w:val="nil"/>
              <w:bottom w:val="single" w:sz="8" w:space="0" w:color="auto"/>
              <w:right w:val="nil"/>
            </w:tcBorders>
            <w:shd w:val="clear" w:color="auto" w:fill="auto"/>
            <w:noWrap/>
            <w:vAlign w:val="bottom"/>
            <w:hideMark/>
          </w:tcPr>
          <w:p>
            <w:pPr>
              <w:overflowPunct/>
              <w:autoSpaceDE/>
              <w:autoSpaceDN/>
              <w:adjustRightInd/>
              <w:spacing w:after="0" w:line="240" w:lineRule="auto"/>
              <w:jc w:val="left"/>
              <w:textAlignment w:val="auto"/>
              <w:rPr>
                <w:rFonts w:ascii="Calibri" w:hAnsi="Calibri"/>
                <w:color w:val="000000"/>
                <w:szCs w:val="22"/>
              </w:rPr>
            </w:pPr>
            <w:r>
              <w:rPr>
                <w:rFonts w:ascii="Calibri" w:hAnsi="Calibri"/>
                <w:color w:val="000000"/>
                <w:szCs w:val="22"/>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olor w:val="000000"/>
                <w:szCs w:val="22"/>
              </w:rPr>
            </w:pPr>
            <w:r>
              <w:rPr>
                <w:rFonts w:ascii="Calibri" w:hAnsi="Calibri"/>
                <w:color w:val="000000"/>
                <w:szCs w:val="22"/>
              </w:rPr>
              <w:t> </w:t>
            </w:r>
          </w:p>
        </w:tc>
      </w:tr>
    </w:tbl>
    <w:p>
      <w:pPr>
        <w:spacing w:after="240"/>
        <w:jc w:val="right"/>
        <w:rPr>
          <w:rFonts w:cs="Arial"/>
          <w:bCs/>
          <w:iCs/>
          <w:sz w:val="20"/>
          <w:szCs w:val="22"/>
        </w:rPr>
      </w:pPr>
      <w:r>
        <w:rPr>
          <w:rFonts w:cs="Arial"/>
          <w:bCs/>
          <w:iCs/>
          <w:sz w:val="20"/>
          <w:szCs w:val="22"/>
        </w:rPr>
        <w:t xml:space="preserve">   </w:t>
      </w:r>
      <w:r>
        <w:rPr>
          <w:rFonts w:cs="Arial"/>
          <w:bCs/>
          <w:iCs/>
          <w:sz w:val="20"/>
          <w:szCs w:val="22"/>
        </w:rPr>
        <w:tab/>
        <w:t>Zdroj: MPO</w:t>
      </w:r>
    </w:p>
    <w:p>
      <w:pPr>
        <w:pStyle w:val="Titulek"/>
        <w:keepNext/>
        <w:rPr>
          <w:i w:val="0"/>
          <w:color w:val="auto"/>
          <w:sz w:val="22"/>
          <w:szCs w:val="22"/>
        </w:rPr>
      </w:pPr>
      <w:bookmarkStart w:id="33" w:name="_Toc138073341"/>
      <w:r>
        <w:rPr>
          <w:b/>
          <w:i w:val="0"/>
          <w:color w:val="auto"/>
          <w:sz w:val="22"/>
          <w:szCs w:val="22"/>
        </w:rPr>
        <w:t xml:space="preserve">Tabulka č. </w:t>
      </w:r>
      <w:r>
        <w:rPr>
          <w:b/>
          <w:i w:val="0"/>
          <w:color w:val="auto"/>
          <w:sz w:val="22"/>
          <w:szCs w:val="22"/>
        </w:rPr>
        <w:fldChar w:fldCharType="begin"/>
      </w:r>
      <w:r>
        <w:rPr>
          <w:b/>
          <w:i w:val="0"/>
          <w:color w:val="auto"/>
          <w:sz w:val="22"/>
          <w:szCs w:val="22"/>
        </w:rPr>
        <w:instrText xml:space="preserve"> SEQ Tabulka \* ARABIC </w:instrText>
      </w:r>
      <w:r>
        <w:rPr>
          <w:b/>
          <w:i w:val="0"/>
          <w:color w:val="auto"/>
          <w:sz w:val="22"/>
          <w:szCs w:val="22"/>
        </w:rPr>
        <w:fldChar w:fldCharType="separate"/>
      </w:r>
      <w:r>
        <w:rPr>
          <w:b/>
          <w:i w:val="0"/>
          <w:noProof/>
          <w:color w:val="auto"/>
          <w:sz w:val="22"/>
          <w:szCs w:val="22"/>
        </w:rPr>
        <w:t>5</w:t>
      </w:r>
      <w:r>
        <w:rPr>
          <w:b/>
          <w:i w:val="0"/>
          <w:color w:val="auto"/>
          <w:sz w:val="22"/>
          <w:szCs w:val="22"/>
        </w:rPr>
        <w:fldChar w:fldCharType="end"/>
      </w:r>
      <w:r>
        <w:rPr>
          <w:i w:val="0"/>
          <w:color w:val="auto"/>
          <w:sz w:val="22"/>
          <w:szCs w:val="22"/>
        </w:rPr>
        <w:t>:Přehled plánovaných projektů na období 2022–2025</w:t>
      </w:r>
      <w:bookmarkEnd w:id="33"/>
    </w:p>
    <w:tbl>
      <w:tblPr>
        <w:tblW w:w="6860" w:type="dxa"/>
        <w:tblCellMar>
          <w:left w:w="70" w:type="dxa"/>
          <w:right w:w="70" w:type="dxa"/>
        </w:tblCellMar>
        <w:tblLook w:val="04A0" w:firstRow="1" w:lastRow="0" w:firstColumn="1" w:lastColumn="0" w:noHBand="0" w:noVBand="1"/>
      </w:tblPr>
      <w:tblGrid>
        <w:gridCol w:w="2840"/>
        <w:gridCol w:w="960"/>
        <w:gridCol w:w="960"/>
        <w:gridCol w:w="960"/>
        <w:gridCol w:w="1140"/>
      </w:tblGrid>
      <w:tr>
        <w:trPr>
          <w:trHeight w:val="315"/>
        </w:trPr>
        <w:tc>
          <w:tcPr>
            <w:tcW w:w="2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rPr>
                <w:rFonts w:ascii="Calibri" w:hAnsi="Calibri"/>
                <w:color w:val="000000"/>
              </w:rPr>
            </w:pPr>
            <w:r>
              <w:rPr>
                <w:rFonts w:ascii="Calibri" w:hAnsi="Calibri"/>
                <w:color w:val="000000"/>
              </w:rPr>
              <w:t> </w:t>
            </w:r>
          </w:p>
        </w:tc>
        <w:tc>
          <w:tcPr>
            <w:tcW w:w="960" w:type="dxa"/>
            <w:tcBorders>
              <w:top w:val="single" w:sz="8" w:space="0" w:color="auto"/>
              <w:left w:val="nil"/>
              <w:bottom w:val="single" w:sz="8" w:space="0" w:color="auto"/>
              <w:right w:val="single" w:sz="8" w:space="0" w:color="auto"/>
            </w:tcBorders>
            <w:shd w:val="clear" w:color="000000" w:fill="13B5EA"/>
            <w:noWrap/>
            <w:vAlign w:val="center"/>
            <w:hideMark/>
          </w:tcPr>
          <w:p>
            <w:pPr>
              <w:spacing w:after="0" w:line="240" w:lineRule="auto"/>
              <w:jc w:val="right"/>
              <w:rPr>
                <w:rFonts w:ascii="Calibri" w:hAnsi="Calibri"/>
                <w:b/>
                <w:bCs/>
                <w:color w:val="000000"/>
                <w:sz w:val="20"/>
              </w:rPr>
            </w:pPr>
            <w:r>
              <w:rPr>
                <w:rFonts w:ascii="Calibri" w:hAnsi="Calibri"/>
                <w:b/>
                <w:bCs/>
                <w:color w:val="000000"/>
                <w:sz w:val="20"/>
              </w:rPr>
              <w:t>2023</w:t>
            </w:r>
          </w:p>
        </w:tc>
        <w:tc>
          <w:tcPr>
            <w:tcW w:w="960" w:type="dxa"/>
            <w:tcBorders>
              <w:top w:val="single" w:sz="8" w:space="0" w:color="auto"/>
              <w:left w:val="nil"/>
              <w:bottom w:val="single" w:sz="8" w:space="0" w:color="auto"/>
              <w:right w:val="single" w:sz="8" w:space="0" w:color="auto"/>
            </w:tcBorders>
            <w:shd w:val="clear" w:color="000000" w:fill="13B5EA"/>
            <w:noWrap/>
            <w:vAlign w:val="center"/>
            <w:hideMark/>
          </w:tcPr>
          <w:p>
            <w:pPr>
              <w:spacing w:after="0" w:line="240" w:lineRule="auto"/>
              <w:jc w:val="right"/>
              <w:rPr>
                <w:rFonts w:ascii="Calibri" w:hAnsi="Calibri"/>
                <w:b/>
                <w:bCs/>
                <w:color w:val="000000"/>
                <w:sz w:val="20"/>
              </w:rPr>
            </w:pPr>
            <w:r>
              <w:rPr>
                <w:rFonts w:ascii="Calibri" w:hAnsi="Calibri"/>
                <w:b/>
                <w:bCs/>
                <w:color w:val="000000"/>
                <w:sz w:val="20"/>
              </w:rPr>
              <w:t>2024</w:t>
            </w:r>
          </w:p>
        </w:tc>
        <w:tc>
          <w:tcPr>
            <w:tcW w:w="960" w:type="dxa"/>
            <w:tcBorders>
              <w:top w:val="single" w:sz="8" w:space="0" w:color="auto"/>
              <w:left w:val="nil"/>
              <w:bottom w:val="single" w:sz="8" w:space="0" w:color="auto"/>
              <w:right w:val="single" w:sz="8" w:space="0" w:color="auto"/>
            </w:tcBorders>
            <w:shd w:val="clear" w:color="000000" w:fill="13B5EA"/>
            <w:noWrap/>
            <w:vAlign w:val="center"/>
            <w:hideMark/>
          </w:tcPr>
          <w:p>
            <w:pPr>
              <w:spacing w:after="0" w:line="240" w:lineRule="auto"/>
              <w:jc w:val="right"/>
              <w:rPr>
                <w:rFonts w:ascii="Calibri" w:hAnsi="Calibri"/>
                <w:b/>
                <w:bCs/>
                <w:color w:val="000000"/>
                <w:sz w:val="20"/>
              </w:rPr>
            </w:pPr>
            <w:r>
              <w:rPr>
                <w:rFonts w:ascii="Calibri" w:hAnsi="Calibri"/>
                <w:b/>
                <w:bCs/>
                <w:color w:val="000000"/>
                <w:sz w:val="20"/>
              </w:rPr>
              <w:t>2025</w:t>
            </w:r>
          </w:p>
        </w:tc>
        <w:tc>
          <w:tcPr>
            <w:tcW w:w="1140" w:type="dxa"/>
            <w:tcBorders>
              <w:top w:val="single" w:sz="8" w:space="0" w:color="auto"/>
              <w:left w:val="nil"/>
              <w:bottom w:val="single" w:sz="8" w:space="0" w:color="auto"/>
              <w:right w:val="single" w:sz="8" w:space="0" w:color="auto"/>
            </w:tcBorders>
            <w:shd w:val="clear" w:color="000000" w:fill="1682C2"/>
            <w:vAlign w:val="center"/>
            <w:hideMark/>
          </w:tcPr>
          <w:p>
            <w:pPr>
              <w:spacing w:after="0" w:line="240" w:lineRule="auto"/>
              <w:jc w:val="right"/>
              <w:rPr>
                <w:rFonts w:ascii="Calibri" w:hAnsi="Calibri"/>
                <w:b/>
                <w:bCs/>
                <w:color w:val="000000"/>
                <w:sz w:val="20"/>
              </w:rPr>
            </w:pPr>
            <w:r>
              <w:rPr>
                <w:rFonts w:ascii="Calibri" w:hAnsi="Calibri"/>
                <w:b/>
                <w:bCs/>
                <w:color w:val="000000"/>
                <w:sz w:val="20"/>
              </w:rPr>
              <w:t>Celkem</w:t>
            </w:r>
          </w:p>
        </w:tc>
      </w:tr>
      <w:tr>
        <w:trPr>
          <w:trHeight w:val="315"/>
        </w:trPr>
        <w:tc>
          <w:tcPr>
            <w:tcW w:w="284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Calibri" w:hAnsi="Calibri"/>
                <w:b/>
                <w:bCs/>
                <w:color w:val="000000"/>
                <w:sz w:val="20"/>
              </w:rPr>
            </w:pPr>
            <w:r>
              <w:rPr>
                <w:rFonts w:ascii="Calibri" w:hAnsi="Calibri"/>
                <w:b/>
                <w:bCs/>
                <w:color w:val="000000"/>
                <w:sz w:val="20"/>
              </w:rPr>
              <w:t>Plánované roční úspory [TJ]</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Calibri" w:hAnsi="Calibri"/>
                <w:color w:val="000000"/>
                <w:sz w:val="20"/>
              </w:rPr>
            </w:pPr>
            <w:r>
              <w:rPr>
                <w:rFonts w:ascii="Calibri" w:hAnsi="Calibri"/>
                <w:color w:val="000000"/>
                <w:sz w:val="20"/>
              </w:rPr>
              <w:t>67,5</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Calibri" w:hAnsi="Calibri"/>
                <w:color w:val="000000"/>
                <w:sz w:val="20"/>
              </w:rPr>
            </w:pPr>
            <w:r>
              <w:rPr>
                <w:rFonts w:ascii="Calibri" w:hAnsi="Calibri"/>
                <w:color w:val="000000"/>
                <w:sz w:val="20"/>
              </w:rPr>
              <w:t>3</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Calibri" w:hAnsi="Calibri"/>
                <w:color w:val="000000"/>
                <w:sz w:val="20"/>
              </w:rPr>
            </w:pPr>
            <w:r>
              <w:rPr>
                <w:rFonts w:ascii="Calibri" w:hAnsi="Calibri"/>
                <w:color w:val="000000"/>
                <w:sz w:val="20"/>
              </w:rPr>
              <w:t>5,3</w:t>
            </w:r>
          </w:p>
        </w:tc>
        <w:tc>
          <w:tcPr>
            <w:tcW w:w="11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Calibri" w:hAnsi="Calibri"/>
                <w:color w:val="000000"/>
                <w:sz w:val="20"/>
              </w:rPr>
            </w:pPr>
            <w:r>
              <w:rPr>
                <w:rFonts w:ascii="Calibri" w:hAnsi="Calibri"/>
                <w:color w:val="000000"/>
                <w:sz w:val="20"/>
              </w:rPr>
              <w:t>75,8</w:t>
            </w:r>
          </w:p>
        </w:tc>
      </w:tr>
    </w:tbl>
    <w:p>
      <w:pPr>
        <w:spacing w:after="240"/>
        <w:ind w:left="2832" w:firstLine="708"/>
        <w:jc w:val="center"/>
        <w:rPr>
          <w:rFonts w:cs="Arial"/>
          <w:bCs/>
          <w:iCs/>
          <w:sz w:val="20"/>
          <w:szCs w:val="22"/>
        </w:rPr>
      </w:pPr>
      <w:r>
        <w:rPr>
          <w:rFonts w:cs="Arial"/>
          <w:bCs/>
          <w:iCs/>
          <w:sz w:val="20"/>
          <w:szCs w:val="22"/>
        </w:rPr>
        <w:t>Zdroj: MPO</w:t>
      </w:r>
    </w:p>
    <w:p>
      <w:pPr>
        <w:spacing w:before="240" w:after="240"/>
        <w:rPr>
          <w:rFonts w:cs="Arial"/>
          <w:bCs/>
          <w:iCs/>
          <w:szCs w:val="22"/>
        </w:rPr>
      </w:pPr>
      <w:r>
        <w:rPr>
          <w:rFonts w:cs="Arial"/>
          <w:bCs/>
          <w:iCs/>
          <w:szCs w:val="22"/>
        </w:rPr>
        <w:t>Pro roky 2023–2025 je v rámci plnění článku 5 rozpracováno několik projektů (tabulka č. 5), jejichž specifikace a seznam je uveden v příloze č. 2.</w:t>
      </w:r>
    </w:p>
    <w:p>
      <w:pPr>
        <w:pStyle w:val="Nadpis3"/>
        <w:rPr>
          <w:color w:val="004B8D" w:themeColor="accent2"/>
        </w:rPr>
      </w:pPr>
      <w:bookmarkStart w:id="34" w:name="_Toc138078650"/>
      <w:bookmarkEnd w:id="28"/>
      <w:r>
        <w:rPr>
          <w:color w:val="004B8D" w:themeColor="accent2"/>
        </w:rPr>
        <w:t>Revize směrnice o energetické účinnosti – renovace budov veřejné moci</w:t>
      </w:r>
      <w:bookmarkEnd w:id="34"/>
    </w:p>
    <w:p>
      <w:pPr>
        <w:spacing w:after="240"/>
        <w:rPr>
          <w:rFonts w:cs="Arial"/>
          <w:bCs/>
          <w:iCs/>
          <w:szCs w:val="22"/>
        </w:rPr>
      </w:pPr>
      <w:r>
        <w:t xml:space="preserve">Revize směrnice přináší v tomto závazku několik změn, kde mezi hlavní patří rozšíření zásahu povinnosti na všechny budovy veřejné správy a navýšení standardu konečné renovace na alespoň standard budovy s téměř nulovou spotřebou energie. </w:t>
      </w:r>
      <w:r>
        <w:br w:type="page"/>
      </w:r>
    </w:p>
    <w:p>
      <w:pPr>
        <w:pStyle w:val="Nadpis1"/>
      </w:pPr>
      <w:bookmarkStart w:id="35" w:name="_Toc138078651"/>
      <w:r>
        <w:lastRenderedPageBreak/>
        <w:t>4. Systém povinného zvyšování energetické účinnosti (čl. 7 směrnice 2012/27/EU)</w:t>
      </w:r>
      <w:bookmarkEnd w:id="35"/>
    </w:p>
    <w:p>
      <w:r>
        <w:rPr>
          <w:b/>
        </w:rPr>
        <w:t>Závazek České republiky dle čl. 7 směrnice 2012/27/EU je pro období 2021-2030 stanoven ve výši 462 PJ kumulovaných úspor energie.</w:t>
      </w:r>
      <w:r>
        <w:t xml:space="preserve"> Výše závazku byla stanovena na základě předpokladu každoročního dosahování úspor energie </w:t>
      </w:r>
      <w:r>
        <w:rPr>
          <w:b/>
        </w:rPr>
        <w:t>ve výši 8,4 PJ nových úspor energie</w:t>
      </w:r>
      <w:r>
        <w:t xml:space="preserve"> (s životností odpovídající době realizace do konce závazkového období, tzn. do roku 2030).</w:t>
      </w:r>
    </w:p>
    <w:p>
      <w:pPr>
        <w:rPr>
          <w:szCs w:val="22"/>
        </w:rPr>
      </w:pPr>
      <w:r>
        <w:rPr>
          <w:b/>
          <w:szCs w:val="22"/>
        </w:rPr>
        <w:t>Jak vyplývá z prozatímních dat za rok 2022, několik opatření ještě nebylo vyhodnoceno s ohledem na nedostupnost aktuálních dat a z cílené úspory 8,4 PJ bylo dosaženo pouze 6,4 PJ</w:t>
      </w:r>
      <w:r>
        <w:rPr>
          <w:szCs w:val="22"/>
        </w:rPr>
        <w:t xml:space="preserve"> a nelze očekávat, že by započtení nevyčíslených úspor významně přiblížilo plnění požadované hodnoty úspory energie.</w:t>
      </w:r>
      <w:r>
        <w:rPr>
          <w:b/>
          <w:szCs w:val="22"/>
        </w:rPr>
        <w:t xml:space="preserve"> K nedostatečnému plnění závazku došlo také v roce 2021 a ČR tak hrozí opakování scénáře ze závazkového období 2014–2020</w:t>
      </w:r>
      <w:r>
        <w:rPr>
          <w:szCs w:val="22"/>
        </w:rPr>
        <w:t>, kde právě nízkým počtem úspor energie na počátku vykazovacího období ztratila možnost splnění závazku s ohledem na jeho kumulativní charakter.</w:t>
      </w:r>
    </w:p>
    <w:p>
      <w:pPr>
        <w:rPr>
          <w:szCs w:val="22"/>
        </w:rPr>
      </w:pPr>
      <w:r>
        <w:rPr>
          <w:noProof/>
        </w:rPr>
        <mc:AlternateContent>
          <mc:Choice Requires="wps">
            <w:drawing>
              <wp:anchor distT="0" distB="0" distL="114300" distR="114300" simplePos="0" relativeHeight="251886592" behindDoc="1" locked="0" layoutInCell="1" allowOverlap="1">
                <wp:simplePos x="0" y="0"/>
                <wp:positionH relativeFrom="margin">
                  <wp:align>left</wp:align>
                </wp:positionH>
                <wp:positionV relativeFrom="paragraph">
                  <wp:posOffset>36373</wp:posOffset>
                </wp:positionV>
                <wp:extent cx="5334000" cy="190500"/>
                <wp:effectExtent l="0" t="0" r="0" b="0"/>
                <wp:wrapTight wrapText="bothSides">
                  <wp:wrapPolygon edited="0">
                    <wp:start x="0" y="0"/>
                    <wp:lineTo x="0" y="19440"/>
                    <wp:lineTo x="21523" y="19440"/>
                    <wp:lineTo x="21523" y="0"/>
                    <wp:lineTo x="0" y="0"/>
                  </wp:wrapPolygon>
                </wp:wrapTight>
                <wp:docPr id="15" name="Textové pole 15"/>
                <wp:cNvGraphicFramePr/>
                <a:graphic xmlns:a="http://schemas.openxmlformats.org/drawingml/2006/main">
                  <a:graphicData uri="http://schemas.microsoft.com/office/word/2010/wordprocessingShape">
                    <wps:wsp>
                      <wps:cNvSpPr txBox="1"/>
                      <wps:spPr>
                        <a:xfrm>
                          <a:off x="0" y="0"/>
                          <a:ext cx="5334000" cy="190500"/>
                        </a:xfrm>
                        <a:prstGeom prst="rect">
                          <a:avLst/>
                        </a:prstGeom>
                        <a:solidFill>
                          <a:prstClr val="white"/>
                        </a:solidFill>
                        <a:ln>
                          <a:noFill/>
                        </a:ln>
                      </wps:spPr>
                      <wps:txbx>
                        <w:txbxContent>
                          <w:p>
                            <w:pPr>
                              <w:pStyle w:val="Titulek"/>
                              <w:rPr>
                                <w:i w:val="0"/>
                                <w:noProof/>
                                <w:color w:val="auto"/>
                                <w:sz w:val="22"/>
                                <w:szCs w:val="22"/>
                              </w:rPr>
                            </w:pPr>
                            <w:bookmarkStart w:id="36" w:name="_Toc138075075"/>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8</w:t>
                            </w:r>
                            <w:r>
                              <w:rPr>
                                <w:b/>
                                <w:i w:val="0"/>
                                <w:color w:val="auto"/>
                                <w:sz w:val="22"/>
                                <w:szCs w:val="22"/>
                              </w:rPr>
                              <w:fldChar w:fldCharType="end"/>
                            </w:r>
                            <w:r>
                              <w:rPr>
                                <w:b/>
                                <w:i w:val="0"/>
                                <w:color w:val="auto"/>
                                <w:sz w:val="22"/>
                                <w:szCs w:val="22"/>
                              </w:rPr>
                              <w:t>:</w:t>
                            </w:r>
                            <w:r>
                              <w:rPr>
                                <w:i w:val="0"/>
                                <w:color w:val="auto"/>
                                <w:sz w:val="22"/>
                                <w:szCs w:val="22"/>
                              </w:rPr>
                              <w:t xml:space="preserve"> Plnění kumulovaných úspor energie dle čl. 7 směrnice</w:t>
                            </w:r>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15" o:spid="_x0000_s1032" type="#_x0000_t202" style="position:absolute;left:0;text-align:left;margin-left:0;margin-top:2.85pt;width:420pt;height:15pt;z-index:-251429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" stroked="f">
                <v:textbox inset="0,0,0,0">
                  <w:txbxContent>
                    <w:p>
                      <w:pPr>
                        <w:pStyle w:val="Titulek"/>
                        <w:rPr>
                          <w:i w:val="0"/>
                          <w:noProof/>
                          <w:color w:val="auto"/>
                          <w:sz w:val="22"/>
                          <w:szCs w:val="22"/>
                        </w:rPr>
                      </w:pPr>
                      <w:bookmarkStart w:id="43" w:name="_Toc138075075"/>
                      <w:r>
                        <w:rPr>
                          <w:b/>
                          <w:i w:val="0"/>
                          <w:color w:val="auto"/>
                          <w:sz w:val="22"/>
                          <w:szCs w:val="22"/>
                        </w:rPr>
                        <w:t xml:space="preserve">Graf č. </w:t>
                      </w:r>
                      <w:r>
                        <w:rPr>
                          <w:b/>
                          <w:i w:val="0"/>
                          <w:color w:val="auto"/>
                          <w:sz w:val="22"/>
                          <w:szCs w:val="22"/>
                        </w:rPr>
                        <w:fldChar w:fldCharType="begin"/>
                      </w:r>
                      <w:r>
                        <w:rPr>
                          <w:b/>
                          <w:i w:val="0"/>
                          <w:color w:val="auto"/>
                          <w:sz w:val="22"/>
                          <w:szCs w:val="22"/>
                        </w:rPr>
                        <w:instrText xml:space="preserve"> SEQ Graf \* ARABIC </w:instrText>
                      </w:r>
                      <w:r>
                        <w:rPr>
                          <w:b/>
                          <w:i w:val="0"/>
                          <w:color w:val="auto"/>
                          <w:sz w:val="22"/>
                          <w:szCs w:val="22"/>
                        </w:rPr>
                        <w:fldChar w:fldCharType="separate"/>
                      </w:r>
                      <w:r>
                        <w:rPr>
                          <w:b/>
                          <w:i w:val="0"/>
                          <w:noProof/>
                          <w:color w:val="auto"/>
                          <w:sz w:val="22"/>
                          <w:szCs w:val="22"/>
                        </w:rPr>
                        <w:t>8</w:t>
                      </w:r>
                      <w:r>
                        <w:rPr>
                          <w:b/>
                          <w:i w:val="0"/>
                          <w:color w:val="auto"/>
                          <w:sz w:val="22"/>
                          <w:szCs w:val="22"/>
                        </w:rPr>
                        <w:fldChar w:fldCharType="end"/>
                      </w:r>
                      <w:r>
                        <w:rPr>
                          <w:b/>
                          <w:i w:val="0"/>
                          <w:color w:val="auto"/>
                          <w:sz w:val="22"/>
                          <w:szCs w:val="22"/>
                        </w:rPr>
                        <w:t>:</w:t>
                      </w:r>
                      <w:r>
                        <w:rPr>
                          <w:i w:val="0"/>
                          <w:color w:val="auto"/>
                          <w:sz w:val="22"/>
                          <w:szCs w:val="22"/>
                        </w:rPr>
                        <w:t xml:space="preserve"> Plnění kumulovaných úspor energie dle čl. 7 směrnice</w:t>
                      </w:r>
                      <w:bookmarkEnd w:id="43"/>
                    </w:p>
                  </w:txbxContent>
                </v:textbox>
                <w10:wrap type="tight" anchorx="margin"/>
              </v:shape>
            </w:pict>
          </mc:Fallback>
        </mc:AlternateContent>
      </w:r>
    </w:p>
    <w:p>
      <w:pPr>
        <w:rPr>
          <w:szCs w:val="22"/>
        </w:rPr>
      </w:pPr>
      <w:r>
        <w:rPr>
          <w:noProof/>
          <w:szCs w:val="22"/>
        </w:rPr>
        <w:drawing>
          <wp:anchor distT="0" distB="0" distL="114300" distR="114300" simplePos="0" relativeHeight="251887616" behindDoc="1" locked="0" layoutInCell="1" allowOverlap="1">
            <wp:simplePos x="0" y="0"/>
            <wp:positionH relativeFrom="margin">
              <wp:posOffset>19050</wp:posOffset>
            </wp:positionH>
            <wp:positionV relativeFrom="paragraph">
              <wp:posOffset>6985</wp:posOffset>
            </wp:positionV>
            <wp:extent cx="5334635" cy="2755900"/>
            <wp:effectExtent l="0" t="0" r="0" b="6350"/>
            <wp:wrapTight wrapText="bothSides">
              <wp:wrapPolygon edited="0">
                <wp:start x="0" y="0"/>
                <wp:lineTo x="0" y="21500"/>
                <wp:lineTo x="21520" y="21500"/>
                <wp:lineTo x="2152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635" cy="2755900"/>
                    </a:xfrm>
                    <a:prstGeom prst="rect">
                      <a:avLst/>
                    </a:prstGeom>
                    <a:noFill/>
                  </pic:spPr>
                </pic:pic>
              </a:graphicData>
            </a:graphic>
            <wp14:sizeRelH relativeFrom="page">
              <wp14:pctWidth>0</wp14:pctWidth>
            </wp14:sizeRelH>
            <wp14:sizeRelV relativeFrom="page">
              <wp14:pctHeight>0</wp14:pctHeight>
            </wp14:sizeRelV>
          </wp:anchor>
        </w:drawing>
      </w:r>
    </w:p>
    <w:p>
      <w:pPr>
        <w:rPr>
          <w:szCs w:val="22"/>
        </w:rPr>
      </w:pPr>
    </w:p>
    <w:p>
      <w:pPr>
        <w:rPr>
          <w:szCs w:val="22"/>
        </w:rPr>
      </w:pPr>
    </w:p>
    <w:p>
      <w:pPr>
        <w:rPr>
          <w:szCs w:val="22"/>
        </w:rPr>
      </w:pPr>
    </w:p>
    <w:p>
      <w:pPr>
        <w:rPr>
          <w:szCs w:val="22"/>
        </w:rPr>
      </w:pPr>
    </w:p>
    <w:p>
      <w:pPr>
        <w:rPr>
          <w:szCs w:val="22"/>
        </w:rPr>
      </w:pPr>
    </w:p>
    <w:p>
      <w:pPr>
        <w:rPr>
          <w:b/>
          <w:szCs w:val="22"/>
        </w:rPr>
      </w:pPr>
    </w:p>
    <w:p>
      <w:pPr>
        <w:rPr>
          <w:b/>
        </w:rPr>
      </w:pPr>
      <w:r>
        <w:rPr>
          <w:b/>
          <w:szCs w:val="22"/>
        </w:rPr>
        <w:t xml:space="preserve">Z výše uvedených důvodů je klíčové na základě vyhodnocení plnění závazku rozhodnout o možnosti koncepční změny v přístupu k plnění závazku kumulovaných úspor energie dle </w:t>
      </w:r>
      <w:r>
        <w:rPr>
          <w:b/>
        </w:rPr>
        <w:t xml:space="preserve">čl. 7 směrnice 2012/27/EU pro období 2021-2030. Plnění lze učinit třemi způsoby: </w:t>
      </w:r>
    </w:p>
    <w:p>
      <w:pPr>
        <w:pStyle w:val="Odstavecseseznamem"/>
        <w:numPr>
          <w:ilvl w:val="0"/>
          <w:numId w:val="43"/>
        </w:numPr>
        <w:rPr>
          <w:b/>
          <w:szCs w:val="22"/>
        </w:rPr>
      </w:pPr>
      <w:r>
        <w:rPr>
          <w:b/>
        </w:rPr>
        <w:t xml:space="preserve">Alternativním způsobem, kde si stát vybírá opatření a nástroje kterými závazek plní a je za něj tak zodpovědný – například přísnějšími legislativními požadavky atd. </w:t>
      </w:r>
    </w:p>
    <w:p>
      <w:pPr>
        <w:pStyle w:val="Odstavecseseznamem"/>
        <w:numPr>
          <w:ilvl w:val="0"/>
          <w:numId w:val="43"/>
        </w:numPr>
        <w:rPr>
          <w:b/>
          <w:szCs w:val="22"/>
        </w:rPr>
      </w:pPr>
      <w:r>
        <w:rPr>
          <w:b/>
        </w:rPr>
        <w:t xml:space="preserve">Povinným schématem, kde zodpovědnost přesune na směrnicí definované povinné strany. </w:t>
      </w:r>
    </w:p>
    <w:p>
      <w:pPr>
        <w:pStyle w:val="Odstavecseseznamem"/>
        <w:numPr>
          <w:ilvl w:val="0"/>
          <w:numId w:val="43"/>
        </w:numPr>
        <w:rPr>
          <w:b/>
          <w:szCs w:val="22"/>
        </w:rPr>
      </w:pPr>
      <w:r>
        <w:rPr>
          <w:b/>
        </w:rPr>
        <w:t xml:space="preserve">Kombinací obou zmíněných přístupů. </w:t>
      </w:r>
    </w:p>
    <w:p>
      <w:pPr>
        <w:pStyle w:val="Nadpis3"/>
        <w:rPr>
          <w:color w:val="004B8D" w:themeColor="accent2"/>
        </w:rPr>
      </w:pPr>
      <w:bookmarkStart w:id="37" w:name="_Toc138078652"/>
      <w:r>
        <w:rPr>
          <w:color w:val="004B8D" w:themeColor="accent2"/>
        </w:rPr>
        <w:t>Revize směrnice o energetické účinnosti – povinné úspory energie</w:t>
      </w:r>
      <w:bookmarkEnd w:id="37"/>
    </w:p>
    <w:p>
      <w:pPr>
        <w:sectPr>
          <w:footerReference w:type="default" r:id="rId17"/>
          <w:pgSz w:w="11906" w:h="16838"/>
          <w:pgMar w:top="1134" w:right="1418" w:bottom="1276" w:left="1418" w:header="709" w:footer="709" w:gutter="0"/>
          <w:cols w:space="708"/>
        </w:sectPr>
      </w:pPr>
      <w:r>
        <w:t xml:space="preserve">Závazek doznal změn technického charakteru spolu se značným navýšením, které se pro ČR rovná 673 PJ kumulovaných úspor, tedy zhruba třetinový nárůst nynějšího závazku, který ČR výhledově neplní a v rámci navržených opatření ani dle predikcí nesplní. </w:t>
      </w:r>
    </w:p>
    <w:p>
      <w:pPr>
        <w:pStyle w:val="Titulek"/>
        <w:keepNext/>
        <w:rPr>
          <w:i w:val="0"/>
          <w:sz w:val="22"/>
          <w:szCs w:val="22"/>
        </w:rPr>
      </w:pPr>
      <w:bookmarkStart w:id="38" w:name="_Toc512583786"/>
      <w:bookmarkStart w:id="39" w:name="_Toc138073342"/>
      <w:r>
        <w:rPr>
          <w:b/>
          <w:i w:val="0"/>
          <w:color w:val="auto"/>
          <w:sz w:val="22"/>
          <w:szCs w:val="22"/>
        </w:rPr>
        <w:lastRenderedPageBreak/>
        <w:t xml:space="preserve">Tabulka č. </w:t>
      </w:r>
      <w:r>
        <w:rPr>
          <w:b/>
          <w:i w:val="0"/>
          <w:color w:val="auto"/>
          <w:sz w:val="22"/>
          <w:szCs w:val="22"/>
        </w:rPr>
        <w:fldChar w:fldCharType="begin"/>
      </w:r>
      <w:r>
        <w:rPr>
          <w:b/>
          <w:i w:val="0"/>
          <w:color w:val="auto"/>
          <w:sz w:val="22"/>
          <w:szCs w:val="22"/>
        </w:rPr>
        <w:instrText xml:space="preserve"> SEQ Tabulka \* ARABIC </w:instrText>
      </w:r>
      <w:r>
        <w:rPr>
          <w:b/>
          <w:i w:val="0"/>
          <w:color w:val="auto"/>
          <w:sz w:val="22"/>
          <w:szCs w:val="22"/>
        </w:rPr>
        <w:fldChar w:fldCharType="separate"/>
      </w:r>
      <w:r>
        <w:rPr>
          <w:b/>
          <w:i w:val="0"/>
          <w:noProof/>
          <w:color w:val="auto"/>
          <w:sz w:val="22"/>
          <w:szCs w:val="22"/>
        </w:rPr>
        <w:t>6</w:t>
      </w:r>
      <w:r>
        <w:rPr>
          <w:b/>
          <w:i w:val="0"/>
          <w:color w:val="auto"/>
          <w:sz w:val="22"/>
          <w:szCs w:val="22"/>
        </w:rPr>
        <w:fldChar w:fldCharType="end"/>
      </w:r>
      <w:r>
        <w:rPr>
          <w:b/>
          <w:i w:val="0"/>
          <w:color w:val="auto"/>
          <w:sz w:val="22"/>
          <w:szCs w:val="22"/>
        </w:rPr>
        <w:t xml:space="preserve"> </w:t>
      </w:r>
      <w:r>
        <w:rPr>
          <w:i w:val="0"/>
          <w:color w:val="auto"/>
          <w:sz w:val="22"/>
          <w:szCs w:val="22"/>
        </w:rPr>
        <w:t>Plnění závazku nových ročních úspor energie závazku (nové akce realizované v daném roce), 2021-2030</w:t>
      </w:r>
      <w:bookmarkEnd w:id="38"/>
      <w:r>
        <w:rPr>
          <w:rStyle w:val="Znakapoznpodarou"/>
          <w:i w:val="0"/>
          <w:color w:val="auto"/>
          <w:sz w:val="22"/>
        </w:rPr>
        <w:footnoteReference w:id="10"/>
      </w:r>
      <w:bookmarkEnd w:id="39"/>
    </w:p>
    <w:tbl>
      <w:tblPr>
        <w:tblW w:w="12895" w:type="dxa"/>
        <w:tblCellMar>
          <w:left w:w="70" w:type="dxa"/>
          <w:right w:w="70" w:type="dxa"/>
        </w:tblCellMar>
        <w:tblLook w:val="04A0" w:firstRow="1" w:lastRow="0" w:firstColumn="1" w:lastColumn="0" w:noHBand="0" w:noVBand="1"/>
      </w:tblPr>
      <w:tblGrid>
        <w:gridCol w:w="756"/>
        <w:gridCol w:w="7576"/>
        <w:gridCol w:w="1586"/>
        <w:gridCol w:w="1417"/>
        <w:gridCol w:w="1560"/>
      </w:tblGrid>
      <w:tr>
        <w:trPr>
          <w:trHeight w:val="300"/>
        </w:trPr>
        <w:tc>
          <w:tcPr>
            <w:tcW w:w="8332"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Opatření</w:t>
            </w:r>
          </w:p>
        </w:tc>
        <w:tc>
          <w:tcPr>
            <w:tcW w:w="1586" w:type="dxa"/>
            <w:tcBorders>
              <w:top w:val="single" w:sz="4" w:space="0" w:color="auto"/>
              <w:left w:val="nil"/>
              <w:bottom w:val="single" w:sz="4" w:space="0" w:color="auto"/>
              <w:right w:val="single" w:sz="4" w:space="0" w:color="auto"/>
            </w:tcBorders>
            <w:shd w:val="clear" w:color="000000" w:fill="D9D9D9"/>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2021 [TJ]</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2022 [TJ]</w:t>
            </w:r>
          </w:p>
        </w:tc>
        <w:tc>
          <w:tcPr>
            <w:tcW w:w="1560" w:type="dxa"/>
            <w:tcBorders>
              <w:top w:val="single" w:sz="4" w:space="0" w:color="auto"/>
              <w:left w:val="nil"/>
              <w:bottom w:val="single" w:sz="4" w:space="0" w:color="auto"/>
              <w:right w:val="single" w:sz="4" w:space="0" w:color="auto"/>
            </w:tcBorders>
            <w:shd w:val="clear" w:color="000000" w:fill="D9D9D9"/>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Celkem [TJ]</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1.1</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Regenerace panelových domů – Program PANEL, resp. NOVÝ PANEL (MMR) resp. Panel 2013+</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4,00</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1,68</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5,7</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1.4.</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Program Nová Zelená úsporám 2014–2020 (MŽP)</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1 024,15</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741,12</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1 765,3</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1.38</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Program "NZÚ-NPO" </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0,00</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2 898,22</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2 898,2</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1.6.</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Integrovaný regionální operační program (MMR) 2.5</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218,11</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309,51</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527,6</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1.9.</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Operační program Životní prostředí 2014–2020 (MŽP) (prioritní osa 2. – S.C. 2.1)</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249,76</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39,64</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289,4</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1.9.</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Operační program Životní prostředí 2014–2020 (MŽP) (prioritní osa 5 – SC 5.1)</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172,48</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98,07</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270,6</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1.11.</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Státní program na podporu úspor energie (EFEKT 2) (MPO)</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262,50</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0,00</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262,5</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Státní program na podporu úspor energie (EFEKT 3) (MPO)</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0,00</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198,60</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198,6</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1.12.</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 Praha Pól růstu – část budovy (hl. m.  Praha)</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2,66</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3,18</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5,8</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1.14.</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Operační program Podnikání a inovace pro konkurenceschopnost 2014–2020 (MPO)</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532,32</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1 059,67</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1 592,0</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1.15.</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Program ENERG (ČMZRB)</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0,09</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1,34</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1,4</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1.27.</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sz w:val="20"/>
              </w:rPr>
            </w:pPr>
            <w:r>
              <w:rPr>
                <w:rFonts w:ascii="Calibri" w:hAnsi="Calibri" w:cs="Calibri"/>
                <w:sz w:val="20"/>
              </w:rPr>
              <w:t>Integrovaný regionální operační program (MMR) - Veřejná doprava (IROP SC 1.2)</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55,02</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59,99</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115,0</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1.30.</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sz w:val="20"/>
              </w:rPr>
            </w:pPr>
            <w:r>
              <w:rPr>
                <w:rFonts w:ascii="Calibri" w:hAnsi="Calibri" w:cs="Calibri"/>
                <w:sz w:val="20"/>
              </w:rPr>
              <w:t>Program Čistá energie Praha</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14,50</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14,5</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1.31.</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sz w:val="20"/>
              </w:rPr>
            </w:pPr>
            <w:r>
              <w:rPr>
                <w:rFonts w:ascii="Calibri" w:hAnsi="Calibri" w:cs="Calibri"/>
                <w:sz w:val="20"/>
              </w:rPr>
              <w:t>Národní program Životní prostředí – osvětlení</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4,02</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4,46</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8,5</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1.18.</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sz w:val="20"/>
              </w:rPr>
            </w:pPr>
            <w:r>
              <w:rPr>
                <w:rFonts w:ascii="Calibri" w:hAnsi="Calibri" w:cs="Calibri"/>
                <w:sz w:val="20"/>
              </w:rPr>
              <w:t>Operační program Doprava (MD)</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0,31</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6,59</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6,9</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1.36.</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sz w:val="20"/>
              </w:rPr>
            </w:pPr>
            <w:r>
              <w:rPr>
                <w:rFonts w:ascii="Calibri" w:hAnsi="Calibri" w:cs="Calibri"/>
                <w:sz w:val="20"/>
              </w:rPr>
              <w:t>APES</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13,38</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17,06</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30,4</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1.28.</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sz w:val="20"/>
              </w:rPr>
            </w:pPr>
            <w:r>
              <w:rPr>
                <w:rFonts w:ascii="Calibri" w:hAnsi="Calibri" w:cs="Calibri"/>
                <w:sz w:val="20"/>
              </w:rPr>
              <w:t>Environmentální daň na pohonné hmoty</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1 491,80</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1 491,8</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1.29.</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sz w:val="20"/>
              </w:rPr>
            </w:pPr>
            <w:r>
              <w:rPr>
                <w:rFonts w:ascii="Calibri" w:hAnsi="Calibri" w:cs="Calibri"/>
                <w:sz w:val="20"/>
              </w:rPr>
              <w:t>Zákaz uvádění na trh pro kotle na pevná paliva 1. a 2. emisní třídy</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373,68</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373,7</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1.31.</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sz w:val="20"/>
              </w:rPr>
            </w:pPr>
            <w:r>
              <w:rPr>
                <w:rFonts w:ascii="Calibri" w:hAnsi="Calibri" w:cs="Calibri"/>
                <w:sz w:val="20"/>
              </w:rPr>
              <w:t xml:space="preserve">Národní program Životní prostředí – </w:t>
            </w:r>
            <w:proofErr w:type="spellStart"/>
            <w:r>
              <w:rPr>
                <w:rFonts w:ascii="Calibri" w:hAnsi="Calibri" w:cs="Calibri"/>
                <w:sz w:val="20"/>
              </w:rPr>
              <w:t>elektormobilita</w:t>
            </w:r>
            <w:proofErr w:type="spellEnd"/>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25,50</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25,5</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1.35.</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sz w:val="20"/>
              </w:rPr>
            </w:pPr>
            <w:r>
              <w:rPr>
                <w:rFonts w:ascii="Calibri" w:hAnsi="Calibri" w:cs="Calibri"/>
                <w:sz w:val="20"/>
              </w:rPr>
              <w:t>Energetické audity</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56,34</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96,26</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152,6</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1.37.</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Dobrovolné dohody</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691,31</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852,96</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sz w:val="20"/>
              </w:rPr>
            </w:pPr>
            <w:r>
              <w:rPr>
                <w:rFonts w:ascii="Calibri" w:hAnsi="Calibri" w:cs="Calibri"/>
                <w:b/>
                <w:bCs/>
                <w:sz w:val="20"/>
              </w:rPr>
              <w:t>1 544,3</w:t>
            </w:r>
          </w:p>
        </w:tc>
      </w:tr>
      <w:tr>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b/>
                <w:bCs/>
                <w:color w:val="000000"/>
                <w:sz w:val="20"/>
              </w:rPr>
            </w:pPr>
            <w:r>
              <w:rPr>
                <w:rFonts w:ascii="Calibri" w:hAnsi="Calibri" w:cs="Calibri"/>
                <w:b/>
                <w:bCs/>
                <w:color w:val="000000"/>
                <w:sz w:val="20"/>
              </w:rPr>
              <w:t>Celkem</w:t>
            </w:r>
          </w:p>
        </w:tc>
        <w:tc>
          <w:tcPr>
            <w:tcW w:w="75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b/>
                <w:bCs/>
                <w:color w:val="000000"/>
                <w:sz w:val="20"/>
              </w:rPr>
            </w:pPr>
            <w:r>
              <w:rPr>
                <w:rFonts w:ascii="Calibri" w:hAnsi="Calibri" w:cs="Calibri"/>
                <w:b/>
                <w:bCs/>
                <w:color w:val="000000"/>
                <w:sz w:val="20"/>
              </w:rPr>
              <w:t> </w:t>
            </w:r>
          </w:p>
        </w:tc>
        <w:tc>
          <w:tcPr>
            <w:tcW w:w="158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color w:val="000000"/>
                <w:sz w:val="20"/>
              </w:rPr>
            </w:pPr>
            <w:r>
              <w:rPr>
                <w:rFonts w:ascii="Calibri" w:hAnsi="Calibri" w:cs="Calibri"/>
                <w:b/>
                <w:bCs/>
                <w:color w:val="000000"/>
                <w:sz w:val="20"/>
              </w:rPr>
              <w:t>5 191,93</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color w:val="000000"/>
                <w:sz w:val="20"/>
              </w:rPr>
            </w:pPr>
            <w:r>
              <w:rPr>
                <w:rFonts w:ascii="Calibri" w:hAnsi="Calibri" w:cs="Calibri"/>
                <w:b/>
                <w:bCs/>
                <w:color w:val="000000"/>
                <w:sz w:val="20"/>
              </w:rPr>
              <w:t>6 388,34</w:t>
            </w:r>
          </w:p>
        </w:tc>
        <w:tc>
          <w:tcPr>
            <w:tcW w:w="156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b/>
                <w:bCs/>
                <w:color w:val="000000"/>
                <w:sz w:val="20"/>
              </w:rPr>
            </w:pPr>
            <w:r>
              <w:rPr>
                <w:rFonts w:ascii="Calibri" w:hAnsi="Calibri" w:cs="Calibri"/>
                <w:b/>
                <w:bCs/>
                <w:color w:val="000000"/>
                <w:sz w:val="20"/>
              </w:rPr>
              <w:t>11 580,3</w:t>
            </w:r>
          </w:p>
        </w:tc>
      </w:tr>
    </w:tbl>
    <w:p>
      <w:pPr>
        <w:spacing w:after="0" w:line="240" w:lineRule="auto"/>
        <w:rPr>
          <w:sz w:val="20"/>
        </w:rPr>
      </w:pPr>
      <w:r>
        <w:rPr>
          <w:sz w:val="20"/>
        </w:rPr>
        <w:t>* Údaje za rok 2022 ještě nejsou k dispozici.</w:t>
      </w:r>
    </w:p>
    <w:p>
      <w:pPr>
        <w:overflowPunct/>
        <w:autoSpaceDE/>
        <w:autoSpaceDN/>
        <w:adjustRightInd/>
        <w:spacing w:after="200" w:line="276" w:lineRule="auto"/>
        <w:jc w:val="left"/>
        <w:textAlignment w:val="auto"/>
        <w:rPr>
          <w:bCs/>
          <w:sz w:val="20"/>
        </w:rPr>
        <w:sectPr>
          <w:footerReference w:type="default" r:id="rId18"/>
          <w:pgSz w:w="16838" w:h="11906" w:orient="landscape"/>
          <w:pgMar w:top="1418" w:right="1134" w:bottom="1418" w:left="1276" w:header="709" w:footer="709" w:gutter="0"/>
          <w:cols w:space="708"/>
          <w:docGrid w:linePitch="299"/>
        </w:sectPr>
      </w:pPr>
      <w:r>
        <w:rPr>
          <w:bCs/>
          <w:sz w:val="20"/>
        </w:rPr>
        <w:t>** Program je ukončen</w:t>
      </w:r>
    </w:p>
    <w:p>
      <w:pPr>
        <w:pStyle w:val="Nadpis1"/>
      </w:pPr>
      <w:bookmarkStart w:id="40" w:name="_Toc138078653"/>
      <w:r>
        <w:rPr>
          <w:rFonts w:eastAsiaTheme="minorHAnsi"/>
          <w:lang w:eastAsia="en-US"/>
        </w:rPr>
        <w:lastRenderedPageBreak/>
        <w:t>5. Implementace nástrojů pro plnění cílů směrnice o energetické účinnosti v roce 2022</w:t>
      </w:r>
      <w:bookmarkEnd w:id="40"/>
    </w:p>
    <w:p>
      <w:pPr>
        <w:rPr>
          <w:rFonts w:eastAsiaTheme="minorHAnsi"/>
          <w:lang w:eastAsia="en-US"/>
        </w:rPr>
      </w:pPr>
      <w:r>
        <w:rPr>
          <w:rFonts w:eastAsiaTheme="minorHAnsi"/>
          <w:lang w:eastAsia="en-US"/>
        </w:rPr>
        <w:t xml:space="preserve">Plná transpozice směrnice 2012/27/EU byla provedena již v roce 2015 v rámci novely třech legislativních předpisů. Jednalo se o novely zákona č. 458/2000 Sb., o podmínkách podnikání a o výkonu státní správy v energetických odvětvích, ve znění pozdějších předpisů, zákona č. 406/2000 Sb., o hospodaření energií, ve znění pozdějších předpisů (dále jen „zákon č. 406/2000 Sb.“) a zákona č. 165/2012 Sb., o podporovaných zdrojích, ve znění pozdějších předpisů. </w:t>
      </w:r>
    </w:p>
    <w:p>
      <w:pPr>
        <w:rPr>
          <w:rFonts w:eastAsiaTheme="minorHAnsi"/>
          <w:lang w:eastAsia="en-US"/>
        </w:rPr>
      </w:pPr>
      <w:r>
        <w:rPr>
          <w:rFonts w:eastAsiaTheme="minorHAnsi"/>
          <w:b/>
          <w:bCs/>
          <w:lang w:eastAsia="en-US"/>
        </w:rPr>
        <w:t xml:space="preserve">V roce 2022 nedošlo k přijetí nových legislativních opatření na podporu zavádění energeticky úsporných opatření, </w:t>
      </w:r>
      <w:r>
        <w:rPr>
          <w:rFonts w:eastAsiaTheme="minorHAnsi"/>
          <w:lang w:eastAsia="en-US"/>
        </w:rPr>
        <w:t xml:space="preserve">avšak </w:t>
      </w:r>
      <w:r>
        <w:rPr>
          <w:rFonts w:eastAsiaTheme="minorHAnsi"/>
          <w:b/>
          <w:bCs/>
          <w:lang w:eastAsia="en-US"/>
        </w:rPr>
        <w:t xml:space="preserve">proběhla aktualizace právní úpravy a přijetí nových právních předpisů </w:t>
      </w:r>
      <w:r>
        <w:rPr>
          <w:rFonts w:eastAsiaTheme="minorHAnsi"/>
          <w:lang w:eastAsia="en-US"/>
        </w:rPr>
        <w:t>upravujících oblast zvyšování energetické účinnosti s cílem zefektivnit stávající nástroje</w:t>
      </w:r>
      <w:r>
        <w:rPr>
          <w:rFonts w:eastAsiaTheme="minorHAnsi"/>
          <w:b/>
          <w:bCs/>
          <w:lang w:eastAsia="en-US"/>
        </w:rPr>
        <w:t xml:space="preserve">. </w:t>
      </w:r>
    </w:p>
    <w:p>
      <w:pPr>
        <w:pStyle w:val="Odstavecseseznamem"/>
        <w:numPr>
          <w:ilvl w:val="0"/>
          <w:numId w:val="41"/>
        </w:numPr>
        <w:rPr>
          <w:rFonts w:eastAsiaTheme="minorHAnsi"/>
          <w:lang w:eastAsia="en-US"/>
        </w:rPr>
      </w:pPr>
      <w:r>
        <w:rPr>
          <w:rFonts w:eastAsiaTheme="minorHAnsi"/>
          <w:lang w:eastAsia="en-US"/>
        </w:rPr>
        <w:t xml:space="preserve">Vyhláška č. 15/2022 Sb., o energetickém posudku a o údajích vedených v Systému monitoringu spotřeby energie, ve znění vyhlášky č. 141/2021 Sb. </w:t>
      </w:r>
    </w:p>
    <w:p>
      <w:pPr>
        <w:pStyle w:val="Odstavecseseznamem"/>
        <w:numPr>
          <w:ilvl w:val="0"/>
          <w:numId w:val="41"/>
        </w:numPr>
        <w:rPr>
          <w:rFonts w:eastAsiaTheme="minorHAnsi"/>
          <w:lang w:eastAsia="en-US"/>
        </w:rPr>
      </w:pPr>
      <w:r>
        <w:rPr>
          <w:rFonts w:eastAsiaTheme="minorHAnsi"/>
          <w:lang w:eastAsia="en-US"/>
        </w:rPr>
        <w:t>Vyhláška č. 38/2022 Sb., o kontrole provozovaného systému vytápění a kombinovaného systému vytápění a větrání, ve znění vyhlášky 194/2013 Sb.</w:t>
      </w:r>
    </w:p>
    <w:p>
      <w:pPr>
        <w:pStyle w:val="Odstavecseseznamem"/>
        <w:numPr>
          <w:ilvl w:val="0"/>
          <w:numId w:val="41"/>
        </w:numPr>
        <w:rPr>
          <w:rFonts w:eastAsiaTheme="minorHAnsi"/>
          <w:lang w:eastAsia="en-US"/>
        </w:rPr>
      </w:pPr>
      <w:r>
        <w:rPr>
          <w:rFonts w:eastAsiaTheme="minorHAnsi"/>
          <w:lang w:eastAsia="en-US"/>
        </w:rPr>
        <w:t xml:space="preserve">Vyhláška č. 284/2022 Sb., </w:t>
      </w:r>
      <w:r>
        <w:rPr>
          <w:shd w:val="clear" w:color="auto" w:fill="FFFFFF"/>
        </w:rPr>
        <w:t>o kontrole provozovaného systému klimatizace a kombinovaného systému klimatizace a větrání,</w:t>
      </w:r>
      <w:r>
        <w:rPr>
          <w:rFonts w:eastAsiaTheme="minorHAnsi"/>
          <w:lang w:eastAsia="en-US"/>
        </w:rPr>
        <w:t xml:space="preserve"> ve znění vyhlášky 193/2013 Sb.</w:t>
      </w:r>
    </w:p>
    <w:p>
      <w:pPr>
        <w:rPr>
          <w:rFonts w:eastAsiaTheme="minorHAnsi"/>
          <w:lang w:eastAsia="en-US"/>
        </w:rPr>
      </w:pPr>
      <w:r>
        <w:rPr>
          <w:rFonts w:eastAsiaTheme="minorHAnsi"/>
          <w:lang w:eastAsia="en-US"/>
        </w:rPr>
        <w:t>Dne 1. února 2022 nabyla účinnosti vyhláška o energetickém posudku a o údajích vedených v Systému monitoringu spotřeby energie, která upravila podrobnosti energetického posudku pro projekty financované z programů podpory s ohledem na začátek nového programového období a nových programů podpory. Dále byly nově stanovené doporučená opatření pro snížení energetické náročnosti budovy při větší změně dokončené budovy, způsob stanovení vnitřního výnosového procenta projektu s nárokem na podporu podle zákona o podporovaných zdrojích energie a financovaného z programů podpory ze státních nebo evropských finančních prostředků nebo z prostředků z prodeje povolenek na emise skleníkových plynů a specifikaci postupu při posouzení ekonomické přijatelnosti využití tepla ze soustavy zásobování tepelnou energií nebo zdroje energie, který není stacionárním zdrojem.</w:t>
      </w:r>
    </w:p>
    <w:p>
      <w:pPr>
        <w:rPr>
          <w:rFonts w:eastAsiaTheme="minorHAnsi"/>
          <w:lang w:eastAsia="en-US"/>
        </w:rPr>
      </w:pPr>
      <w:r>
        <w:rPr>
          <w:rFonts w:eastAsiaTheme="minorHAnsi"/>
          <w:lang w:eastAsia="en-US"/>
        </w:rPr>
        <w:t>Dne 1. března 2022 nabyla účinnosti vyhláška o kontrole provozovaného systému vytápění a kombinovaného systému vytápění a větrání, která zjednodušuje zprávu o provedené kontrole systému vytápění a činí ji nástrojem vedoucím k implementaci energeticky úsporných opatření, zajišťuje efektivní provoz systémů vytápění za účelem snížení provozních nákladů a zefektivnění pravidelné kontroly systémů vytápění.</w:t>
      </w:r>
    </w:p>
    <w:p>
      <w:pPr>
        <w:rPr>
          <w:rFonts w:eastAsiaTheme="minorHAnsi"/>
          <w:lang w:eastAsia="en-US"/>
        </w:rPr>
      </w:pPr>
      <w:r>
        <w:rPr>
          <w:rFonts w:eastAsiaTheme="minorHAnsi"/>
          <w:lang w:eastAsia="en-US"/>
        </w:rPr>
        <w:t>Dne 15. října 2022 nabyla účinnosti vyhláška o</w:t>
      </w:r>
      <w:r>
        <w:t> </w:t>
      </w:r>
      <w:r>
        <w:rPr>
          <w:rFonts w:eastAsiaTheme="minorHAnsi"/>
          <w:lang w:eastAsia="en-US"/>
        </w:rPr>
        <w:t>kontrole provozovaného systému klimatizace a kombinovaného systému klimatizace a větrání, která změnila požadavky u pravidelných kontrol systémů klimatizace</w:t>
      </w:r>
    </w:p>
    <w:p>
      <w:pPr>
        <w:spacing w:after="240"/>
        <w:rPr>
          <w:bCs/>
        </w:rPr>
      </w:pPr>
      <w:r>
        <w:rPr>
          <w:bCs/>
        </w:rPr>
        <w:t>Dále se v roce 2022 začalo pracovat na několika nových předpisech:</w:t>
      </w:r>
    </w:p>
    <w:p>
      <w:pPr>
        <w:pStyle w:val="Odstavecseseznamem"/>
        <w:numPr>
          <w:ilvl w:val="0"/>
          <w:numId w:val="42"/>
        </w:numPr>
        <w:spacing w:after="240"/>
        <w:rPr>
          <w:bCs/>
        </w:rPr>
      </w:pPr>
      <w:r>
        <w:rPr>
          <w:bCs/>
        </w:rPr>
        <w:t>Vyhláška, kterou se mění vyhláška č. 4/2020 Sb., o energetických specialistech</w:t>
      </w:r>
    </w:p>
    <w:p>
      <w:pPr>
        <w:pStyle w:val="Odstavecseseznamem"/>
        <w:numPr>
          <w:ilvl w:val="0"/>
          <w:numId w:val="42"/>
        </w:numPr>
        <w:spacing w:after="240"/>
        <w:rPr>
          <w:bCs/>
        </w:rPr>
      </w:pPr>
      <w:r>
        <w:rPr>
          <w:bCs/>
        </w:rPr>
        <w:t>Novela zákona č. 406/2000 Sb., o hospodaření energií</w:t>
      </w:r>
    </w:p>
    <w:p>
      <w:pPr>
        <w:overflowPunct/>
        <w:autoSpaceDE/>
        <w:autoSpaceDN/>
        <w:adjustRightInd/>
        <w:spacing w:after="200" w:line="276" w:lineRule="auto"/>
        <w:jc w:val="left"/>
        <w:textAlignment w:val="auto"/>
        <w:sectPr>
          <w:pgSz w:w="11906" w:h="16838"/>
          <w:pgMar w:top="1134" w:right="1418" w:bottom="1276" w:left="1418" w:header="709" w:footer="709" w:gutter="0"/>
          <w:cols w:space="708"/>
          <w:docGrid w:linePitch="299"/>
        </w:sectPr>
      </w:pPr>
    </w:p>
    <w:p>
      <w:pPr>
        <w:pStyle w:val="Nadpis1"/>
      </w:pPr>
      <w:bookmarkStart w:id="41" w:name="_Toc138078654"/>
      <w:r>
        <w:lastRenderedPageBreak/>
        <w:t>Příloha č. 1 Seznam realizovaných úsporných opatření ústředních institucí v roce 2022</w:t>
      </w:r>
      <w:bookmarkEnd w:id="41"/>
    </w:p>
    <w:tbl>
      <w:tblPr>
        <w:tblW w:w="13462" w:type="dxa"/>
        <w:tblCellMar>
          <w:left w:w="70" w:type="dxa"/>
          <w:right w:w="70" w:type="dxa"/>
        </w:tblCellMar>
        <w:tblLook w:val="04A0" w:firstRow="1" w:lastRow="0" w:firstColumn="1" w:lastColumn="0" w:noHBand="0" w:noVBand="1"/>
      </w:tblPr>
      <w:tblGrid>
        <w:gridCol w:w="2020"/>
        <w:gridCol w:w="4040"/>
        <w:gridCol w:w="3433"/>
        <w:gridCol w:w="1417"/>
        <w:gridCol w:w="1276"/>
        <w:gridCol w:w="1276"/>
      </w:tblGrid>
      <w:tr>
        <w:trPr>
          <w:trHeight w:val="1020"/>
        </w:trPr>
        <w:tc>
          <w:tcPr>
            <w:tcW w:w="20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Organizace</w:t>
            </w:r>
          </w:p>
        </w:tc>
        <w:tc>
          <w:tcPr>
            <w:tcW w:w="4040" w:type="dxa"/>
            <w:tcBorders>
              <w:top w:val="single" w:sz="4" w:space="0" w:color="auto"/>
              <w:left w:val="nil"/>
              <w:bottom w:val="single" w:sz="4" w:space="0" w:color="auto"/>
              <w:right w:val="single" w:sz="4"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Název projektu</w:t>
            </w:r>
          </w:p>
        </w:tc>
        <w:tc>
          <w:tcPr>
            <w:tcW w:w="3433" w:type="dxa"/>
            <w:tcBorders>
              <w:top w:val="single" w:sz="4" w:space="0" w:color="auto"/>
              <w:left w:val="nil"/>
              <w:bottom w:val="single" w:sz="4" w:space="0" w:color="auto"/>
              <w:right w:val="single" w:sz="4"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Dotační titul</w:t>
            </w:r>
          </w:p>
        </w:tc>
        <w:tc>
          <w:tcPr>
            <w:tcW w:w="1417" w:type="dxa"/>
            <w:tcBorders>
              <w:top w:val="single" w:sz="4" w:space="0" w:color="auto"/>
              <w:left w:val="nil"/>
              <w:bottom w:val="single" w:sz="4" w:space="0" w:color="auto"/>
              <w:right w:val="single" w:sz="4"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Termín realizace projektu</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Roční úspora [</w:t>
            </w:r>
            <w:proofErr w:type="spellStart"/>
            <w:r>
              <w:rPr>
                <w:rFonts w:ascii="Calibri" w:hAnsi="Calibri" w:cs="Calibri"/>
                <w:b/>
                <w:bCs/>
                <w:color w:val="000000"/>
                <w:sz w:val="20"/>
              </w:rPr>
              <w:t>MWh</w:t>
            </w:r>
            <w:proofErr w:type="spellEnd"/>
            <w:r>
              <w:rPr>
                <w:rFonts w:ascii="Calibri" w:hAnsi="Calibri" w:cs="Calibri"/>
                <w:b/>
                <w:bCs/>
                <w:color w:val="000000"/>
                <w:sz w:val="20"/>
              </w:rPr>
              <w:t>]</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Investiční náklady projektu [Kč]</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Česká národní banka</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9,7</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112 627</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Česká národní banka</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3,3</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69 448</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Česká národní banka</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88 000</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Česká národní banka</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1,5</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260 210</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Česká národní banka</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11,2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422 254</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Česká národní banka</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583 700</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Česká národní banka</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3,6</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441 408</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Oprava Bojleru</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9,72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600 670</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Oprava klimatizace</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0,1</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39 233</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Oprava Klimatizace</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0,7</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32 352</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Oprava systému </w:t>
            </w:r>
            <w:proofErr w:type="spellStart"/>
            <w:r>
              <w:rPr>
                <w:rFonts w:ascii="Calibri" w:hAnsi="Calibri" w:cs="Calibri"/>
                <w:color w:val="000000"/>
                <w:sz w:val="20"/>
              </w:rPr>
              <w:t>MaR</w:t>
            </w:r>
            <w:proofErr w:type="spellEnd"/>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10,8</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8 059</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Oprava venkovního osvětlení</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6,5</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22 990</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519 090</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687</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519 090</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Přestavba ubytovny</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19,4</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15 461 849</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Rekonstrukce </w:t>
            </w:r>
            <w:proofErr w:type="spellStart"/>
            <w:r>
              <w:rPr>
                <w:rFonts w:ascii="Calibri" w:hAnsi="Calibri" w:cs="Calibri"/>
                <w:color w:val="000000"/>
                <w:sz w:val="20"/>
              </w:rPr>
              <w:t>MaR</w:t>
            </w:r>
            <w:proofErr w:type="spellEnd"/>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802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5 744 566</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1,08</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495 858</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Úprava objektu EED</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75</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10 706 365</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Zateplení objektu</w:t>
            </w:r>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Mimořádné investiční prostředky (pouze VS)</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328</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9 563 428</w:t>
            </w:r>
          </w:p>
        </w:tc>
      </w:tr>
      <w:tr>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4040"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Zdravotní </w:t>
            </w:r>
            <w:proofErr w:type="gramStart"/>
            <w:r>
              <w:rPr>
                <w:rFonts w:ascii="Calibri" w:hAnsi="Calibri" w:cs="Calibri"/>
                <w:color w:val="000000"/>
                <w:sz w:val="20"/>
              </w:rPr>
              <w:t>středisko  EED</w:t>
            </w:r>
            <w:proofErr w:type="gramEnd"/>
          </w:p>
        </w:tc>
        <w:tc>
          <w:tcPr>
            <w:tcW w:w="343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8,63</w:t>
            </w:r>
          </w:p>
        </w:tc>
        <w:tc>
          <w:tcPr>
            <w:tcW w:w="127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5 529 147</w:t>
            </w:r>
          </w:p>
        </w:tc>
      </w:tr>
    </w:tbl>
    <w:p>
      <w:pPr>
        <w:overflowPunct/>
        <w:autoSpaceDE/>
        <w:autoSpaceDN/>
        <w:adjustRightInd/>
        <w:spacing w:after="200" w:line="276" w:lineRule="auto"/>
        <w:textAlignment w:val="auto"/>
        <w:rPr>
          <w:bCs/>
        </w:rPr>
      </w:pPr>
      <w:r>
        <w:rPr>
          <w:bCs/>
        </w:rPr>
        <w:t>Pozn.1: Uvedené projekty a hodnoty byly ze Systému monitoringu spotřeby energie exportovány ke dni 4. 5. 2023.</w:t>
      </w:r>
      <w:r>
        <w:rPr>
          <w:b/>
          <w:color w:val="004B8D" w:themeColor="text2"/>
          <w:sz w:val="28"/>
          <w:szCs w:val="28"/>
        </w:rPr>
        <w:br w:type="page"/>
      </w:r>
    </w:p>
    <w:p>
      <w:pPr>
        <w:pStyle w:val="Nadpis1"/>
      </w:pPr>
      <w:bookmarkStart w:id="42" w:name="_Toc138078655"/>
      <w:r>
        <w:lastRenderedPageBreak/>
        <w:t>Příloha č. 2 Přehled plánovaných úsporných opatření ústředních institucí v letech 2023–2025</w:t>
      </w:r>
      <w:bookmarkEnd w:id="42"/>
    </w:p>
    <w:tbl>
      <w:tblPr>
        <w:tblW w:w="15026" w:type="dxa"/>
        <w:tblInd w:w="-5" w:type="dxa"/>
        <w:tblCellMar>
          <w:left w:w="70" w:type="dxa"/>
          <w:right w:w="70" w:type="dxa"/>
        </w:tblCellMar>
        <w:tblLook w:val="04A0" w:firstRow="1" w:lastRow="0" w:firstColumn="1" w:lastColumn="0" w:noHBand="0" w:noVBand="1"/>
      </w:tblPr>
      <w:tblGrid>
        <w:gridCol w:w="2694"/>
        <w:gridCol w:w="5103"/>
        <w:gridCol w:w="1842"/>
        <w:gridCol w:w="1418"/>
        <w:gridCol w:w="2126"/>
        <w:gridCol w:w="1843"/>
      </w:tblGrid>
      <w:tr>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Organizace</w:t>
            </w:r>
          </w:p>
        </w:tc>
        <w:tc>
          <w:tcPr>
            <w:tcW w:w="5103" w:type="dxa"/>
            <w:tcBorders>
              <w:top w:val="single" w:sz="4" w:space="0" w:color="auto"/>
              <w:left w:val="nil"/>
              <w:bottom w:val="single" w:sz="4" w:space="0" w:color="auto"/>
              <w:right w:val="single" w:sz="4"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Název projektu</w:t>
            </w:r>
          </w:p>
        </w:tc>
        <w:tc>
          <w:tcPr>
            <w:tcW w:w="1842" w:type="dxa"/>
            <w:tcBorders>
              <w:top w:val="single" w:sz="4" w:space="0" w:color="auto"/>
              <w:left w:val="nil"/>
              <w:bottom w:val="single" w:sz="4" w:space="0" w:color="auto"/>
              <w:right w:val="single" w:sz="4"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Dotační titul</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Termín realizace projektu</w:t>
            </w:r>
          </w:p>
        </w:tc>
        <w:tc>
          <w:tcPr>
            <w:tcW w:w="2126" w:type="dxa"/>
            <w:tcBorders>
              <w:top w:val="single" w:sz="4" w:space="0" w:color="auto"/>
              <w:left w:val="nil"/>
              <w:bottom w:val="single" w:sz="4" w:space="0" w:color="auto"/>
              <w:right w:val="single" w:sz="4"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Roční úspora [</w:t>
            </w:r>
            <w:proofErr w:type="spellStart"/>
            <w:r>
              <w:rPr>
                <w:rFonts w:ascii="Calibri" w:hAnsi="Calibri" w:cs="Calibri"/>
                <w:b/>
                <w:bCs/>
                <w:color w:val="000000"/>
                <w:sz w:val="20"/>
              </w:rPr>
              <w:t>MWh</w:t>
            </w:r>
            <w:proofErr w:type="spellEnd"/>
            <w:r>
              <w:rPr>
                <w:rFonts w:ascii="Calibri" w:hAnsi="Calibri" w:cs="Calibri"/>
                <w:b/>
                <w:bCs/>
                <w:color w:val="000000"/>
                <w:sz w:val="20"/>
              </w:rPr>
              <w:t>]</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pPr>
              <w:overflowPunct/>
              <w:autoSpaceDE/>
              <w:autoSpaceDN/>
              <w:adjustRightInd/>
              <w:spacing w:after="0" w:line="240" w:lineRule="auto"/>
              <w:jc w:val="center"/>
              <w:textAlignment w:val="auto"/>
              <w:rPr>
                <w:rFonts w:ascii="Calibri" w:hAnsi="Calibri" w:cs="Calibri"/>
                <w:b/>
                <w:bCs/>
                <w:color w:val="000000"/>
                <w:sz w:val="20"/>
              </w:rPr>
            </w:pPr>
            <w:r>
              <w:rPr>
                <w:rFonts w:ascii="Calibri" w:hAnsi="Calibri" w:cs="Calibri"/>
                <w:b/>
                <w:bCs/>
                <w:color w:val="000000"/>
                <w:sz w:val="20"/>
              </w:rPr>
              <w:t>Investiční náklady projektu [Kč]</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Česká národní banka</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osvětlení (využití LED zdrojů) v kancelářích objektu</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95,3</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20 550 140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Český statistický úřad</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Energeticky úsporný projekt renovace administrativní budovy Krajské správy ČSÚ v Brně</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106</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24 000 000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Český statistický úřad</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Energeticky úsporný projekt renovace administrativní budovy ústředí ČSÚ v Praze</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995</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230 000 000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Český úřad zeměměřický a katastrální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proofErr w:type="gramStart"/>
            <w:r>
              <w:rPr>
                <w:rFonts w:ascii="Calibri" w:hAnsi="Calibri" w:cs="Calibri"/>
                <w:color w:val="000000"/>
                <w:sz w:val="20"/>
              </w:rPr>
              <w:t>ČÚZK - Dodatečné</w:t>
            </w:r>
            <w:proofErr w:type="gramEnd"/>
            <w:r>
              <w:rPr>
                <w:rFonts w:ascii="Calibri" w:hAnsi="Calibri" w:cs="Calibri"/>
                <w:color w:val="000000"/>
                <w:sz w:val="20"/>
              </w:rPr>
              <w:t xml:space="preserve"> zateplení budovy a výměna oken</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195,86</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146 766 889</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Český úřad zeměměřický a katastrální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proofErr w:type="gramStart"/>
            <w:r>
              <w:rPr>
                <w:rFonts w:ascii="Calibri" w:hAnsi="Calibri" w:cs="Calibri"/>
                <w:color w:val="000000"/>
                <w:sz w:val="20"/>
              </w:rPr>
              <w:t>ČÚZK - Instalace</w:t>
            </w:r>
            <w:proofErr w:type="gramEnd"/>
            <w:r>
              <w:rPr>
                <w:rFonts w:ascii="Calibri" w:hAnsi="Calibri" w:cs="Calibri"/>
                <w:color w:val="000000"/>
                <w:sz w:val="20"/>
              </w:rPr>
              <w:t xml:space="preserve"> FVE na střechu objektu</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100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5 800 000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Český úřad zeměměřický a katastrální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proofErr w:type="gramStart"/>
            <w:r>
              <w:rPr>
                <w:rFonts w:ascii="Calibri" w:hAnsi="Calibri" w:cs="Calibri"/>
                <w:color w:val="000000"/>
                <w:sz w:val="20"/>
              </w:rPr>
              <w:t>ČÚZK - Rekonstrukce</w:t>
            </w:r>
            <w:proofErr w:type="gramEnd"/>
            <w:r>
              <w:rPr>
                <w:rFonts w:ascii="Calibri" w:hAnsi="Calibri" w:cs="Calibri"/>
                <w:color w:val="000000"/>
                <w:sz w:val="20"/>
              </w:rPr>
              <w:t xml:space="preserve"> chlazení</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184,64</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20 097 167</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Modernizace/optimalizace systému </w:t>
            </w:r>
            <w:proofErr w:type="spellStart"/>
            <w:r>
              <w:rPr>
                <w:rFonts w:ascii="Calibri" w:hAnsi="Calibri" w:cs="Calibri"/>
                <w:color w:val="000000"/>
                <w:sz w:val="20"/>
              </w:rPr>
              <w:t>MaR</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světelné soustavy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4 600 000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světelné soustavy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7 500 000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Optimalizace světelné soustavy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Výměna oken</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Výměna oken</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42 000 000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Výměna oken</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48 000 000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Výměna oken</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31 800 000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Modernizace/optimalizace systému </w:t>
            </w:r>
            <w:proofErr w:type="spellStart"/>
            <w:r>
              <w:rPr>
                <w:rFonts w:ascii="Calibri" w:hAnsi="Calibri" w:cs="Calibri"/>
                <w:color w:val="000000"/>
                <w:sz w:val="20"/>
              </w:rPr>
              <w:t>MaR</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Modernizace/optimalizace systému </w:t>
            </w:r>
            <w:proofErr w:type="spellStart"/>
            <w:r>
              <w:rPr>
                <w:rFonts w:ascii="Calibri" w:hAnsi="Calibri" w:cs="Calibri"/>
                <w:color w:val="000000"/>
                <w:sz w:val="20"/>
              </w:rPr>
              <w:t>MaR</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Modernizace/optimalizace systému </w:t>
            </w:r>
            <w:proofErr w:type="spellStart"/>
            <w:r>
              <w:rPr>
                <w:rFonts w:ascii="Calibri" w:hAnsi="Calibri" w:cs="Calibri"/>
                <w:color w:val="000000"/>
                <w:sz w:val="20"/>
              </w:rPr>
              <w:t>MaR</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Modernizace/</w:t>
            </w:r>
            <w:proofErr w:type="spellStart"/>
            <w:proofErr w:type="gramStart"/>
            <w:r>
              <w:rPr>
                <w:rFonts w:ascii="Calibri" w:hAnsi="Calibri" w:cs="Calibri"/>
                <w:color w:val="000000"/>
                <w:sz w:val="20"/>
              </w:rPr>
              <w:t>optimalizacetoptopného</w:t>
            </w:r>
            <w:proofErr w:type="spellEnd"/>
            <w:r>
              <w:rPr>
                <w:rFonts w:ascii="Calibri" w:hAnsi="Calibri" w:cs="Calibri"/>
                <w:color w:val="000000"/>
                <w:sz w:val="20"/>
              </w:rPr>
              <w:t xml:space="preserve">  systému</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8 200 000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Modernizace/</w:t>
            </w:r>
            <w:proofErr w:type="spellStart"/>
            <w:proofErr w:type="gramStart"/>
            <w:r>
              <w:rPr>
                <w:rFonts w:ascii="Calibri" w:hAnsi="Calibri" w:cs="Calibri"/>
                <w:color w:val="000000"/>
                <w:sz w:val="20"/>
              </w:rPr>
              <w:t>optimalizacetoptopného</w:t>
            </w:r>
            <w:proofErr w:type="spellEnd"/>
            <w:r>
              <w:rPr>
                <w:rFonts w:ascii="Calibri" w:hAnsi="Calibri" w:cs="Calibri"/>
                <w:color w:val="000000"/>
                <w:sz w:val="20"/>
              </w:rPr>
              <w:t xml:space="preserve">  systému</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11 800 000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financí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Modernizace/</w:t>
            </w:r>
            <w:proofErr w:type="spellStart"/>
            <w:proofErr w:type="gramStart"/>
            <w:r>
              <w:rPr>
                <w:rFonts w:ascii="Calibri" w:hAnsi="Calibri" w:cs="Calibri"/>
                <w:color w:val="000000"/>
                <w:sz w:val="20"/>
              </w:rPr>
              <w:t>optimalizacetoptopného</w:t>
            </w:r>
            <w:proofErr w:type="spellEnd"/>
            <w:r>
              <w:rPr>
                <w:rFonts w:ascii="Calibri" w:hAnsi="Calibri" w:cs="Calibri"/>
                <w:color w:val="000000"/>
                <w:sz w:val="20"/>
              </w:rPr>
              <w:t xml:space="preserve">  systému</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9 700 000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kultury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Rekonstrukce objektu s cílem snížení energetické náročnosti</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263</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kultury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Rekonstrukce objektu s cílem snížení energetické náročnosti</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407</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30 000 000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lastRenderedPageBreak/>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Administrativní budova A</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Vyškov kas. Dědice - </w:t>
            </w:r>
            <w:proofErr w:type="gramStart"/>
            <w:r>
              <w:rPr>
                <w:rFonts w:ascii="Calibri" w:hAnsi="Calibri" w:cs="Calibri"/>
                <w:color w:val="000000"/>
                <w:sz w:val="20"/>
              </w:rPr>
              <w:t>aula  č.</w:t>
            </w:r>
            <w:proofErr w:type="gramEnd"/>
            <w:r>
              <w:rPr>
                <w:rFonts w:ascii="Calibri" w:hAnsi="Calibri" w:cs="Calibri"/>
                <w:color w:val="000000"/>
                <w:sz w:val="20"/>
              </w:rPr>
              <w:t>259</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56 400 000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Vyškov </w:t>
            </w:r>
            <w:proofErr w:type="spellStart"/>
            <w:proofErr w:type="gramStart"/>
            <w:r>
              <w:rPr>
                <w:rFonts w:ascii="Calibri" w:hAnsi="Calibri" w:cs="Calibri"/>
                <w:color w:val="000000"/>
                <w:sz w:val="20"/>
              </w:rPr>
              <w:t>kas.Dědice</w:t>
            </w:r>
            <w:proofErr w:type="spellEnd"/>
            <w:proofErr w:type="gramEnd"/>
            <w:r>
              <w:rPr>
                <w:rFonts w:ascii="Calibri" w:hAnsi="Calibri" w:cs="Calibri"/>
                <w:color w:val="000000"/>
                <w:sz w:val="20"/>
              </w:rPr>
              <w:t xml:space="preserve"> - učebny 8/2 č.252</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61 000 000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UV955/2016/5Chocerady – Edukační centrum, budova 7 - rekonstrukce CZ.05.5.18/0.0/0.0/18_100/0008991</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298,2</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161 850 000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Vyškov zateplení budovy č.244</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90 000 000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UV955/2UV955/2016 Praha, Vaníčkova, vojenský objekt </w:t>
            </w:r>
            <w:proofErr w:type="gramStart"/>
            <w:r>
              <w:rPr>
                <w:rFonts w:ascii="Calibri" w:hAnsi="Calibri" w:cs="Calibri"/>
                <w:color w:val="000000"/>
                <w:sz w:val="20"/>
              </w:rPr>
              <w:t>Strahov - opatření</w:t>
            </w:r>
            <w:proofErr w:type="gramEnd"/>
            <w:r>
              <w:rPr>
                <w:rFonts w:ascii="Calibri" w:hAnsi="Calibri" w:cs="Calibri"/>
                <w:color w:val="000000"/>
                <w:sz w:val="20"/>
              </w:rPr>
              <w:t xml:space="preserve"> ke snížení energetické </w:t>
            </w:r>
            <w:proofErr w:type="spellStart"/>
            <w:r>
              <w:rPr>
                <w:rFonts w:ascii="Calibri" w:hAnsi="Calibri" w:cs="Calibri"/>
                <w:color w:val="000000"/>
                <w:sz w:val="20"/>
              </w:rPr>
              <w:t>náročn</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202,82</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30 603 000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Brno Kounicova 44 - rekonstrukce vnější části budovy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122 712 000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Administrativní budova č.1</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531</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893 949 362</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Hradec Králové, Nový areál Fakulty vojenského zdravotnictví UO, CZ.05.5.18/0.0/0.0/17_070/0006355</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655,24</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220 248 000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UV955/2016 Brno, Kasárna Šumavská, budova č. </w:t>
            </w:r>
            <w:proofErr w:type="gramStart"/>
            <w:r>
              <w:rPr>
                <w:rFonts w:ascii="Calibri" w:hAnsi="Calibri" w:cs="Calibri"/>
                <w:color w:val="000000"/>
                <w:sz w:val="20"/>
              </w:rPr>
              <w:t>3  CZ</w:t>
            </w:r>
            <w:proofErr w:type="gramEnd"/>
            <w:r>
              <w:rPr>
                <w:rFonts w:ascii="Calibri" w:hAnsi="Calibri" w:cs="Calibri"/>
                <w:color w:val="000000"/>
                <w:sz w:val="20"/>
              </w:rPr>
              <w:t>.05.5.18/0.0/0.0/18_100/0009244</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100,79</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38 617 126</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UV955/2016 Brno, Šumavská, budova č.5 CZ.05.5.18/0.0/0.0/18_100/00086598010</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304,8</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73 514 000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obrany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UV955/</w:t>
            </w:r>
            <w:proofErr w:type="gramStart"/>
            <w:r>
              <w:rPr>
                <w:rFonts w:ascii="Calibri" w:hAnsi="Calibri" w:cs="Calibri"/>
                <w:color w:val="000000"/>
                <w:sz w:val="20"/>
              </w:rPr>
              <w:t>2016Praha - budova</w:t>
            </w:r>
            <w:proofErr w:type="gramEnd"/>
            <w:r>
              <w:rPr>
                <w:rFonts w:ascii="Calibri" w:hAnsi="Calibri" w:cs="Calibri"/>
                <w:color w:val="000000"/>
                <w:sz w:val="20"/>
              </w:rPr>
              <w:t xml:space="preserve"> AHNM Sobotecká CZ.05.5.18/0.0/0.0/18_100/0008008</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41,84</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45 157 031</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práce a sociálních věcí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Snížení energetické náročnosti budovy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214</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10 000 000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práce a sociálních věcí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Snížení energetické náročnosti budovy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121</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15 000 000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práce a sociálních věcí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Snížení energetické náročnosti objektu </w:t>
            </w:r>
            <w:proofErr w:type="gramStart"/>
            <w:r>
              <w:rPr>
                <w:rFonts w:ascii="Calibri" w:hAnsi="Calibri" w:cs="Calibri"/>
                <w:color w:val="000000"/>
                <w:sz w:val="20"/>
              </w:rPr>
              <w:t>MPSV - Na</w:t>
            </w:r>
            <w:proofErr w:type="gramEnd"/>
            <w:r>
              <w:rPr>
                <w:rFonts w:ascii="Calibri" w:hAnsi="Calibri" w:cs="Calibri"/>
                <w:color w:val="000000"/>
                <w:sz w:val="20"/>
              </w:rPr>
              <w:t xml:space="preserve"> Poříčním právu 1, Praha 2</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11</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15 000 000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práce a sociálních věcí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Výměna výplní otvorů</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práce a sociálních věcí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Výměna výplní otvorů</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11</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7 000 000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průmyslu a obchodu</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Snížení energetické náročnosti budov MPO Gorazdova 24, Dittrichova 21</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403,7</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211 443 689</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školství, mládeže a tělovýchovy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Energetická opatření v areálu MŠMT</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1 128,05</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79 204 004</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zdravotnictví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Provedení energeticky úsporných opatření v budově Ministerstva zdravotnictví</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785</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87 325 256</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lastRenderedPageBreak/>
              <w:t>Ministerstvo zemědělství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Rekonstrukce elektroinstalace budovy </w:t>
            </w:r>
            <w:proofErr w:type="spellStart"/>
            <w:r>
              <w:rPr>
                <w:rFonts w:ascii="Calibri" w:hAnsi="Calibri" w:cs="Calibri"/>
                <w:color w:val="000000"/>
                <w:sz w:val="20"/>
              </w:rPr>
              <w:t>MZe</w:t>
            </w:r>
            <w:proofErr w:type="spellEnd"/>
            <w:r>
              <w:rPr>
                <w:rFonts w:ascii="Calibri" w:hAnsi="Calibri" w:cs="Calibri"/>
                <w:color w:val="000000"/>
                <w:sz w:val="20"/>
              </w:rPr>
              <w:t>, Pravdova 837/II, Jindřichův Hradec</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zemědělství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Rekonstrukce osvětlení</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zemědělství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Zateplení budov Nový Jičín, Husova 2003/13 a Divadelní 946/9 - snížení energetické náročnosti </w:t>
            </w:r>
            <w:proofErr w:type="spellStart"/>
            <w:r>
              <w:rPr>
                <w:rFonts w:ascii="Calibri" w:hAnsi="Calibri" w:cs="Calibri"/>
                <w:color w:val="000000"/>
                <w:sz w:val="20"/>
              </w:rPr>
              <w:t>admini</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157,6</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9 342 000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zemědělství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Kompletní oprava elektroinstalace</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3 425 000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zemědělství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Zateplení budovy MZE</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146</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6 327 000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zemědělství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Oprava elektroinstalace na budově Ministerstva zemědělství, Blanická 1 a 3</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120 000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zemědělství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Snížení energetické náročnosti budovy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517</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220 000 000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Ministerstvo zemědělství</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Rekonstrukce oken a balkonových dveří</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16,3</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1 350 000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Státní úřad inspekce práce</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OIP hl. m. </w:t>
            </w:r>
            <w:proofErr w:type="gramStart"/>
            <w:r>
              <w:rPr>
                <w:rFonts w:ascii="Calibri" w:hAnsi="Calibri" w:cs="Calibri"/>
                <w:color w:val="000000"/>
                <w:sz w:val="20"/>
              </w:rPr>
              <w:t>Praha - nástavba</w:t>
            </w:r>
            <w:proofErr w:type="gramEnd"/>
            <w:r>
              <w:rPr>
                <w:rFonts w:ascii="Calibri" w:hAnsi="Calibri" w:cs="Calibri"/>
                <w:color w:val="000000"/>
                <w:sz w:val="20"/>
              </w:rPr>
              <w:t xml:space="preserve"> budovy vč. zateplení střechy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8,53</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30 671 777</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Státní úřad inspekce práce</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OIP </w:t>
            </w:r>
            <w:proofErr w:type="gramStart"/>
            <w:r>
              <w:rPr>
                <w:rFonts w:ascii="Calibri" w:hAnsi="Calibri" w:cs="Calibri"/>
                <w:color w:val="000000"/>
                <w:sz w:val="20"/>
              </w:rPr>
              <w:t>Plzeň - rekonstrukce</w:t>
            </w:r>
            <w:proofErr w:type="gramEnd"/>
            <w:r>
              <w:rPr>
                <w:rFonts w:ascii="Calibri" w:hAnsi="Calibri" w:cs="Calibri"/>
                <w:color w:val="000000"/>
                <w:sz w:val="20"/>
              </w:rPr>
              <w:t xml:space="preserve"> budovy Karlovy Vary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37 481 105</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Státní úřad pro jadernou bezpečnost</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Rekonstrukce zdroje tepla</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Státní úřad pro jadernou bezpečnost</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Výměna oken</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8 800 000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pro zastupování státu ve věcech majetkových</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Modernizace </w:t>
            </w:r>
            <w:proofErr w:type="gramStart"/>
            <w:r>
              <w:rPr>
                <w:rFonts w:ascii="Calibri" w:hAnsi="Calibri" w:cs="Calibri"/>
                <w:color w:val="000000"/>
                <w:sz w:val="20"/>
              </w:rPr>
              <w:t>kotelny- tepelné</w:t>
            </w:r>
            <w:proofErr w:type="gramEnd"/>
            <w:r>
              <w:rPr>
                <w:rFonts w:ascii="Calibri" w:hAnsi="Calibri" w:cs="Calibri"/>
                <w:color w:val="000000"/>
                <w:sz w:val="20"/>
              </w:rPr>
              <w:t xml:space="preserve"> čerpadlo s kondenzačním kotlem OD AKCE UPUŠTĚNO</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87</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1 770 000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pro zastupování státu ve věcech majetkových</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OP </w:t>
            </w:r>
            <w:proofErr w:type="gramStart"/>
            <w:r>
              <w:rPr>
                <w:rFonts w:ascii="Calibri" w:hAnsi="Calibri" w:cs="Calibri"/>
                <w:color w:val="000000"/>
                <w:sz w:val="20"/>
              </w:rPr>
              <w:t>Kolín - rekonstrukce</w:t>
            </w:r>
            <w:proofErr w:type="gramEnd"/>
            <w:r>
              <w:rPr>
                <w:rFonts w:ascii="Calibri" w:hAnsi="Calibri" w:cs="Calibri"/>
                <w:color w:val="000000"/>
                <w:sz w:val="20"/>
              </w:rPr>
              <w:t xml:space="preserve"> opláštění</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80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3 280 000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pro zastupování státu ve věcech majetkových</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zateplení obvodového pláště</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7</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1 500 000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pro zastupování státu ve věcech majetkových</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Kolín Karlovo nám. 44</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2025</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14</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1 200 000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pro zastupování státu ve věcech majetkových</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zateplení budovy bloku A </w:t>
            </w:r>
            <w:proofErr w:type="spellStart"/>
            <w:r>
              <w:rPr>
                <w:rFonts w:ascii="Calibri" w:hAnsi="Calibri" w:cs="Calibri"/>
                <w:color w:val="000000"/>
                <w:sz w:val="20"/>
              </w:rPr>
              <w:t>a</w:t>
            </w:r>
            <w:proofErr w:type="spellEnd"/>
            <w:r>
              <w:rPr>
                <w:rFonts w:ascii="Calibri" w:hAnsi="Calibri" w:cs="Calibri"/>
                <w:color w:val="000000"/>
                <w:sz w:val="20"/>
              </w:rPr>
              <w:t xml:space="preserve"> B, včetně střechy Jihlava Tolstého</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186</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34 000 000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pro zastupování státu ve věcech majetkových</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Stavební úpravy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261,6</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166 000 000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pro zastupování státu ve věcech majetkových</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Rekonstrukce tepelného pláště Rakovník na Sekyře</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42</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18 500 000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pro zastupování státu ve věcech majetkových</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Zateplení části střechy, výměna střešní krytiny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40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18 000 000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vlády České republiky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xml:space="preserve">Modernizace kotelny a VZT včetně </w:t>
            </w:r>
            <w:proofErr w:type="spellStart"/>
            <w:r>
              <w:rPr>
                <w:rFonts w:ascii="Calibri" w:hAnsi="Calibri" w:cs="Calibri"/>
                <w:color w:val="000000"/>
                <w:sz w:val="20"/>
              </w:rPr>
              <w:t>MaR</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2024</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26 300 000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lastRenderedPageBreak/>
              <w:t>Úřad vlády České republiky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Modernizace elektrické kotelny.</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210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26 002 900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vlády České republiky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Výměna 2 ks atmosférických plynových zařízení</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90 000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Úřad vlády České republiky</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Zateplení stropů pod půdou</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321</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13 403 782</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Energeticky úsporný projekt "EPC"</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 Mimořádné investiční prostředky (pouze VS)</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2 075,00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127 380 000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Energeticky úsporný projekt "EPC"</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 Mimořádné investiční prostředky (pouze VS)</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1 422,78</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56 200 000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Energeticky úsporný projekt "EPC"</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 Mimořádné investiční prostředky (pouze VS)</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3 045,56</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124 630 000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Energeticky úsporný projekt "EPC"</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 Mimořádné investiční prostředky (pouze VS)</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2 699,40</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52 560 000</w:t>
            </w:r>
          </w:p>
        </w:tc>
      </w:tr>
      <w:tr>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Vězeňská služba ČR</w:t>
            </w:r>
          </w:p>
        </w:tc>
        <w:tc>
          <w:tcPr>
            <w:tcW w:w="510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proofErr w:type="spellStart"/>
            <w:r>
              <w:rPr>
                <w:rFonts w:ascii="Calibri" w:hAnsi="Calibri" w:cs="Calibri"/>
                <w:color w:val="000000"/>
                <w:sz w:val="20"/>
              </w:rPr>
              <w:t>Enegeticky</w:t>
            </w:r>
            <w:proofErr w:type="spellEnd"/>
            <w:r>
              <w:rPr>
                <w:rFonts w:ascii="Calibri" w:hAnsi="Calibri" w:cs="Calibri"/>
                <w:color w:val="000000"/>
                <w:sz w:val="20"/>
              </w:rPr>
              <w:t xml:space="preserve"> úsporný projekt "EPC"</w:t>
            </w:r>
          </w:p>
        </w:tc>
        <w:tc>
          <w:tcPr>
            <w:tcW w:w="1842"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left"/>
              <w:textAlignment w:val="auto"/>
              <w:rPr>
                <w:rFonts w:ascii="Calibri" w:hAnsi="Calibri" w:cs="Calibri"/>
                <w:color w:val="000000"/>
                <w:sz w:val="20"/>
              </w:rPr>
            </w:pPr>
            <w:r>
              <w:rPr>
                <w:rFonts w:ascii="Calibri" w:hAnsi="Calibri" w:cs="Calibri"/>
                <w:color w:val="000000"/>
                <w:sz w:val="20"/>
              </w:rPr>
              <w:t>OPŽP + NZÚ, Mimořádné investiční prostředky (pouze VS)</w:t>
            </w:r>
          </w:p>
        </w:tc>
        <w:tc>
          <w:tcPr>
            <w:tcW w:w="1418"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2023</w:t>
            </w:r>
          </w:p>
        </w:tc>
        <w:tc>
          <w:tcPr>
            <w:tcW w:w="2126"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2 549,72</w:t>
            </w:r>
          </w:p>
        </w:tc>
        <w:tc>
          <w:tcPr>
            <w:tcW w:w="1843" w:type="dxa"/>
            <w:tcBorders>
              <w:top w:val="nil"/>
              <w:left w:val="nil"/>
              <w:bottom w:val="single" w:sz="4" w:space="0" w:color="auto"/>
              <w:right w:val="single" w:sz="4" w:space="0" w:color="auto"/>
            </w:tcBorders>
            <w:shd w:val="clear" w:color="auto" w:fill="auto"/>
            <w:noWrap/>
            <w:vAlign w:val="bottom"/>
            <w:hideMark/>
          </w:tcPr>
          <w:p>
            <w:pPr>
              <w:overflowPunct/>
              <w:autoSpaceDE/>
              <w:autoSpaceDN/>
              <w:adjustRightInd/>
              <w:spacing w:after="0" w:line="240" w:lineRule="auto"/>
              <w:jc w:val="right"/>
              <w:textAlignment w:val="auto"/>
              <w:rPr>
                <w:rFonts w:ascii="Calibri" w:hAnsi="Calibri" w:cs="Calibri"/>
                <w:color w:val="000000"/>
                <w:sz w:val="20"/>
              </w:rPr>
            </w:pPr>
            <w:r>
              <w:rPr>
                <w:rFonts w:ascii="Calibri" w:hAnsi="Calibri" w:cs="Calibri"/>
                <w:color w:val="000000"/>
                <w:sz w:val="20"/>
              </w:rPr>
              <w:t>176 000 000</w:t>
            </w:r>
          </w:p>
        </w:tc>
      </w:tr>
    </w:tbl>
    <w:p>
      <w:pPr>
        <w:overflowPunct/>
        <w:autoSpaceDE/>
        <w:autoSpaceDN/>
        <w:adjustRightInd/>
        <w:spacing w:after="200" w:line="276" w:lineRule="auto"/>
        <w:jc w:val="left"/>
        <w:textAlignment w:val="auto"/>
        <w:rPr>
          <w:bCs/>
        </w:rPr>
      </w:pPr>
    </w:p>
    <w:p>
      <w:pPr>
        <w:overflowPunct/>
        <w:autoSpaceDE/>
        <w:autoSpaceDN/>
        <w:adjustRightInd/>
        <w:spacing w:after="200" w:line="276" w:lineRule="auto"/>
        <w:textAlignment w:val="auto"/>
        <w:rPr>
          <w:bCs/>
        </w:rPr>
      </w:pPr>
      <w:r>
        <w:rPr>
          <w:bCs/>
        </w:rPr>
        <w:t>Pozn.1: V přehledu nejsou uvedeny projekty na objektech nespadajících pod čl. 5 směrnice 2012/27/EU a projekty, které prozatím nejsou vedeny ani v investičních plánech jednotlivých institucí. Uvedené projekty byly ze Systému monitoringu spotřeby energie exportovány ke dni 5. 4. 2023.</w:t>
      </w:r>
    </w:p>
    <w:p>
      <w:pPr>
        <w:spacing w:before="240" w:after="240"/>
        <w:rPr>
          <w:bCs/>
        </w:rPr>
        <w:sectPr>
          <w:pgSz w:w="16838" w:h="11906" w:orient="landscape"/>
          <w:pgMar w:top="1418" w:right="1134" w:bottom="1418" w:left="1276" w:header="709" w:footer="709" w:gutter="0"/>
          <w:cols w:space="708"/>
          <w:docGrid w:linePitch="299"/>
        </w:sectPr>
      </w:pPr>
      <w:r>
        <w:rPr>
          <w:bCs/>
        </w:rPr>
        <w:t>Pozn.2: U některých projektů je výše úspory či výše investičních nákladů vyčíslena jako 0 nebo 1. Jedná se však o dočasnou pomůcku, než budou známa výsledná čísla, protože Systém monitoringu spotřeby energie neumožňuje zadat projekt bez udání těchto číselných údajů.</w:t>
      </w:r>
    </w:p>
    <w:p>
      <w:pPr>
        <w:pStyle w:val="Nadpis1"/>
      </w:pPr>
      <w:bookmarkStart w:id="43" w:name="_Toc138078656"/>
      <w:r>
        <w:lastRenderedPageBreak/>
        <w:t>Seznam tabulek</w:t>
      </w:r>
      <w:bookmarkEnd w:id="43"/>
    </w:p>
    <w:p>
      <w:pPr>
        <w:pStyle w:val="Seznamobrzk"/>
        <w:tabs>
          <w:tab w:val="right" w:leader="dot" w:pos="14418"/>
        </w:tabs>
        <w:rPr>
          <w:rFonts w:eastAsiaTheme="minorEastAsia" w:cstheme="minorBidi"/>
          <w:noProof/>
          <w:szCs w:val="22"/>
        </w:rPr>
      </w:pPr>
      <w:r>
        <w:fldChar w:fldCharType="begin"/>
      </w:r>
      <w:r>
        <w:instrText xml:space="preserve"> TOC \h \z \c "Tabulka" </w:instrText>
      </w:r>
      <w:r>
        <w:fldChar w:fldCharType="separate"/>
      </w:r>
      <w:hyperlink w:anchor="_Toc138073337" w:history="1">
        <w:r>
          <w:rPr>
            <w:rStyle w:val="Hypertextovodkaz"/>
            <w:b/>
            <w:noProof/>
          </w:rPr>
          <w:t>Tabulka č. 1:</w:t>
        </w:r>
        <w:r>
          <w:rPr>
            <w:rStyle w:val="Hypertextovodkaz"/>
            <w:noProof/>
          </w:rPr>
          <w:t xml:space="preserve"> Statistické údaje ČR</w:t>
        </w:r>
        <w:r>
          <w:rPr>
            <w:noProof/>
            <w:webHidden/>
          </w:rPr>
          <w:tab/>
        </w:r>
        <w:r>
          <w:rPr>
            <w:noProof/>
            <w:webHidden/>
          </w:rPr>
          <w:fldChar w:fldCharType="begin"/>
        </w:r>
        <w:r>
          <w:rPr>
            <w:noProof/>
            <w:webHidden/>
          </w:rPr>
          <w:instrText xml:space="preserve"> PAGEREF _Toc138073337 \h </w:instrText>
        </w:r>
        <w:r>
          <w:rPr>
            <w:noProof/>
            <w:webHidden/>
          </w:rPr>
        </w:r>
        <w:r>
          <w:rPr>
            <w:noProof/>
            <w:webHidden/>
          </w:rPr>
          <w:fldChar w:fldCharType="separate"/>
        </w:r>
        <w:r>
          <w:rPr>
            <w:noProof/>
            <w:webHidden/>
          </w:rPr>
          <w:t>4</w:t>
        </w:r>
        <w:r>
          <w:rPr>
            <w:noProof/>
            <w:webHidden/>
          </w:rPr>
          <w:fldChar w:fldCharType="end"/>
        </w:r>
      </w:hyperlink>
    </w:p>
    <w:p>
      <w:pPr>
        <w:pStyle w:val="Seznamobrzk"/>
        <w:tabs>
          <w:tab w:val="right" w:leader="dot" w:pos="14418"/>
        </w:tabs>
        <w:rPr>
          <w:rFonts w:eastAsiaTheme="minorEastAsia" w:cstheme="minorBidi"/>
          <w:noProof/>
          <w:szCs w:val="22"/>
        </w:rPr>
      </w:pPr>
      <w:hyperlink w:anchor="_Toc138073338" w:history="1">
        <w:r>
          <w:rPr>
            <w:rStyle w:val="Hypertextovodkaz"/>
            <w:b/>
            <w:noProof/>
          </w:rPr>
          <w:t xml:space="preserve">Tabulka č. 2: </w:t>
        </w:r>
        <w:r>
          <w:rPr>
            <w:rStyle w:val="Hypertextovodkaz"/>
            <w:noProof/>
          </w:rPr>
          <w:t>Ústřední instituce zahrnuté do plnění čl. 5 směrnice k 5.4. 2023</w:t>
        </w:r>
        <w:r>
          <w:rPr>
            <w:noProof/>
            <w:webHidden/>
          </w:rPr>
          <w:tab/>
        </w:r>
        <w:r>
          <w:rPr>
            <w:noProof/>
            <w:webHidden/>
          </w:rPr>
          <w:fldChar w:fldCharType="begin"/>
        </w:r>
        <w:r>
          <w:rPr>
            <w:noProof/>
            <w:webHidden/>
          </w:rPr>
          <w:instrText xml:space="preserve"> PAGEREF _Toc138073338 \h </w:instrText>
        </w:r>
        <w:r>
          <w:rPr>
            <w:noProof/>
            <w:webHidden/>
          </w:rPr>
        </w:r>
        <w:r>
          <w:rPr>
            <w:noProof/>
            <w:webHidden/>
          </w:rPr>
          <w:fldChar w:fldCharType="separate"/>
        </w:r>
        <w:r>
          <w:rPr>
            <w:noProof/>
            <w:webHidden/>
          </w:rPr>
          <w:t>10</w:t>
        </w:r>
        <w:r>
          <w:rPr>
            <w:noProof/>
            <w:webHidden/>
          </w:rPr>
          <w:fldChar w:fldCharType="end"/>
        </w:r>
      </w:hyperlink>
    </w:p>
    <w:p>
      <w:pPr>
        <w:pStyle w:val="Seznamobrzk"/>
        <w:tabs>
          <w:tab w:val="right" w:leader="dot" w:pos="14418"/>
        </w:tabs>
        <w:rPr>
          <w:rFonts w:eastAsiaTheme="minorEastAsia" w:cstheme="minorBidi"/>
          <w:noProof/>
          <w:szCs w:val="22"/>
        </w:rPr>
      </w:pPr>
      <w:hyperlink w:anchor="_Toc138073339" w:history="1">
        <w:r>
          <w:rPr>
            <w:rStyle w:val="Hypertextovodkaz"/>
            <w:b/>
            <w:noProof/>
          </w:rPr>
          <w:t>Tabulka č. 3:</w:t>
        </w:r>
        <w:r>
          <w:rPr>
            <w:rStyle w:val="Hypertextovodkaz"/>
            <w:noProof/>
          </w:rPr>
          <w:t xml:space="preserve"> Stav fondu budov povinných institucí čl. 5 směrnice 2012/27/EU za rok 2022</w:t>
        </w:r>
        <w:r>
          <w:rPr>
            <w:noProof/>
            <w:webHidden/>
          </w:rPr>
          <w:tab/>
        </w:r>
        <w:r>
          <w:rPr>
            <w:noProof/>
            <w:webHidden/>
          </w:rPr>
          <w:fldChar w:fldCharType="begin"/>
        </w:r>
        <w:r>
          <w:rPr>
            <w:noProof/>
            <w:webHidden/>
          </w:rPr>
          <w:instrText xml:space="preserve"> PAGEREF _Toc138073339 \h </w:instrText>
        </w:r>
        <w:r>
          <w:rPr>
            <w:noProof/>
            <w:webHidden/>
          </w:rPr>
        </w:r>
        <w:r>
          <w:rPr>
            <w:noProof/>
            <w:webHidden/>
          </w:rPr>
          <w:fldChar w:fldCharType="separate"/>
        </w:r>
        <w:r>
          <w:rPr>
            <w:noProof/>
            <w:webHidden/>
          </w:rPr>
          <w:t>11</w:t>
        </w:r>
        <w:r>
          <w:rPr>
            <w:noProof/>
            <w:webHidden/>
          </w:rPr>
          <w:fldChar w:fldCharType="end"/>
        </w:r>
      </w:hyperlink>
    </w:p>
    <w:p>
      <w:pPr>
        <w:pStyle w:val="Seznamobrzk"/>
        <w:tabs>
          <w:tab w:val="right" w:leader="dot" w:pos="14418"/>
        </w:tabs>
        <w:rPr>
          <w:rFonts w:eastAsiaTheme="minorEastAsia" w:cstheme="minorBidi"/>
          <w:noProof/>
          <w:szCs w:val="22"/>
        </w:rPr>
      </w:pPr>
      <w:hyperlink w:anchor="_Toc138073340" w:history="1">
        <w:r>
          <w:rPr>
            <w:rStyle w:val="Hypertextovodkaz"/>
            <w:b/>
            <w:noProof/>
          </w:rPr>
          <w:t>Tabulka č. 4:</w:t>
        </w:r>
        <w:r>
          <w:rPr>
            <w:rStyle w:val="Hypertextovodkaz"/>
            <w:noProof/>
          </w:rPr>
          <w:t xml:space="preserve"> Přehled ročních úspor podle čl. 5 směrnice za rok 2022</w:t>
        </w:r>
        <w:r>
          <w:rPr>
            <w:noProof/>
            <w:webHidden/>
          </w:rPr>
          <w:tab/>
        </w:r>
        <w:r>
          <w:rPr>
            <w:noProof/>
            <w:webHidden/>
          </w:rPr>
          <w:fldChar w:fldCharType="begin"/>
        </w:r>
        <w:r>
          <w:rPr>
            <w:noProof/>
            <w:webHidden/>
          </w:rPr>
          <w:instrText xml:space="preserve"> PAGEREF _Toc138073340 \h </w:instrText>
        </w:r>
        <w:r>
          <w:rPr>
            <w:noProof/>
            <w:webHidden/>
          </w:rPr>
        </w:r>
        <w:r>
          <w:rPr>
            <w:noProof/>
            <w:webHidden/>
          </w:rPr>
          <w:fldChar w:fldCharType="separate"/>
        </w:r>
        <w:r>
          <w:rPr>
            <w:noProof/>
            <w:webHidden/>
          </w:rPr>
          <w:t>12</w:t>
        </w:r>
        <w:r>
          <w:rPr>
            <w:noProof/>
            <w:webHidden/>
          </w:rPr>
          <w:fldChar w:fldCharType="end"/>
        </w:r>
      </w:hyperlink>
    </w:p>
    <w:p>
      <w:pPr>
        <w:pStyle w:val="Seznamobrzk"/>
        <w:tabs>
          <w:tab w:val="right" w:leader="dot" w:pos="14418"/>
        </w:tabs>
        <w:rPr>
          <w:rFonts w:eastAsiaTheme="minorEastAsia" w:cstheme="minorBidi"/>
          <w:noProof/>
          <w:szCs w:val="22"/>
        </w:rPr>
      </w:pPr>
      <w:hyperlink w:anchor="_Toc138073341" w:history="1">
        <w:r>
          <w:rPr>
            <w:rStyle w:val="Hypertextovodkaz"/>
            <w:b/>
            <w:noProof/>
          </w:rPr>
          <w:t>Tabulka č. 5</w:t>
        </w:r>
        <w:r>
          <w:rPr>
            <w:rStyle w:val="Hypertextovodkaz"/>
            <w:noProof/>
          </w:rPr>
          <w:t>: Přehled plánovaných projektů na období 2022–2025</w:t>
        </w:r>
        <w:r>
          <w:rPr>
            <w:noProof/>
            <w:webHidden/>
          </w:rPr>
          <w:tab/>
        </w:r>
        <w:r>
          <w:rPr>
            <w:noProof/>
            <w:webHidden/>
          </w:rPr>
          <w:fldChar w:fldCharType="begin"/>
        </w:r>
        <w:r>
          <w:rPr>
            <w:noProof/>
            <w:webHidden/>
          </w:rPr>
          <w:instrText xml:space="preserve"> PAGEREF _Toc138073341 \h </w:instrText>
        </w:r>
        <w:r>
          <w:rPr>
            <w:noProof/>
            <w:webHidden/>
          </w:rPr>
        </w:r>
        <w:r>
          <w:rPr>
            <w:noProof/>
            <w:webHidden/>
          </w:rPr>
          <w:fldChar w:fldCharType="separate"/>
        </w:r>
        <w:r>
          <w:rPr>
            <w:noProof/>
            <w:webHidden/>
          </w:rPr>
          <w:t>12</w:t>
        </w:r>
        <w:r>
          <w:rPr>
            <w:noProof/>
            <w:webHidden/>
          </w:rPr>
          <w:fldChar w:fldCharType="end"/>
        </w:r>
      </w:hyperlink>
    </w:p>
    <w:p>
      <w:pPr>
        <w:pStyle w:val="Seznamobrzk"/>
        <w:tabs>
          <w:tab w:val="right" w:leader="dot" w:pos="14418"/>
        </w:tabs>
        <w:rPr>
          <w:rFonts w:eastAsiaTheme="minorEastAsia" w:cstheme="minorBidi"/>
          <w:noProof/>
          <w:szCs w:val="22"/>
        </w:rPr>
      </w:pPr>
      <w:hyperlink w:anchor="_Toc138073342" w:history="1">
        <w:r>
          <w:rPr>
            <w:rStyle w:val="Hypertextovodkaz"/>
            <w:b/>
            <w:noProof/>
          </w:rPr>
          <w:t>Tabulka č. 6</w:t>
        </w:r>
        <w:r>
          <w:rPr>
            <w:rStyle w:val="Hypertextovodkaz"/>
            <w:noProof/>
          </w:rPr>
          <w:t>: Plnění závazku nových ročních úspor energie závazku (nové akce realizované v daném roce), 2021-2030</w:t>
        </w:r>
        <w:r>
          <w:rPr>
            <w:noProof/>
            <w:webHidden/>
          </w:rPr>
          <w:tab/>
        </w:r>
        <w:r>
          <w:rPr>
            <w:noProof/>
            <w:webHidden/>
          </w:rPr>
          <w:fldChar w:fldCharType="begin"/>
        </w:r>
        <w:r>
          <w:rPr>
            <w:noProof/>
            <w:webHidden/>
          </w:rPr>
          <w:instrText xml:space="preserve"> PAGEREF _Toc138073342 \h </w:instrText>
        </w:r>
        <w:r>
          <w:rPr>
            <w:noProof/>
            <w:webHidden/>
          </w:rPr>
        </w:r>
        <w:r>
          <w:rPr>
            <w:noProof/>
            <w:webHidden/>
          </w:rPr>
          <w:fldChar w:fldCharType="separate"/>
        </w:r>
        <w:r>
          <w:rPr>
            <w:noProof/>
            <w:webHidden/>
          </w:rPr>
          <w:t>14</w:t>
        </w:r>
        <w:r>
          <w:rPr>
            <w:noProof/>
            <w:webHidden/>
          </w:rPr>
          <w:fldChar w:fldCharType="end"/>
        </w:r>
      </w:hyperlink>
    </w:p>
    <w:p>
      <w:r>
        <w:fldChar w:fldCharType="end"/>
      </w:r>
    </w:p>
    <w:p>
      <w:pPr>
        <w:overflowPunct/>
        <w:autoSpaceDE/>
        <w:autoSpaceDN/>
        <w:adjustRightInd/>
        <w:spacing w:after="200" w:line="276" w:lineRule="auto"/>
        <w:jc w:val="left"/>
        <w:textAlignment w:val="auto"/>
      </w:pPr>
      <w:r>
        <w:br w:type="page"/>
      </w:r>
    </w:p>
    <w:p>
      <w:pPr>
        <w:pStyle w:val="Nadpis1"/>
      </w:pPr>
      <w:bookmarkStart w:id="44" w:name="_Toc138078657"/>
      <w:r>
        <w:lastRenderedPageBreak/>
        <w:t>Seznam grafů</w:t>
      </w:r>
      <w:bookmarkEnd w:id="44"/>
    </w:p>
    <w:p>
      <w:pPr>
        <w:pStyle w:val="Seznamobrzk"/>
        <w:tabs>
          <w:tab w:val="right" w:leader="dot" w:pos="9060"/>
        </w:tabs>
        <w:rPr>
          <w:rFonts w:eastAsiaTheme="minorEastAsia" w:cstheme="minorBidi"/>
          <w:noProof/>
          <w:szCs w:val="22"/>
        </w:rPr>
      </w:pPr>
      <w:r>
        <w:fldChar w:fldCharType="begin"/>
      </w:r>
      <w:r>
        <w:instrText xml:space="preserve"> TOC \h \z \c "Graf" </w:instrText>
      </w:r>
      <w:r>
        <w:fldChar w:fldCharType="separate"/>
      </w:r>
      <w:hyperlink r:id="rId19" w:anchor="_Toc138075068" w:history="1">
        <w:r>
          <w:rPr>
            <w:rStyle w:val="Hypertextovodkaz"/>
            <w:b/>
            <w:noProof/>
          </w:rPr>
          <w:t>Graf č. 1</w:t>
        </w:r>
        <w:r>
          <w:rPr>
            <w:rStyle w:val="Hypertextovodkaz"/>
            <w:noProof/>
          </w:rPr>
          <w:t>: Vývoj konečné spotřeby energie, 2014-2021</w:t>
        </w:r>
        <w:r>
          <w:rPr>
            <w:noProof/>
            <w:webHidden/>
          </w:rPr>
          <w:tab/>
        </w:r>
        <w:r>
          <w:rPr>
            <w:noProof/>
            <w:webHidden/>
          </w:rPr>
          <w:fldChar w:fldCharType="begin"/>
        </w:r>
        <w:r>
          <w:rPr>
            <w:noProof/>
            <w:webHidden/>
          </w:rPr>
          <w:instrText xml:space="preserve"> PAGEREF _Toc138075068 \h </w:instrText>
        </w:r>
        <w:r>
          <w:rPr>
            <w:noProof/>
            <w:webHidden/>
          </w:rPr>
        </w:r>
        <w:r>
          <w:rPr>
            <w:noProof/>
            <w:webHidden/>
          </w:rPr>
          <w:fldChar w:fldCharType="separate"/>
        </w:r>
        <w:r>
          <w:rPr>
            <w:noProof/>
            <w:webHidden/>
          </w:rPr>
          <w:t>5</w:t>
        </w:r>
        <w:r>
          <w:rPr>
            <w:noProof/>
            <w:webHidden/>
          </w:rPr>
          <w:fldChar w:fldCharType="end"/>
        </w:r>
      </w:hyperlink>
    </w:p>
    <w:p>
      <w:pPr>
        <w:pStyle w:val="Seznamobrzk"/>
        <w:tabs>
          <w:tab w:val="right" w:leader="dot" w:pos="9060"/>
        </w:tabs>
        <w:rPr>
          <w:rFonts w:eastAsiaTheme="minorEastAsia" w:cstheme="minorBidi"/>
          <w:noProof/>
          <w:szCs w:val="22"/>
        </w:rPr>
      </w:pPr>
      <w:hyperlink w:anchor="_Toc138075069" w:history="1">
        <w:r>
          <w:rPr>
            <w:rStyle w:val="Hypertextovodkaz"/>
            <w:b/>
            <w:noProof/>
          </w:rPr>
          <w:t>Graf č. 2</w:t>
        </w:r>
        <w:r>
          <w:rPr>
            <w:rStyle w:val="Hypertextovodkaz"/>
            <w:noProof/>
          </w:rPr>
          <w:t>: Vývoj energetické náročnosti ČR, 2014–2021</w:t>
        </w:r>
        <w:r>
          <w:rPr>
            <w:noProof/>
            <w:webHidden/>
          </w:rPr>
          <w:tab/>
        </w:r>
        <w:r>
          <w:rPr>
            <w:noProof/>
            <w:webHidden/>
          </w:rPr>
          <w:fldChar w:fldCharType="begin"/>
        </w:r>
        <w:r>
          <w:rPr>
            <w:noProof/>
            <w:webHidden/>
          </w:rPr>
          <w:instrText xml:space="preserve"> PAGEREF _Toc138075069 \h </w:instrText>
        </w:r>
        <w:r>
          <w:rPr>
            <w:noProof/>
            <w:webHidden/>
          </w:rPr>
        </w:r>
        <w:r>
          <w:rPr>
            <w:noProof/>
            <w:webHidden/>
          </w:rPr>
          <w:fldChar w:fldCharType="separate"/>
        </w:r>
        <w:r>
          <w:rPr>
            <w:noProof/>
            <w:webHidden/>
          </w:rPr>
          <w:t>6</w:t>
        </w:r>
        <w:r>
          <w:rPr>
            <w:noProof/>
            <w:webHidden/>
          </w:rPr>
          <w:fldChar w:fldCharType="end"/>
        </w:r>
      </w:hyperlink>
    </w:p>
    <w:p>
      <w:pPr>
        <w:pStyle w:val="Seznamobrzk"/>
        <w:tabs>
          <w:tab w:val="right" w:leader="dot" w:pos="9060"/>
        </w:tabs>
        <w:rPr>
          <w:rFonts w:eastAsiaTheme="minorEastAsia" w:cstheme="minorBidi"/>
          <w:noProof/>
          <w:szCs w:val="22"/>
        </w:rPr>
      </w:pPr>
      <w:hyperlink r:id="rId20" w:anchor="_Toc138075070" w:history="1">
        <w:r>
          <w:rPr>
            <w:rStyle w:val="Hypertextovodkaz"/>
            <w:b/>
            <w:noProof/>
          </w:rPr>
          <w:t>Graf č. 3:</w:t>
        </w:r>
        <w:r>
          <w:rPr>
            <w:rStyle w:val="Hypertextovodkaz"/>
            <w:noProof/>
          </w:rPr>
          <w:t xml:space="preserve"> Konečná spotřeba energie na domácnost, 2014-2021</w:t>
        </w:r>
        <w:r>
          <w:rPr>
            <w:noProof/>
            <w:webHidden/>
          </w:rPr>
          <w:tab/>
        </w:r>
        <w:r>
          <w:rPr>
            <w:noProof/>
            <w:webHidden/>
          </w:rPr>
          <w:fldChar w:fldCharType="begin"/>
        </w:r>
        <w:r>
          <w:rPr>
            <w:noProof/>
            <w:webHidden/>
          </w:rPr>
          <w:instrText xml:space="preserve"> PAGEREF _Toc138075070 \h </w:instrText>
        </w:r>
        <w:r>
          <w:rPr>
            <w:noProof/>
            <w:webHidden/>
          </w:rPr>
        </w:r>
        <w:r>
          <w:rPr>
            <w:noProof/>
            <w:webHidden/>
          </w:rPr>
          <w:fldChar w:fldCharType="separate"/>
        </w:r>
        <w:r>
          <w:rPr>
            <w:noProof/>
            <w:webHidden/>
          </w:rPr>
          <w:t>7</w:t>
        </w:r>
        <w:r>
          <w:rPr>
            <w:noProof/>
            <w:webHidden/>
          </w:rPr>
          <w:fldChar w:fldCharType="end"/>
        </w:r>
      </w:hyperlink>
    </w:p>
    <w:p>
      <w:pPr>
        <w:pStyle w:val="Seznamobrzk"/>
        <w:tabs>
          <w:tab w:val="right" w:leader="dot" w:pos="9060"/>
        </w:tabs>
        <w:rPr>
          <w:rFonts w:eastAsiaTheme="minorEastAsia" w:cstheme="minorBidi"/>
          <w:noProof/>
          <w:szCs w:val="22"/>
        </w:rPr>
      </w:pPr>
      <w:hyperlink r:id="rId21" w:anchor="_Toc138075071" w:history="1">
        <w:r>
          <w:rPr>
            <w:rStyle w:val="Hypertextovodkaz"/>
            <w:b/>
            <w:noProof/>
          </w:rPr>
          <w:t>Graf č. 4</w:t>
        </w:r>
        <w:r>
          <w:rPr>
            <w:rStyle w:val="Hypertextovodkaz"/>
            <w:noProof/>
          </w:rPr>
          <w:t>: Spotřeba energie v sektoru dopravy na jeden automobil, 2014-2021</w:t>
        </w:r>
        <w:r>
          <w:rPr>
            <w:noProof/>
            <w:webHidden/>
          </w:rPr>
          <w:tab/>
        </w:r>
        <w:r>
          <w:rPr>
            <w:noProof/>
            <w:webHidden/>
          </w:rPr>
          <w:fldChar w:fldCharType="begin"/>
        </w:r>
        <w:r>
          <w:rPr>
            <w:noProof/>
            <w:webHidden/>
          </w:rPr>
          <w:instrText xml:space="preserve"> PAGEREF _Toc138075071 \h </w:instrText>
        </w:r>
        <w:r>
          <w:rPr>
            <w:noProof/>
            <w:webHidden/>
          </w:rPr>
        </w:r>
        <w:r>
          <w:rPr>
            <w:noProof/>
            <w:webHidden/>
          </w:rPr>
          <w:fldChar w:fldCharType="separate"/>
        </w:r>
        <w:r>
          <w:rPr>
            <w:noProof/>
            <w:webHidden/>
          </w:rPr>
          <w:t>7</w:t>
        </w:r>
        <w:r>
          <w:rPr>
            <w:noProof/>
            <w:webHidden/>
          </w:rPr>
          <w:fldChar w:fldCharType="end"/>
        </w:r>
      </w:hyperlink>
    </w:p>
    <w:p>
      <w:pPr>
        <w:pStyle w:val="Seznamobrzk"/>
        <w:tabs>
          <w:tab w:val="right" w:leader="dot" w:pos="9060"/>
        </w:tabs>
        <w:rPr>
          <w:rFonts w:eastAsiaTheme="minorEastAsia" w:cstheme="minorBidi"/>
          <w:noProof/>
          <w:szCs w:val="22"/>
        </w:rPr>
      </w:pPr>
      <w:hyperlink r:id="rId22" w:anchor="_Toc138075072" w:history="1">
        <w:r>
          <w:rPr>
            <w:rStyle w:val="Hypertextovodkaz"/>
            <w:b/>
            <w:noProof/>
          </w:rPr>
          <w:t>Graf č. 5:</w:t>
        </w:r>
        <w:r>
          <w:rPr>
            <w:rStyle w:val="Hypertextovodkaz"/>
            <w:noProof/>
          </w:rPr>
          <w:t xml:space="preserve"> Vývoj energetické náročnosti průmyslu ČR, 2014–2021</w:t>
        </w:r>
        <w:r>
          <w:rPr>
            <w:noProof/>
            <w:webHidden/>
          </w:rPr>
          <w:tab/>
        </w:r>
        <w:r>
          <w:rPr>
            <w:noProof/>
            <w:webHidden/>
          </w:rPr>
          <w:fldChar w:fldCharType="begin"/>
        </w:r>
        <w:r>
          <w:rPr>
            <w:noProof/>
            <w:webHidden/>
          </w:rPr>
          <w:instrText xml:space="preserve"> PAGEREF _Toc138075072 \h </w:instrText>
        </w:r>
        <w:r>
          <w:rPr>
            <w:noProof/>
            <w:webHidden/>
          </w:rPr>
        </w:r>
        <w:r>
          <w:rPr>
            <w:noProof/>
            <w:webHidden/>
          </w:rPr>
          <w:fldChar w:fldCharType="separate"/>
        </w:r>
        <w:r>
          <w:rPr>
            <w:noProof/>
            <w:webHidden/>
          </w:rPr>
          <w:t>8</w:t>
        </w:r>
        <w:r>
          <w:rPr>
            <w:noProof/>
            <w:webHidden/>
          </w:rPr>
          <w:fldChar w:fldCharType="end"/>
        </w:r>
      </w:hyperlink>
    </w:p>
    <w:p>
      <w:pPr>
        <w:pStyle w:val="Seznamobrzk"/>
        <w:tabs>
          <w:tab w:val="right" w:leader="dot" w:pos="9060"/>
        </w:tabs>
        <w:rPr>
          <w:rFonts w:eastAsiaTheme="minorEastAsia" w:cstheme="minorBidi"/>
          <w:noProof/>
          <w:szCs w:val="22"/>
        </w:rPr>
      </w:pPr>
      <w:hyperlink r:id="rId23" w:anchor="_Toc138075073" w:history="1">
        <w:r>
          <w:rPr>
            <w:rStyle w:val="Hypertextovodkaz"/>
            <w:b/>
            <w:noProof/>
          </w:rPr>
          <w:t xml:space="preserve">Graf č. 6: </w:t>
        </w:r>
        <w:r>
          <w:rPr>
            <w:rStyle w:val="Hypertextovodkaz"/>
            <w:noProof/>
          </w:rPr>
          <w:t>Spotřeba energie ve vazbě na průmyslovou produkci, 2014-2021</w:t>
        </w:r>
        <w:r>
          <w:rPr>
            <w:noProof/>
            <w:webHidden/>
          </w:rPr>
          <w:tab/>
        </w:r>
        <w:r>
          <w:rPr>
            <w:noProof/>
            <w:webHidden/>
          </w:rPr>
          <w:fldChar w:fldCharType="begin"/>
        </w:r>
        <w:r>
          <w:rPr>
            <w:noProof/>
            <w:webHidden/>
          </w:rPr>
          <w:instrText xml:space="preserve"> PAGEREF _Toc138075073 \h </w:instrText>
        </w:r>
        <w:r>
          <w:rPr>
            <w:noProof/>
            <w:webHidden/>
          </w:rPr>
        </w:r>
        <w:r>
          <w:rPr>
            <w:noProof/>
            <w:webHidden/>
          </w:rPr>
          <w:fldChar w:fldCharType="separate"/>
        </w:r>
        <w:r>
          <w:rPr>
            <w:noProof/>
            <w:webHidden/>
          </w:rPr>
          <w:t>9</w:t>
        </w:r>
        <w:r>
          <w:rPr>
            <w:noProof/>
            <w:webHidden/>
          </w:rPr>
          <w:fldChar w:fldCharType="end"/>
        </w:r>
      </w:hyperlink>
    </w:p>
    <w:p>
      <w:pPr>
        <w:pStyle w:val="Seznamobrzk"/>
        <w:tabs>
          <w:tab w:val="right" w:leader="dot" w:pos="9060"/>
        </w:tabs>
        <w:rPr>
          <w:rFonts w:eastAsiaTheme="minorEastAsia" w:cstheme="minorBidi"/>
          <w:noProof/>
          <w:szCs w:val="22"/>
        </w:rPr>
      </w:pPr>
      <w:hyperlink r:id="rId24" w:anchor="_Toc138075074" w:history="1">
        <w:r>
          <w:rPr>
            <w:rStyle w:val="Hypertextovodkaz"/>
            <w:b/>
            <w:noProof/>
          </w:rPr>
          <w:t>Graf č. 7</w:t>
        </w:r>
        <w:r>
          <w:rPr>
            <w:rStyle w:val="Hypertextovodkaz"/>
            <w:noProof/>
          </w:rPr>
          <w:t>: Energetická náročnost sektoru služeb na zaměstnance, 2014-2021</w:t>
        </w:r>
        <w:r>
          <w:rPr>
            <w:noProof/>
            <w:webHidden/>
          </w:rPr>
          <w:tab/>
        </w:r>
        <w:r>
          <w:rPr>
            <w:noProof/>
            <w:webHidden/>
          </w:rPr>
          <w:fldChar w:fldCharType="begin"/>
        </w:r>
        <w:r>
          <w:rPr>
            <w:noProof/>
            <w:webHidden/>
          </w:rPr>
          <w:instrText xml:space="preserve"> PAGEREF _Toc138075074 \h </w:instrText>
        </w:r>
        <w:r>
          <w:rPr>
            <w:noProof/>
            <w:webHidden/>
          </w:rPr>
        </w:r>
        <w:r>
          <w:rPr>
            <w:noProof/>
            <w:webHidden/>
          </w:rPr>
          <w:fldChar w:fldCharType="separate"/>
        </w:r>
        <w:r>
          <w:rPr>
            <w:noProof/>
            <w:webHidden/>
          </w:rPr>
          <w:t>9</w:t>
        </w:r>
        <w:r>
          <w:rPr>
            <w:noProof/>
            <w:webHidden/>
          </w:rPr>
          <w:fldChar w:fldCharType="end"/>
        </w:r>
      </w:hyperlink>
    </w:p>
    <w:p>
      <w:pPr>
        <w:pStyle w:val="Seznamobrzk"/>
        <w:tabs>
          <w:tab w:val="right" w:leader="dot" w:pos="9060"/>
        </w:tabs>
        <w:rPr>
          <w:rFonts w:eastAsiaTheme="minorEastAsia" w:cstheme="minorBidi"/>
          <w:noProof/>
          <w:szCs w:val="22"/>
        </w:rPr>
      </w:pPr>
      <w:hyperlink r:id="rId25" w:anchor="_Toc138075075" w:history="1">
        <w:r>
          <w:rPr>
            <w:rStyle w:val="Hypertextovodkaz"/>
            <w:b/>
            <w:noProof/>
          </w:rPr>
          <w:t>Graf č. 8:</w:t>
        </w:r>
        <w:r>
          <w:rPr>
            <w:rStyle w:val="Hypertextovodkaz"/>
            <w:noProof/>
          </w:rPr>
          <w:t xml:space="preserve"> Plnění kumulovaných úspor energie dle čl. 7 směrnice</w:t>
        </w:r>
        <w:r>
          <w:rPr>
            <w:noProof/>
            <w:webHidden/>
          </w:rPr>
          <w:tab/>
        </w:r>
        <w:r>
          <w:rPr>
            <w:noProof/>
            <w:webHidden/>
          </w:rPr>
          <w:fldChar w:fldCharType="begin"/>
        </w:r>
        <w:r>
          <w:rPr>
            <w:noProof/>
            <w:webHidden/>
          </w:rPr>
          <w:instrText xml:space="preserve"> PAGEREF _Toc138075075 \h </w:instrText>
        </w:r>
        <w:r>
          <w:rPr>
            <w:noProof/>
            <w:webHidden/>
          </w:rPr>
        </w:r>
        <w:r>
          <w:rPr>
            <w:noProof/>
            <w:webHidden/>
          </w:rPr>
          <w:fldChar w:fldCharType="separate"/>
        </w:r>
        <w:r>
          <w:rPr>
            <w:noProof/>
            <w:webHidden/>
          </w:rPr>
          <w:t>13</w:t>
        </w:r>
        <w:r>
          <w:rPr>
            <w:noProof/>
            <w:webHidden/>
          </w:rPr>
          <w:fldChar w:fldCharType="end"/>
        </w:r>
      </w:hyperlink>
    </w:p>
    <w:p>
      <w:r>
        <w:fldChar w:fldCharType="end"/>
      </w:r>
    </w:p>
    <w:sectPr>
      <w:pgSz w:w="11906" w:h="16838"/>
      <w:pgMar w:top="1134" w:right="1418" w:bottom="1276"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73838"/>
      <w:docPartObj>
        <w:docPartGallery w:val="Page Numbers (Bottom of Page)"/>
        <w:docPartUnique/>
      </w:docPartObj>
    </w:sdtPr>
    <w:sdtEndPr>
      <w:rPr>
        <w:rFonts w:ascii="Calibri" w:hAnsi="Calibri"/>
      </w:rPr>
    </w:sdtEndPr>
    <w:sdtContent>
      <w:p>
        <w:pPr>
          <w:pStyle w:val="Zpat"/>
          <w:jc w:val="center"/>
          <w:rPr>
            <w:rFonts w:ascii="Calibri" w:hAnsi="Calibri"/>
          </w:rPr>
        </w:pPr>
        <w:r>
          <w:rPr>
            <w:rFonts w:ascii="Calibri" w:hAnsi="Calibri"/>
          </w:rPr>
          <w:fldChar w:fldCharType="begin"/>
        </w:r>
        <w:r>
          <w:rPr>
            <w:rFonts w:ascii="Calibri" w:hAnsi="Calibri"/>
          </w:rPr>
          <w:instrText>PAGE   \* MERGEFORMAT</w:instrText>
        </w:r>
        <w:r>
          <w:rPr>
            <w:rFonts w:ascii="Calibri" w:hAnsi="Calibri"/>
          </w:rPr>
          <w:fldChar w:fldCharType="separate"/>
        </w:r>
        <w:r>
          <w:rPr>
            <w:rFonts w:ascii="Calibri" w:hAnsi="Calibri"/>
            <w:noProof/>
          </w:rPr>
          <w:t>30</w:t>
        </w:r>
        <w:r>
          <w:rPr>
            <w:rFonts w:ascii="Calibri" w:hAnsi="Calibri"/>
          </w:rPr>
          <w:fldChar w:fldCharType="end"/>
        </w:r>
      </w:p>
    </w:sdtContent>
  </w:sdt>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91322"/>
      <w:docPartObj>
        <w:docPartGallery w:val="Page Numbers (Bottom of Page)"/>
        <w:docPartUnique/>
      </w:docPartObj>
    </w:sdtPr>
    <w:sdtEndPr>
      <w:rPr>
        <w:rFonts w:ascii="Calibri" w:hAnsi="Calibri"/>
      </w:rPr>
    </w:sdtEndPr>
    <w:sdtContent>
      <w:p>
        <w:pPr>
          <w:pStyle w:val="Zpat"/>
          <w:jc w:val="center"/>
          <w:rPr>
            <w:rFonts w:ascii="Calibri" w:hAnsi="Calibri"/>
          </w:rPr>
        </w:pPr>
        <w:r>
          <w:rPr>
            <w:rFonts w:ascii="Calibri" w:hAnsi="Calibri"/>
          </w:rPr>
          <w:fldChar w:fldCharType="begin"/>
        </w:r>
        <w:r>
          <w:rPr>
            <w:rFonts w:ascii="Calibri" w:hAnsi="Calibri"/>
          </w:rPr>
          <w:instrText>PAGE   \* MERGEFORMAT</w:instrText>
        </w:r>
        <w:r>
          <w:rPr>
            <w:rFonts w:ascii="Calibri" w:hAnsi="Calibri"/>
          </w:rPr>
          <w:fldChar w:fldCharType="separate"/>
        </w:r>
        <w:r>
          <w:rPr>
            <w:rFonts w:ascii="Calibri" w:hAnsi="Calibri"/>
            <w:noProof/>
          </w:rPr>
          <w:t>30</w:t>
        </w:r>
        <w:r>
          <w:rPr>
            <w:rFonts w:ascii="Calibri" w:hAnsi="Calibri"/>
          </w:rPr>
          <w:fldChar w:fldCharType="end"/>
        </w:r>
      </w:p>
    </w:sdtContent>
  </w:sdt>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poznpodarou"/>
      </w:pPr>
      <w:r>
        <w:rPr>
          <w:rStyle w:val="Znakapoznpodarou"/>
        </w:rPr>
        <w:footnoteRef/>
      </w:r>
      <w:r>
        <w:t xml:space="preserve"> Nejedná se o finální výši závazku, který bude přepočten s ohledem na aktuální data a předložen vládě ČR v samostatném dokumentu.</w:t>
      </w:r>
    </w:p>
  </w:footnote>
  <w:footnote w:id="2">
    <w:p>
      <w:pPr>
        <w:pStyle w:val="Textpoznpodarou"/>
      </w:pPr>
      <w:r>
        <w:rPr>
          <w:rStyle w:val="Znakapoznpodarou"/>
        </w:rPr>
        <w:footnoteRef/>
      </w:r>
      <w:r>
        <w:t xml:space="preserve"> Data nejsou momentálně k dispozici s ohledem na dostupnost statistických údajů n-2, údaje jsou za rok 2021, dle metodiky Eurostat Evropa 2020-2030.</w:t>
      </w:r>
    </w:p>
  </w:footnote>
  <w:footnote w:id="3">
    <w:p>
      <w:pPr>
        <w:pStyle w:val="Textpoznpodarou"/>
      </w:pPr>
      <w:r>
        <w:rPr>
          <w:rStyle w:val="Znakapoznpodarou"/>
        </w:rPr>
        <w:footnoteRef/>
      </w:r>
      <w:r>
        <w:t xml:space="preserve"> V souladu s usnesením vlády č. 511/19 a č. 840/16 byl </w:t>
      </w:r>
      <w:r>
        <w:rPr>
          <w:i/>
        </w:rPr>
        <w:t>„Plán rekonstrukce objektů v působnosti článku 5 směrnice 2012/27/EU za rok 2020 a aktualizaci výhledu naplňování závazku úspor energie v budovách ústředních institucí do roku 2020 s upřesněním potřebné alokace finančních prostředků k dosažení tohoto závazku“</w:t>
      </w:r>
      <w:r>
        <w:t xml:space="preserve"> původně samostatným dokumentem, avšak s ohledem na duplicitu informací došlo k sloučení obou materiálů, které mají za cíl informovat vládu. </w:t>
      </w:r>
    </w:p>
  </w:footnote>
  <w:footnote w:id="4">
    <w:p>
      <w:pPr>
        <w:pStyle w:val="Textpoznpodarou"/>
      </w:pPr>
      <w:r>
        <w:rPr>
          <w:rStyle w:val="Znakapoznpodarou"/>
        </w:rPr>
        <w:footnoteRef/>
      </w:r>
      <w:r>
        <w:t xml:space="preserve"> Jakými jsou například daně, regulatorní opatření či investice do snižování energetické náročnosti nebo obnovitelných zdrojů atd.</w:t>
      </w:r>
    </w:p>
  </w:footnote>
  <w:footnote w:id="5">
    <w:p>
      <w:pPr>
        <w:pStyle w:val="Textpoznpodarou"/>
      </w:pPr>
      <w:r>
        <w:rPr>
          <w:rStyle w:val="Znakapoznpodarou"/>
        </w:rPr>
        <w:footnoteRef/>
      </w:r>
      <w:r>
        <w:t xml:space="preserve"> Zdroje: 1 - Souhrnná energetická bilance (MPO, metodika Eurostat 2017); 2 – Eurostat; 3 - Ministerstvo dopravy; 4 – Český statistický úřad</w:t>
      </w:r>
    </w:p>
  </w:footnote>
  <w:footnote w:id="6">
    <w:p>
      <w:pPr>
        <w:pStyle w:val="Textpoznpodarou"/>
      </w:pPr>
      <w:r>
        <w:rPr>
          <w:rStyle w:val="Znakapoznpodarou"/>
        </w:rPr>
        <w:footnoteRef/>
      </w:r>
      <w:r>
        <w:t xml:space="preserve"> Jedná se o nařízení Komise 2017/2010 ze dne 9. listopadu 2017, kterým se mění nařízení Evropského parlamentu a Rady (ES) č. 1099/2008 o energetické statistice, pokud jde o aktualizace pro roční a měsíční energetické statistiky</w:t>
      </w:r>
    </w:p>
  </w:footnote>
  <w:footnote w:id="7">
    <w:p>
      <w:pPr>
        <w:pStyle w:val="Textpoznpodarou"/>
      </w:pPr>
      <w:r>
        <w:rPr>
          <w:rStyle w:val="Znakapoznpodarou"/>
        </w:rPr>
        <w:footnoteRef/>
      </w:r>
      <w:r>
        <w:t xml:space="preserve"> Hrubý domácí produkt v tržních cenách roku 2010 (zdroj: Eurostat).</w:t>
      </w:r>
    </w:p>
  </w:footnote>
  <w:footnote w:id="8">
    <w:p>
      <w:pPr>
        <w:pStyle w:val="Textpoznpodarou"/>
      </w:pPr>
      <w:r>
        <w:rPr>
          <w:rStyle w:val="Znakapoznpodarou"/>
        </w:rPr>
        <w:footnoteRef/>
      </w:r>
      <w:r>
        <w:t xml:space="preserve"> </w:t>
      </w:r>
      <w:r>
        <w:rPr>
          <w:rFonts w:cs="Arial"/>
        </w:rPr>
        <w:t>Index průmyslové produkce (IPP) měří vlastní výstup průmyslových odvětví očištěný od cenových vlivů. Index je primárně počítán jako měsíční bazický index, v současné době k průměrnému měsíci roku 2015.</w:t>
      </w:r>
    </w:p>
  </w:footnote>
  <w:footnote w:id="9">
    <w:p>
      <w:pPr>
        <w:pStyle w:val="Textpoznpodarou"/>
      </w:pPr>
      <w:r>
        <w:rPr>
          <w:rStyle w:val="Znakapoznpodarou"/>
        </w:rPr>
        <w:footnoteRef/>
      </w:r>
      <w:r>
        <w:t xml:space="preserve"> Výše závazku bude stanovena a předložena vládě ČR v samostatném dokumentu.</w:t>
      </w:r>
    </w:p>
  </w:footnote>
  <w:footnote w:id="10">
    <w:p>
      <w:pPr>
        <w:pStyle w:val="Textpoznpodarou"/>
      </w:pPr>
      <w:r>
        <w:rPr>
          <w:rStyle w:val="Znakapoznpodarou"/>
        </w:rPr>
        <w:footnoteRef/>
      </w:r>
      <w:r>
        <w:t xml:space="preserve"> Součty hodnot se mohou mírně lišit, a to z důvodu zaokrouhlení některých hodnot.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5C15D76"/>
    <w:multiLevelType w:val="hybridMultilevel"/>
    <w:tmpl w:val="87F437D8"/>
    <w:lvl w:ilvl="0" w:tplc="B6207AB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AE5715"/>
    <w:multiLevelType w:val="hybridMultilevel"/>
    <w:tmpl w:val="1526B566"/>
    <w:lvl w:ilvl="0" w:tplc="626E8124">
      <w:start w:val="6"/>
      <w:numFmt w:val="bullet"/>
      <w:lvlText w:val="-"/>
      <w:lvlJc w:val="left"/>
      <w:pPr>
        <w:ind w:left="360" w:hanging="360"/>
      </w:pPr>
      <w:rPr>
        <w:rFonts w:ascii="Calibri" w:eastAsiaTheme="minorEastAsia"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0361C85"/>
    <w:multiLevelType w:val="hybridMultilevel"/>
    <w:tmpl w:val="8E1C4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7F54FED"/>
    <w:multiLevelType w:val="hybridMultilevel"/>
    <w:tmpl w:val="E8280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1872DA"/>
    <w:multiLevelType w:val="multilevel"/>
    <w:tmpl w:val="E8A48D7C"/>
    <w:numStyleLink w:val="VariantaA-sla"/>
  </w:abstractNum>
  <w:abstractNum w:abstractNumId="8" w15:restartNumberingAfterBreak="0">
    <w:nsid w:val="1C1515C9"/>
    <w:multiLevelType w:val="hybridMultilevel"/>
    <w:tmpl w:val="DA72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639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D375FE"/>
    <w:multiLevelType w:val="hybridMultilevel"/>
    <w:tmpl w:val="B33A5202"/>
    <w:lvl w:ilvl="0" w:tplc="2A06990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0A3E3C"/>
    <w:multiLevelType w:val="hybridMultilevel"/>
    <w:tmpl w:val="6488329C"/>
    <w:lvl w:ilvl="0" w:tplc="B7AE2B9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4D073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015F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044B64"/>
    <w:multiLevelType w:val="hybridMultilevel"/>
    <w:tmpl w:val="6D44218E"/>
    <w:lvl w:ilvl="0" w:tplc="04050001">
      <w:start w:val="1"/>
      <w:numFmt w:val="bullet"/>
      <w:lvlText w:val=""/>
      <w:lvlJc w:val="left"/>
      <w:pPr>
        <w:ind w:left="720" w:hanging="360"/>
      </w:pPr>
      <w:rPr>
        <w:rFonts w:ascii="Symbol" w:hAnsi="Symbol" w:hint="default"/>
      </w:rPr>
    </w:lvl>
    <w:lvl w:ilvl="1" w:tplc="72941E0A">
      <w:numFmt w:val="bullet"/>
      <w:lvlText w:val="–"/>
      <w:lvlJc w:val="left"/>
      <w:pPr>
        <w:ind w:left="1440" w:hanging="360"/>
      </w:pPr>
      <w:rPr>
        <w:rFonts w:ascii="Calibri" w:eastAsia="Times New Roman"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9C4FD1"/>
    <w:multiLevelType w:val="hybridMultilevel"/>
    <w:tmpl w:val="BAA02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9A5EA2"/>
    <w:multiLevelType w:val="multilevel"/>
    <w:tmpl w:val="E8BAE50A"/>
    <w:numStyleLink w:val="VariantaA-odrky"/>
  </w:abstractNum>
  <w:abstractNum w:abstractNumId="17" w15:restartNumberingAfterBreak="0">
    <w:nsid w:val="2A2501BF"/>
    <w:multiLevelType w:val="hybridMultilevel"/>
    <w:tmpl w:val="2138C51E"/>
    <w:lvl w:ilvl="0" w:tplc="30EE70D6">
      <w:start w:val="1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E053B8"/>
    <w:multiLevelType w:val="hybridMultilevel"/>
    <w:tmpl w:val="F8C2B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F65AC4"/>
    <w:multiLevelType w:val="hybridMultilevel"/>
    <w:tmpl w:val="BE567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9527C4"/>
    <w:multiLevelType w:val="hybridMultilevel"/>
    <w:tmpl w:val="4A46DE70"/>
    <w:lvl w:ilvl="0" w:tplc="E3A48C98">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21" w15:restartNumberingAfterBreak="0">
    <w:nsid w:val="343E749E"/>
    <w:multiLevelType w:val="hybridMultilevel"/>
    <w:tmpl w:val="F41EFC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9457C3"/>
    <w:multiLevelType w:val="hybridMultilevel"/>
    <w:tmpl w:val="5028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92000"/>
    <w:multiLevelType w:val="hybridMultilevel"/>
    <w:tmpl w:val="8D9C1A54"/>
    <w:lvl w:ilvl="0" w:tplc="B7AE2B9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FD043A0"/>
    <w:multiLevelType w:val="hybridMultilevel"/>
    <w:tmpl w:val="34425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0E30CF"/>
    <w:multiLevelType w:val="hybridMultilevel"/>
    <w:tmpl w:val="46AC8220"/>
    <w:lvl w:ilvl="0" w:tplc="CBF6309C">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27" w15:restartNumberingAfterBreak="0">
    <w:nsid w:val="53220A17"/>
    <w:multiLevelType w:val="hybridMultilevel"/>
    <w:tmpl w:val="9996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E75B9"/>
    <w:multiLevelType w:val="hybridMultilevel"/>
    <w:tmpl w:val="B6BE431A"/>
    <w:lvl w:ilvl="0" w:tplc="FE64CBE6">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29"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0" w15:restartNumberingAfterBreak="0">
    <w:nsid w:val="59A60A30"/>
    <w:multiLevelType w:val="hybridMultilevel"/>
    <w:tmpl w:val="1FAE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E7344"/>
    <w:multiLevelType w:val="hybridMultilevel"/>
    <w:tmpl w:val="AE3C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35F43"/>
    <w:multiLevelType w:val="multilevel"/>
    <w:tmpl w:val="0D8ABE32"/>
    <w:numStyleLink w:val="VariantaB-sla"/>
  </w:abstractNum>
  <w:abstractNum w:abstractNumId="33" w15:restartNumberingAfterBreak="0">
    <w:nsid w:val="5F75512C"/>
    <w:multiLevelType w:val="multilevel"/>
    <w:tmpl w:val="8D78BF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5F5299C"/>
    <w:multiLevelType w:val="hybridMultilevel"/>
    <w:tmpl w:val="BD062020"/>
    <w:lvl w:ilvl="0" w:tplc="614AC3D8">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35" w15:restartNumberingAfterBreak="0">
    <w:nsid w:val="695123DA"/>
    <w:multiLevelType w:val="hybridMultilevel"/>
    <w:tmpl w:val="5074C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661C3A"/>
    <w:multiLevelType w:val="hybridMultilevel"/>
    <w:tmpl w:val="6662253A"/>
    <w:lvl w:ilvl="0" w:tplc="15A60A24">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37" w15:restartNumberingAfterBreak="0">
    <w:nsid w:val="6FBD73DA"/>
    <w:multiLevelType w:val="hybridMultilevel"/>
    <w:tmpl w:val="41026D2C"/>
    <w:lvl w:ilvl="0" w:tplc="0405000D">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7A324F"/>
    <w:multiLevelType w:val="hybridMultilevel"/>
    <w:tmpl w:val="699E3D6A"/>
    <w:lvl w:ilvl="0" w:tplc="6E38E51E">
      <w:numFmt w:val="bullet"/>
      <w:lvlText w:val="-"/>
      <w:lvlJc w:val="left"/>
      <w:pPr>
        <w:ind w:left="360" w:hanging="360"/>
      </w:pPr>
      <w:rPr>
        <w:rFonts w:ascii="Calibri" w:eastAsia="Times New Roman"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1B86285"/>
    <w:multiLevelType w:val="hybridMultilevel"/>
    <w:tmpl w:val="1A987A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EE0515"/>
    <w:multiLevelType w:val="hybridMultilevel"/>
    <w:tmpl w:val="69289700"/>
    <w:lvl w:ilvl="0" w:tplc="B6207AB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D23583"/>
    <w:multiLevelType w:val="hybridMultilevel"/>
    <w:tmpl w:val="4816F2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C274699"/>
    <w:multiLevelType w:val="hybridMultilevel"/>
    <w:tmpl w:val="C1C67E04"/>
    <w:lvl w:ilvl="0" w:tplc="E1B8D74A">
      <w:start w:val="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5"/>
  </w:num>
  <w:num w:numId="4">
    <w:abstractNumId w:val="0"/>
  </w:num>
  <w:num w:numId="5">
    <w:abstractNumId w:val="32"/>
  </w:num>
  <w:num w:numId="6">
    <w:abstractNumId w:val="16"/>
  </w:num>
  <w:num w:numId="7">
    <w:abstractNumId w:val="7"/>
  </w:num>
  <w:num w:numId="8">
    <w:abstractNumId w:val="4"/>
  </w:num>
  <w:num w:numId="9">
    <w:abstractNumId w:val="14"/>
  </w:num>
  <w:num w:numId="10">
    <w:abstractNumId w:val="37"/>
  </w:num>
  <w:num w:numId="11">
    <w:abstractNumId w:val="24"/>
  </w:num>
  <w:num w:numId="12">
    <w:abstractNumId w:val="34"/>
  </w:num>
  <w:num w:numId="13">
    <w:abstractNumId w:val="26"/>
  </w:num>
  <w:num w:numId="14">
    <w:abstractNumId w:val="20"/>
  </w:num>
  <w:num w:numId="15">
    <w:abstractNumId w:val="36"/>
  </w:num>
  <w:num w:numId="16">
    <w:abstractNumId w:val="28"/>
  </w:num>
  <w:num w:numId="17">
    <w:abstractNumId w:val="6"/>
  </w:num>
  <w:num w:numId="18">
    <w:abstractNumId w:val="35"/>
  </w:num>
  <w:num w:numId="19">
    <w:abstractNumId w:val="18"/>
  </w:num>
  <w:num w:numId="20">
    <w:abstractNumId w:val="19"/>
  </w:num>
  <w:num w:numId="21">
    <w:abstractNumId w:val="13"/>
  </w:num>
  <w:num w:numId="22">
    <w:abstractNumId w:val="38"/>
  </w:num>
  <w:num w:numId="23">
    <w:abstractNumId w:val="2"/>
  </w:num>
  <w:num w:numId="24">
    <w:abstractNumId w:val="12"/>
  </w:num>
  <w:num w:numId="25">
    <w:abstractNumId w:val="41"/>
  </w:num>
  <w:num w:numId="26">
    <w:abstractNumId w:val="11"/>
  </w:num>
  <w:num w:numId="27">
    <w:abstractNumId w:val="23"/>
  </w:num>
  <w:num w:numId="28">
    <w:abstractNumId w:val="17"/>
  </w:num>
  <w:num w:numId="29">
    <w:abstractNumId w:val="9"/>
  </w:num>
  <w:num w:numId="30">
    <w:abstractNumId w:val="39"/>
  </w:num>
  <w:num w:numId="31">
    <w:abstractNumId w:val="1"/>
  </w:num>
  <w:num w:numId="32">
    <w:abstractNumId w:val="40"/>
  </w:num>
  <w:num w:numId="33">
    <w:abstractNumId w:val="8"/>
  </w:num>
  <w:num w:numId="34">
    <w:abstractNumId w:val="31"/>
  </w:num>
  <w:num w:numId="35">
    <w:abstractNumId w:val="22"/>
  </w:num>
  <w:num w:numId="36">
    <w:abstractNumId w:val="27"/>
  </w:num>
  <w:num w:numId="37">
    <w:abstractNumId w:val="30"/>
  </w:num>
  <w:num w:numId="38">
    <w:abstractNumId w:val="33"/>
  </w:num>
  <w:num w:numId="39">
    <w:abstractNumId w:val="21"/>
  </w:num>
  <w:num w:numId="40">
    <w:abstractNumId w:val="3"/>
  </w:num>
  <w:num w:numId="41">
    <w:abstractNumId w:val="15"/>
  </w:num>
  <w:num w:numId="42">
    <w:abstractNumId w:val="42"/>
  </w:num>
  <w:num w:numId="4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NotTrackMoves/>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41DEC-CF9A-494B-B9DD-7E6CF605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pPr>
      <w:overflowPunct w:val="0"/>
      <w:autoSpaceDE w:val="0"/>
      <w:autoSpaceDN w:val="0"/>
      <w:adjustRightInd w:val="0"/>
      <w:spacing w:after="160" w:line="340" w:lineRule="exact"/>
      <w:jc w:val="both"/>
      <w:textAlignment w:val="baseline"/>
    </w:pPr>
    <w:rPr>
      <w:rFonts w:eastAsia="Times New Roman" w:cs="Times New Roman"/>
      <w:szCs w:val="20"/>
      <w:lang w:eastAsia="cs-CZ"/>
    </w:rPr>
  </w:style>
  <w:style w:type="paragraph" w:styleId="Nadpis1">
    <w:name w:val="heading 1"/>
    <w:basedOn w:val="Normln"/>
    <w:next w:val="Normln"/>
    <w:link w:val="Nadpis1Char"/>
    <w:uiPriority w:val="9"/>
    <w:qFormat/>
    <w:pPr>
      <w:keepNext/>
      <w:keepLines/>
      <w:spacing w:before="160" w:after="0"/>
      <w:outlineLvl w:val="0"/>
    </w:pPr>
    <w:rPr>
      <w:rFonts w:asciiTheme="majorHAnsi" w:eastAsiaTheme="majorEastAsia" w:hAnsiTheme="majorHAnsi" w:cstheme="majorBidi"/>
      <w:b/>
      <w:color w:val="004B8D" w:themeColor="text2"/>
      <w:sz w:val="32"/>
      <w:szCs w:val="32"/>
    </w:rPr>
  </w:style>
  <w:style w:type="paragraph" w:styleId="Nadpis2">
    <w:name w:val="heading 2"/>
    <w:basedOn w:val="Normln"/>
    <w:next w:val="Normln"/>
    <w:link w:val="Nadpis2Char"/>
    <w:uiPriority w:val="7"/>
    <w:unhideWhenUsed/>
    <w:qFormat/>
    <w:pPr>
      <w:keepNext/>
      <w:keepLines/>
      <w:spacing w:before="80" w:after="0"/>
      <w:outlineLvl w:val="1"/>
    </w:pPr>
    <w:rPr>
      <w:rFonts w:asciiTheme="majorHAnsi" w:eastAsiaTheme="majorEastAsia" w:hAnsiTheme="majorHAnsi" w:cstheme="majorBidi"/>
      <w:b/>
      <w:sz w:val="20"/>
      <w:szCs w:val="26"/>
    </w:rPr>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unhideWhenUsed/>
    <w:qFormat/>
    <w:pPr>
      <w:ind w:left="720"/>
      <w:contextualSpacing/>
    </w:pPr>
  </w:style>
  <w:style w:type="numbering" w:customStyle="1" w:styleId="VariantaB-odrky">
    <w:name w:val="Varianta B - odrážky"/>
    <w:uiPriority w:val="99"/>
    <w:pPr>
      <w:numPr>
        <w:numId w:val="1"/>
      </w:numPr>
    </w:pPr>
  </w:style>
  <w:style w:type="character" w:customStyle="1" w:styleId="Nadpis1Char">
    <w:name w:val="Nadpis 1 Char"/>
    <w:basedOn w:val="Standardnpsmoodstavce"/>
    <w:link w:val="Nadpis1"/>
    <w:uiPriority w:val="9"/>
    <w:rPr>
      <w:rFonts w:asciiTheme="majorHAnsi" w:eastAsiaTheme="majorEastAsia" w:hAnsiTheme="majorHAnsi" w:cstheme="majorBidi"/>
      <w:b/>
      <w:color w:val="004B8D" w:themeColor="text2"/>
      <w:sz w:val="32"/>
      <w:szCs w:val="32"/>
      <w:lang w:eastAsia="cs-CZ"/>
    </w:rPr>
  </w:style>
  <w:style w:type="numbering" w:customStyle="1" w:styleId="VariantaA-odrky">
    <w:name w:val="Varianta A - odrážky"/>
    <w:uiPriority w:val="99"/>
    <w:pPr>
      <w:numPr>
        <w:numId w:val="2"/>
      </w:numPr>
    </w:pPr>
  </w:style>
  <w:style w:type="character" w:customStyle="1" w:styleId="Nadpis2Char">
    <w:name w:val="Nadpis 2 Char"/>
    <w:basedOn w:val="Standardnpsmoodstavce"/>
    <w:link w:val="Nadpis2"/>
    <w:uiPriority w:val="7"/>
    <w:rPr>
      <w:rFonts w:asciiTheme="majorHAnsi" w:eastAsiaTheme="majorEastAsia" w:hAnsiTheme="majorHAnsi" w:cstheme="majorBidi"/>
      <w:b/>
      <w:sz w:val="20"/>
      <w:szCs w:val="26"/>
      <w:lang w:eastAsia="cs-CZ"/>
    </w:rPr>
  </w:style>
  <w:style w:type="numbering" w:customStyle="1" w:styleId="VariantaA-sla">
    <w:name w:val="Varianta A - čísla"/>
    <w:uiPriority w:val="99"/>
    <w:pPr>
      <w:numPr>
        <w:numId w:val="4"/>
      </w:numPr>
    </w:pPr>
  </w:style>
  <w:style w:type="numbering" w:customStyle="1" w:styleId="VariantaB-sla">
    <w:name w:val="Varianta B - čísla"/>
    <w:uiPriority w:val="99"/>
    <w:pPr>
      <w:numPr>
        <w:numId w:val="3"/>
      </w:numPr>
    </w:pPr>
  </w:style>
  <w:style w:type="character" w:customStyle="1" w:styleId="Nadpis3Char">
    <w:name w:val="Nadpis 3 Char"/>
    <w:basedOn w:val="Standardnpsmoodstavce"/>
    <w:link w:val="Nadpis3"/>
    <w:uiPriority w:val="9"/>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Pr>
      <w:b/>
      <w:i/>
      <w:iCs/>
      <w:color w:val="000000" w:themeColor="text1"/>
    </w:rPr>
  </w:style>
  <w:style w:type="paragraph" w:styleId="Vrazncitt">
    <w:name w:val="Intense Quote"/>
    <w:basedOn w:val="Normln"/>
    <w:next w:val="Normln"/>
    <w:link w:val="VrazncittChar"/>
    <w:uiPriority w:val="28"/>
    <w:qFormat/>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Pr>
      <w:i/>
      <w:iCs/>
      <w:color w:val="000000" w:themeColor="text1"/>
    </w:rPr>
  </w:style>
  <w:style w:type="character" w:styleId="Odkazintenzivn">
    <w:name w:val="Intense Reference"/>
    <w:basedOn w:val="Standardnpsmoodstavce"/>
    <w:uiPriority w:val="24"/>
    <w:qFormat/>
    <w:rPr>
      <w:b/>
      <w:bCs/>
      <w:smallCaps/>
      <w:color w:val="000000" w:themeColor="text1"/>
      <w:spacing w:val="5"/>
    </w:rPr>
  </w:style>
  <w:style w:type="paragraph" w:styleId="slovanseznam">
    <w:name w:val="List Number"/>
    <w:aliases w:val="Číslovaný seznam A"/>
    <w:basedOn w:val="Normln"/>
    <w:uiPriority w:val="15"/>
    <w:qFormat/>
    <w:pPr>
      <w:numPr>
        <w:numId w:val="7"/>
      </w:numPr>
      <w:spacing w:after="0"/>
    </w:pPr>
  </w:style>
  <w:style w:type="paragraph" w:styleId="slovanseznam2">
    <w:name w:val="List Number 2"/>
    <w:aliases w:val="Číslovaný seznam A 2"/>
    <w:basedOn w:val="Normln"/>
    <w:uiPriority w:val="15"/>
    <w:qFormat/>
    <w:pPr>
      <w:numPr>
        <w:ilvl w:val="1"/>
        <w:numId w:val="7"/>
      </w:numPr>
      <w:spacing w:after="0"/>
      <w:contextualSpacing/>
    </w:pPr>
  </w:style>
  <w:style w:type="paragraph" w:styleId="slovanseznam3">
    <w:name w:val="List Number 3"/>
    <w:aliases w:val="Číslovaný seznam A 3"/>
    <w:basedOn w:val="Normln"/>
    <w:uiPriority w:val="15"/>
    <w:qFormat/>
    <w:pPr>
      <w:numPr>
        <w:ilvl w:val="2"/>
        <w:numId w:val="7"/>
      </w:numPr>
      <w:spacing w:after="0"/>
      <w:contextualSpacing/>
    </w:pPr>
  </w:style>
  <w:style w:type="paragraph" w:styleId="slovanseznam4">
    <w:name w:val="List Number 4"/>
    <w:aliases w:val="Číslovaný seznam A 4"/>
    <w:basedOn w:val="Normln"/>
    <w:uiPriority w:val="15"/>
    <w:qFormat/>
    <w:pPr>
      <w:numPr>
        <w:ilvl w:val="3"/>
        <w:numId w:val="7"/>
      </w:numPr>
      <w:spacing w:after="0"/>
      <w:contextualSpacing/>
    </w:pPr>
  </w:style>
  <w:style w:type="paragraph" w:styleId="slovanseznam5">
    <w:name w:val="List Number 5"/>
    <w:aliases w:val="Číslovaný seznam A 5"/>
    <w:basedOn w:val="Normln"/>
    <w:uiPriority w:val="15"/>
    <w:qFormat/>
    <w:pPr>
      <w:numPr>
        <w:ilvl w:val="4"/>
        <w:numId w:val="7"/>
      </w:numPr>
      <w:spacing w:after="0"/>
      <w:contextualSpacing/>
    </w:pPr>
  </w:style>
  <w:style w:type="paragraph" w:customStyle="1" w:styleId="slovanseznamB">
    <w:name w:val="Číslovaný seznam B"/>
    <w:basedOn w:val="Normln"/>
    <w:uiPriority w:val="16"/>
    <w:qFormat/>
    <w:pPr>
      <w:numPr>
        <w:numId w:val="5"/>
      </w:numPr>
      <w:spacing w:after="0"/>
    </w:pPr>
  </w:style>
  <w:style w:type="paragraph" w:customStyle="1" w:styleId="slovanseznamB2">
    <w:name w:val="Číslovaný seznam B 2"/>
    <w:basedOn w:val="Normln"/>
    <w:uiPriority w:val="16"/>
    <w:qFormat/>
    <w:pPr>
      <w:numPr>
        <w:ilvl w:val="1"/>
        <w:numId w:val="5"/>
      </w:numPr>
      <w:spacing w:after="0"/>
    </w:pPr>
  </w:style>
  <w:style w:type="paragraph" w:customStyle="1" w:styleId="slovanseznamB3">
    <w:name w:val="Číslovaný seznam B 3"/>
    <w:basedOn w:val="Normln"/>
    <w:uiPriority w:val="16"/>
    <w:qFormat/>
    <w:pPr>
      <w:numPr>
        <w:ilvl w:val="2"/>
        <w:numId w:val="5"/>
      </w:numPr>
      <w:spacing w:after="0"/>
    </w:pPr>
  </w:style>
  <w:style w:type="paragraph" w:customStyle="1" w:styleId="slovanseznamB4">
    <w:name w:val="Číslovaný seznam B 4"/>
    <w:basedOn w:val="Normln"/>
    <w:uiPriority w:val="16"/>
    <w:qFormat/>
    <w:pPr>
      <w:numPr>
        <w:ilvl w:val="3"/>
        <w:numId w:val="5"/>
      </w:numPr>
      <w:spacing w:after="0"/>
    </w:pPr>
  </w:style>
  <w:style w:type="paragraph" w:customStyle="1" w:styleId="slovanseznamB5">
    <w:name w:val="Číslovaný seznam B 5"/>
    <w:basedOn w:val="Normln"/>
    <w:uiPriority w:val="16"/>
    <w:qFormat/>
    <w:pPr>
      <w:numPr>
        <w:ilvl w:val="4"/>
        <w:numId w:val="5"/>
      </w:numPr>
      <w:spacing w:after="0"/>
    </w:pPr>
  </w:style>
  <w:style w:type="paragraph" w:styleId="Seznamsodrkami3">
    <w:name w:val="List Bullet 3"/>
    <w:aliases w:val="Seznam s odrážkami A 3"/>
    <w:basedOn w:val="Normln"/>
    <w:uiPriority w:val="10"/>
    <w:qFormat/>
    <w:pPr>
      <w:numPr>
        <w:ilvl w:val="2"/>
        <w:numId w:val="6"/>
      </w:numPr>
      <w:spacing w:after="0"/>
      <w:contextualSpacing/>
    </w:pPr>
  </w:style>
  <w:style w:type="paragraph" w:styleId="Seznamsodrkami4">
    <w:name w:val="List Bullet 4"/>
    <w:aliases w:val="Seznam s odrážkami A 4"/>
    <w:basedOn w:val="Normln"/>
    <w:uiPriority w:val="10"/>
    <w:qFormat/>
    <w:pPr>
      <w:numPr>
        <w:ilvl w:val="3"/>
        <w:numId w:val="6"/>
      </w:numPr>
      <w:spacing w:after="0"/>
      <w:contextualSpacing/>
    </w:pPr>
  </w:style>
  <w:style w:type="paragraph" w:styleId="Seznamsodrkami5">
    <w:name w:val="List Bullet 5"/>
    <w:aliases w:val="Seznam s odrážkami A 5"/>
    <w:basedOn w:val="Normln"/>
    <w:uiPriority w:val="10"/>
    <w:qFormat/>
    <w:pPr>
      <w:numPr>
        <w:ilvl w:val="4"/>
        <w:numId w:val="6"/>
      </w:numPr>
      <w:spacing w:after="0"/>
    </w:pPr>
  </w:style>
  <w:style w:type="paragraph" w:styleId="Seznamsodrkami">
    <w:name w:val="List Bullet"/>
    <w:aliases w:val="Seznam s odrážkami A"/>
    <w:basedOn w:val="Normln"/>
    <w:uiPriority w:val="10"/>
    <w:qFormat/>
    <w:pPr>
      <w:numPr>
        <w:numId w:val="6"/>
      </w:numPr>
      <w:spacing w:after="0"/>
      <w:contextualSpacing/>
    </w:pPr>
  </w:style>
  <w:style w:type="paragraph" w:styleId="Seznamsodrkami2">
    <w:name w:val="List Bullet 2"/>
    <w:aliases w:val="Seznam s odrážkami A 2"/>
    <w:basedOn w:val="Normln"/>
    <w:uiPriority w:val="10"/>
    <w:qFormat/>
    <w:pPr>
      <w:numPr>
        <w:ilvl w:val="1"/>
        <w:numId w:val="6"/>
      </w:numPr>
      <w:spacing w:after="0"/>
      <w:contextualSpacing/>
    </w:pPr>
  </w:style>
  <w:style w:type="paragraph" w:customStyle="1" w:styleId="Nadpis1-mimoobsah">
    <w:name w:val="Nadpis 1 - mimo obsah"/>
    <w:basedOn w:val="Normln"/>
    <w:next w:val="Normln"/>
    <w:uiPriority w:val="8"/>
    <w:qFormat/>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11"/>
    <w:qFormat/>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11"/>
    <w:rPr>
      <w:rFonts w:eastAsiaTheme="minorEastAsia"/>
      <w:color w:val="595959" w:themeColor="text1" w:themeTint="A6"/>
      <w:spacing w:val="15"/>
      <w:sz w:val="28"/>
    </w:rPr>
  </w:style>
  <w:style w:type="paragraph" w:styleId="Obsah1">
    <w:name w:val="toc 1"/>
    <w:basedOn w:val="Normln"/>
    <w:next w:val="Normln"/>
    <w:autoRedefine/>
    <w:uiPriority w:val="39"/>
    <w:unhideWhenUsed/>
    <w:pPr>
      <w:tabs>
        <w:tab w:val="right" w:leader="dot" w:pos="9060"/>
      </w:tabs>
      <w:spacing w:before="120" w:after="0"/>
      <w:jc w:val="left"/>
    </w:pPr>
    <w:rPr>
      <w:b/>
      <w:bCs/>
      <w:sz w:val="24"/>
      <w:szCs w:val="24"/>
    </w:rPr>
  </w:style>
  <w:style w:type="paragraph" w:styleId="Obsah2">
    <w:name w:val="toc 2"/>
    <w:basedOn w:val="Normln"/>
    <w:next w:val="Normln"/>
    <w:autoRedefine/>
    <w:uiPriority w:val="39"/>
    <w:unhideWhenUsed/>
    <w:pPr>
      <w:spacing w:after="0"/>
      <w:ind w:left="220"/>
      <w:jc w:val="left"/>
    </w:pPr>
    <w:rPr>
      <w:b/>
      <w:bCs/>
      <w:szCs w:val="22"/>
    </w:rPr>
  </w:style>
  <w:style w:type="paragraph" w:styleId="Obsah3">
    <w:name w:val="toc 3"/>
    <w:basedOn w:val="Normln"/>
    <w:next w:val="Normln"/>
    <w:autoRedefine/>
    <w:uiPriority w:val="39"/>
    <w:unhideWhenUsed/>
    <w:pPr>
      <w:spacing w:after="0"/>
      <w:ind w:left="440"/>
      <w:jc w:val="left"/>
    </w:pPr>
    <w:rPr>
      <w:szCs w:val="22"/>
    </w:rPr>
  </w:style>
  <w:style w:type="paragraph" w:styleId="Obsah4">
    <w:name w:val="toc 4"/>
    <w:basedOn w:val="Normln"/>
    <w:next w:val="Normln"/>
    <w:autoRedefine/>
    <w:uiPriority w:val="39"/>
    <w:unhideWhenUsed/>
    <w:pPr>
      <w:spacing w:after="0"/>
      <w:ind w:left="660"/>
      <w:jc w:val="left"/>
    </w:pPr>
    <w:rPr>
      <w:sz w:val="20"/>
    </w:rPr>
  </w:style>
  <w:style w:type="paragraph" w:styleId="Obsah5">
    <w:name w:val="toc 5"/>
    <w:basedOn w:val="Normln"/>
    <w:next w:val="Normln"/>
    <w:autoRedefine/>
    <w:uiPriority w:val="39"/>
    <w:unhideWhenUsed/>
    <w:pPr>
      <w:spacing w:after="0"/>
      <w:ind w:left="880"/>
      <w:jc w:val="left"/>
    </w:pPr>
    <w:rPr>
      <w:sz w:val="20"/>
    </w:rPr>
  </w:style>
  <w:style w:type="paragraph" w:styleId="Obsah6">
    <w:name w:val="toc 6"/>
    <w:basedOn w:val="Normln"/>
    <w:next w:val="Normln"/>
    <w:autoRedefine/>
    <w:uiPriority w:val="39"/>
    <w:unhideWhenUsed/>
    <w:pPr>
      <w:spacing w:after="0"/>
      <w:ind w:left="1100"/>
      <w:jc w:val="left"/>
    </w:pPr>
    <w:rPr>
      <w:sz w:val="20"/>
    </w:rPr>
  </w:style>
  <w:style w:type="paragraph" w:styleId="Obsah7">
    <w:name w:val="toc 7"/>
    <w:basedOn w:val="Normln"/>
    <w:next w:val="Normln"/>
    <w:autoRedefine/>
    <w:uiPriority w:val="39"/>
    <w:unhideWhenUsed/>
    <w:pPr>
      <w:spacing w:after="0"/>
      <w:ind w:left="1320"/>
      <w:jc w:val="left"/>
    </w:pPr>
    <w:rPr>
      <w:sz w:val="20"/>
    </w:rPr>
  </w:style>
  <w:style w:type="paragraph" w:styleId="Obsah8">
    <w:name w:val="toc 8"/>
    <w:basedOn w:val="Normln"/>
    <w:next w:val="Normln"/>
    <w:autoRedefine/>
    <w:uiPriority w:val="39"/>
    <w:unhideWhenUsed/>
    <w:pPr>
      <w:spacing w:after="0"/>
      <w:ind w:left="1540"/>
      <w:jc w:val="left"/>
    </w:pPr>
    <w:rPr>
      <w:sz w:val="20"/>
    </w:rPr>
  </w:style>
  <w:style w:type="paragraph" w:styleId="Obsah9">
    <w:name w:val="toc 9"/>
    <w:basedOn w:val="Normln"/>
    <w:next w:val="Normln"/>
    <w:autoRedefine/>
    <w:uiPriority w:val="39"/>
    <w:unhideWhenUsed/>
    <w:pPr>
      <w:spacing w:after="0"/>
      <w:ind w:left="1760"/>
      <w:jc w:val="left"/>
    </w:pPr>
    <w:rPr>
      <w:sz w:val="20"/>
    </w:rPr>
  </w:style>
  <w:style w:type="character" w:styleId="Hypertextovodkaz">
    <w:name w:val="Hyperlink"/>
    <w:basedOn w:val="Standardnpsmoodstavce"/>
    <w:uiPriority w:val="99"/>
    <w:unhideWhenUsed/>
    <w:rPr>
      <w:color w:val="004B8D" w:themeColor="hyperlink"/>
      <w:u w:val="single"/>
    </w:rPr>
  </w:style>
  <w:style w:type="character" w:styleId="Zdraznnjemn">
    <w:name w:val="Subtle Emphasis"/>
    <w:basedOn w:val="Standardnpsmoodstavce"/>
    <w:uiPriority w:val="19"/>
    <w:qFormat/>
    <w:rPr>
      <w:i/>
      <w:iCs/>
      <w:color w:val="595959" w:themeColor="text1" w:themeTint="A6"/>
    </w:rPr>
  </w:style>
  <w:style w:type="character" w:styleId="Odkazjemn">
    <w:name w:val="Subtle Reference"/>
    <w:basedOn w:val="Standardnpsmoodstavce"/>
    <w:uiPriority w:val="23"/>
    <w:qFormat/>
    <w:rPr>
      <w:smallCaps/>
      <w:color w:val="5A5A5A" w:themeColor="text1" w:themeTint="A5"/>
    </w:rPr>
  </w:style>
  <w:style w:type="paragraph" w:styleId="Citt">
    <w:name w:val="Quote"/>
    <w:basedOn w:val="Normln"/>
    <w:next w:val="Normln"/>
    <w:link w:val="CittChar"/>
    <w:uiPriority w:val="27"/>
    <w:qFormat/>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Pr>
      <w:i/>
      <w:iCs/>
      <w:color w:val="595959" w:themeColor="text1" w:themeTint="A6"/>
    </w:rPr>
  </w:style>
  <w:style w:type="character" w:styleId="Zdraznn">
    <w:name w:val="Emphasis"/>
    <w:basedOn w:val="Standardnpsmoodstavce"/>
    <w:uiPriority w:val="20"/>
    <w:qFormat/>
    <w:rPr>
      <w:i/>
      <w:iCs/>
    </w:rPr>
  </w:style>
  <w:style w:type="paragraph" w:styleId="Nadpisobsahu">
    <w:name w:val="TOC Heading"/>
    <w:basedOn w:val="Nadpis1-mimoobsah"/>
    <w:next w:val="Normln"/>
    <w:uiPriority w:val="39"/>
    <w:unhideWhenUsed/>
    <w:qFormat/>
  </w:style>
  <w:style w:type="paragraph" w:styleId="Datum">
    <w:name w:val="Date"/>
    <w:basedOn w:val="Normln"/>
    <w:next w:val="Normln"/>
    <w:link w:val="DatumChar"/>
    <w:uiPriority w:val="31"/>
    <w:unhideWhenUsed/>
  </w:style>
  <w:style w:type="character" w:customStyle="1" w:styleId="DatumChar">
    <w:name w:val="Datum Char"/>
    <w:basedOn w:val="Standardnpsmoodstavce"/>
    <w:link w:val="Datum"/>
    <w:uiPriority w:val="31"/>
    <w:rPr>
      <w:color w:val="000000" w:themeColor="text1"/>
    </w:rPr>
  </w:style>
  <w:style w:type="paragraph" w:styleId="Textvbloku">
    <w:name w:val="Block Text"/>
    <w:basedOn w:val="Normln"/>
    <w:uiPriority w:val="29"/>
    <w:unhideWhenUsed/>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99"/>
    <w:semiHidden/>
    <w:unhideWhenUsed/>
    <w:rPr>
      <w:color w:val="595959" w:themeColor="text1" w:themeTint="A6"/>
      <w:u w:val="single"/>
    </w:rPr>
  </w:style>
  <w:style w:type="paragraph" w:styleId="Zkladntext">
    <w:name w:val="Body Text"/>
    <w:basedOn w:val="Normln"/>
    <w:link w:val="ZkladntextChar"/>
    <w:uiPriority w:val="1"/>
  </w:style>
  <w:style w:type="character" w:customStyle="1" w:styleId="ZkladntextChar">
    <w:name w:val="Základní text Char"/>
    <w:basedOn w:val="Standardnpsmoodstavce"/>
    <w:link w:val="Zkladntext"/>
    <w:uiPriority w:val="1"/>
    <w:rPr>
      <w:color w:val="000000" w:themeColor="text1"/>
    </w:rPr>
  </w:style>
  <w:style w:type="paragraph" w:styleId="Zkladntext-prvnodsazen">
    <w:name w:val="Body Text First Indent"/>
    <w:basedOn w:val="Zkladntext"/>
    <w:link w:val="Zkladntext-prvnodsazenChar"/>
    <w:uiPriority w:val="1"/>
    <w:pPr>
      <w:ind w:firstLine="357"/>
    </w:pPr>
  </w:style>
  <w:style w:type="character" w:customStyle="1" w:styleId="Zkladntext-prvnodsazenChar">
    <w:name w:val="Základní text - první odsazený Char"/>
    <w:basedOn w:val="ZkladntextChar"/>
    <w:link w:val="Zkladntext-prvnodsazen"/>
    <w:uiPriority w:val="1"/>
    <w:rPr>
      <w:color w:val="000000" w:themeColor="text1"/>
    </w:rPr>
  </w:style>
  <w:style w:type="paragraph" w:styleId="Zkladntextodsazen">
    <w:name w:val="Body Text Indent"/>
    <w:basedOn w:val="Normln"/>
    <w:link w:val="ZkladntextodsazenChar"/>
    <w:uiPriority w:val="1"/>
    <w:pPr>
      <w:ind w:left="357"/>
    </w:pPr>
  </w:style>
  <w:style w:type="character" w:customStyle="1" w:styleId="ZkladntextodsazenChar">
    <w:name w:val="Základní text odsazený Char"/>
    <w:basedOn w:val="Standardnpsmoodstavce"/>
    <w:link w:val="Zkladntextodsazen"/>
    <w:uiPriority w:val="1"/>
    <w:rPr>
      <w:color w:val="000000" w:themeColor="text1"/>
    </w:rPr>
  </w:style>
  <w:style w:type="paragraph" w:customStyle="1" w:styleId="SeznamsodrkamiB">
    <w:name w:val="Seznam s odrážkami B"/>
    <w:basedOn w:val="Normln"/>
    <w:uiPriority w:val="11"/>
    <w:qFormat/>
    <w:pPr>
      <w:numPr>
        <w:numId w:val="8"/>
      </w:numPr>
      <w:spacing w:after="0"/>
    </w:pPr>
  </w:style>
  <w:style w:type="paragraph" w:customStyle="1" w:styleId="SeznamsodrkamiB2">
    <w:name w:val="Seznam s odrážkami B 2"/>
    <w:basedOn w:val="Normln"/>
    <w:uiPriority w:val="11"/>
    <w:qFormat/>
    <w:pPr>
      <w:numPr>
        <w:ilvl w:val="1"/>
        <w:numId w:val="8"/>
      </w:numPr>
      <w:spacing w:after="0"/>
    </w:pPr>
  </w:style>
  <w:style w:type="paragraph" w:customStyle="1" w:styleId="SeznamsodrkamiB3">
    <w:name w:val="Seznam s odrážkami B 3"/>
    <w:basedOn w:val="Normln"/>
    <w:uiPriority w:val="11"/>
    <w:qFormat/>
    <w:pPr>
      <w:numPr>
        <w:ilvl w:val="2"/>
        <w:numId w:val="8"/>
      </w:numPr>
      <w:spacing w:after="0"/>
    </w:pPr>
  </w:style>
  <w:style w:type="paragraph" w:customStyle="1" w:styleId="SeznamsodrkamiB4">
    <w:name w:val="Seznam s odrážkami B 4"/>
    <w:basedOn w:val="Normln"/>
    <w:uiPriority w:val="11"/>
    <w:qFormat/>
    <w:pPr>
      <w:numPr>
        <w:ilvl w:val="3"/>
        <w:numId w:val="8"/>
      </w:numPr>
      <w:spacing w:after="0"/>
    </w:pPr>
  </w:style>
  <w:style w:type="paragraph" w:customStyle="1" w:styleId="SeznamsodrkamiB5">
    <w:name w:val="Seznam s odrážkami B 5"/>
    <w:basedOn w:val="Normln"/>
    <w:uiPriority w:val="11"/>
    <w:qFormat/>
    <w:pPr>
      <w:numPr>
        <w:ilvl w:val="4"/>
        <w:numId w:val="8"/>
      </w:numPr>
      <w:spacing w:after="0"/>
    </w:p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rPr>
  </w:style>
  <w:style w:type="character" w:customStyle="1" w:styleId="TextkomenteChar">
    <w:name w:val="Text komentáře Char"/>
    <w:basedOn w:val="Standardnpsmoodstavce"/>
    <w:link w:val="Textkomente"/>
    <w:uiPriority w:val="99"/>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eastAsia="Times New Roman" w:cs="Times New Roman"/>
      <w:b/>
      <w:bCs/>
      <w:sz w:val="20"/>
      <w:szCs w:val="20"/>
      <w:lang w:eastAsia="cs-CZ"/>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eastAsia="Times New Roman" w:cs="Times New Roman"/>
      <w:szCs w:val="20"/>
      <w:lang w:eastAsia="cs-CZ"/>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eastAsia="Times New Roman" w:cs="Times New Roman"/>
      <w:szCs w:val="20"/>
      <w:lang w:eastAsia="cs-CZ"/>
    </w:rPr>
  </w:style>
  <w:style w:type="paragraph" w:styleId="Normlnweb">
    <w:name w:val="Normal (Web)"/>
    <w:basedOn w:val="Normln"/>
    <w:uiPriority w:val="99"/>
    <w:semiHidden/>
    <w:unhideWhenUsed/>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paragraph" w:styleId="Textpoznpodarou">
    <w:name w:val="footnote text"/>
    <w:aliases w:val="Footnote Text Char3,Footnote Text Char1 Char1,Footnote Text Char2 Char Char,Footnote Text Char1 Char1 Char Char,Footnote Text Char2 Char Char Char Char,Footnote Text Char1 Char1 Char Char Char Char Char,-E Fußnotentext,Fußnotentextf"/>
    <w:basedOn w:val="Normln"/>
    <w:link w:val="TextpoznpodarouChar"/>
    <w:uiPriority w:val="99"/>
    <w:unhideWhenUsed/>
    <w:qFormat/>
    <w:pPr>
      <w:spacing w:after="0" w:line="240" w:lineRule="auto"/>
    </w:pPr>
    <w:rPr>
      <w:sz w:val="20"/>
    </w:rPr>
  </w:style>
  <w:style w:type="character" w:customStyle="1" w:styleId="TextpoznpodarouChar">
    <w:name w:val="Text pozn. pod čarou Char"/>
    <w:aliases w:val="Footnote Text Char3 Char,Footnote Text Char1 Char1 Char,Footnote Text Char2 Char Char Char,Footnote Text Char1 Char1 Char Char Char,Footnote Text Char2 Char Char Char Char Char,-E Fußnotentext Char,Fußnotentextf Char"/>
    <w:basedOn w:val="Standardnpsmoodstavce"/>
    <w:link w:val="Textpoznpodarou"/>
    <w:uiPriority w:val="99"/>
    <w:qFormat/>
    <w:rPr>
      <w:rFonts w:eastAsia="Times New Roman" w:cs="Times New Roman"/>
      <w:sz w:val="20"/>
      <w:szCs w:val="20"/>
      <w:lang w:eastAsia="cs-CZ"/>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SUPERS"/>
    <w:basedOn w:val="Standardnpsmoodstavce"/>
    <w:uiPriority w:val="99"/>
    <w:unhideWhenUsed/>
    <w:rPr>
      <w:vertAlign w:val="superscript"/>
    </w:rPr>
  </w:style>
  <w:style w:type="table" w:styleId="Mkatabulky">
    <w:name w:val="Table Grid"/>
    <w:basedOn w:val="Normlntabulka"/>
    <w:uiPriority w:val="5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qFormat/>
    <w:rPr>
      <w:color w:val="000000" w:themeColor="text1"/>
    </w:rPr>
  </w:style>
  <w:style w:type="paragraph" w:styleId="Titulek">
    <w:name w:val="caption"/>
    <w:basedOn w:val="Normln"/>
    <w:next w:val="Normln"/>
    <w:uiPriority w:val="35"/>
    <w:unhideWhenUsed/>
    <w:qFormat/>
    <w:pPr>
      <w:spacing w:after="200" w:line="240" w:lineRule="auto"/>
    </w:pPr>
    <w:rPr>
      <w:i/>
      <w:iCs/>
      <w:color w:val="004B8D" w:themeColor="text2"/>
      <w:sz w:val="18"/>
      <w:szCs w:val="18"/>
    </w:rPr>
  </w:style>
  <w:style w:type="paragraph" w:customStyle="1" w:styleId="Nzvyopatennadpis">
    <w:name w:val="Názvy opatření (nadpis)"/>
    <w:basedOn w:val="Normln"/>
    <w:link w:val="NzvyopatennadpisChar"/>
    <w:qFormat/>
    <w:pPr>
      <w:overflowPunct/>
      <w:autoSpaceDE/>
      <w:autoSpaceDN/>
      <w:adjustRightInd/>
      <w:spacing w:before="240" w:after="60" w:line="276" w:lineRule="auto"/>
      <w:textAlignment w:val="auto"/>
    </w:pPr>
    <w:rPr>
      <w:rFonts w:ascii="Times New Roman" w:hAnsi="Times New Roman"/>
      <w:b/>
      <w:color w:val="000000"/>
      <w:szCs w:val="24"/>
    </w:rPr>
  </w:style>
  <w:style w:type="character" w:customStyle="1" w:styleId="NzvyopatennadpisChar">
    <w:name w:val="Názvy opatření (nadpis) Char"/>
    <w:link w:val="Nzvyopatennadpis"/>
    <w:rPr>
      <w:rFonts w:ascii="Times New Roman" w:eastAsia="Times New Roman" w:hAnsi="Times New Roman" w:cs="Times New Roman"/>
      <w:b/>
      <w:color w:val="000000"/>
      <w:szCs w:val="24"/>
      <w:lang w:eastAsia="cs-CZ"/>
    </w:rPr>
  </w:style>
  <w:style w:type="paragraph" w:styleId="Seznamobrzk">
    <w:name w:val="table of figures"/>
    <w:basedOn w:val="Normln"/>
    <w:next w:val="Normln"/>
    <w:uiPriority w:val="99"/>
    <w:unhideWhenUsed/>
    <w:pPr>
      <w:spacing w:after="0"/>
    </w:pPr>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apple-converted-space">
    <w:name w:val="apple-converted-space"/>
    <w:basedOn w:val="Standardnpsmoodstavce"/>
  </w:style>
  <w:style w:type="paragraph" w:customStyle="1" w:styleId="msonormal0">
    <w:name w:val="msonormal"/>
    <w:basedOn w:val="Normln"/>
    <w:pP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xl66">
    <w:name w:val="xl6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xl68">
    <w:name w:val="xl6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xl69">
    <w:name w:val="xl69"/>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xl70">
    <w:name w:val="xl70"/>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xl71">
    <w:name w:val="xl71"/>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xl72">
    <w:name w:val="xl72"/>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xl67">
    <w:name w:val="xl67"/>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paragraph" w:styleId="Rozloendokumentu">
    <w:name w:val="Document Map"/>
    <w:basedOn w:val="Normln"/>
    <w:link w:val="RozloendokumentuChar"/>
    <w:uiPriority w:val="99"/>
    <w:semiHidden/>
    <w:unhideWhenUsed/>
    <w:pPr>
      <w:spacing w:after="0" w:line="240" w:lineRule="auto"/>
    </w:pPr>
    <w:rPr>
      <w:rFonts w:ascii="Times New Roman" w:hAnsi="Times New Roman"/>
      <w:sz w:val="24"/>
      <w:szCs w:val="24"/>
    </w:rPr>
  </w:style>
  <w:style w:type="character" w:customStyle="1" w:styleId="RozloendokumentuChar">
    <w:name w:val="Rozložení dokumentu Char"/>
    <w:basedOn w:val="Standardnpsmoodstavce"/>
    <w:link w:val="Rozloendokumentu"/>
    <w:uiPriority w:val="99"/>
    <w:semiHidden/>
    <w:rPr>
      <w:rFonts w:ascii="Times New Roman" w:eastAsia="Times New Roman" w:hAnsi="Times New Roman" w:cs="Times New Roman"/>
      <w:sz w:val="24"/>
      <w:szCs w:val="24"/>
      <w:lang w:eastAsia="cs-CZ"/>
    </w:rPr>
  </w:style>
  <w:style w:type="paragraph" w:styleId="Revize">
    <w:name w:val="Revision"/>
    <w:hidden/>
    <w:uiPriority w:val="99"/>
    <w:semiHidden/>
    <w:pPr>
      <w:spacing w:after="0" w:line="240" w:lineRule="auto"/>
    </w:pPr>
    <w:rPr>
      <w:rFonts w:eastAsia="Times New Roman" w:cs="Times New Roman"/>
      <w:szCs w:val="20"/>
      <w:lang w:eastAsia="cs-CZ"/>
    </w:rPr>
  </w:style>
  <w:style w:type="table" w:styleId="Svtlmkatabulky">
    <w:name w:val="Grid Table Light"/>
    <w:basedOn w:val="Normlntabul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4">
    <w:name w:val="l4"/>
    <w:basedOn w:val="Normln"/>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val="en-US" w:eastAsia="en-US"/>
    </w:rPr>
  </w:style>
  <w:style w:type="character" w:styleId="PromnnHTML">
    <w:name w:val="HTML Variable"/>
    <w:basedOn w:val="Standardnpsmoodstavce"/>
    <w:uiPriority w:val="99"/>
    <w:semiHidden/>
    <w:unhideWhenUsed/>
    <w:rPr>
      <w:i/>
      <w:iCs/>
    </w:rPr>
  </w:style>
  <w:style w:type="paragraph" w:customStyle="1" w:styleId="Tabulka">
    <w:name w:val="Tabulka"/>
    <w:basedOn w:val="Normln"/>
    <w:link w:val="TabulkaChar"/>
    <w:qFormat/>
    <w:rPr>
      <w:b/>
    </w:rPr>
  </w:style>
  <w:style w:type="character" w:customStyle="1" w:styleId="TabulkaChar">
    <w:name w:val="Tabulka Char"/>
    <w:basedOn w:val="Standardnpsmoodstavce"/>
    <w:link w:val="Tabulka"/>
    <w:rPr>
      <w:rFonts w:eastAsia="Times New Roman"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1440">
      <w:bodyDiv w:val="1"/>
      <w:marLeft w:val="0"/>
      <w:marRight w:val="0"/>
      <w:marTop w:val="0"/>
      <w:marBottom w:val="0"/>
      <w:divBdr>
        <w:top w:val="none" w:sz="0" w:space="0" w:color="auto"/>
        <w:left w:val="none" w:sz="0" w:space="0" w:color="auto"/>
        <w:bottom w:val="none" w:sz="0" w:space="0" w:color="auto"/>
        <w:right w:val="none" w:sz="0" w:space="0" w:color="auto"/>
      </w:divBdr>
    </w:div>
    <w:div w:id="47801881">
      <w:bodyDiv w:val="1"/>
      <w:marLeft w:val="0"/>
      <w:marRight w:val="0"/>
      <w:marTop w:val="0"/>
      <w:marBottom w:val="0"/>
      <w:divBdr>
        <w:top w:val="none" w:sz="0" w:space="0" w:color="auto"/>
        <w:left w:val="none" w:sz="0" w:space="0" w:color="auto"/>
        <w:bottom w:val="none" w:sz="0" w:space="0" w:color="auto"/>
        <w:right w:val="none" w:sz="0" w:space="0" w:color="auto"/>
      </w:divBdr>
    </w:div>
    <w:div w:id="55403076">
      <w:bodyDiv w:val="1"/>
      <w:marLeft w:val="0"/>
      <w:marRight w:val="0"/>
      <w:marTop w:val="0"/>
      <w:marBottom w:val="0"/>
      <w:divBdr>
        <w:top w:val="none" w:sz="0" w:space="0" w:color="auto"/>
        <w:left w:val="none" w:sz="0" w:space="0" w:color="auto"/>
        <w:bottom w:val="none" w:sz="0" w:space="0" w:color="auto"/>
        <w:right w:val="none" w:sz="0" w:space="0" w:color="auto"/>
      </w:divBdr>
    </w:div>
    <w:div w:id="101851682">
      <w:bodyDiv w:val="1"/>
      <w:marLeft w:val="0"/>
      <w:marRight w:val="0"/>
      <w:marTop w:val="0"/>
      <w:marBottom w:val="0"/>
      <w:divBdr>
        <w:top w:val="none" w:sz="0" w:space="0" w:color="auto"/>
        <w:left w:val="none" w:sz="0" w:space="0" w:color="auto"/>
        <w:bottom w:val="none" w:sz="0" w:space="0" w:color="auto"/>
        <w:right w:val="none" w:sz="0" w:space="0" w:color="auto"/>
      </w:divBdr>
    </w:div>
    <w:div w:id="116604793">
      <w:bodyDiv w:val="1"/>
      <w:marLeft w:val="0"/>
      <w:marRight w:val="0"/>
      <w:marTop w:val="0"/>
      <w:marBottom w:val="0"/>
      <w:divBdr>
        <w:top w:val="none" w:sz="0" w:space="0" w:color="auto"/>
        <w:left w:val="none" w:sz="0" w:space="0" w:color="auto"/>
        <w:bottom w:val="none" w:sz="0" w:space="0" w:color="auto"/>
        <w:right w:val="none" w:sz="0" w:space="0" w:color="auto"/>
      </w:divBdr>
    </w:div>
    <w:div w:id="222907025">
      <w:bodyDiv w:val="1"/>
      <w:marLeft w:val="0"/>
      <w:marRight w:val="0"/>
      <w:marTop w:val="0"/>
      <w:marBottom w:val="0"/>
      <w:divBdr>
        <w:top w:val="none" w:sz="0" w:space="0" w:color="auto"/>
        <w:left w:val="none" w:sz="0" w:space="0" w:color="auto"/>
        <w:bottom w:val="none" w:sz="0" w:space="0" w:color="auto"/>
        <w:right w:val="none" w:sz="0" w:space="0" w:color="auto"/>
      </w:divBdr>
    </w:div>
    <w:div w:id="283655590">
      <w:bodyDiv w:val="1"/>
      <w:marLeft w:val="0"/>
      <w:marRight w:val="0"/>
      <w:marTop w:val="0"/>
      <w:marBottom w:val="0"/>
      <w:divBdr>
        <w:top w:val="none" w:sz="0" w:space="0" w:color="auto"/>
        <w:left w:val="none" w:sz="0" w:space="0" w:color="auto"/>
        <w:bottom w:val="none" w:sz="0" w:space="0" w:color="auto"/>
        <w:right w:val="none" w:sz="0" w:space="0" w:color="auto"/>
      </w:divBdr>
    </w:div>
    <w:div w:id="300110591">
      <w:bodyDiv w:val="1"/>
      <w:marLeft w:val="0"/>
      <w:marRight w:val="0"/>
      <w:marTop w:val="0"/>
      <w:marBottom w:val="0"/>
      <w:divBdr>
        <w:top w:val="none" w:sz="0" w:space="0" w:color="auto"/>
        <w:left w:val="none" w:sz="0" w:space="0" w:color="auto"/>
        <w:bottom w:val="none" w:sz="0" w:space="0" w:color="auto"/>
        <w:right w:val="none" w:sz="0" w:space="0" w:color="auto"/>
      </w:divBdr>
    </w:div>
    <w:div w:id="348683381">
      <w:bodyDiv w:val="1"/>
      <w:marLeft w:val="0"/>
      <w:marRight w:val="0"/>
      <w:marTop w:val="0"/>
      <w:marBottom w:val="0"/>
      <w:divBdr>
        <w:top w:val="none" w:sz="0" w:space="0" w:color="auto"/>
        <w:left w:val="none" w:sz="0" w:space="0" w:color="auto"/>
        <w:bottom w:val="none" w:sz="0" w:space="0" w:color="auto"/>
        <w:right w:val="none" w:sz="0" w:space="0" w:color="auto"/>
      </w:divBdr>
    </w:div>
    <w:div w:id="355423075">
      <w:bodyDiv w:val="1"/>
      <w:marLeft w:val="0"/>
      <w:marRight w:val="0"/>
      <w:marTop w:val="0"/>
      <w:marBottom w:val="0"/>
      <w:divBdr>
        <w:top w:val="none" w:sz="0" w:space="0" w:color="auto"/>
        <w:left w:val="none" w:sz="0" w:space="0" w:color="auto"/>
        <w:bottom w:val="none" w:sz="0" w:space="0" w:color="auto"/>
        <w:right w:val="none" w:sz="0" w:space="0" w:color="auto"/>
      </w:divBdr>
    </w:div>
    <w:div w:id="385760913">
      <w:bodyDiv w:val="1"/>
      <w:marLeft w:val="0"/>
      <w:marRight w:val="0"/>
      <w:marTop w:val="0"/>
      <w:marBottom w:val="0"/>
      <w:divBdr>
        <w:top w:val="none" w:sz="0" w:space="0" w:color="auto"/>
        <w:left w:val="none" w:sz="0" w:space="0" w:color="auto"/>
        <w:bottom w:val="none" w:sz="0" w:space="0" w:color="auto"/>
        <w:right w:val="none" w:sz="0" w:space="0" w:color="auto"/>
      </w:divBdr>
    </w:div>
    <w:div w:id="389575782">
      <w:bodyDiv w:val="1"/>
      <w:marLeft w:val="0"/>
      <w:marRight w:val="0"/>
      <w:marTop w:val="0"/>
      <w:marBottom w:val="0"/>
      <w:divBdr>
        <w:top w:val="none" w:sz="0" w:space="0" w:color="auto"/>
        <w:left w:val="none" w:sz="0" w:space="0" w:color="auto"/>
        <w:bottom w:val="none" w:sz="0" w:space="0" w:color="auto"/>
        <w:right w:val="none" w:sz="0" w:space="0" w:color="auto"/>
      </w:divBdr>
    </w:div>
    <w:div w:id="395323181">
      <w:bodyDiv w:val="1"/>
      <w:marLeft w:val="0"/>
      <w:marRight w:val="0"/>
      <w:marTop w:val="0"/>
      <w:marBottom w:val="0"/>
      <w:divBdr>
        <w:top w:val="none" w:sz="0" w:space="0" w:color="auto"/>
        <w:left w:val="none" w:sz="0" w:space="0" w:color="auto"/>
        <w:bottom w:val="none" w:sz="0" w:space="0" w:color="auto"/>
        <w:right w:val="none" w:sz="0" w:space="0" w:color="auto"/>
      </w:divBdr>
    </w:div>
    <w:div w:id="403990239">
      <w:bodyDiv w:val="1"/>
      <w:marLeft w:val="0"/>
      <w:marRight w:val="0"/>
      <w:marTop w:val="0"/>
      <w:marBottom w:val="0"/>
      <w:divBdr>
        <w:top w:val="none" w:sz="0" w:space="0" w:color="auto"/>
        <w:left w:val="none" w:sz="0" w:space="0" w:color="auto"/>
        <w:bottom w:val="none" w:sz="0" w:space="0" w:color="auto"/>
        <w:right w:val="none" w:sz="0" w:space="0" w:color="auto"/>
      </w:divBdr>
    </w:div>
    <w:div w:id="496117562">
      <w:bodyDiv w:val="1"/>
      <w:marLeft w:val="0"/>
      <w:marRight w:val="0"/>
      <w:marTop w:val="0"/>
      <w:marBottom w:val="0"/>
      <w:divBdr>
        <w:top w:val="none" w:sz="0" w:space="0" w:color="auto"/>
        <w:left w:val="none" w:sz="0" w:space="0" w:color="auto"/>
        <w:bottom w:val="none" w:sz="0" w:space="0" w:color="auto"/>
        <w:right w:val="none" w:sz="0" w:space="0" w:color="auto"/>
      </w:divBdr>
    </w:div>
    <w:div w:id="548762012">
      <w:bodyDiv w:val="1"/>
      <w:marLeft w:val="0"/>
      <w:marRight w:val="0"/>
      <w:marTop w:val="0"/>
      <w:marBottom w:val="0"/>
      <w:divBdr>
        <w:top w:val="none" w:sz="0" w:space="0" w:color="auto"/>
        <w:left w:val="none" w:sz="0" w:space="0" w:color="auto"/>
        <w:bottom w:val="none" w:sz="0" w:space="0" w:color="auto"/>
        <w:right w:val="none" w:sz="0" w:space="0" w:color="auto"/>
      </w:divBdr>
      <w:divsChild>
        <w:div w:id="1024556712">
          <w:marLeft w:val="0"/>
          <w:marRight w:val="0"/>
          <w:marTop w:val="0"/>
          <w:marBottom w:val="0"/>
          <w:divBdr>
            <w:top w:val="none" w:sz="0" w:space="0" w:color="auto"/>
            <w:left w:val="none" w:sz="0" w:space="0" w:color="auto"/>
            <w:bottom w:val="none" w:sz="0" w:space="0" w:color="auto"/>
            <w:right w:val="none" w:sz="0" w:space="0" w:color="auto"/>
          </w:divBdr>
        </w:div>
      </w:divsChild>
    </w:div>
    <w:div w:id="583609945">
      <w:bodyDiv w:val="1"/>
      <w:marLeft w:val="0"/>
      <w:marRight w:val="0"/>
      <w:marTop w:val="0"/>
      <w:marBottom w:val="0"/>
      <w:divBdr>
        <w:top w:val="none" w:sz="0" w:space="0" w:color="auto"/>
        <w:left w:val="none" w:sz="0" w:space="0" w:color="auto"/>
        <w:bottom w:val="none" w:sz="0" w:space="0" w:color="auto"/>
        <w:right w:val="none" w:sz="0" w:space="0" w:color="auto"/>
      </w:divBdr>
    </w:div>
    <w:div w:id="590704936">
      <w:bodyDiv w:val="1"/>
      <w:marLeft w:val="0"/>
      <w:marRight w:val="0"/>
      <w:marTop w:val="0"/>
      <w:marBottom w:val="0"/>
      <w:divBdr>
        <w:top w:val="none" w:sz="0" w:space="0" w:color="auto"/>
        <w:left w:val="none" w:sz="0" w:space="0" w:color="auto"/>
        <w:bottom w:val="none" w:sz="0" w:space="0" w:color="auto"/>
        <w:right w:val="none" w:sz="0" w:space="0" w:color="auto"/>
      </w:divBdr>
    </w:div>
    <w:div w:id="662322173">
      <w:bodyDiv w:val="1"/>
      <w:marLeft w:val="0"/>
      <w:marRight w:val="0"/>
      <w:marTop w:val="0"/>
      <w:marBottom w:val="0"/>
      <w:divBdr>
        <w:top w:val="none" w:sz="0" w:space="0" w:color="auto"/>
        <w:left w:val="none" w:sz="0" w:space="0" w:color="auto"/>
        <w:bottom w:val="none" w:sz="0" w:space="0" w:color="auto"/>
        <w:right w:val="none" w:sz="0" w:space="0" w:color="auto"/>
      </w:divBdr>
    </w:div>
    <w:div w:id="697389799">
      <w:bodyDiv w:val="1"/>
      <w:marLeft w:val="0"/>
      <w:marRight w:val="0"/>
      <w:marTop w:val="0"/>
      <w:marBottom w:val="0"/>
      <w:divBdr>
        <w:top w:val="none" w:sz="0" w:space="0" w:color="auto"/>
        <w:left w:val="none" w:sz="0" w:space="0" w:color="auto"/>
        <w:bottom w:val="none" w:sz="0" w:space="0" w:color="auto"/>
        <w:right w:val="none" w:sz="0" w:space="0" w:color="auto"/>
      </w:divBdr>
    </w:div>
    <w:div w:id="728042666">
      <w:bodyDiv w:val="1"/>
      <w:marLeft w:val="0"/>
      <w:marRight w:val="0"/>
      <w:marTop w:val="0"/>
      <w:marBottom w:val="0"/>
      <w:divBdr>
        <w:top w:val="none" w:sz="0" w:space="0" w:color="auto"/>
        <w:left w:val="none" w:sz="0" w:space="0" w:color="auto"/>
        <w:bottom w:val="none" w:sz="0" w:space="0" w:color="auto"/>
        <w:right w:val="none" w:sz="0" w:space="0" w:color="auto"/>
      </w:divBdr>
    </w:div>
    <w:div w:id="729422816">
      <w:bodyDiv w:val="1"/>
      <w:marLeft w:val="0"/>
      <w:marRight w:val="0"/>
      <w:marTop w:val="0"/>
      <w:marBottom w:val="0"/>
      <w:divBdr>
        <w:top w:val="none" w:sz="0" w:space="0" w:color="auto"/>
        <w:left w:val="none" w:sz="0" w:space="0" w:color="auto"/>
        <w:bottom w:val="none" w:sz="0" w:space="0" w:color="auto"/>
        <w:right w:val="none" w:sz="0" w:space="0" w:color="auto"/>
      </w:divBdr>
    </w:div>
    <w:div w:id="730426893">
      <w:bodyDiv w:val="1"/>
      <w:marLeft w:val="0"/>
      <w:marRight w:val="0"/>
      <w:marTop w:val="0"/>
      <w:marBottom w:val="0"/>
      <w:divBdr>
        <w:top w:val="none" w:sz="0" w:space="0" w:color="auto"/>
        <w:left w:val="none" w:sz="0" w:space="0" w:color="auto"/>
        <w:bottom w:val="none" w:sz="0" w:space="0" w:color="auto"/>
        <w:right w:val="none" w:sz="0" w:space="0" w:color="auto"/>
      </w:divBdr>
    </w:div>
    <w:div w:id="750855265">
      <w:bodyDiv w:val="1"/>
      <w:marLeft w:val="0"/>
      <w:marRight w:val="0"/>
      <w:marTop w:val="0"/>
      <w:marBottom w:val="0"/>
      <w:divBdr>
        <w:top w:val="none" w:sz="0" w:space="0" w:color="auto"/>
        <w:left w:val="none" w:sz="0" w:space="0" w:color="auto"/>
        <w:bottom w:val="none" w:sz="0" w:space="0" w:color="auto"/>
        <w:right w:val="none" w:sz="0" w:space="0" w:color="auto"/>
      </w:divBdr>
    </w:div>
    <w:div w:id="780688489">
      <w:bodyDiv w:val="1"/>
      <w:marLeft w:val="0"/>
      <w:marRight w:val="0"/>
      <w:marTop w:val="0"/>
      <w:marBottom w:val="0"/>
      <w:divBdr>
        <w:top w:val="none" w:sz="0" w:space="0" w:color="auto"/>
        <w:left w:val="none" w:sz="0" w:space="0" w:color="auto"/>
        <w:bottom w:val="none" w:sz="0" w:space="0" w:color="auto"/>
        <w:right w:val="none" w:sz="0" w:space="0" w:color="auto"/>
      </w:divBdr>
    </w:div>
    <w:div w:id="788207347">
      <w:bodyDiv w:val="1"/>
      <w:marLeft w:val="0"/>
      <w:marRight w:val="0"/>
      <w:marTop w:val="0"/>
      <w:marBottom w:val="0"/>
      <w:divBdr>
        <w:top w:val="none" w:sz="0" w:space="0" w:color="auto"/>
        <w:left w:val="none" w:sz="0" w:space="0" w:color="auto"/>
        <w:bottom w:val="none" w:sz="0" w:space="0" w:color="auto"/>
        <w:right w:val="none" w:sz="0" w:space="0" w:color="auto"/>
      </w:divBdr>
      <w:divsChild>
        <w:div w:id="1100418670">
          <w:marLeft w:val="0"/>
          <w:marRight w:val="0"/>
          <w:marTop w:val="0"/>
          <w:marBottom w:val="0"/>
          <w:divBdr>
            <w:top w:val="none" w:sz="0" w:space="0" w:color="auto"/>
            <w:left w:val="none" w:sz="0" w:space="0" w:color="auto"/>
            <w:bottom w:val="none" w:sz="0" w:space="0" w:color="auto"/>
            <w:right w:val="none" w:sz="0" w:space="0" w:color="auto"/>
          </w:divBdr>
        </w:div>
      </w:divsChild>
    </w:div>
    <w:div w:id="799153719">
      <w:bodyDiv w:val="1"/>
      <w:marLeft w:val="0"/>
      <w:marRight w:val="0"/>
      <w:marTop w:val="0"/>
      <w:marBottom w:val="0"/>
      <w:divBdr>
        <w:top w:val="none" w:sz="0" w:space="0" w:color="auto"/>
        <w:left w:val="none" w:sz="0" w:space="0" w:color="auto"/>
        <w:bottom w:val="none" w:sz="0" w:space="0" w:color="auto"/>
        <w:right w:val="none" w:sz="0" w:space="0" w:color="auto"/>
      </w:divBdr>
    </w:div>
    <w:div w:id="811756951">
      <w:bodyDiv w:val="1"/>
      <w:marLeft w:val="0"/>
      <w:marRight w:val="0"/>
      <w:marTop w:val="0"/>
      <w:marBottom w:val="0"/>
      <w:divBdr>
        <w:top w:val="none" w:sz="0" w:space="0" w:color="auto"/>
        <w:left w:val="none" w:sz="0" w:space="0" w:color="auto"/>
        <w:bottom w:val="none" w:sz="0" w:space="0" w:color="auto"/>
        <w:right w:val="none" w:sz="0" w:space="0" w:color="auto"/>
      </w:divBdr>
    </w:div>
    <w:div w:id="821895502">
      <w:bodyDiv w:val="1"/>
      <w:marLeft w:val="0"/>
      <w:marRight w:val="0"/>
      <w:marTop w:val="0"/>
      <w:marBottom w:val="0"/>
      <w:divBdr>
        <w:top w:val="none" w:sz="0" w:space="0" w:color="auto"/>
        <w:left w:val="none" w:sz="0" w:space="0" w:color="auto"/>
        <w:bottom w:val="none" w:sz="0" w:space="0" w:color="auto"/>
        <w:right w:val="none" w:sz="0" w:space="0" w:color="auto"/>
      </w:divBdr>
    </w:div>
    <w:div w:id="844593954">
      <w:bodyDiv w:val="1"/>
      <w:marLeft w:val="0"/>
      <w:marRight w:val="0"/>
      <w:marTop w:val="0"/>
      <w:marBottom w:val="0"/>
      <w:divBdr>
        <w:top w:val="none" w:sz="0" w:space="0" w:color="auto"/>
        <w:left w:val="none" w:sz="0" w:space="0" w:color="auto"/>
        <w:bottom w:val="none" w:sz="0" w:space="0" w:color="auto"/>
        <w:right w:val="none" w:sz="0" w:space="0" w:color="auto"/>
      </w:divBdr>
    </w:div>
    <w:div w:id="956838981">
      <w:bodyDiv w:val="1"/>
      <w:marLeft w:val="0"/>
      <w:marRight w:val="0"/>
      <w:marTop w:val="0"/>
      <w:marBottom w:val="0"/>
      <w:divBdr>
        <w:top w:val="none" w:sz="0" w:space="0" w:color="auto"/>
        <w:left w:val="none" w:sz="0" w:space="0" w:color="auto"/>
        <w:bottom w:val="none" w:sz="0" w:space="0" w:color="auto"/>
        <w:right w:val="none" w:sz="0" w:space="0" w:color="auto"/>
      </w:divBdr>
    </w:div>
    <w:div w:id="997196932">
      <w:bodyDiv w:val="1"/>
      <w:marLeft w:val="0"/>
      <w:marRight w:val="0"/>
      <w:marTop w:val="0"/>
      <w:marBottom w:val="0"/>
      <w:divBdr>
        <w:top w:val="none" w:sz="0" w:space="0" w:color="auto"/>
        <w:left w:val="none" w:sz="0" w:space="0" w:color="auto"/>
        <w:bottom w:val="none" w:sz="0" w:space="0" w:color="auto"/>
        <w:right w:val="none" w:sz="0" w:space="0" w:color="auto"/>
      </w:divBdr>
    </w:div>
    <w:div w:id="1078671267">
      <w:bodyDiv w:val="1"/>
      <w:marLeft w:val="0"/>
      <w:marRight w:val="0"/>
      <w:marTop w:val="0"/>
      <w:marBottom w:val="0"/>
      <w:divBdr>
        <w:top w:val="none" w:sz="0" w:space="0" w:color="auto"/>
        <w:left w:val="none" w:sz="0" w:space="0" w:color="auto"/>
        <w:bottom w:val="none" w:sz="0" w:space="0" w:color="auto"/>
        <w:right w:val="none" w:sz="0" w:space="0" w:color="auto"/>
      </w:divBdr>
    </w:div>
    <w:div w:id="1103577226">
      <w:bodyDiv w:val="1"/>
      <w:marLeft w:val="0"/>
      <w:marRight w:val="0"/>
      <w:marTop w:val="0"/>
      <w:marBottom w:val="0"/>
      <w:divBdr>
        <w:top w:val="none" w:sz="0" w:space="0" w:color="auto"/>
        <w:left w:val="none" w:sz="0" w:space="0" w:color="auto"/>
        <w:bottom w:val="none" w:sz="0" w:space="0" w:color="auto"/>
        <w:right w:val="none" w:sz="0" w:space="0" w:color="auto"/>
      </w:divBdr>
    </w:div>
    <w:div w:id="1127964596">
      <w:bodyDiv w:val="1"/>
      <w:marLeft w:val="0"/>
      <w:marRight w:val="0"/>
      <w:marTop w:val="0"/>
      <w:marBottom w:val="0"/>
      <w:divBdr>
        <w:top w:val="none" w:sz="0" w:space="0" w:color="auto"/>
        <w:left w:val="none" w:sz="0" w:space="0" w:color="auto"/>
        <w:bottom w:val="none" w:sz="0" w:space="0" w:color="auto"/>
        <w:right w:val="none" w:sz="0" w:space="0" w:color="auto"/>
      </w:divBdr>
    </w:div>
    <w:div w:id="1128086208">
      <w:bodyDiv w:val="1"/>
      <w:marLeft w:val="0"/>
      <w:marRight w:val="0"/>
      <w:marTop w:val="0"/>
      <w:marBottom w:val="0"/>
      <w:divBdr>
        <w:top w:val="none" w:sz="0" w:space="0" w:color="auto"/>
        <w:left w:val="none" w:sz="0" w:space="0" w:color="auto"/>
        <w:bottom w:val="none" w:sz="0" w:space="0" w:color="auto"/>
        <w:right w:val="none" w:sz="0" w:space="0" w:color="auto"/>
      </w:divBdr>
    </w:div>
    <w:div w:id="1153571911">
      <w:bodyDiv w:val="1"/>
      <w:marLeft w:val="0"/>
      <w:marRight w:val="0"/>
      <w:marTop w:val="0"/>
      <w:marBottom w:val="0"/>
      <w:divBdr>
        <w:top w:val="none" w:sz="0" w:space="0" w:color="auto"/>
        <w:left w:val="none" w:sz="0" w:space="0" w:color="auto"/>
        <w:bottom w:val="none" w:sz="0" w:space="0" w:color="auto"/>
        <w:right w:val="none" w:sz="0" w:space="0" w:color="auto"/>
      </w:divBdr>
    </w:div>
    <w:div w:id="1157381781">
      <w:bodyDiv w:val="1"/>
      <w:marLeft w:val="0"/>
      <w:marRight w:val="0"/>
      <w:marTop w:val="0"/>
      <w:marBottom w:val="0"/>
      <w:divBdr>
        <w:top w:val="none" w:sz="0" w:space="0" w:color="auto"/>
        <w:left w:val="none" w:sz="0" w:space="0" w:color="auto"/>
        <w:bottom w:val="none" w:sz="0" w:space="0" w:color="auto"/>
        <w:right w:val="none" w:sz="0" w:space="0" w:color="auto"/>
      </w:divBdr>
    </w:div>
    <w:div w:id="1193180280">
      <w:bodyDiv w:val="1"/>
      <w:marLeft w:val="0"/>
      <w:marRight w:val="0"/>
      <w:marTop w:val="0"/>
      <w:marBottom w:val="0"/>
      <w:divBdr>
        <w:top w:val="none" w:sz="0" w:space="0" w:color="auto"/>
        <w:left w:val="none" w:sz="0" w:space="0" w:color="auto"/>
        <w:bottom w:val="none" w:sz="0" w:space="0" w:color="auto"/>
        <w:right w:val="none" w:sz="0" w:space="0" w:color="auto"/>
      </w:divBdr>
    </w:div>
    <w:div w:id="1212035154">
      <w:bodyDiv w:val="1"/>
      <w:marLeft w:val="0"/>
      <w:marRight w:val="0"/>
      <w:marTop w:val="0"/>
      <w:marBottom w:val="0"/>
      <w:divBdr>
        <w:top w:val="none" w:sz="0" w:space="0" w:color="auto"/>
        <w:left w:val="none" w:sz="0" w:space="0" w:color="auto"/>
        <w:bottom w:val="none" w:sz="0" w:space="0" w:color="auto"/>
        <w:right w:val="none" w:sz="0" w:space="0" w:color="auto"/>
      </w:divBdr>
    </w:div>
    <w:div w:id="1225919276">
      <w:bodyDiv w:val="1"/>
      <w:marLeft w:val="0"/>
      <w:marRight w:val="0"/>
      <w:marTop w:val="0"/>
      <w:marBottom w:val="0"/>
      <w:divBdr>
        <w:top w:val="none" w:sz="0" w:space="0" w:color="auto"/>
        <w:left w:val="none" w:sz="0" w:space="0" w:color="auto"/>
        <w:bottom w:val="none" w:sz="0" w:space="0" w:color="auto"/>
        <w:right w:val="none" w:sz="0" w:space="0" w:color="auto"/>
      </w:divBdr>
    </w:div>
    <w:div w:id="1231619054">
      <w:bodyDiv w:val="1"/>
      <w:marLeft w:val="0"/>
      <w:marRight w:val="0"/>
      <w:marTop w:val="0"/>
      <w:marBottom w:val="0"/>
      <w:divBdr>
        <w:top w:val="none" w:sz="0" w:space="0" w:color="auto"/>
        <w:left w:val="none" w:sz="0" w:space="0" w:color="auto"/>
        <w:bottom w:val="none" w:sz="0" w:space="0" w:color="auto"/>
        <w:right w:val="none" w:sz="0" w:space="0" w:color="auto"/>
      </w:divBdr>
    </w:div>
    <w:div w:id="1244954416">
      <w:bodyDiv w:val="1"/>
      <w:marLeft w:val="0"/>
      <w:marRight w:val="0"/>
      <w:marTop w:val="0"/>
      <w:marBottom w:val="0"/>
      <w:divBdr>
        <w:top w:val="none" w:sz="0" w:space="0" w:color="auto"/>
        <w:left w:val="none" w:sz="0" w:space="0" w:color="auto"/>
        <w:bottom w:val="none" w:sz="0" w:space="0" w:color="auto"/>
        <w:right w:val="none" w:sz="0" w:space="0" w:color="auto"/>
      </w:divBdr>
    </w:div>
    <w:div w:id="1248423558">
      <w:bodyDiv w:val="1"/>
      <w:marLeft w:val="0"/>
      <w:marRight w:val="0"/>
      <w:marTop w:val="0"/>
      <w:marBottom w:val="0"/>
      <w:divBdr>
        <w:top w:val="none" w:sz="0" w:space="0" w:color="auto"/>
        <w:left w:val="none" w:sz="0" w:space="0" w:color="auto"/>
        <w:bottom w:val="none" w:sz="0" w:space="0" w:color="auto"/>
        <w:right w:val="none" w:sz="0" w:space="0" w:color="auto"/>
      </w:divBdr>
    </w:div>
    <w:div w:id="1248802637">
      <w:bodyDiv w:val="1"/>
      <w:marLeft w:val="0"/>
      <w:marRight w:val="0"/>
      <w:marTop w:val="0"/>
      <w:marBottom w:val="0"/>
      <w:divBdr>
        <w:top w:val="none" w:sz="0" w:space="0" w:color="auto"/>
        <w:left w:val="none" w:sz="0" w:space="0" w:color="auto"/>
        <w:bottom w:val="none" w:sz="0" w:space="0" w:color="auto"/>
        <w:right w:val="none" w:sz="0" w:space="0" w:color="auto"/>
      </w:divBdr>
    </w:div>
    <w:div w:id="1257518495">
      <w:bodyDiv w:val="1"/>
      <w:marLeft w:val="0"/>
      <w:marRight w:val="0"/>
      <w:marTop w:val="0"/>
      <w:marBottom w:val="0"/>
      <w:divBdr>
        <w:top w:val="none" w:sz="0" w:space="0" w:color="auto"/>
        <w:left w:val="none" w:sz="0" w:space="0" w:color="auto"/>
        <w:bottom w:val="none" w:sz="0" w:space="0" w:color="auto"/>
        <w:right w:val="none" w:sz="0" w:space="0" w:color="auto"/>
      </w:divBdr>
    </w:div>
    <w:div w:id="1263101874">
      <w:bodyDiv w:val="1"/>
      <w:marLeft w:val="0"/>
      <w:marRight w:val="0"/>
      <w:marTop w:val="0"/>
      <w:marBottom w:val="0"/>
      <w:divBdr>
        <w:top w:val="none" w:sz="0" w:space="0" w:color="auto"/>
        <w:left w:val="none" w:sz="0" w:space="0" w:color="auto"/>
        <w:bottom w:val="none" w:sz="0" w:space="0" w:color="auto"/>
        <w:right w:val="none" w:sz="0" w:space="0" w:color="auto"/>
      </w:divBdr>
    </w:div>
    <w:div w:id="1264219512">
      <w:bodyDiv w:val="1"/>
      <w:marLeft w:val="0"/>
      <w:marRight w:val="0"/>
      <w:marTop w:val="0"/>
      <w:marBottom w:val="0"/>
      <w:divBdr>
        <w:top w:val="none" w:sz="0" w:space="0" w:color="auto"/>
        <w:left w:val="none" w:sz="0" w:space="0" w:color="auto"/>
        <w:bottom w:val="none" w:sz="0" w:space="0" w:color="auto"/>
        <w:right w:val="none" w:sz="0" w:space="0" w:color="auto"/>
      </w:divBdr>
    </w:div>
    <w:div w:id="1267421067">
      <w:bodyDiv w:val="1"/>
      <w:marLeft w:val="0"/>
      <w:marRight w:val="0"/>
      <w:marTop w:val="0"/>
      <w:marBottom w:val="0"/>
      <w:divBdr>
        <w:top w:val="none" w:sz="0" w:space="0" w:color="auto"/>
        <w:left w:val="none" w:sz="0" w:space="0" w:color="auto"/>
        <w:bottom w:val="none" w:sz="0" w:space="0" w:color="auto"/>
        <w:right w:val="none" w:sz="0" w:space="0" w:color="auto"/>
      </w:divBdr>
    </w:div>
    <w:div w:id="1280644749">
      <w:bodyDiv w:val="1"/>
      <w:marLeft w:val="0"/>
      <w:marRight w:val="0"/>
      <w:marTop w:val="0"/>
      <w:marBottom w:val="0"/>
      <w:divBdr>
        <w:top w:val="none" w:sz="0" w:space="0" w:color="auto"/>
        <w:left w:val="none" w:sz="0" w:space="0" w:color="auto"/>
        <w:bottom w:val="none" w:sz="0" w:space="0" w:color="auto"/>
        <w:right w:val="none" w:sz="0" w:space="0" w:color="auto"/>
      </w:divBdr>
    </w:div>
    <w:div w:id="1331518155">
      <w:bodyDiv w:val="1"/>
      <w:marLeft w:val="0"/>
      <w:marRight w:val="0"/>
      <w:marTop w:val="0"/>
      <w:marBottom w:val="0"/>
      <w:divBdr>
        <w:top w:val="none" w:sz="0" w:space="0" w:color="auto"/>
        <w:left w:val="none" w:sz="0" w:space="0" w:color="auto"/>
        <w:bottom w:val="none" w:sz="0" w:space="0" w:color="auto"/>
        <w:right w:val="none" w:sz="0" w:space="0" w:color="auto"/>
      </w:divBdr>
    </w:div>
    <w:div w:id="1386642580">
      <w:bodyDiv w:val="1"/>
      <w:marLeft w:val="0"/>
      <w:marRight w:val="0"/>
      <w:marTop w:val="0"/>
      <w:marBottom w:val="0"/>
      <w:divBdr>
        <w:top w:val="none" w:sz="0" w:space="0" w:color="auto"/>
        <w:left w:val="none" w:sz="0" w:space="0" w:color="auto"/>
        <w:bottom w:val="none" w:sz="0" w:space="0" w:color="auto"/>
        <w:right w:val="none" w:sz="0" w:space="0" w:color="auto"/>
      </w:divBdr>
    </w:div>
    <w:div w:id="1462917564">
      <w:bodyDiv w:val="1"/>
      <w:marLeft w:val="0"/>
      <w:marRight w:val="0"/>
      <w:marTop w:val="0"/>
      <w:marBottom w:val="0"/>
      <w:divBdr>
        <w:top w:val="none" w:sz="0" w:space="0" w:color="auto"/>
        <w:left w:val="none" w:sz="0" w:space="0" w:color="auto"/>
        <w:bottom w:val="none" w:sz="0" w:space="0" w:color="auto"/>
        <w:right w:val="none" w:sz="0" w:space="0" w:color="auto"/>
      </w:divBdr>
    </w:div>
    <w:div w:id="1468545117">
      <w:bodyDiv w:val="1"/>
      <w:marLeft w:val="0"/>
      <w:marRight w:val="0"/>
      <w:marTop w:val="0"/>
      <w:marBottom w:val="0"/>
      <w:divBdr>
        <w:top w:val="none" w:sz="0" w:space="0" w:color="auto"/>
        <w:left w:val="none" w:sz="0" w:space="0" w:color="auto"/>
        <w:bottom w:val="none" w:sz="0" w:space="0" w:color="auto"/>
        <w:right w:val="none" w:sz="0" w:space="0" w:color="auto"/>
      </w:divBdr>
    </w:div>
    <w:div w:id="1468625043">
      <w:bodyDiv w:val="1"/>
      <w:marLeft w:val="0"/>
      <w:marRight w:val="0"/>
      <w:marTop w:val="0"/>
      <w:marBottom w:val="0"/>
      <w:divBdr>
        <w:top w:val="none" w:sz="0" w:space="0" w:color="auto"/>
        <w:left w:val="none" w:sz="0" w:space="0" w:color="auto"/>
        <w:bottom w:val="none" w:sz="0" w:space="0" w:color="auto"/>
        <w:right w:val="none" w:sz="0" w:space="0" w:color="auto"/>
      </w:divBdr>
    </w:div>
    <w:div w:id="1489861943">
      <w:bodyDiv w:val="1"/>
      <w:marLeft w:val="0"/>
      <w:marRight w:val="0"/>
      <w:marTop w:val="0"/>
      <w:marBottom w:val="0"/>
      <w:divBdr>
        <w:top w:val="none" w:sz="0" w:space="0" w:color="auto"/>
        <w:left w:val="none" w:sz="0" w:space="0" w:color="auto"/>
        <w:bottom w:val="none" w:sz="0" w:space="0" w:color="auto"/>
        <w:right w:val="none" w:sz="0" w:space="0" w:color="auto"/>
      </w:divBdr>
      <w:divsChild>
        <w:div w:id="1145321906">
          <w:marLeft w:val="0"/>
          <w:marRight w:val="0"/>
          <w:marTop w:val="0"/>
          <w:marBottom w:val="0"/>
          <w:divBdr>
            <w:top w:val="none" w:sz="0" w:space="0" w:color="auto"/>
            <w:left w:val="none" w:sz="0" w:space="0" w:color="auto"/>
            <w:bottom w:val="none" w:sz="0" w:space="0" w:color="auto"/>
            <w:right w:val="none" w:sz="0" w:space="0" w:color="auto"/>
          </w:divBdr>
        </w:div>
        <w:div w:id="1783108224">
          <w:marLeft w:val="0"/>
          <w:marRight w:val="0"/>
          <w:marTop w:val="0"/>
          <w:marBottom w:val="0"/>
          <w:divBdr>
            <w:top w:val="none" w:sz="0" w:space="0" w:color="auto"/>
            <w:left w:val="none" w:sz="0" w:space="0" w:color="auto"/>
            <w:bottom w:val="none" w:sz="0" w:space="0" w:color="auto"/>
            <w:right w:val="none" w:sz="0" w:space="0" w:color="auto"/>
          </w:divBdr>
        </w:div>
      </w:divsChild>
    </w:div>
    <w:div w:id="1511873946">
      <w:bodyDiv w:val="1"/>
      <w:marLeft w:val="0"/>
      <w:marRight w:val="0"/>
      <w:marTop w:val="0"/>
      <w:marBottom w:val="0"/>
      <w:divBdr>
        <w:top w:val="none" w:sz="0" w:space="0" w:color="auto"/>
        <w:left w:val="none" w:sz="0" w:space="0" w:color="auto"/>
        <w:bottom w:val="none" w:sz="0" w:space="0" w:color="auto"/>
        <w:right w:val="none" w:sz="0" w:space="0" w:color="auto"/>
      </w:divBdr>
    </w:div>
    <w:div w:id="1545485941">
      <w:bodyDiv w:val="1"/>
      <w:marLeft w:val="0"/>
      <w:marRight w:val="0"/>
      <w:marTop w:val="0"/>
      <w:marBottom w:val="0"/>
      <w:divBdr>
        <w:top w:val="none" w:sz="0" w:space="0" w:color="auto"/>
        <w:left w:val="none" w:sz="0" w:space="0" w:color="auto"/>
        <w:bottom w:val="none" w:sz="0" w:space="0" w:color="auto"/>
        <w:right w:val="none" w:sz="0" w:space="0" w:color="auto"/>
      </w:divBdr>
      <w:divsChild>
        <w:div w:id="817502622">
          <w:marLeft w:val="0"/>
          <w:marRight w:val="0"/>
          <w:marTop w:val="0"/>
          <w:marBottom w:val="0"/>
          <w:divBdr>
            <w:top w:val="none" w:sz="0" w:space="0" w:color="auto"/>
            <w:left w:val="none" w:sz="0" w:space="0" w:color="auto"/>
            <w:bottom w:val="none" w:sz="0" w:space="0" w:color="auto"/>
            <w:right w:val="none" w:sz="0" w:space="0" w:color="auto"/>
          </w:divBdr>
        </w:div>
      </w:divsChild>
    </w:div>
    <w:div w:id="1591354332">
      <w:bodyDiv w:val="1"/>
      <w:marLeft w:val="0"/>
      <w:marRight w:val="0"/>
      <w:marTop w:val="0"/>
      <w:marBottom w:val="0"/>
      <w:divBdr>
        <w:top w:val="none" w:sz="0" w:space="0" w:color="auto"/>
        <w:left w:val="none" w:sz="0" w:space="0" w:color="auto"/>
        <w:bottom w:val="none" w:sz="0" w:space="0" w:color="auto"/>
        <w:right w:val="none" w:sz="0" w:space="0" w:color="auto"/>
      </w:divBdr>
    </w:div>
    <w:div w:id="1599631280">
      <w:bodyDiv w:val="1"/>
      <w:marLeft w:val="0"/>
      <w:marRight w:val="0"/>
      <w:marTop w:val="0"/>
      <w:marBottom w:val="0"/>
      <w:divBdr>
        <w:top w:val="none" w:sz="0" w:space="0" w:color="auto"/>
        <w:left w:val="none" w:sz="0" w:space="0" w:color="auto"/>
        <w:bottom w:val="none" w:sz="0" w:space="0" w:color="auto"/>
        <w:right w:val="none" w:sz="0" w:space="0" w:color="auto"/>
      </w:divBdr>
    </w:div>
    <w:div w:id="1612975218">
      <w:bodyDiv w:val="1"/>
      <w:marLeft w:val="0"/>
      <w:marRight w:val="0"/>
      <w:marTop w:val="0"/>
      <w:marBottom w:val="0"/>
      <w:divBdr>
        <w:top w:val="none" w:sz="0" w:space="0" w:color="auto"/>
        <w:left w:val="none" w:sz="0" w:space="0" w:color="auto"/>
        <w:bottom w:val="none" w:sz="0" w:space="0" w:color="auto"/>
        <w:right w:val="none" w:sz="0" w:space="0" w:color="auto"/>
      </w:divBdr>
      <w:divsChild>
        <w:div w:id="1632126937">
          <w:marLeft w:val="0"/>
          <w:marRight w:val="0"/>
          <w:marTop w:val="0"/>
          <w:marBottom w:val="0"/>
          <w:divBdr>
            <w:top w:val="none" w:sz="0" w:space="0" w:color="auto"/>
            <w:left w:val="none" w:sz="0" w:space="0" w:color="auto"/>
            <w:bottom w:val="none" w:sz="0" w:space="0" w:color="auto"/>
            <w:right w:val="none" w:sz="0" w:space="0" w:color="auto"/>
          </w:divBdr>
          <w:divsChild>
            <w:div w:id="493646378">
              <w:marLeft w:val="0"/>
              <w:marRight w:val="0"/>
              <w:marTop w:val="0"/>
              <w:marBottom w:val="0"/>
              <w:divBdr>
                <w:top w:val="none" w:sz="0" w:space="0" w:color="auto"/>
                <w:left w:val="none" w:sz="0" w:space="0" w:color="auto"/>
                <w:bottom w:val="none" w:sz="0" w:space="0" w:color="auto"/>
                <w:right w:val="none" w:sz="0" w:space="0" w:color="auto"/>
              </w:divBdr>
              <w:divsChild>
                <w:div w:id="17750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42093">
      <w:bodyDiv w:val="1"/>
      <w:marLeft w:val="0"/>
      <w:marRight w:val="0"/>
      <w:marTop w:val="0"/>
      <w:marBottom w:val="0"/>
      <w:divBdr>
        <w:top w:val="none" w:sz="0" w:space="0" w:color="auto"/>
        <w:left w:val="none" w:sz="0" w:space="0" w:color="auto"/>
        <w:bottom w:val="none" w:sz="0" w:space="0" w:color="auto"/>
        <w:right w:val="none" w:sz="0" w:space="0" w:color="auto"/>
      </w:divBdr>
    </w:div>
    <w:div w:id="1631281193">
      <w:bodyDiv w:val="1"/>
      <w:marLeft w:val="0"/>
      <w:marRight w:val="0"/>
      <w:marTop w:val="0"/>
      <w:marBottom w:val="0"/>
      <w:divBdr>
        <w:top w:val="none" w:sz="0" w:space="0" w:color="auto"/>
        <w:left w:val="none" w:sz="0" w:space="0" w:color="auto"/>
        <w:bottom w:val="none" w:sz="0" w:space="0" w:color="auto"/>
        <w:right w:val="none" w:sz="0" w:space="0" w:color="auto"/>
      </w:divBdr>
    </w:div>
    <w:div w:id="1644120699">
      <w:bodyDiv w:val="1"/>
      <w:marLeft w:val="0"/>
      <w:marRight w:val="0"/>
      <w:marTop w:val="0"/>
      <w:marBottom w:val="0"/>
      <w:divBdr>
        <w:top w:val="none" w:sz="0" w:space="0" w:color="auto"/>
        <w:left w:val="none" w:sz="0" w:space="0" w:color="auto"/>
        <w:bottom w:val="none" w:sz="0" w:space="0" w:color="auto"/>
        <w:right w:val="none" w:sz="0" w:space="0" w:color="auto"/>
      </w:divBdr>
    </w:div>
    <w:div w:id="1655143317">
      <w:bodyDiv w:val="1"/>
      <w:marLeft w:val="0"/>
      <w:marRight w:val="0"/>
      <w:marTop w:val="0"/>
      <w:marBottom w:val="0"/>
      <w:divBdr>
        <w:top w:val="none" w:sz="0" w:space="0" w:color="auto"/>
        <w:left w:val="none" w:sz="0" w:space="0" w:color="auto"/>
        <w:bottom w:val="none" w:sz="0" w:space="0" w:color="auto"/>
        <w:right w:val="none" w:sz="0" w:space="0" w:color="auto"/>
      </w:divBdr>
    </w:div>
    <w:div w:id="1681346766">
      <w:bodyDiv w:val="1"/>
      <w:marLeft w:val="0"/>
      <w:marRight w:val="0"/>
      <w:marTop w:val="0"/>
      <w:marBottom w:val="0"/>
      <w:divBdr>
        <w:top w:val="none" w:sz="0" w:space="0" w:color="auto"/>
        <w:left w:val="none" w:sz="0" w:space="0" w:color="auto"/>
        <w:bottom w:val="none" w:sz="0" w:space="0" w:color="auto"/>
        <w:right w:val="none" w:sz="0" w:space="0" w:color="auto"/>
      </w:divBdr>
    </w:div>
    <w:div w:id="1684745559">
      <w:bodyDiv w:val="1"/>
      <w:marLeft w:val="0"/>
      <w:marRight w:val="0"/>
      <w:marTop w:val="0"/>
      <w:marBottom w:val="0"/>
      <w:divBdr>
        <w:top w:val="none" w:sz="0" w:space="0" w:color="auto"/>
        <w:left w:val="none" w:sz="0" w:space="0" w:color="auto"/>
        <w:bottom w:val="none" w:sz="0" w:space="0" w:color="auto"/>
        <w:right w:val="none" w:sz="0" w:space="0" w:color="auto"/>
      </w:divBdr>
    </w:div>
    <w:div w:id="1693914017">
      <w:bodyDiv w:val="1"/>
      <w:marLeft w:val="0"/>
      <w:marRight w:val="0"/>
      <w:marTop w:val="0"/>
      <w:marBottom w:val="0"/>
      <w:divBdr>
        <w:top w:val="none" w:sz="0" w:space="0" w:color="auto"/>
        <w:left w:val="none" w:sz="0" w:space="0" w:color="auto"/>
        <w:bottom w:val="none" w:sz="0" w:space="0" w:color="auto"/>
        <w:right w:val="none" w:sz="0" w:space="0" w:color="auto"/>
      </w:divBdr>
    </w:div>
    <w:div w:id="1730415258">
      <w:bodyDiv w:val="1"/>
      <w:marLeft w:val="0"/>
      <w:marRight w:val="0"/>
      <w:marTop w:val="0"/>
      <w:marBottom w:val="0"/>
      <w:divBdr>
        <w:top w:val="none" w:sz="0" w:space="0" w:color="auto"/>
        <w:left w:val="none" w:sz="0" w:space="0" w:color="auto"/>
        <w:bottom w:val="none" w:sz="0" w:space="0" w:color="auto"/>
        <w:right w:val="none" w:sz="0" w:space="0" w:color="auto"/>
      </w:divBdr>
      <w:divsChild>
        <w:div w:id="1179857376">
          <w:marLeft w:val="0"/>
          <w:marRight w:val="0"/>
          <w:marTop w:val="0"/>
          <w:marBottom w:val="0"/>
          <w:divBdr>
            <w:top w:val="none" w:sz="0" w:space="0" w:color="auto"/>
            <w:left w:val="none" w:sz="0" w:space="0" w:color="auto"/>
            <w:bottom w:val="none" w:sz="0" w:space="0" w:color="auto"/>
            <w:right w:val="none" w:sz="0" w:space="0" w:color="auto"/>
          </w:divBdr>
          <w:divsChild>
            <w:div w:id="1952735581">
              <w:marLeft w:val="0"/>
              <w:marRight w:val="0"/>
              <w:marTop w:val="0"/>
              <w:marBottom w:val="0"/>
              <w:divBdr>
                <w:top w:val="none" w:sz="0" w:space="0" w:color="auto"/>
                <w:left w:val="none" w:sz="0" w:space="0" w:color="auto"/>
                <w:bottom w:val="none" w:sz="0" w:space="0" w:color="auto"/>
                <w:right w:val="none" w:sz="0" w:space="0" w:color="auto"/>
              </w:divBdr>
              <w:divsChild>
                <w:div w:id="17913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6113">
      <w:bodyDiv w:val="1"/>
      <w:marLeft w:val="0"/>
      <w:marRight w:val="0"/>
      <w:marTop w:val="0"/>
      <w:marBottom w:val="0"/>
      <w:divBdr>
        <w:top w:val="none" w:sz="0" w:space="0" w:color="auto"/>
        <w:left w:val="none" w:sz="0" w:space="0" w:color="auto"/>
        <w:bottom w:val="none" w:sz="0" w:space="0" w:color="auto"/>
        <w:right w:val="none" w:sz="0" w:space="0" w:color="auto"/>
      </w:divBdr>
    </w:div>
    <w:div w:id="1783457539">
      <w:bodyDiv w:val="1"/>
      <w:marLeft w:val="0"/>
      <w:marRight w:val="0"/>
      <w:marTop w:val="0"/>
      <w:marBottom w:val="0"/>
      <w:divBdr>
        <w:top w:val="none" w:sz="0" w:space="0" w:color="auto"/>
        <w:left w:val="none" w:sz="0" w:space="0" w:color="auto"/>
        <w:bottom w:val="none" w:sz="0" w:space="0" w:color="auto"/>
        <w:right w:val="none" w:sz="0" w:space="0" w:color="auto"/>
      </w:divBdr>
    </w:div>
    <w:div w:id="1802074043">
      <w:bodyDiv w:val="1"/>
      <w:marLeft w:val="0"/>
      <w:marRight w:val="0"/>
      <w:marTop w:val="0"/>
      <w:marBottom w:val="0"/>
      <w:divBdr>
        <w:top w:val="none" w:sz="0" w:space="0" w:color="auto"/>
        <w:left w:val="none" w:sz="0" w:space="0" w:color="auto"/>
        <w:bottom w:val="none" w:sz="0" w:space="0" w:color="auto"/>
        <w:right w:val="none" w:sz="0" w:space="0" w:color="auto"/>
      </w:divBdr>
    </w:div>
    <w:div w:id="1820950412">
      <w:bodyDiv w:val="1"/>
      <w:marLeft w:val="0"/>
      <w:marRight w:val="0"/>
      <w:marTop w:val="0"/>
      <w:marBottom w:val="0"/>
      <w:divBdr>
        <w:top w:val="none" w:sz="0" w:space="0" w:color="auto"/>
        <w:left w:val="none" w:sz="0" w:space="0" w:color="auto"/>
        <w:bottom w:val="none" w:sz="0" w:space="0" w:color="auto"/>
        <w:right w:val="none" w:sz="0" w:space="0" w:color="auto"/>
      </w:divBdr>
    </w:div>
    <w:div w:id="1903515304">
      <w:bodyDiv w:val="1"/>
      <w:marLeft w:val="0"/>
      <w:marRight w:val="0"/>
      <w:marTop w:val="0"/>
      <w:marBottom w:val="0"/>
      <w:divBdr>
        <w:top w:val="none" w:sz="0" w:space="0" w:color="auto"/>
        <w:left w:val="none" w:sz="0" w:space="0" w:color="auto"/>
        <w:bottom w:val="none" w:sz="0" w:space="0" w:color="auto"/>
        <w:right w:val="none" w:sz="0" w:space="0" w:color="auto"/>
      </w:divBdr>
    </w:div>
    <w:div w:id="1970283159">
      <w:bodyDiv w:val="1"/>
      <w:marLeft w:val="0"/>
      <w:marRight w:val="0"/>
      <w:marTop w:val="0"/>
      <w:marBottom w:val="0"/>
      <w:divBdr>
        <w:top w:val="none" w:sz="0" w:space="0" w:color="auto"/>
        <w:left w:val="none" w:sz="0" w:space="0" w:color="auto"/>
        <w:bottom w:val="none" w:sz="0" w:space="0" w:color="auto"/>
        <w:right w:val="none" w:sz="0" w:space="0" w:color="auto"/>
      </w:divBdr>
    </w:div>
    <w:div w:id="2021735598">
      <w:bodyDiv w:val="1"/>
      <w:marLeft w:val="0"/>
      <w:marRight w:val="0"/>
      <w:marTop w:val="0"/>
      <w:marBottom w:val="0"/>
      <w:divBdr>
        <w:top w:val="none" w:sz="0" w:space="0" w:color="auto"/>
        <w:left w:val="none" w:sz="0" w:space="0" w:color="auto"/>
        <w:bottom w:val="none" w:sz="0" w:space="0" w:color="auto"/>
        <w:right w:val="none" w:sz="0" w:space="0" w:color="auto"/>
      </w:divBdr>
    </w:div>
    <w:div w:id="2032023139">
      <w:bodyDiv w:val="1"/>
      <w:marLeft w:val="0"/>
      <w:marRight w:val="0"/>
      <w:marTop w:val="0"/>
      <w:marBottom w:val="0"/>
      <w:divBdr>
        <w:top w:val="none" w:sz="0" w:space="0" w:color="auto"/>
        <w:left w:val="none" w:sz="0" w:space="0" w:color="auto"/>
        <w:bottom w:val="none" w:sz="0" w:space="0" w:color="auto"/>
        <w:right w:val="none" w:sz="0" w:space="0" w:color="auto"/>
      </w:divBdr>
    </w:div>
    <w:div w:id="2097167796">
      <w:bodyDiv w:val="1"/>
      <w:marLeft w:val="0"/>
      <w:marRight w:val="0"/>
      <w:marTop w:val="0"/>
      <w:marBottom w:val="0"/>
      <w:divBdr>
        <w:top w:val="none" w:sz="0" w:space="0" w:color="auto"/>
        <w:left w:val="none" w:sz="0" w:space="0" w:color="auto"/>
        <w:bottom w:val="none" w:sz="0" w:space="0" w:color="auto"/>
        <w:right w:val="none" w:sz="0" w:space="0" w:color="auto"/>
      </w:divBdr>
    </w:div>
    <w:div w:id="2101826875">
      <w:bodyDiv w:val="1"/>
      <w:marLeft w:val="0"/>
      <w:marRight w:val="0"/>
      <w:marTop w:val="0"/>
      <w:marBottom w:val="0"/>
      <w:divBdr>
        <w:top w:val="none" w:sz="0" w:space="0" w:color="auto"/>
        <w:left w:val="none" w:sz="0" w:space="0" w:color="auto"/>
        <w:bottom w:val="none" w:sz="0" w:space="0" w:color="auto"/>
        <w:right w:val="none" w:sz="0" w:space="0" w:color="auto"/>
      </w:divBdr>
    </w:div>
    <w:div w:id="21231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okopova\AppData\Local\Microsoft\Windows\INetCache\Content.MSO\88970A70.xlsx" TargetMode="External"/><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O:\ODD&#282;LEN&#205;%2041310\Sm&#283;rnice%202012_27_EU\_Pokrokov&#233;_zpr&#225;vy\11.%20v&#253;ro&#269;n&#237;%20zpr&#225;va%202023\materi&#225;l\11%20pokrokovka%20%20-%20v2.docx"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hyperlink" Target="file:///O:\ODD&#282;LEN&#205;%2041310\Sm&#283;rnice%202012_27_EU\_Pokrokov&#233;_zpr&#225;vy\11.%20v&#253;ro&#269;n&#237;%20zpr&#225;va%202023\materi&#225;l\11%20pokrokovka%20%20-%20v2.docx"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file:///O:\ODD&#282;LEN&#205;%2041310\Sm&#283;rnice%202012_27_EU\_Pokrokov&#233;_zpr&#225;vy\11.%20v&#253;ro&#269;n&#237;%20zpr&#225;va%202023\materi&#225;l\11%20pokrokovka%20%20-%20v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file:///O:\ODD&#282;LEN&#205;%2041310\Sm&#283;rnice%202012_27_EU\_Pokrokov&#233;_zpr&#225;vy\11.%20v&#253;ro&#269;n&#237;%20zpr&#225;va%202023\materi&#225;l\11%20pokrokovka%20%20-%20v2.docx"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file:///O:\ODD&#282;LEN&#205;%2041310\Sm&#283;rnice%202012_27_EU\_Pokrokov&#233;_zpr&#225;vy\11.%20v&#253;ro&#269;n&#237;%20zpr&#225;va%202023\materi&#225;l\11%20pokrokovka%20%20-%20v2.docx" TargetMode="External"/><Relationship Id="rId10" Type="http://schemas.openxmlformats.org/officeDocument/2006/relationships/chart" Target="charts/chart2.xml"/><Relationship Id="rId19" Type="http://schemas.openxmlformats.org/officeDocument/2006/relationships/hyperlink" Target="file:///O:\ODD&#282;LEN&#205;%2041310\Sm&#283;rnice%202012_27_EU\_Pokrokov&#233;_zpr&#225;vy\11.%20v&#253;ro&#269;n&#237;%20zpr&#225;va%202023\materi&#225;l\11%20pokrokovka%20%20-%20v2.doc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file:///O:\ODD&#282;LEN&#205;%2041310\Sm&#283;rnice%202012_27_EU\_Pokrokov&#233;_zpr&#225;vy\11.%20v&#253;ro&#269;n&#237;%20zpr&#225;va%202023\materi&#225;l\11%20pokrokovka%20%20-%20v2.docx"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rhome\data$\41300\ODD&#282;LEN&#205;%2041310\Sm&#283;rnice%202012_27_EU\_Pokrokov&#233;_zpr&#225;vy\11.%20v&#253;ro&#269;n&#237;%20zpr&#225;va%202023\_data\&#269;l&#225;nek%203\_Graf%20&#269;.%202.,%20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home\data$\41300\ODD&#282;LEN&#205;%2041310\Sm&#283;rnice%202012_27_EU\_Pokrokov&#233;_zpr&#225;vy\11.%20v&#253;ro&#269;n&#237;%20zpr&#225;va%202023\_data\&#269;l&#225;nek%203\_Graf%20&#269;.%203%20V&#253;voj%20energetick&#233;%20n&#225;ro&#269;nosti%20&#268;R,%202010&#8211;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rhome\data$\41300\ODD&#282;LEN&#205;%2041310\Sm&#283;rnice%202012_27_EU\_Pokrokov&#233;_zpr&#225;vy\11.%20v&#253;ro&#269;n&#237;%20zpr&#225;va%202023\_data\&#269;l&#225;nek%203\_Graf%20&#269;.%204%20Kone&#269;n&#225;%20spot&#345;eba%20energie%20na%20dom&#225;cnost,%202010-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rhome\data$\41300\ODD&#282;LEN&#205;%2041310\Sm&#283;rnice%202012_27_EU\_Pokrokov&#233;_zpr&#225;vy\11.%20v&#253;ro&#269;n&#237;%20zpr&#225;va%202023\_data\&#269;l&#225;nek%203\_Graf%20&#269;.%202.,%20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home\data$\41300\ODD&#282;LEN&#205;%2041310\Sm&#283;rnice%202012_27_EU\_Pokrokov&#233;_zpr&#225;vy\11.%20v&#253;ro&#269;n&#237;%20zpr&#225;va%202023\_data\&#269;l&#225;nek%203\_Graf%20&#269;.%206.,%207.%20V&#253;voj%20energetick&#233;%20n&#225;ro&#269;nosti%20&#268;R,%202010&#8211;2021%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home\data$\41300\ODD&#282;LEN&#205;%2041310\Sm&#283;rnice%202012_27_EU\_Pokrokov&#233;_zpr&#225;vy\11.%20v&#253;ro&#269;n&#237;%20zpr&#225;va%202023\_data\&#269;l&#225;nek%203\_Graf%20&#269;.%206.,%207.%20V&#253;voj%20energetick&#233;%20n&#225;ro&#269;nosti%20&#268;R,%202010&#8211;2021%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rhome\data$\41300\ODD&#282;LEN&#205;%2041310\Sm&#283;rnice%202012_27_EU\_Pokrokov&#233;_zpr&#225;vy\11.%20v&#253;ro&#269;n&#237;%20zpr&#225;va%202023\_data\&#269;l&#225;nek%203\_Graf%20&#269;.%208%20Energetick&#225;%20n&#225;ro&#269;nost%20sektoru%20slu&#382;eb%20na%20zam&#283;stnance,%202010-2021%20.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b="0" i="0" baseline="0">
                <a:effectLst/>
              </a:rPr>
              <a:t>Vývoj konečné spotřeby energie, 2014-2021</a:t>
            </a:r>
            <a:endParaRPr lang="cs-CZ" sz="16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5.621088668264293E-2"/>
          <c:y val="0.16679324894514769"/>
          <c:w val="0.91480360607098021"/>
          <c:h val="0.7353237649091332"/>
        </c:manualLayout>
      </c:layout>
      <c:lineChart>
        <c:grouping val="standard"/>
        <c:varyColors val="0"/>
        <c:ser>
          <c:idx val="0"/>
          <c:order val="0"/>
          <c:spPr>
            <a:ln w="28575" cap="rnd">
              <a:solidFill>
                <a:srgbClr val="E31B23"/>
              </a:solidFill>
              <a:round/>
            </a:ln>
            <a:effectLst/>
          </c:spPr>
          <c:marker>
            <c:symbol val="circle"/>
            <c:size val="5"/>
            <c:spPr>
              <a:solidFill>
                <a:schemeClr val="bg1"/>
              </a:solidFill>
              <a:ln w="9525">
                <a:solidFill>
                  <a:srgbClr val="E31B23"/>
                </a:solidFill>
              </a:ln>
              <a:effectLst/>
            </c:spPr>
          </c:marker>
          <c:cat>
            <c:numRef>
              <c:f>doprava!$E$2:$L$2</c:f>
              <c:numCache>
                <c:formatCode>General</c:formatCode>
                <c:ptCount val="8"/>
                <c:pt idx="0">
                  <c:v>2014</c:v>
                </c:pt>
                <c:pt idx="1">
                  <c:v>2015</c:v>
                </c:pt>
                <c:pt idx="2">
                  <c:v>2016</c:v>
                </c:pt>
                <c:pt idx="3">
                  <c:v>2017</c:v>
                </c:pt>
                <c:pt idx="4">
                  <c:v>2018</c:v>
                </c:pt>
                <c:pt idx="5">
                  <c:v>2019</c:v>
                </c:pt>
                <c:pt idx="6">
                  <c:v>2020</c:v>
                </c:pt>
                <c:pt idx="7">
                  <c:v>2021</c:v>
                </c:pt>
              </c:numCache>
            </c:numRef>
          </c:cat>
          <c:val>
            <c:numRef>
              <c:f>doprava!$E$3:$L$3</c:f>
              <c:numCache>
                <c:formatCode>General</c:formatCode>
                <c:ptCount val="8"/>
                <c:pt idx="0">
                  <c:v>947</c:v>
                </c:pt>
                <c:pt idx="1">
                  <c:v>975</c:v>
                </c:pt>
                <c:pt idx="2">
                  <c:v>999</c:v>
                </c:pt>
                <c:pt idx="3">
                  <c:v>1030</c:v>
                </c:pt>
                <c:pt idx="4">
                  <c:v>1018</c:v>
                </c:pt>
                <c:pt idx="5">
                  <c:v>1019</c:v>
                </c:pt>
                <c:pt idx="6">
                  <c:v>999</c:v>
                </c:pt>
                <c:pt idx="7">
                  <c:v>1068</c:v>
                </c:pt>
              </c:numCache>
            </c:numRef>
          </c:val>
          <c:smooth val="0"/>
          <c:extLst>
            <c:ext xmlns:c16="http://schemas.microsoft.com/office/drawing/2014/chart" uri="{C3380CC4-5D6E-409C-BE32-E72D297353CC}">
              <c16:uniqueId val="{00000000-EA39-475B-8646-A2CB5BE2E106}"/>
            </c:ext>
          </c:extLst>
        </c:ser>
        <c:dLbls>
          <c:showLegendKey val="0"/>
          <c:showVal val="0"/>
          <c:showCatName val="0"/>
          <c:showSerName val="0"/>
          <c:showPercent val="0"/>
          <c:showBubbleSize val="0"/>
        </c:dLbls>
        <c:marker val="1"/>
        <c:smooth val="0"/>
        <c:axId val="491703512"/>
        <c:axId val="491702528"/>
      </c:lineChart>
      <c:catAx>
        <c:axId val="491703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1702528"/>
        <c:crosses val="autoZero"/>
        <c:auto val="1"/>
        <c:lblAlgn val="ctr"/>
        <c:lblOffset val="100"/>
        <c:noMultiLvlLbl val="0"/>
      </c:catAx>
      <c:valAx>
        <c:axId val="491702528"/>
        <c:scaling>
          <c:orientation val="minMax"/>
          <c:min val="9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1703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t>Vývoj energetické náročnosti ČR, 2014–2021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spPr>
            <a:ln w="28575" cap="rnd">
              <a:solidFill>
                <a:srgbClr val="FF0000"/>
              </a:solidFill>
              <a:round/>
            </a:ln>
            <a:effectLst/>
          </c:spPr>
          <c:marker>
            <c:symbol val="circle"/>
            <c:size val="5"/>
            <c:spPr>
              <a:solidFill>
                <a:schemeClr val="bg1"/>
              </a:solidFill>
              <a:ln w="9525">
                <a:solidFill>
                  <a:srgbClr val="FF0000"/>
                </a:solidFill>
              </a:ln>
              <a:effectLst/>
            </c:spPr>
          </c:marker>
          <c:cat>
            <c:strRef>
              <c:f>'Sheet 1'!$H$9:$O$9</c:f>
              <c:strCache>
                <c:ptCount val="8"/>
                <c:pt idx="0">
                  <c:v>2014</c:v>
                </c:pt>
                <c:pt idx="1">
                  <c:v>2015</c:v>
                </c:pt>
                <c:pt idx="2">
                  <c:v>2016</c:v>
                </c:pt>
                <c:pt idx="3">
                  <c:v>2017</c:v>
                </c:pt>
                <c:pt idx="4">
                  <c:v>2018</c:v>
                </c:pt>
                <c:pt idx="5">
                  <c:v>2019</c:v>
                </c:pt>
                <c:pt idx="6">
                  <c:v>2020</c:v>
                </c:pt>
                <c:pt idx="7">
                  <c:v>2021</c:v>
                </c:pt>
              </c:strCache>
            </c:strRef>
          </c:cat>
          <c:val>
            <c:numRef>
              <c:f>'Sheet 1'!$H$21:$O$21</c:f>
              <c:numCache>
                <c:formatCode>0</c:formatCode>
                <c:ptCount val="8"/>
                <c:pt idx="0">
                  <c:v>397.84544426990033</c:v>
                </c:pt>
                <c:pt idx="1">
                  <c:v>377.55696704000326</c:v>
                </c:pt>
                <c:pt idx="2">
                  <c:v>363.14456468323039</c:v>
                </c:pt>
                <c:pt idx="3">
                  <c:v>360.83523164726512</c:v>
                </c:pt>
                <c:pt idx="4">
                  <c:v>350.44450033630278</c:v>
                </c:pt>
                <c:pt idx="5">
                  <c:v>336.11361429408163</c:v>
                </c:pt>
                <c:pt idx="6">
                  <c:v>335.5347816368689</c:v>
                </c:pt>
                <c:pt idx="7">
                  <c:v>342.44235362410774</c:v>
                </c:pt>
              </c:numCache>
            </c:numRef>
          </c:val>
          <c:smooth val="0"/>
          <c:extLst>
            <c:ext xmlns:c16="http://schemas.microsoft.com/office/drawing/2014/chart" uri="{C3380CC4-5D6E-409C-BE32-E72D297353CC}">
              <c16:uniqueId val="{00000000-00F3-4EF3-B14E-C0BC695E9395}"/>
            </c:ext>
          </c:extLst>
        </c:ser>
        <c:dLbls>
          <c:showLegendKey val="0"/>
          <c:showVal val="0"/>
          <c:showCatName val="0"/>
          <c:showSerName val="0"/>
          <c:showPercent val="0"/>
          <c:showBubbleSize val="0"/>
        </c:dLbls>
        <c:marker val="1"/>
        <c:smooth val="0"/>
        <c:axId val="576534968"/>
        <c:axId val="576525128"/>
      </c:lineChart>
      <c:catAx>
        <c:axId val="57653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6525128"/>
        <c:crosses val="autoZero"/>
        <c:auto val="1"/>
        <c:lblAlgn val="ctr"/>
        <c:lblOffset val="100"/>
        <c:noMultiLvlLbl val="0"/>
      </c:catAx>
      <c:valAx>
        <c:axId val="576525128"/>
        <c:scaling>
          <c:orientation val="minMax"/>
          <c:max val="400"/>
          <c:min val="33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6534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baseline="0">
                <a:effectLst/>
              </a:rPr>
              <a:t>Konečná spotřeba energie domácností (GJ/domácnosti)</a:t>
            </a:r>
            <a:endParaRPr lang="cs-CZ"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spPr>
            <a:ln w="28575" cap="rnd">
              <a:solidFill>
                <a:srgbClr val="FF0000"/>
              </a:solidFill>
              <a:round/>
            </a:ln>
            <a:effectLst/>
          </c:spPr>
          <c:marker>
            <c:symbol val="circle"/>
            <c:size val="5"/>
            <c:spPr>
              <a:solidFill>
                <a:schemeClr val="bg1"/>
              </a:solidFill>
              <a:ln w="9525">
                <a:solidFill>
                  <a:srgbClr val="FF0000"/>
                </a:solidFill>
              </a:ln>
              <a:effectLst/>
            </c:spPr>
          </c:marker>
          <c:cat>
            <c:numRef>
              <c:f>List1!$B$13:$B$20</c:f>
              <c:numCache>
                <c:formatCode>General</c:formatCode>
                <c:ptCount val="8"/>
                <c:pt idx="0">
                  <c:v>2014</c:v>
                </c:pt>
                <c:pt idx="1">
                  <c:v>2015</c:v>
                </c:pt>
                <c:pt idx="2">
                  <c:v>2016</c:v>
                </c:pt>
                <c:pt idx="3">
                  <c:v>2017</c:v>
                </c:pt>
                <c:pt idx="4">
                  <c:v>2018</c:v>
                </c:pt>
                <c:pt idx="5">
                  <c:v>2019</c:v>
                </c:pt>
                <c:pt idx="6">
                  <c:v>2020</c:v>
                </c:pt>
                <c:pt idx="7">
                  <c:v>2021</c:v>
                </c:pt>
              </c:numCache>
            </c:numRef>
          </c:cat>
          <c:val>
            <c:numRef>
              <c:f>List1!$I$13:$I$20</c:f>
              <c:numCache>
                <c:formatCode>0</c:formatCode>
                <c:ptCount val="8"/>
                <c:pt idx="0">
                  <c:v>67.814613663252402</c:v>
                </c:pt>
                <c:pt idx="1">
                  <c:v>69.810484016724303</c:v>
                </c:pt>
                <c:pt idx="2">
                  <c:v>72.569862182927196</c:v>
                </c:pt>
                <c:pt idx="3">
                  <c:v>73.345098619795067</c:v>
                </c:pt>
                <c:pt idx="4">
                  <c:v>70.889396862400289</c:v>
                </c:pt>
                <c:pt idx="5">
                  <c:v>69.318453872372814</c:v>
                </c:pt>
                <c:pt idx="6">
                  <c:v>70.452962009294623</c:v>
                </c:pt>
                <c:pt idx="7">
                  <c:v>75.509095972414613</c:v>
                </c:pt>
              </c:numCache>
            </c:numRef>
          </c:val>
          <c:smooth val="0"/>
          <c:extLst>
            <c:ext xmlns:c16="http://schemas.microsoft.com/office/drawing/2014/chart" uri="{C3380CC4-5D6E-409C-BE32-E72D297353CC}">
              <c16:uniqueId val="{00000000-F71F-435B-ADEC-6F492DCBE008}"/>
            </c:ext>
          </c:extLst>
        </c:ser>
        <c:dLbls>
          <c:showLegendKey val="0"/>
          <c:showVal val="0"/>
          <c:showCatName val="0"/>
          <c:showSerName val="0"/>
          <c:showPercent val="0"/>
          <c:showBubbleSize val="0"/>
        </c:dLbls>
        <c:marker val="1"/>
        <c:smooth val="0"/>
        <c:axId val="574650400"/>
        <c:axId val="574652368"/>
      </c:lineChart>
      <c:catAx>
        <c:axId val="57465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652368"/>
        <c:crosses val="autoZero"/>
        <c:auto val="1"/>
        <c:lblAlgn val="ctr"/>
        <c:lblOffset val="100"/>
        <c:noMultiLvlLbl val="0"/>
      </c:catAx>
      <c:valAx>
        <c:axId val="574652368"/>
        <c:scaling>
          <c:orientation val="minMax"/>
          <c:max val="76"/>
          <c:min val="67"/>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650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E31B23"/>
            </a:solidFill>
            <a:ln>
              <a:noFill/>
            </a:ln>
            <a:effectLst/>
          </c:spPr>
          <c:invertIfNegative val="0"/>
          <c:dPt>
            <c:idx val="1"/>
            <c:invertIfNegative val="0"/>
            <c:bubble3D val="0"/>
            <c:spPr>
              <a:solidFill>
                <a:srgbClr val="E31B23"/>
              </a:solidFill>
              <a:ln>
                <a:noFill/>
              </a:ln>
              <a:effectLst/>
            </c:spPr>
            <c:extLst>
              <c:ext xmlns:c16="http://schemas.microsoft.com/office/drawing/2014/chart" uri="{C3380CC4-5D6E-409C-BE32-E72D297353CC}">
                <c16:uniqueId val="{00000001-3630-4599-814B-42A61959B885}"/>
              </c:ext>
            </c:extLst>
          </c:dPt>
          <c:dPt>
            <c:idx val="6"/>
            <c:invertIfNegative val="0"/>
            <c:bubble3D val="0"/>
            <c:spPr>
              <a:solidFill>
                <a:srgbClr val="F3979B"/>
              </a:solidFill>
              <a:ln>
                <a:noFill/>
              </a:ln>
              <a:effectLst/>
            </c:spPr>
            <c:extLst>
              <c:ext xmlns:c16="http://schemas.microsoft.com/office/drawing/2014/chart" uri="{C3380CC4-5D6E-409C-BE32-E72D297353CC}">
                <c16:uniqueId val="{00000002-BB8F-430F-8DF2-6BDFC82AD2BE}"/>
              </c:ext>
            </c:extLst>
          </c:dPt>
          <c:cat>
            <c:numRef>
              <c:f>doprava!$V$33:$AC$33</c:f>
              <c:numCache>
                <c:formatCode>General</c:formatCode>
                <c:ptCount val="8"/>
                <c:pt idx="0">
                  <c:v>2014</c:v>
                </c:pt>
                <c:pt idx="1">
                  <c:v>2015</c:v>
                </c:pt>
                <c:pt idx="2">
                  <c:v>2016</c:v>
                </c:pt>
                <c:pt idx="3">
                  <c:v>2017</c:v>
                </c:pt>
                <c:pt idx="4">
                  <c:v>2018</c:v>
                </c:pt>
                <c:pt idx="5">
                  <c:v>2019</c:v>
                </c:pt>
                <c:pt idx="6">
                  <c:v>2020</c:v>
                </c:pt>
                <c:pt idx="7">
                  <c:v>2021</c:v>
                </c:pt>
              </c:numCache>
            </c:numRef>
          </c:cat>
          <c:val>
            <c:numRef>
              <c:f>doprava!$V$34:$AC$34</c:f>
              <c:numCache>
                <c:formatCode>General</c:formatCode>
                <c:ptCount val="8"/>
                <c:pt idx="0">
                  <c:v>51.530759802755256</c:v>
                </c:pt>
                <c:pt idx="1">
                  <c:v>50.708164461393977</c:v>
                </c:pt>
                <c:pt idx="2">
                  <c:v>50.619723057051047</c:v>
                </c:pt>
                <c:pt idx="3">
                  <c:v>50.026289989819837</c:v>
                </c:pt>
                <c:pt idx="4">
                  <c:v>48.510878818103194</c:v>
                </c:pt>
                <c:pt idx="5">
                  <c:v>47.901115629633445</c:v>
                </c:pt>
                <c:pt idx="6">
                  <c:v>44.148001580359896</c:v>
                </c:pt>
                <c:pt idx="7">
                  <c:v>47.308058938399306</c:v>
                </c:pt>
              </c:numCache>
            </c:numRef>
          </c:val>
          <c:extLst>
            <c:ext xmlns:c16="http://schemas.microsoft.com/office/drawing/2014/chart" uri="{C3380CC4-5D6E-409C-BE32-E72D297353CC}">
              <c16:uniqueId val="{00000002-3630-4599-814B-42A61959B885}"/>
            </c:ext>
          </c:extLst>
        </c:ser>
        <c:dLbls>
          <c:showLegendKey val="0"/>
          <c:showVal val="0"/>
          <c:showCatName val="0"/>
          <c:showSerName val="0"/>
          <c:showPercent val="0"/>
          <c:showBubbleSize val="0"/>
        </c:dLbls>
        <c:gapWidth val="175"/>
        <c:overlap val="29"/>
        <c:axId val="363469720"/>
        <c:axId val="363470048"/>
      </c:barChart>
      <c:catAx>
        <c:axId val="36346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3470048"/>
        <c:crosses val="autoZero"/>
        <c:auto val="1"/>
        <c:lblAlgn val="ctr"/>
        <c:lblOffset val="100"/>
        <c:noMultiLvlLbl val="0"/>
      </c:catAx>
      <c:valAx>
        <c:axId val="363470048"/>
        <c:scaling>
          <c:orientation val="minMax"/>
          <c:min val="4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GJ/automobil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3469720"/>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400" b="0" i="0" baseline="0">
                <a:effectLst/>
              </a:rPr>
              <a:t>Vývoj energetické náročnosti průmyslu ČR [GJ/mil. Kč HPH]</a:t>
            </a:r>
            <a:endParaRPr lang="cs-CZ"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lineChart>
        <c:grouping val="standard"/>
        <c:varyColors val="0"/>
        <c:ser>
          <c:idx val="0"/>
          <c:order val="0"/>
          <c:spPr>
            <a:ln w="28575" cap="rnd">
              <a:solidFill>
                <a:srgbClr val="FF0000"/>
              </a:solidFill>
              <a:round/>
            </a:ln>
            <a:effectLst/>
          </c:spPr>
          <c:marker>
            <c:symbol val="circle"/>
            <c:size val="5"/>
            <c:spPr>
              <a:solidFill>
                <a:schemeClr val="bg1"/>
              </a:solidFill>
              <a:ln w="9525">
                <a:solidFill>
                  <a:srgbClr val="FF0000"/>
                </a:solidFill>
              </a:ln>
              <a:effectLst/>
            </c:spPr>
          </c:marker>
          <c:cat>
            <c:numRef>
              <c:f>List1!$F$24:$M$24</c:f>
              <c:numCache>
                <c:formatCode>General</c:formatCode>
                <c:ptCount val="8"/>
                <c:pt idx="0">
                  <c:v>2014</c:v>
                </c:pt>
                <c:pt idx="1">
                  <c:v>2015</c:v>
                </c:pt>
                <c:pt idx="2">
                  <c:v>2016</c:v>
                </c:pt>
                <c:pt idx="3">
                  <c:v>2017</c:v>
                </c:pt>
                <c:pt idx="4">
                  <c:v>2018</c:v>
                </c:pt>
                <c:pt idx="5">
                  <c:v>2019</c:v>
                </c:pt>
                <c:pt idx="6">
                  <c:v>2020</c:v>
                </c:pt>
                <c:pt idx="7">
                  <c:v>2021</c:v>
                </c:pt>
              </c:numCache>
            </c:numRef>
          </c:cat>
          <c:val>
            <c:numRef>
              <c:f>List1!$F$25:$M$25</c:f>
              <c:numCache>
                <c:formatCode>0</c:formatCode>
                <c:ptCount val="8"/>
                <c:pt idx="0">
                  <c:v>193.09751251823678</c:v>
                </c:pt>
                <c:pt idx="1">
                  <c:v>188.34525406661743</c:v>
                </c:pt>
                <c:pt idx="2">
                  <c:v>182.15001028161535</c:v>
                </c:pt>
                <c:pt idx="3">
                  <c:v>178.84247799263863</c:v>
                </c:pt>
                <c:pt idx="4">
                  <c:v>175.43113674097856</c:v>
                </c:pt>
                <c:pt idx="5">
                  <c:v>170.06884952036128</c:v>
                </c:pt>
                <c:pt idx="6">
                  <c:v>187.17015675839659</c:v>
                </c:pt>
                <c:pt idx="7">
                  <c:v>193.25628669065381</c:v>
                </c:pt>
              </c:numCache>
            </c:numRef>
          </c:val>
          <c:smooth val="0"/>
          <c:extLst>
            <c:ext xmlns:c16="http://schemas.microsoft.com/office/drawing/2014/chart" uri="{C3380CC4-5D6E-409C-BE32-E72D297353CC}">
              <c16:uniqueId val="{00000000-D3F3-4515-B12A-AB4F472EC7F2}"/>
            </c:ext>
          </c:extLst>
        </c:ser>
        <c:dLbls>
          <c:showLegendKey val="0"/>
          <c:showVal val="0"/>
          <c:showCatName val="0"/>
          <c:showSerName val="0"/>
          <c:showPercent val="0"/>
          <c:showBubbleSize val="0"/>
        </c:dLbls>
        <c:marker val="1"/>
        <c:smooth val="0"/>
        <c:axId val="585207760"/>
        <c:axId val="585209072"/>
      </c:lineChart>
      <c:catAx>
        <c:axId val="58520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5209072"/>
        <c:crosses val="autoZero"/>
        <c:auto val="1"/>
        <c:lblAlgn val="ctr"/>
        <c:lblOffset val="100"/>
        <c:noMultiLvlLbl val="0"/>
      </c:catAx>
      <c:valAx>
        <c:axId val="585209072"/>
        <c:scaling>
          <c:orientation val="minMax"/>
          <c:min val="16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5207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Spotřeba energie na index průmyslové produkce [TJ/IPP]</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spPr>
            <a:ln w="28575" cap="rnd">
              <a:solidFill>
                <a:srgbClr val="FF0000"/>
              </a:solidFill>
              <a:round/>
            </a:ln>
            <a:effectLst/>
          </c:spPr>
          <c:marker>
            <c:symbol val="circle"/>
            <c:size val="5"/>
            <c:spPr>
              <a:solidFill>
                <a:schemeClr val="bg1"/>
              </a:solidFill>
              <a:ln w="9525">
                <a:solidFill>
                  <a:srgbClr val="FF0000"/>
                </a:solidFill>
              </a:ln>
              <a:effectLst/>
            </c:spPr>
          </c:marker>
          <c:cat>
            <c:numRef>
              <c:f>List1!$F$3:$M$3</c:f>
              <c:numCache>
                <c:formatCode>General</c:formatCode>
                <c:ptCount val="8"/>
                <c:pt idx="0">
                  <c:v>2014</c:v>
                </c:pt>
                <c:pt idx="1">
                  <c:v>2015</c:v>
                </c:pt>
                <c:pt idx="2">
                  <c:v>2016</c:v>
                </c:pt>
                <c:pt idx="3">
                  <c:v>2017</c:v>
                </c:pt>
                <c:pt idx="4">
                  <c:v>2018</c:v>
                </c:pt>
                <c:pt idx="5">
                  <c:v>2019</c:v>
                </c:pt>
                <c:pt idx="6">
                  <c:v>2020</c:v>
                </c:pt>
                <c:pt idx="7">
                  <c:v>2021</c:v>
                </c:pt>
              </c:numCache>
            </c:numRef>
          </c:cat>
          <c:val>
            <c:numRef>
              <c:f>List1!$F$8:$M$8</c:f>
              <c:numCache>
                <c:formatCode>0</c:formatCode>
                <c:ptCount val="8"/>
                <c:pt idx="0">
                  <c:v>2780.0174376646132</c:v>
                </c:pt>
                <c:pt idx="1">
                  <c:v>2729.1458978915371</c:v>
                </c:pt>
                <c:pt idx="2">
                  <c:v>2604.7629392428044</c:v>
                </c:pt>
                <c:pt idx="3">
                  <c:v>2562.1441214061574</c:v>
                </c:pt>
                <c:pt idx="4">
                  <c:v>2473.328169250502</c:v>
                </c:pt>
                <c:pt idx="5">
                  <c:v>2451.3443025740667</c:v>
                </c:pt>
                <c:pt idx="6">
                  <c:v>2617.705358626843</c:v>
                </c:pt>
                <c:pt idx="7">
                  <c:v>2611.0702152195918</c:v>
                </c:pt>
              </c:numCache>
            </c:numRef>
          </c:val>
          <c:smooth val="0"/>
          <c:extLst>
            <c:ext xmlns:c16="http://schemas.microsoft.com/office/drawing/2014/chart" uri="{C3380CC4-5D6E-409C-BE32-E72D297353CC}">
              <c16:uniqueId val="{00000000-4495-4556-84E1-333940A0CDD6}"/>
            </c:ext>
          </c:extLst>
        </c:ser>
        <c:dLbls>
          <c:showLegendKey val="0"/>
          <c:showVal val="0"/>
          <c:showCatName val="0"/>
          <c:showSerName val="0"/>
          <c:showPercent val="0"/>
          <c:showBubbleSize val="0"/>
        </c:dLbls>
        <c:marker val="1"/>
        <c:smooth val="0"/>
        <c:axId val="579361576"/>
        <c:axId val="579361904"/>
      </c:lineChart>
      <c:catAx>
        <c:axId val="57936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9361904"/>
        <c:crosses val="autoZero"/>
        <c:auto val="1"/>
        <c:lblAlgn val="ctr"/>
        <c:lblOffset val="100"/>
        <c:noMultiLvlLbl val="0"/>
      </c:catAx>
      <c:valAx>
        <c:axId val="579361904"/>
        <c:scaling>
          <c:orientation val="minMax"/>
          <c:min val="24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9361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800" b="0" i="0" baseline="0">
                <a:effectLst/>
              </a:rPr>
              <a:t>Energetická náročnost sektoru služeb na zaměstnance, 2014-2021</a:t>
            </a:r>
            <a:endParaRPr lang="cs-CZ">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spPr>
            <a:ln w="28575" cap="rnd">
              <a:solidFill>
                <a:srgbClr val="FF0000">
                  <a:alpha val="95000"/>
                </a:srgbClr>
              </a:solidFill>
              <a:round/>
            </a:ln>
            <a:effectLst/>
          </c:spPr>
          <c:marker>
            <c:symbol val="circle"/>
            <c:size val="5"/>
            <c:spPr>
              <a:solidFill>
                <a:schemeClr val="bg1"/>
              </a:solidFill>
              <a:ln w="9525">
                <a:solidFill>
                  <a:srgbClr val="FF0000"/>
                </a:solidFill>
              </a:ln>
              <a:effectLst/>
            </c:spPr>
          </c:marker>
          <c:cat>
            <c:numRef>
              <c:f>List1!$F$16:$M$16</c:f>
              <c:numCache>
                <c:formatCode>General</c:formatCode>
                <c:ptCount val="8"/>
                <c:pt idx="0">
                  <c:v>2014</c:v>
                </c:pt>
                <c:pt idx="1">
                  <c:v>2015</c:v>
                </c:pt>
                <c:pt idx="2">
                  <c:v>2016</c:v>
                </c:pt>
                <c:pt idx="3">
                  <c:v>2017</c:v>
                </c:pt>
                <c:pt idx="4">
                  <c:v>2018</c:v>
                </c:pt>
                <c:pt idx="5">
                  <c:v>2019</c:v>
                </c:pt>
                <c:pt idx="6">
                  <c:v>2020</c:v>
                </c:pt>
                <c:pt idx="7">
                  <c:v>2021</c:v>
                </c:pt>
              </c:numCache>
            </c:numRef>
          </c:cat>
          <c:val>
            <c:numRef>
              <c:f>List1!$F$17:$M$17</c:f>
              <c:numCache>
                <c:formatCode>0.00</c:formatCode>
                <c:ptCount val="8"/>
                <c:pt idx="0">
                  <c:v>41.962579547552046</c:v>
                </c:pt>
                <c:pt idx="1">
                  <c:v>42.368291169913753</c:v>
                </c:pt>
                <c:pt idx="2">
                  <c:v>43.244584557413376</c:v>
                </c:pt>
                <c:pt idx="3">
                  <c:v>43.74964321821809</c:v>
                </c:pt>
                <c:pt idx="4">
                  <c:v>41.996819205872455</c:v>
                </c:pt>
                <c:pt idx="5">
                  <c:v>42.516866242930917</c:v>
                </c:pt>
                <c:pt idx="6">
                  <c:v>40.267711522457141</c:v>
                </c:pt>
                <c:pt idx="7">
                  <c:v>39.78362504941137</c:v>
                </c:pt>
              </c:numCache>
            </c:numRef>
          </c:val>
          <c:smooth val="0"/>
          <c:extLst>
            <c:ext xmlns:c16="http://schemas.microsoft.com/office/drawing/2014/chart" uri="{C3380CC4-5D6E-409C-BE32-E72D297353CC}">
              <c16:uniqueId val="{00000000-C187-4116-A41F-4ADF0F93541E}"/>
            </c:ext>
          </c:extLst>
        </c:ser>
        <c:dLbls>
          <c:showLegendKey val="0"/>
          <c:showVal val="0"/>
          <c:showCatName val="0"/>
          <c:showSerName val="0"/>
          <c:showPercent val="0"/>
          <c:showBubbleSize val="0"/>
        </c:dLbls>
        <c:marker val="1"/>
        <c:smooth val="0"/>
        <c:axId val="1050819744"/>
        <c:axId val="1050817120"/>
      </c:lineChart>
      <c:catAx>
        <c:axId val="105081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0817120"/>
        <c:crosses val="autoZero"/>
        <c:auto val="1"/>
        <c:lblAlgn val="ctr"/>
        <c:lblOffset val="100"/>
        <c:noMultiLvlLbl val="0"/>
      </c:catAx>
      <c:valAx>
        <c:axId val="1050817120"/>
        <c:scaling>
          <c:orientation val="minMax"/>
          <c:min val="39.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cs-CZ" sz="1050" b="0" i="0" baseline="0">
                    <a:effectLst/>
                  </a:rPr>
                  <a:t>GJ/zaměstnanec</a:t>
                </a:r>
                <a:endParaRPr lang="cs-CZ" sz="1050">
                  <a:effectLst/>
                </a:endParaRPr>
              </a:p>
            </c:rich>
          </c:tx>
          <c:layout>
            <c:manualLayout>
              <c:xMode val="edge"/>
              <c:yMode val="edge"/>
              <c:x val="2.5000000000000001E-2"/>
              <c:y val="0.37939814814814821"/>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081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286D-7A67-4510-9D8B-8CA5526B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C4A2D06F.dotm</Template>
  <TotalTime>2767</TotalTime>
  <Pages>22</Pages>
  <Words>5416</Words>
  <Characters>31955</Characters>
  <Application>Microsoft Office Word</Application>
  <DocSecurity>0</DocSecurity>
  <Lines>266</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Normal MPO B&amp;W</vt:lpstr>
      <vt:lpstr>Normal MPO B&amp;W</vt:lpstr>
    </vt:vector>
  </TitlesOfParts>
  <Company>Ministerstvo průmyslu a obchodu</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Čiampor Ján</dc:creator>
  <cp:lastModifiedBy>Marková Nathalie</cp:lastModifiedBy>
  <cp:revision>135</cp:revision>
  <cp:lastPrinted>2018-04-30T07:48:00Z</cp:lastPrinted>
  <dcterms:created xsi:type="dcterms:W3CDTF">2021-04-20T10:49:00Z</dcterms:created>
  <dcterms:modified xsi:type="dcterms:W3CDTF">2023-07-10T14:01:00Z</dcterms:modified>
</cp:coreProperties>
</file>