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2" w:type="dxa"/>
        <w:tblInd w:w="108" w:type="dxa"/>
        <w:tblLook w:val="04A0" w:firstRow="1" w:lastRow="0" w:firstColumn="1" w:lastColumn="0" w:noHBand="0" w:noVBand="1"/>
      </w:tblPr>
      <w:tblGrid>
        <w:gridCol w:w="3676"/>
        <w:gridCol w:w="1398"/>
        <w:gridCol w:w="1319"/>
        <w:gridCol w:w="3489"/>
      </w:tblGrid>
      <w:tr w:rsidR="00076316" w:rsidRPr="00C80B22" w:rsidTr="004B7F1C">
        <w:tc>
          <w:tcPr>
            <w:tcW w:w="3676" w:type="dxa"/>
            <w:shd w:val="clear" w:color="auto" w:fill="auto"/>
            <w:vAlign w:val="center"/>
          </w:tcPr>
          <w:p w:rsidR="00076316" w:rsidRPr="00C80B22" w:rsidRDefault="00076316" w:rsidP="00E101E7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  <w:bookmarkStart w:id="0" w:name="_GoBack"/>
            <w:bookmarkEnd w:id="0"/>
          </w:p>
        </w:tc>
        <w:tc>
          <w:tcPr>
            <w:tcW w:w="1398" w:type="dxa"/>
            <w:shd w:val="clear" w:color="auto" w:fill="auto"/>
            <w:vAlign w:val="center"/>
          </w:tcPr>
          <w:p w:rsidR="00076316" w:rsidRPr="00C80B22" w:rsidRDefault="00076316" w:rsidP="001E17B5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1319" w:type="dxa"/>
            <w:shd w:val="clear" w:color="auto" w:fill="auto"/>
            <w:vAlign w:val="center"/>
          </w:tcPr>
          <w:p w:rsidR="00076316" w:rsidRPr="00C80B22" w:rsidRDefault="00076316" w:rsidP="001E17B5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:rsidR="00076316" w:rsidRPr="00C80B22" w:rsidRDefault="00076316" w:rsidP="001E17B5">
            <w:pPr>
              <w:tabs>
                <w:tab w:val="left" w:pos="6237"/>
              </w:tabs>
              <w:rPr>
                <w:rFonts w:ascii="Arial" w:hAnsi="Arial" w:cs="Arial"/>
                <w:b/>
                <w:szCs w:val="22"/>
              </w:rPr>
            </w:pPr>
          </w:p>
        </w:tc>
      </w:tr>
      <w:tr w:rsidR="00FF570B" w:rsidRPr="00C80B22" w:rsidTr="004B7F1C">
        <w:tc>
          <w:tcPr>
            <w:tcW w:w="3676" w:type="dxa"/>
            <w:shd w:val="clear" w:color="auto" w:fill="auto"/>
            <w:vAlign w:val="center"/>
          </w:tcPr>
          <w:p w:rsidR="00FF570B" w:rsidRPr="00C80B22" w:rsidRDefault="00FF570B" w:rsidP="001E17B5">
            <w:pPr>
              <w:tabs>
                <w:tab w:val="left" w:pos="6237"/>
              </w:tabs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FF570B" w:rsidRPr="00C80B22" w:rsidRDefault="00FF570B" w:rsidP="001E17B5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1319" w:type="dxa"/>
            <w:shd w:val="clear" w:color="auto" w:fill="auto"/>
            <w:vAlign w:val="center"/>
          </w:tcPr>
          <w:p w:rsidR="00FF570B" w:rsidRPr="00C80B22" w:rsidRDefault="00FF570B" w:rsidP="001E17B5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:rsidR="00FF570B" w:rsidRPr="00C80B22" w:rsidRDefault="00FF570B" w:rsidP="002A221D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V Praze </w:t>
            </w:r>
            <w:r w:rsidR="00A912F5">
              <w:rPr>
                <w:rFonts w:ascii="Arial" w:hAnsi="Arial" w:cs="Arial"/>
                <w:szCs w:val="22"/>
              </w:rPr>
              <w:t xml:space="preserve">8. srpna </w:t>
            </w:r>
            <w:r w:rsidR="00F12ABB">
              <w:rPr>
                <w:rFonts w:ascii="Arial" w:hAnsi="Arial" w:cs="Arial"/>
                <w:szCs w:val="22"/>
              </w:rPr>
              <w:t>2016</w:t>
            </w:r>
            <w:r w:rsidR="00E34594">
              <w:rPr>
                <w:rFonts w:ascii="Arial" w:hAnsi="Arial" w:cs="Arial"/>
                <w:szCs w:val="22"/>
              </w:rPr>
              <w:t xml:space="preserve">   </w:t>
            </w:r>
          </w:p>
        </w:tc>
      </w:tr>
      <w:tr w:rsidR="00FF570B" w:rsidRPr="00C80B22" w:rsidTr="004B7F1C">
        <w:tc>
          <w:tcPr>
            <w:tcW w:w="3676" w:type="dxa"/>
            <w:shd w:val="clear" w:color="auto" w:fill="auto"/>
            <w:vAlign w:val="center"/>
          </w:tcPr>
          <w:p w:rsidR="00FF570B" w:rsidRPr="00C80B22" w:rsidRDefault="00FF570B" w:rsidP="001E17B5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FF570B" w:rsidRPr="00C80B22" w:rsidRDefault="00FF570B" w:rsidP="001E17B5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1319" w:type="dxa"/>
            <w:shd w:val="clear" w:color="auto" w:fill="auto"/>
            <w:vAlign w:val="center"/>
          </w:tcPr>
          <w:p w:rsidR="00FF570B" w:rsidRPr="00C80B22" w:rsidRDefault="00FF570B" w:rsidP="001E17B5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:rsidR="00FF570B" w:rsidRPr="00FF570B" w:rsidRDefault="00FF570B" w:rsidP="002A221D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  <w:r w:rsidRPr="00FF570B">
              <w:rPr>
                <w:rFonts w:ascii="Arial" w:hAnsi="Arial" w:cs="Arial"/>
                <w:szCs w:val="22"/>
              </w:rPr>
              <w:t>Čj.</w:t>
            </w:r>
            <w:r w:rsidR="00E34594">
              <w:rPr>
                <w:rFonts w:ascii="Arial" w:hAnsi="Arial" w:cs="Arial"/>
                <w:szCs w:val="22"/>
              </w:rPr>
              <w:t xml:space="preserve"> </w:t>
            </w:r>
            <w:proofErr w:type="gramStart"/>
            <w:r w:rsidR="002A221D">
              <w:rPr>
                <w:rFonts w:ascii="Arial" w:hAnsi="Arial" w:cs="Arial"/>
                <w:szCs w:val="22"/>
              </w:rPr>
              <w:t>OVA</w:t>
            </w:r>
            <w:r w:rsidRPr="00FF570B">
              <w:rPr>
                <w:rFonts w:ascii="Arial" w:hAnsi="Arial" w:cs="Arial"/>
                <w:szCs w:val="22"/>
              </w:rPr>
              <w:t xml:space="preserve"> </w:t>
            </w:r>
            <w:r w:rsidR="00E34594">
              <w:rPr>
                <w:rFonts w:ascii="Arial" w:hAnsi="Arial" w:cs="Arial"/>
                <w:szCs w:val="22"/>
              </w:rPr>
              <w:t xml:space="preserve">: </w:t>
            </w:r>
            <w:r w:rsidR="00A912F5">
              <w:rPr>
                <w:rFonts w:ascii="Arial" w:hAnsi="Arial" w:cs="Arial"/>
                <w:szCs w:val="22"/>
              </w:rPr>
              <w:t>990/16</w:t>
            </w:r>
            <w:proofErr w:type="gramEnd"/>
          </w:p>
        </w:tc>
      </w:tr>
      <w:tr w:rsidR="00FF570B" w:rsidRPr="00C80B22" w:rsidTr="004B7F1C">
        <w:tc>
          <w:tcPr>
            <w:tcW w:w="3676" w:type="dxa"/>
            <w:shd w:val="clear" w:color="auto" w:fill="auto"/>
            <w:vAlign w:val="center"/>
          </w:tcPr>
          <w:p w:rsidR="00FF570B" w:rsidRPr="00C80B22" w:rsidRDefault="00FF570B" w:rsidP="001E17B5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FF570B" w:rsidRPr="00C80B22" w:rsidRDefault="00FF570B" w:rsidP="001E17B5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1319" w:type="dxa"/>
            <w:shd w:val="clear" w:color="auto" w:fill="auto"/>
            <w:vAlign w:val="center"/>
          </w:tcPr>
          <w:p w:rsidR="00FF570B" w:rsidRDefault="00FF570B" w:rsidP="001E17B5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  <w:p w:rsidR="004E4951" w:rsidRPr="00C80B22" w:rsidRDefault="004E4951" w:rsidP="001E17B5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:rsidR="00FF570B" w:rsidRPr="00C80B22" w:rsidRDefault="00FF570B" w:rsidP="006775EE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</w:tr>
      <w:tr w:rsidR="00FF570B" w:rsidRPr="00C80B22" w:rsidTr="004B7F1C">
        <w:tc>
          <w:tcPr>
            <w:tcW w:w="9882" w:type="dxa"/>
            <w:gridSpan w:val="4"/>
            <w:shd w:val="clear" w:color="auto" w:fill="auto"/>
            <w:vAlign w:val="center"/>
          </w:tcPr>
          <w:p w:rsidR="00FF570B" w:rsidRPr="00FF570B" w:rsidRDefault="00CE28B5" w:rsidP="00CE28B5">
            <w:pPr>
              <w:tabs>
                <w:tab w:val="left" w:pos="6237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E28B5">
              <w:rPr>
                <w:rFonts w:ascii="Arial" w:hAnsi="Arial" w:cs="Arial"/>
                <w:b/>
                <w:sz w:val="32"/>
                <w:szCs w:val="32"/>
              </w:rPr>
              <w:t>Stanovisko</w:t>
            </w:r>
          </w:p>
        </w:tc>
      </w:tr>
      <w:tr w:rsidR="00FF570B" w:rsidRPr="00C80B22" w:rsidTr="004B7F1C">
        <w:tc>
          <w:tcPr>
            <w:tcW w:w="3676" w:type="dxa"/>
            <w:shd w:val="clear" w:color="auto" w:fill="auto"/>
            <w:vAlign w:val="center"/>
          </w:tcPr>
          <w:p w:rsidR="00FF570B" w:rsidRPr="00C80B22" w:rsidRDefault="00FF570B" w:rsidP="001E17B5">
            <w:pPr>
              <w:tabs>
                <w:tab w:val="center" w:pos="1505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FF570B" w:rsidRPr="00FF570B" w:rsidRDefault="00FF570B" w:rsidP="001E17B5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1319" w:type="dxa"/>
            <w:shd w:val="clear" w:color="auto" w:fill="auto"/>
            <w:vAlign w:val="center"/>
          </w:tcPr>
          <w:p w:rsidR="00FF570B" w:rsidRPr="00FF570B" w:rsidRDefault="00FF570B" w:rsidP="001E17B5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:rsidR="00FF570B" w:rsidRPr="00C80B22" w:rsidRDefault="00FF570B" w:rsidP="001E17B5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</w:tr>
      <w:tr w:rsidR="00FF570B" w:rsidRPr="00C80B22" w:rsidTr="004B7F1C">
        <w:tc>
          <w:tcPr>
            <w:tcW w:w="3676" w:type="dxa"/>
            <w:shd w:val="clear" w:color="auto" w:fill="auto"/>
            <w:vAlign w:val="center"/>
          </w:tcPr>
          <w:p w:rsidR="00FF570B" w:rsidRPr="00C80B22" w:rsidRDefault="00FF570B" w:rsidP="001E17B5">
            <w:pPr>
              <w:tabs>
                <w:tab w:val="left" w:pos="6237"/>
              </w:tabs>
              <w:rPr>
                <w:rFonts w:ascii="Arial" w:hAnsi="Arial" w:cs="Arial"/>
                <w:caps/>
                <w:szCs w:val="22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FF570B" w:rsidRPr="00FF570B" w:rsidRDefault="00FF570B" w:rsidP="001E17B5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1319" w:type="dxa"/>
            <w:shd w:val="clear" w:color="auto" w:fill="auto"/>
            <w:vAlign w:val="center"/>
          </w:tcPr>
          <w:p w:rsidR="00FF570B" w:rsidRPr="00FF570B" w:rsidRDefault="00FF570B" w:rsidP="001E17B5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:rsidR="00FF570B" w:rsidRPr="00C80B22" w:rsidRDefault="00FF570B" w:rsidP="001E17B5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</w:tr>
      <w:tr w:rsidR="00FF570B" w:rsidRPr="00C80B22" w:rsidTr="004B7F1C">
        <w:tc>
          <w:tcPr>
            <w:tcW w:w="9882" w:type="dxa"/>
            <w:gridSpan w:val="4"/>
            <w:shd w:val="clear" w:color="auto" w:fill="auto"/>
            <w:vAlign w:val="center"/>
          </w:tcPr>
          <w:p w:rsidR="000A2500" w:rsidRPr="00A912F5" w:rsidRDefault="00F12ABB" w:rsidP="004C3D38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912F5">
              <w:rPr>
                <w:rFonts w:ascii="Arial" w:hAnsi="Arial" w:cs="Arial"/>
                <w:b/>
                <w:sz w:val="26"/>
                <w:szCs w:val="26"/>
              </w:rPr>
              <w:t>k</w:t>
            </w:r>
            <w:r w:rsidR="000A2500" w:rsidRPr="00A912F5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Pr="00A912F5">
              <w:rPr>
                <w:rFonts w:ascii="Arial" w:hAnsi="Arial" w:cs="Arial"/>
                <w:b/>
                <w:sz w:val="26"/>
                <w:szCs w:val="26"/>
              </w:rPr>
              <w:t xml:space="preserve">návrhu </w:t>
            </w:r>
            <w:r w:rsidR="00A912F5" w:rsidRPr="00A912F5">
              <w:rPr>
                <w:rFonts w:ascii="Arial" w:hAnsi="Arial" w:cs="Arial"/>
                <w:b/>
                <w:sz w:val="26"/>
                <w:szCs w:val="26"/>
              </w:rPr>
              <w:t>zákona, kterým se mění zákon č. 256/2001 Sb., o pohřebnictví a o změně některých zákonů, ve znění pozdějších předpisů, a další související zákony</w:t>
            </w:r>
          </w:p>
          <w:p w:rsidR="00937070" w:rsidRPr="00937070" w:rsidRDefault="00937070" w:rsidP="004C3D38">
            <w:pPr>
              <w:jc w:val="center"/>
              <w:rPr>
                <w:rFonts w:ascii="Arial" w:hAnsi="Arial" w:cs="Arial"/>
                <w:szCs w:val="22"/>
              </w:rPr>
            </w:pPr>
          </w:p>
          <w:p w:rsidR="000E44FA" w:rsidRPr="00FF570B" w:rsidRDefault="000E44FA" w:rsidP="00937070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_______________________________________________________________________________</w:t>
            </w:r>
          </w:p>
        </w:tc>
      </w:tr>
      <w:tr w:rsidR="00114DCB" w:rsidRPr="00C80B22" w:rsidTr="004B7F1C">
        <w:tc>
          <w:tcPr>
            <w:tcW w:w="9882" w:type="dxa"/>
            <w:gridSpan w:val="4"/>
            <w:shd w:val="clear" w:color="auto" w:fill="auto"/>
            <w:vAlign w:val="center"/>
          </w:tcPr>
          <w:p w:rsidR="00114DCB" w:rsidRPr="00114DCB" w:rsidRDefault="00114DCB" w:rsidP="00CE28B5">
            <w:pPr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114DCB" w:rsidRPr="00C80B22" w:rsidTr="004B7F1C">
        <w:tc>
          <w:tcPr>
            <w:tcW w:w="9882" w:type="dxa"/>
            <w:gridSpan w:val="4"/>
            <w:shd w:val="clear" w:color="auto" w:fill="auto"/>
            <w:vAlign w:val="center"/>
          </w:tcPr>
          <w:p w:rsidR="00114DCB" w:rsidRPr="00114DCB" w:rsidRDefault="00114DCB" w:rsidP="00CE28B5">
            <w:pPr>
              <w:tabs>
                <w:tab w:val="center" w:pos="1505"/>
              </w:tabs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114DCB" w:rsidRPr="00C80B22" w:rsidTr="004B7F1C">
        <w:tc>
          <w:tcPr>
            <w:tcW w:w="9882" w:type="dxa"/>
            <w:gridSpan w:val="4"/>
            <w:shd w:val="clear" w:color="auto" w:fill="auto"/>
            <w:vAlign w:val="center"/>
          </w:tcPr>
          <w:p w:rsidR="00114DCB" w:rsidRPr="00114DCB" w:rsidRDefault="00114DCB" w:rsidP="00505E45">
            <w:pPr>
              <w:tabs>
                <w:tab w:val="center" w:pos="1505"/>
              </w:tabs>
              <w:rPr>
                <w:rFonts w:ascii="Arial" w:hAnsi="Arial" w:cs="Arial"/>
                <w:szCs w:val="22"/>
              </w:rPr>
            </w:pPr>
          </w:p>
        </w:tc>
      </w:tr>
    </w:tbl>
    <w:p w:rsidR="004B7F1C" w:rsidRDefault="004B7F1C" w:rsidP="00D0544E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Komise pro veřejné právo I </w:t>
      </w:r>
      <w:r>
        <w:rPr>
          <w:rFonts w:ascii="Arial" w:hAnsi="Arial" w:cs="Arial"/>
          <w:spacing w:val="2"/>
        </w:rPr>
        <w:t>(komise pro správní právo č. 1) m</w:t>
      </w:r>
      <w:r>
        <w:rPr>
          <w:rFonts w:ascii="Arial" w:hAnsi="Arial" w:cs="Arial"/>
        </w:rPr>
        <w:t>á k</w:t>
      </w:r>
      <w:r w:rsidR="00A912F5">
        <w:rPr>
          <w:rFonts w:ascii="Arial" w:hAnsi="Arial" w:cs="Arial"/>
        </w:rPr>
        <w:t> </w:t>
      </w:r>
      <w:r>
        <w:rPr>
          <w:rFonts w:ascii="Arial" w:hAnsi="Arial" w:cs="Arial"/>
        </w:rPr>
        <w:t>návrhu</w:t>
      </w:r>
      <w:r w:rsidR="00A912F5">
        <w:rPr>
          <w:rFonts w:ascii="Arial" w:hAnsi="Arial" w:cs="Arial"/>
        </w:rPr>
        <w:t xml:space="preserve"> zákona</w:t>
      </w:r>
      <w:r>
        <w:rPr>
          <w:rFonts w:ascii="Arial" w:hAnsi="Arial" w:cs="Arial"/>
        </w:rPr>
        <w:t>, který předložil</w:t>
      </w:r>
      <w:r w:rsidR="00A912F5">
        <w:rPr>
          <w:rFonts w:ascii="Arial" w:hAnsi="Arial" w:cs="Arial"/>
        </w:rPr>
        <w:t>o Ministerstvo pro místní rozvoj</w:t>
      </w:r>
      <w:r>
        <w:rPr>
          <w:rFonts w:ascii="Arial" w:hAnsi="Arial" w:cs="Arial"/>
        </w:rPr>
        <w:t xml:space="preserve">, </w:t>
      </w:r>
      <w:r w:rsidR="002A221D">
        <w:rPr>
          <w:rFonts w:ascii="Arial" w:hAnsi="Arial" w:cs="Arial"/>
        </w:rPr>
        <w:t>tyto připomínky:</w:t>
      </w:r>
    </w:p>
    <w:p w:rsidR="00A912F5" w:rsidRDefault="00A912F5" w:rsidP="00A912F5">
      <w:pPr>
        <w:spacing w:line="360" w:lineRule="auto"/>
        <w:jc w:val="both"/>
        <w:rPr>
          <w:rFonts w:ascii="Arial" w:hAnsi="Arial" w:cs="Arial"/>
        </w:rPr>
      </w:pPr>
    </w:p>
    <w:p w:rsidR="00A912F5" w:rsidRPr="00A912F5" w:rsidRDefault="00A912F5" w:rsidP="00A912F5">
      <w:pPr>
        <w:spacing w:line="360" w:lineRule="auto"/>
        <w:jc w:val="both"/>
        <w:rPr>
          <w:rFonts w:ascii="Arial" w:hAnsi="Arial" w:cs="Arial"/>
          <w:u w:val="single"/>
        </w:rPr>
      </w:pPr>
      <w:r w:rsidRPr="00A912F5">
        <w:rPr>
          <w:rFonts w:ascii="Arial" w:hAnsi="Arial" w:cs="Arial"/>
          <w:u w:val="single"/>
        </w:rPr>
        <w:t>K čl. I</w:t>
      </w:r>
    </w:p>
    <w:p w:rsidR="00A912F5" w:rsidRDefault="00A912F5" w:rsidP="00A912F5">
      <w:pPr>
        <w:spacing w:line="360" w:lineRule="auto"/>
        <w:jc w:val="both"/>
        <w:rPr>
          <w:rFonts w:ascii="Arial" w:hAnsi="Arial" w:cs="Arial"/>
        </w:rPr>
      </w:pPr>
      <w:r w:rsidRPr="00A912F5">
        <w:rPr>
          <w:rFonts w:ascii="Arial" w:hAnsi="Arial" w:cs="Arial"/>
          <w:u w:val="single"/>
        </w:rPr>
        <w:t>K bodu 1</w:t>
      </w:r>
    </w:p>
    <w:p w:rsidR="000572D5" w:rsidRDefault="00A912F5" w:rsidP="00A912F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Doplňovat do zákona pojem „jiné lidské pozůstatky“ vedle již existujícího obecného pojmu „lidské pozůstatky“ není </w:t>
      </w:r>
      <w:r w:rsidR="003C7182">
        <w:rPr>
          <w:rFonts w:ascii="Arial" w:hAnsi="Arial" w:cs="Arial"/>
        </w:rPr>
        <w:t xml:space="preserve">přinejmenším z terminologického hlediska </w:t>
      </w:r>
      <w:r>
        <w:rPr>
          <w:rFonts w:ascii="Arial" w:hAnsi="Arial" w:cs="Arial"/>
        </w:rPr>
        <w:t>vhodné, neboť pojem „lidské pozůstatky“ právě proto, že je obecný, by měl zahrnovat veškeré lidské pozůstatky</w:t>
      </w:r>
      <w:r w:rsidR="003C7182">
        <w:rPr>
          <w:rFonts w:ascii="Arial" w:hAnsi="Arial" w:cs="Arial"/>
        </w:rPr>
        <w:t xml:space="preserve"> a nejen někt</w:t>
      </w:r>
      <w:r w:rsidR="003C7182">
        <w:rPr>
          <w:rFonts w:ascii="Arial" w:hAnsi="Arial" w:cs="Arial"/>
        </w:rPr>
        <w:t>e</w:t>
      </w:r>
      <w:r w:rsidR="003C7182">
        <w:rPr>
          <w:rFonts w:ascii="Arial" w:hAnsi="Arial" w:cs="Arial"/>
        </w:rPr>
        <w:t>ré</w:t>
      </w:r>
      <w:r>
        <w:rPr>
          <w:rFonts w:ascii="Arial" w:hAnsi="Arial" w:cs="Arial"/>
        </w:rPr>
        <w:t>. Pokud by měl být do zákona doplněn pojem „jiné lidské pozůstatky“, měl by stávající pojem „lidské pozůstatky“ být zúžen (nejen obsahově ale i slovním vyjádřením) tak, aby tato množina lidských pozůstatků dávala spolu s množinou nově doplněných „jiných lidských pozůstatků“ d</w:t>
      </w:r>
      <w:r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hromady množinu </w:t>
      </w:r>
      <w:r w:rsidR="00702407">
        <w:rPr>
          <w:rFonts w:ascii="Arial" w:hAnsi="Arial" w:cs="Arial"/>
        </w:rPr>
        <w:t xml:space="preserve">všech </w:t>
      </w:r>
      <w:r>
        <w:rPr>
          <w:rFonts w:ascii="Arial" w:hAnsi="Arial" w:cs="Arial"/>
        </w:rPr>
        <w:t xml:space="preserve">lidských pozůstatků jako </w:t>
      </w:r>
      <w:r w:rsidR="00702407">
        <w:rPr>
          <w:rFonts w:ascii="Arial" w:hAnsi="Arial" w:cs="Arial"/>
        </w:rPr>
        <w:t>celku</w:t>
      </w:r>
      <w:r>
        <w:rPr>
          <w:rFonts w:ascii="Arial" w:hAnsi="Arial" w:cs="Arial"/>
        </w:rPr>
        <w:t xml:space="preserve">. </w:t>
      </w:r>
    </w:p>
    <w:p w:rsidR="00A912F5" w:rsidRDefault="00A912F5" w:rsidP="000572D5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Pro pojem</w:t>
      </w:r>
      <w:r w:rsidR="00702407">
        <w:rPr>
          <w:rFonts w:ascii="Arial" w:hAnsi="Arial" w:cs="Arial"/>
        </w:rPr>
        <w:t>, který</w:t>
      </w:r>
      <w:r>
        <w:rPr>
          <w:rFonts w:ascii="Arial" w:hAnsi="Arial" w:cs="Arial"/>
        </w:rPr>
        <w:t xml:space="preserve"> zahrnuj</w:t>
      </w:r>
      <w:r w:rsidR="00702407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jen část lidských pozůstatků, což bude po doplnění nového písm. b) případ písm. a), by neměl být </w:t>
      </w:r>
      <w:r w:rsidR="00361DBF">
        <w:rPr>
          <w:rFonts w:ascii="Arial" w:hAnsi="Arial" w:cs="Arial"/>
        </w:rPr>
        <w:t xml:space="preserve">nadále </w:t>
      </w:r>
      <w:r>
        <w:rPr>
          <w:rFonts w:ascii="Arial" w:hAnsi="Arial" w:cs="Arial"/>
        </w:rPr>
        <w:t xml:space="preserve">používán obecný pojem lidské pozůstatky, který podle svého slovního vyjádření znamená, že má zahrnovat veškeré lidské pozůstatky, což už ale nebude odpovídat skutečnosti. </w:t>
      </w:r>
      <w:r w:rsidR="00361DBF">
        <w:rPr>
          <w:rFonts w:ascii="Arial" w:hAnsi="Arial" w:cs="Arial"/>
        </w:rPr>
        <w:t xml:space="preserve">Podle čl. 40 odst. 3 Legislativních pravidel vlády je přitom třeba při tvorbě právního předpisu respektovat všeobecně uznaný význam slov, což se tady nedodržuje. </w:t>
      </w:r>
    </w:p>
    <w:p w:rsidR="009C01D8" w:rsidRDefault="009C01D8" w:rsidP="00A912F5">
      <w:pPr>
        <w:spacing w:line="360" w:lineRule="auto"/>
        <w:jc w:val="both"/>
        <w:rPr>
          <w:rFonts w:ascii="Arial" w:hAnsi="Arial" w:cs="Arial"/>
        </w:rPr>
      </w:pPr>
    </w:p>
    <w:p w:rsidR="009C01D8" w:rsidRDefault="009C01D8" w:rsidP="00A912F5">
      <w:pPr>
        <w:spacing w:line="360" w:lineRule="auto"/>
        <w:jc w:val="both"/>
        <w:rPr>
          <w:rFonts w:ascii="Arial" w:hAnsi="Arial" w:cs="Arial"/>
        </w:rPr>
      </w:pPr>
      <w:r w:rsidRPr="009C01D8">
        <w:rPr>
          <w:rFonts w:ascii="Arial" w:hAnsi="Arial" w:cs="Arial"/>
          <w:u w:val="single"/>
        </w:rPr>
        <w:t>K bodu 2</w:t>
      </w:r>
    </w:p>
    <w:p w:rsidR="009C01D8" w:rsidRDefault="009C01D8" w:rsidP="00A912F5">
      <w:pPr>
        <w:spacing w:line="360" w:lineRule="auto"/>
        <w:jc w:val="both"/>
        <w:rPr>
          <w:rFonts w:ascii="Arial" w:hAnsi="Arial" w:cs="Arial"/>
          <w:bCs/>
          <w:szCs w:val="22"/>
        </w:rPr>
      </w:pPr>
      <w:r>
        <w:rPr>
          <w:rFonts w:ascii="Arial" w:hAnsi="Arial" w:cs="Arial"/>
        </w:rPr>
        <w:tab/>
        <w:t xml:space="preserve">Z definice v písm. a) vyplývá, </w:t>
      </w:r>
      <w:r w:rsidRPr="009C01D8">
        <w:rPr>
          <w:rFonts w:ascii="Arial" w:hAnsi="Arial" w:cs="Arial"/>
          <w:szCs w:val="22"/>
        </w:rPr>
        <w:t xml:space="preserve">že </w:t>
      </w:r>
      <w:r w:rsidRPr="009C01D8">
        <w:rPr>
          <w:rFonts w:ascii="Arial" w:hAnsi="Arial" w:cs="Arial"/>
          <w:bCs/>
          <w:szCs w:val="22"/>
        </w:rPr>
        <w:t xml:space="preserve">mrtvé lidské tělo nebo jeho části </w:t>
      </w:r>
      <w:r>
        <w:rPr>
          <w:rFonts w:ascii="Arial" w:hAnsi="Arial" w:cs="Arial"/>
          <w:bCs/>
          <w:szCs w:val="22"/>
        </w:rPr>
        <w:t>jsou pokládány za lidské pozůstatky podle zákona o pohřebnictví tehdy</w:t>
      </w:r>
      <w:r w:rsidRPr="009C01D8">
        <w:rPr>
          <w:rFonts w:ascii="Arial" w:hAnsi="Arial" w:cs="Arial"/>
          <w:bCs/>
          <w:szCs w:val="22"/>
        </w:rPr>
        <w:t>, pokud nejsou použity pro potřeby lékařské vědy, výzkumu nebo k výukovým účelům a spáleny</w:t>
      </w:r>
      <w:r>
        <w:rPr>
          <w:rFonts w:ascii="Arial" w:hAnsi="Arial" w:cs="Arial"/>
          <w:bCs/>
          <w:szCs w:val="22"/>
        </w:rPr>
        <w:t xml:space="preserve">. Z definice </w:t>
      </w:r>
      <w:r w:rsidR="00544D26">
        <w:rPr>
          <w:rFonts w:ascii="Arial" w:hAnsi="Arial" w:cs="Arial"/>
          <w:bCs/>
          <w:szCs w:val="22"/>
        </w:rPr>
        <w:t xml:space="preserve">ani jiného zákonného ustanovení </w:t>
      </w:r>
      <w:r>
        <w:rPr>
          <w:rFonts w:ascii="Arial" w:hAnsi="Arial" w:cs="Arial"/>
          <w:bCs/>
          <w:szCs w:val="22"/>
        </w:rPr>
        <w:t xml:space="preserve">však </w:t>
      </w:r>
      <w:r>
        <w:rPr>
          <w:rFonts w:ascii="Arial" w:hAnsi="Arial" w:cs="Arial"/>
          <w:bCs/>
          <w:szCs w:val="22"/>
        </w:rPr>
        <w:lastRenderedPageBreak/>
        <w:t xml:space="preserve">nevyplývá, jaká pravidla budou pro </w:t>
      </w:r>
      <w:r w:rsidRPr="009C01D8">
        <w:rPr>
          <w:rFonts w:ascii="Arial" w:hAnsi="Arial" w:cs="Arial"/>
          <w:bCs/>
          <w:szCs w:val="22"/>
        </w:rPr>
        <w:t>mrtvé lidské tělo nebo jeho části</w:t>
      </w:r>
      <w:r>
        <w:rPr>
          <w:rFonts w:ascii="Arial" w:hAnsi="Arial" w:cs="Arial"/>
          <w:bCs/>
          <w:szCs w:val="22"/>
        </w:rPr>
        <w:t xml:space="preserve"> platit v případě, kdy přestanou být používány </w:t>
      </w:r>
      <w:r w:rsidRPr="009C01D8">
        <w:rPr>
          <w:rFonts w:ascii="Arial" w:hAnsi="Arial" w:cs="Arial"/>
          <w:bCs/>
          <w:szCs w:val="22"/>
        </w:rPr>
        <w:t>pro potřeby lékařské vědy, výzkumu nebo k výukovým účelům</w:t>
      </w:r>
      <w:r>
        <w:rPr>
          <w:rFonts w:ascii="Arial" w:hAnsi="Arial" w:cs="Arial"/>
          <w:bCs/>
          <w:szCs w:val="22"/>
        </w:rPr>
        <w:t>, což by se mělo d</w:t>
      </w:r>
      <w:r>
        <w:rPr>
          <w:rFonts w:ascii="Arial" w:hAnsi="Arial" w:cs="Arial"/>
          <w:bCs/>
          <w:szCs w:val="22"/>
        </w:rPr>
        <w:t>o</w:t>
      </w:r>
      <w:r>
        <w:rPr>
          <w:rFonts w:ascii="Arial" w:hAnsi="Arial" w:cs="Arial"/>
          <w:bCs/>
          <w:szCs w:val="22"/>
        </w:rPr>
        <w:t>plnit</w:t>
      </w:r>
      <w:r w:rsidR="00544D26">
        <w:rPr>
          <w:rFonts w:ascii="Arial" w:hAnsi="Arial" w:cs="Arial"/>
          <w:bCs/>
          <w:szCs w:val="22"/>
        </w:rPr>
        <w:t>, už jen vzhledem k cílům, které navrhovaná novela sleduje, což je obecně vyšší ochrana li</w:t>
      </w:r>
      <w:r w:rsidR="00544D26">
        <w:rPr>
          <w:rFonts w:ascii="Arial" w:hAnsi="Arial" w:cs="Arial"/>
          <w:bCs/>
          <w:szCs w:val="22"/>
        </w:rPr>
        <w:t>d</w:t>
      </w:r>
      <w:r w:rsidR="00544D26">
        <w:rPr>
          <w:rFonts w:ascii="Arial" w:hAnsi="Arial" w:cs="Arial"/>
          <w:bCs/>
          <w:szCs w:val="22"/>
        </w:rPr>
        <w:t>ských pozůstatků oproti dnešnímu stavu</w:t>
      </w:r>
      <w:r>
        <w:rPr>
          <w:rFonts w:ascii="Arial" w:hAnsi="Arial" w:cs="Arial"/>
          <w:bCs/>
          <w:szCs w:val="22"/>
        </w:rPr>
        <w:t xml:space="preserve">. </w:t>
      </w:r>
    </w:p>
    <w:p w:rsidR="00D853D2" w:rsidRDefault="00D853D2" w:rsidP="00A912F5">
      <w:pPr>
        <w:spacing w:line="360" w:lineRule="auto"/>
        <w:jc w:val="both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ab/>
        <w:t xml:space="preserve">V případě definice „konečné rakve“ je třeba doplnit, jak konkrétně má být zavřená, </w:t>
      </w:r>
      <w:r w:rsidR="00544D26">
        <w:rPr>
          <w:rFonts w:ascii="Arial" w:hAnsi="Arial" w:cs="Arial"/>
          <w:bCs/>
          <w:szCs w:val="22"/>
        </w:rPr>
        <w:t xml:space="preserve">tedy co se myslí oním zavřením, </w:t>
      </w:r>
      <w:r>
        <w:rPr>
          <w:rFonts w:ascii="Arial" w:hAnsi="Arial" w:cs="Arial"/>
          <w:bCs/>
          <w:szCs w:val="22"/>
        </w:rPr>
        <w:t xml:space="preserve">a to zejména z toho důvodu, že její otevření </w:t>
      </w:r>
      <w:r w:rsidR="00544D26">
        <w:rPr>
          <w:rFonts w:ascii="Arial" w:hAnsi="Arial" w:cs="Arial"/>
          <w:bCs/>
          <w:szCs w:val="22"/>
        </w:rPr>
        <w:t xml:space="preserve">(tedy překonání překážky spočívající v zavření rakve) </w:t>
      </w:r>
      <w:r>
        <w:rPr>
          <w:rFonts w:ascii="Arial" w:hAnsi="Arial" w:cs="Arial"/>
          <w:bCs/>
          <w:szCs w:val="22"/>
        </w:rPr>
        <w:t xml:space="preserve">má být trestáno jako přestupek, resp. trestný čin. </w:t>
      </w:r>
    </w:p>
    <w:p w:rsidR="00D853D2" w:rsidRDefault="00D853D2" w:rsidP="00A912F5">
      <w:pPr>
        <w:spacing w:line="360" w:lineRule="auto"/>
        <w:jc w:val="both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ab/>
        <w:t>V případě definice totožnosti by se za slovo „jméno“ mělo doplnit „popřípadě jména“, aby úprava odpovídala zákonu č. 301/2000 Sb. Toto doplnění je třeba provést důsledně i v dalších ustanoveních návrhu, kde chybí.</w:t>
      </w:r>
    </w:p>
    <w:p w:rsidR="00D853D2" w:rsidRDefault="00D853D2" w:rsidP="00A912F5">
      <w:pPr>
        <w:spacing w:line="36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bCs/>
          <w:szCs w:val="22"/>
        </w:rPr>
        <w:tab/>
        <w:t>Definovat exhumaci jako nezvratné</w:t>
      </w:r>
      <w:r w:rsidRPr="00D853D2">
        <w:rPr>
          <w:rFonts w:ascii="Arial" w:hAnsi="Arial" w:cs="Arial"/>
          <w:bCs/>
          <w:szCs w:val="22"/>
        </w:rPr>
        <w:t xml:space="preserve"> vyzdvižení lidských ostatků nebo urny se zpopelněnými lidskými ostatky z hrobového místa na pohřebišti</w:t>
      </w:r>
      <w:r w:rsidR="00646863">
        <w:rPr>
          <w:rFonts w:ascii="Arial" w:hAnsi="Arial" w:cs="Arial"/>
          <w:bCs/>
          <w:szCs w:val="22"/>
        </w:rPr>
        <w:t xml:space="preserve"> odporuje úpravě v § 22 odst. 5, kde se stanoví, </w:t>
      </w:r>
      <w:r w:rsidR="00646863" w:rsidRPr="00646863">
        <w:rPr>
          <w:rFonts w:ascii="Arial" w:hAnsi="Arial" w:cs="Arial"/>
          <w:bCs/>
          <w:szCs w:val="22"/>
        </w:rPr>
        <w:t xml:space="preserve">že </w:t>
      </w:r>
      <w:r w:rsidR="00646863" w:rsidRPr="00646863">
        <w:rPr>
          <w:rFonts w:ascii="Arial" w:hAnsi="Arial" w:cs="Arial"/>
          <w:szCs w:val="22"/>
        </w:rPr>
        <w:t>lidské ostatky mohou být exhumovány</w:t>
      </w:r>
      <w:r w:rsidR="00646863">
        <w:rPr>
          <w:rFonts w:ascii="Arial" w:hAnsi="Arial" w:cs="Arial"/>
          <w:szCs w:val="22"/>
        </w:rPr>
        <w:t>,</w:t>
      </w:r>
      <w:r w:rsidR="00646863" w:rsidRPr="00646863">
        <w:rPr>
          <w:rFonts w:ascii="Arial" w:hAnsi="Arial" w:cs="Arial"/>
          <w:szCs w:val="22"/>
        </w:rPr>
        <w:t xml:space="preserve"> nařídí-li exhumaci v trestním řízení předseda senátu nebo státní zástupce</w:t>
      </w:r>
      <w:r w:rsidR="00646863">
        <w:rPr>
          <w:rFonts w:ascii="Arial" w:hAnsi="Arial" w:cs="Arial"/>
          <w:szCs w:val="22"/>
        </w:rPr>
        <w:t xml:space="preserve"> – po provedení úkon</w:t>
      </w:r>
      <w:r w:rsidR="00544D26">
        <w:rPr>
          <w:rFonts w:ascii="Arial" w:hAnsi="Arial" w:cs="Arial"/>
          <w:szCs w:val="22"/>
        </w:rPr>
        <w:t>ů</w:t>
      </w:r>
      <w:r w:rsidR="00646863">
        <w:rPr>
          <w:rFonts w:ascii="Arial" w:hAnsi="Arial" w:cs="Arial"/>
          <w:szCs w:val="22"/>
        </w:rPr>
        <w:t xml:space="preserve"> trestního řízení by však měly být ostatky vráceny zpět, </w:t>
      </w:r>
      <w:r w:rsidR="00544D26">
        <w:rPr>
          <w:rFonts w:ascii="Arial" w:hAnsi="Arial" w:cs="Arial"/>
          <w:szCs w:val="22"/>
        </w:rPr>
        <w:t xml:space="preserve">jinak není jasné, co by se s ostatky stalo, </w:t>
      </w:r>
      <w:r w:rsidR="00646863">
        <w:rPr>
          <w:rFonts w:ascii="Arial" w:hAnsi="Arial" w:cs="Arial"/>
          <w:szCs w:val="22"/>
        </w:rPr>
        <w:t xml:space="preserve">takže exhumace nebude nezvratná. </w:t>
      </w:r>
    </w:p>
    <w:p w:rsidR="00646863" w:rsidRDefault="00646863" w:rsidP="00A912F5">
      <w:pPr>
        <w:spacing w:line="360" w:lineRule="auto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szCs w:val="22"/>
        </w:rPr>
        <w:tab/>
        <w:t>Jako</w:t>
      </w:r>
      <w:r w:rsidRPr="00646863">
        <w:rPr>
          <w:rFonts w:ascii="Arial" w:hAnsi="Arial" w:cs="Arial"/>
          <w:szCs w:val="22"/>
        </w:rPr>
        <w:t xml:space="preserve"> </w:t>
      </w:r>
      <w:r w:rsidRPr="00646863">
        <w:rPr>
          <w:rFonts w:ascii="Arial" w:hAnsi="Arial" w:cs="Arial"/>
          <w:color w:val="000000"/>
          <w:szCs w:val="22"/>
        </w:rPr>
        <w:t>osob</w:t>
      </w:r>
      <w:r>
        <w:rPr>
          <w:rFonts w:ascii="Arial" w:hAnsi="Arial" w:cs="Arial"/>
          <w:color w:val="000000"/>
          <w:szCs w:val="22"/>
        </w:rPr>
        <w:t>a</w:t>
      </w:r>
      <w:r w:rsidRPr="00646863">
        <w:rPr>
          <w:rFonts w:ascii="Arial" w:hAnsi="Arial" w:cs="Arial"/>
          <w:color w:val="000000"/>
          <w:szCs w:val="22"/>
        </w:rPr>
        <w:t xml:space="preserve"> </w:t>
      </w:r>
      <w:r w:rsidRPr="00646863">
        <w:rPr>
          <w:rFonts w:ascii="Arial" w:hAnsi="Arial" w:cs="Arial"/>
          <w:szCs w:val="22"/>
        </w:rPr>
        <w:t xml:space="preserve">zajišťující pohřbení </w:t>
      </w:r>
      <w:r>
        <w:rPr>
          <w:rFonts w:ascii="Arial" w:hAnsi="Arial" w:cs="Arial"/>
          <w:szCs w:val="22"/>
        </w:rPr>
        <w:t xml:space="preserve">se definuje </w:t>
      </w:r>
      <w:r w:rsidRPr="00646863">
        <w:rPr>
          <w:rFonts w:ascii="Arial" w:hAnsi="Arial" w:cs="Arial"/>
          <w:szCs w:val="22"/>
        </w:rPr>
        <w:t>fyzická nebo právnická osoba sjednávající p</w:t>
      </w:r>
      <w:r w:rsidRPr="00646863">
        <w:rPr>
          <w:rFonts w:ascii="Arial" w:hAnsi="Arial" w:cs="Arial"/>
          <w:szCs w:val="22"/>
        </w:rPr>
        <w:t>o</w:t>
      </w:r>
      <w:r w:rsidRPr="00646863">
        <w:rPr>
          <w:rFonts w:ascii="Arial" w:hAnsi="Arial" w:cs="Arial"/>
          <w:szCs w:val="22"/>
        </w:rPr>
        <w:t>hřbení do 96 hodin od oznámení úmrtí</w:t>
      </w:r>
      <w:r>
        <w:rPr>
          <w:rFonts w:ascii="Arial" w:hAnsi="Arial" w:cs="Arial"/>
          <w:szCs w:val="22"/>
        </w:rPr>
        <w:t xml:space="preserve">, na což ale </w:t>
      </w:r>
      <w:r w:rsidR="00544D26">
        <w:rPr>
          <w:rFonts w:ascii="Arial" w:hAnsi="Arial" w:cs="Arial"/>
          <w:szCs w:val="22"/>
        </w:rPr>
        <w:t xml:space="preserve">terminologicky </w:t>
      </w:r>
      <w:r>
        <w:rPr>
          <w:rFonts w:ascii="Arial" w:hAnsi="Arial" w:cs="Arial"/>
          <w:szCs w:val="22"/>
        </w:rPr>
        <w:t>ne</w:t>
      </w:r>
      <w:r w:rsidR="00544D26">
        <w:rPr>
          <w:rFonts w:ascii="Arial" w:hAnsi="Arial" w:cs="Arial"/>
          <w:szCs w:val="22"/>
        </w:rPr>
        <w:t xml:space="preserve"> zcela </w:t>
      </w:r>
      <w:r>
        <w:rPr>
          <w:rFonts w:ascii="Arial" w:hAnsi="Arial" w:cs="Arial"/>
          <w:szCs w:val="22"/>
        </w:rPr>
        <w:t xml:space="preserve">navazuje např. § 5 odst. 1, kde se předpokládá, že </w:t>
      </w:r>
      <w:r w:rsidRPr="00646863">
        <w:rPr>
          <w:rFonts w:ascii="Arial" w:hAnsi="Arial" w:cs="Arial"/>
          <w:color w:val="000000"/>
          <w:szCs w:val="22"/>
        </w:rPr>
        <w:t xml:space="preserve">ve lhůtě 96 hodin od oznámení úmrtí </w:t>
      </w:r>
      <w:r>
        <w:rPr>
          <w:rFonts w:ascii="Arial" w:hAnsi="Arial" w:cs="Arial"/>
          <w:color w:val="000000"/>
          <w:szCs w:val="22"/>
        </w:rPr>
        <w:t xml:space="preserve">má </w:t>
      </w:r>
      <w:r w:rsidRPr="00646863">
        <w:rPr>
          <w:rFonts w:ascii="Arial" w:hAnsi="Arial" w:cs="Arial"/>
          <w:color w:val="000000"/>
          <w:szCs w:val="22"/>
        </w:rPr>
        <w:t>fyzická nebo právnická osoba</w:t>
      </w:r>
      <w:r w:rsidR="00FF3066" w:rsidRPr="00FF3066">
        <w:rPr>
          <w:rFonts w:ascii="Arial" w:hAnsi="Arial" w:cs="Arial"/>
          <w:color w:val="000000"/>
          <w:szCs w:val="22"/>
        </w:rPr>
        <w:t xml:space="preserve"> </w:t>
      </w:r>
      <w:r w:rsidR="00FF3066">
        <w:rPr>
          <w:rFonts w:ascii="Arial" w:hAnsi="Arial" w:cs="Arial"/>
          <w:color w:val="000000"/>
          <w:szCs w:val="22"/>
        </w:rPr>
        <w:t>„</w:t>
      </w:r>
      <w:r w:rsidR="00FF3066" w:rsidRPr="00646863">
        <w:rPr>
          <w:rFonts w:ascii="Arial" w:hAnsi="Arial" w:cs="Arial"/>
          <w:color w:val="000000"/>
          <w:szCs w:val="22"/>
        </w:rPr>
        <w:t>zajist</w:t>
      </w:r>
      <w:r w:rsidR="00FF3066">
        <w:rPr>
          <w:rFonts w:ascii="Arial" w:hAnsi="Arial" w:cs="Arial"/>
          <w:color w:val="000000"/>
          <w:szCs w:val="22"/>
        </w:rPr>
        <w:t>it“</w:t>
      </w:r>
      <w:r w:rsidR="00FF3066" w:rsidRPr="00646863">
        <w:rPr>
          <w:rFonts w:ascii="Arial" w:hAnsi="Arial" w:cs="Arial"/>
          <w:color w:val="000000"/>
          <w:szCs w:val="22"/>
        </w:rPr>
        <w:t xml:space="preserve"> pohřbení lidských pozůstatků</w:t>
      </w:r>
      <w:r>
        <w:rPr>
          <w:rFonts w:ascii="Arial" w:hAnsi="Arial" w:cs="Arial"/>
          <w:color w:val="000000"/>
          <w:szCs w:val="22"/>
        </w:rPr>
        <w:t xml:space="preserve">, </w:t>
      </w:r>
      <w:r w:rsidR="00FF3066">
        <w:rPr>
          <w:rFonts w:ascii="Arial" w:hAnsi="Arial" w:cs="Arial"/>
          <w:color w:val="000000"/>
          <w:szCs w:val="22"/>
        </w:rPr>
        <w:t xml:space="preserve">správně by ale asi v kontextu s definicí mělo být, že </w:t>
      </w:r>
      <w:r w:rsidR="00FF3066" w:rsidRPr="00646863">
        <w:rPr>
          <w:rFonts w:ascii="Arial" w:hAnsi="Arial" w:cs="Arial"/>
          <w:color w:val="000000"/>
          <w:szCs w:val="22"/>
        </w:rPr>
        <w:t xml:space="preserve">ve lhůtě 96 hodin od oznámení úmrtí </w:t>
      </w:r>
      <w:r w:rsidR="00FF3066">
        <w:rPr>
          <w:rFonts w:ascii="Arial" w:hAnsi="Arial" w:cs="Arial"/>
          <w:color w:val="000000"/>
          <w:szCs w:val="22"/>
        </w:rPr>
        <w:t xml:space="preserve">má </w:t>
      </w:r>
      <w:r w:rsidR="00FF3066" w:rsidRPr="00646863">
        <w:rPr>
          <w:rFonts w:ascii="Arial" w:hAnsi="Arial" w:cs="Arial"/>
          <w:color w:val="000000"/>
          <w:szCs w:val="22"/>
        </w:rPr>
        <w:t>pohřbení</w:t>
      </w:r>
      <w:r w:rsidR="00FF3066">
        <w:rPr>
          <w:rFonts w:ascii="Arial" w:hAnsi="Arial" w:cs="Arial"/>
          <w:color w:val="000000"/>
          <w:szCs w:val="22"/>
        </w:rPr>
        <w:t xml:space="preserve"> sjednat, nikoliv </w:t>
      </w:r>
      <w:r w:rsidR="00FF3066" w:rsidRPr="00646863">
        <w:rPr>
          <w:rFonts w:ascii="Arial" w:hAnsi="Arial" w:cs="Arial"/>
          <w:color w:val="000000"/>
          <w:szCs w:val="22"/>
        </w:rPr>
        <w:t>zajist</w:t>
      </w:r>
      <w:r w:rsidR="00FF3066">
        <w:rPr>
          <w:rFonts w:ascii="Arial" w:hAnsi="Arial" w:cs="Arial"/>
          <w:color w:val="000000"/>
          <w:szCs w:val="22"/>
        </w:rPr>
        <w:t>it.</w:t>
      </w:r>
      <w:r>
        <w:rPr>
          <w:rFonts w:ascii="Arial" w:hAnsi="Arial" w:cs="Arial"/>
          <w:color w:val="000000"/>
          <w:szCs w:val="22"/>
        </w:rPr>
        <w:t xml:space="preserve"> </w:t>
      </w:r>
      <w:r w:rsidR="00FF3066">
        <w:rPr>
          <w:rFonts w:ascii="Arial" w:hAnsi="Arial" w:cs="Arial"/>
          <w:color w:val="000000"/>
          <w:szCs w:val="22"/>
        </w:rPr>
        <w:t>O</w:t>
      </w:r>
      <w:r>
        <w:rPr>
          <w:rFonts w:ascii="Arial" w:hAnsi="Arial" w:cs="Arial"/>
          <w:color w:val="000000"/>
          <w:szCs w:val="22"/>
        </w:rPr>
        <w:t>tázkou navíc je, k čemu v těch 96 hodinách má dojít, když sjednání, resp. zajištění vyžaduje součinnost jiné osoby</w:t>
      </w:r>
      <w:r w:rsidR="00544D26">
        <w:rPr>
          <w:rFonts w:ascii="Arial" w:hAnsi="Arial" w:cs="Arial"/>
          <w:color w:val="000000"/>
          <w:szCs w:val="22"/>
        </w:rPr>
        <w:t xml:space="preserve"> a není tak jen na vůli osoby zajišťující pohřbení</w:t>
      </w:r>
      <w:r w:rsidR="00D52CF1">
        <w:rPr>
          <w:rFonts w:ascii="Arial" w:hAnsi="Arial" w:cs="Arial"/>
          <w:color w:val="000000"/>
          <w:szCs w:val="22"/>
        </w:rPr>
        <w:t>.</w:t>
      </w:r>
    </w:p>
    <w:p w:rsidR="00D52CF1" w:rsidRDefault="00D52CF1" w:rsidP="00A912F5">
      <w:pPr>
        <w:spacing w:line="360" w:lineRule="auto"/>
        <w:jc w:val="both"/>
        <w:rPr>
          <w:rFonts w:ascii="Arial" w:hAnsi="Arial" w:cs="Arial"/>
          <w:color w:val="000000"/>
          <w:szCs w:val="22"/>
        </w:rPr>
      </w:pPr>
    </w:p>
    <w:p w:rsidR="00D52CF1" w:rsidRDefault="00D52CF1" w:rsidP="00A912F5">
      <w:pPr>
        <w:spacing w:line="360" w:lineRule="auto"/>
        <w:jc w:val="both"/>
        <w:rPr>
          <w:rFonts w:ascii="Arial" w:hAnsi="Arial" w:cs="Arial"/>
          <w:color w:val="000000"/>
          <w:szCs w:val="22"/>
        </w:rPr>
      </w:pPr>
      <w:r w:rsidRPr="00D52CF1">
        <w:rPr>
          <w:rFonts w:ascii="Arial" w:hAnsi="Arial" w:cs="Arial"/>
          <w:color w:val="000000"/>
          <w:szCs w:val="22"/>
          <w:u w:val="single"/>
        </w:rPr>
        <w:t>K bodu 7</w:t>
      </w:r>
    </w:p>
    <w:p w:rsidR="000572D5" w:rsidRDefault="00D52CF1" w:rsidP="00A912F5">
      <w:pPr>
        <w:spacing w:line="360" w:lineRule="auto"/>
        <w:jc w:val="both"/>
        <w:rPr>
          <w:rFonts w:ascii="Arial" w:hAnsi="Arial" w:cs="Arial"/>
          <w:szCs w:val="22"/>
        </w:rPr>
      </w:pPr>
      <w:r w:rsidRPr="00D52CF1">
        <w:rPr>
          <w:rFonts w:ascii="Arial" w:hAnsi="Arial" w:cs="Arial"/>
          <w:color w:val="000000"/>
          <w:szCs w:val="22"/>
        </w:rPr>
        <w:tab/>
        <w:t>V § 3 odst. 2 má být uvedeno, že s</w:t>
      </w:r>
      <w:r w:rsidRPr="00D52CF1">
        <w:rPr>
          <w:rFonts w:ascii="Arial" w:hAnsi="Arial" w:cs="Arial"/>
          <w:szCs w:val="22"/>
        </w:rPr>
        <w:t>tanovisko krajského úřadu je jedním z podkladů pro v</w:t>
      </w:r>
      <w:r w:rsidRPr="00D52CF1">
        <w:rPr>
          <w:rFonts w:ascii="Arial" w:hAnsi="Arial" w:cs="Arial"/>
          <w:szCs w:val="22"/>
        </w:rPr>
        <w:t>y</w:t>
      </w:r>
      <w:r w:rsidRPr="00D52CF1">
        <w:rPr>
          <w:rFonts w:ascii="Arial" w:hAnsi="Arial" w:cs="Arial"/>
          <w:szCs w:val="22"/>
        </w:rPr>
        <w:t>dání příslušného územního rozhodnutí o změně využití území podle zvláštního právního předpisu, tzn. stavebního zákona, a následného povolení stavby, je-li podle tohoto právního předpisu vyž</w:t>
      </w:r>
      <w:r w:rsidRPr="00D52CF1">
        <w:rPr>
          <w:rFonts w:ascii="Arial" w:hAnsi="Arial" w:cs="Arial"/>
          <w:szCs w:val="22"/>
        </w:rPr>
        <w:t>a</w:t>
      </w:r>
      <w:r w:rsidRPr="00D52CF1">
        <w:rPr>
          <w:rFonts w:ascii="Arial" w:hAnsi="Arial" w:cs="Arial"/>
          <w:szCs w:val="22"/>
        </w:rPr>
        <w:t>dováno</w:t>
      </w:r>
      <w:r>
        <w:rPr>
          <w:rFonts w:ascii="Arial" w:hAnsi="Arial" w:cs="Arial"/>
          <w:szCs w:val="22"/>
        </w:rPr>
        <w:t>. To by znamenalo, že pokud se povolení stavby, tedy</w:t>
      </w:r>
      <w:r w:rsidR="009A31C0">
        <w:rPr>
          <w:rFonts w:ascii="Arial" w:hAnsi="Arial" w:cs="Arial"/>
          <w:szCs w:val="22"/>
        </w:rPr>
        <w:t xml:space="preserve"> zřejmě</w:t>
      </w:r>
      <w:r>
        <w:rPr>
          <w:rFonts w:ascii="Arial" w:hAnsi="Arial" w:cs="Arial"/>
          <w:szCs w:val="22"/>
        </w:rPr>
        <w:t xml:space="preserve"> stavební povolení podle st</w:t>
      </w:r>
      <w:r>
        <w:rPr>
          <w:rFonts w:ascii="Arial" w:hAnsi="Arial" w:cs="Arial"/>
          <w:szCs w:val="22"/>
        </w:rPr>
        <w:t>a</w:t>
      </w:r>
      <w:r>
        <w:rPr>
          <w:rFonts w:ascii="Arial" w:hAnsi="Arial" w:cs="Arial"/>
          <w:szCs w:val="22"/>
        </w:rPr>
        <w:t>vebního zákona nevyžaduje, nebude třeba ani stanovisko krajského úřadu</w:t>
      </w:r>
      <w:r w:rsidR="009A31C0">
        <w:rPr>
          <w:rFonts w:ascii="Arial" w:hAnsi="Arial" w:cs="Arial"/>
          <w:szCs w:val="22"/>
        </w:rPr>
        <w:t>.</w:t>
      </w:r>
      <w:r>
        <w:rPr>
          <w:rFonts w:ascii="Arial" w:hAnsi="Arial" w:cs="Arial"/>
          <w:szCs w:val="22"/>
        </w:rPr>
        <w:t xml:space="preserve"> </w:t>
      </w:r>
      <w:r w:rsidR="009A31C0">
        <w:rPr>
          <w:rFonts w:ascii="Arial" w:hAnsi="Arial" w:cs="Arial"/>
          <w:szCs w:val="22"/>
        </w:rPr>
        <w:t>T</w:t>
      </w:r>
      <w:r>
        <w:rPr>
          <w:rFonts w:ascii="Arial" w:hAnsi="Arial" w:cs="Arial"/>
          <w:szCs w:val="22"/>
        </w:rPr>
        <w:t>o ale zřejmě nedává smysl, neboť pokud by byl podle stavebního zákona možný místo stavebního řízení nějaký zje</w:t>
      </w:r>
      <w:r>
        <w:rPr>
          <w:rFonts w:ascii="Arial" w:hAnsi="Arial" w:cs="Arial"/>
          <w:szCs w:val="22"/>
        </w:rPr>
        <w:t>d</w:t>
      </w:r>
      <w:r>
        <w:rPr>
          <w:rFonts w:ascii="Arial" w:hAnsi="Arial" w:cs="Arial"/>
          <w:szCs w:val="22"/>
        </w:rPr>
        <w:t xml:space="preserve">nodušující postup, </w:t>
      </w:r>
      <w:r w:rsidR="009A31C0">
        <w:rPr>
          <w:rFonts w:ascii="Arial" w:hAnsi="Arial" w:cs="Arial"/>
          <w:szCs w:val="22"/>
        </w:rPr>
        <w:t xml:space="preserve">např. ohlášení, </w:t>
      </w:r>
      <w:r>
        <w:rPr>
          <w:rFonts w:ascii="Arial" w:hAnsi="Arial" w:cs="Arial"/>
          <w:szCs w:val="22"/>
        </w:rPr>
        <w:t xml:space="preserve">krajský úřad by se </w:t>
      </w:r>
      <w:r w:rsidR="009A31C0">
        <w:rPr>
          <w:rFonts w:ascii="Arial" w:hAnsi="Arial" w:cs="Arial"/>
          <w:szCs w:val="22"/>
        </w:rPr>
        <w:t xml:space="preserve">asi </w:t>
      </w:r>
      <w:r>
        <w:rPr>
          <w:rFonts w:ascii="Arial" w:hAnsi="Arial" w:cs="Arial"/>
          <w:szCs w:val="22"/>
        </w:rPr>
        <w:t xml:space="preserve">vyjadřovat nemusel. </w:t>
      </w:r>
    </w:p>
    <w:p w:rsidR="00D52CF1" w:rsidRDefault="00D52CF1" w:rsidP="000572D5">
      <w:pPr>
        <w:spacing w:line="360" w:lineRule="auto"/>
        <w:ind w:firstLine="708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Ustanovení by </w:t>
      </w:r>
      <w:r w:rsidR="009A31C0">
        <w:rPr>
          <w:rFonts w:ascii="Arial" w:hAnsi="Arial" w:cs="Arial"/>
          <w:szCs w:val="22"/>
        </w:rPr>
        <w:t xml:space="preserve">proto </w:t>
      </w:r>
      <w:r>
        <w:rPr>
          <w:rFonts w:ascii="Arial" w:hAnsi="Arial" w:cs="Arial"/>
          <w:szCs w:val="22"/>
        </w:rPr>
        <w:t xml:space="preserve">mělo </w:t>
      </w:r>
      <w:r w:rsidR="009A31C0">
        <w:rPr>
          <w:rFonts w:ascii="Arial" w:hAnsi="Arial" w:cs="Arial"/>
          <w:szCs w:val="22"/>
        </w:rPr>
        <w:t xml:space="preserve">raději </w:t>
      </w:r>
      <w:r>
        <w:rPr>
          <w:rFonts w:ascii="Arial" w:hAnsi="Arial" w:cs="Arial"/>
          <w:szCs w:val="22"/>
        </w:rPr>
        <w:t xml:space="preserve">odkazovat na povolení nebo jiný úkon stavebního úřadu podle stavebního zákona, </w:t>
      </w:r>
      <w:r w:rsidR="009A31C0">
        <w:rPr>
          <w:rFonts w:ascii="Arial" w:hAnsi="Arial" w:cs="Arial"/>
          <w:szCs w:val="22"/>
        </w:rPr>
        <w:t xml:space="preserve">což je formulace známá již z jiných zákonů, </w:t>
      </w:r>
      <w:r>
        <w:rPr>
          <w:rFonts w:ascii="Arial" w:hAnsi="Arial" w:cs="Arial"/>
          <w:szCs w:val="22"/>
        </w:rPr>
        <w:t>aby byly pokryty i tyto příp</w:t>
      </w:r>
      <w:r>
        <w:rPr>
          <w:rFonts w:ascii="Arial" w:hAnsi="Arial" w:cs="Arial"/>
          <w:szCs w:val="22"/>
        </w:rPr>
        <w:t>a</w:t>
      </w:r>
      <w:r>
        <w:rPr>
          <w:rFonts w:ascii="Arial" w:hAnsi="Arial" w:cs="Arial"/>
          <w:szCs w:val="22"/>
        </w:rPr>
        <w:t>dy</w:t>
      </w:r>
      <w:r w:rsidR="00CD1F8C">
        <w:rPr>
          <w:rFonts w:ascii="Arial" w:hAnsi="Arial" w:cs="Arial"/>
          <w:szCs w:val="22"/>
        </w:rPr>
        <w:t>, což platí i pro další ustanovení návrhu, kde se používá stejná formulace</w:t>
      </w:r>
      <w:r>
        <w:rPr>
          <w:rFonts w:ascii="Arial" w:hAnsi="Arial" w:cs="Arial"/>
          <w:szCs w:val="22"/>
        </w:rPr>
        <w:t xml:space="preserve">. Do návrhu je rovněž třeba doplnit, co má stanovisko krajského úřadu obsahovat, </w:t>
      </w:r>
      <w:proofErr w:type="gramStart"/>
      <w:r>
        <w:rPr>
          <w:rFonts w:ascii="Arial" w:hAnsi="Arial" w:cs="Arial"/>
          <w:szCs w:val="22"/>
        </w:rPr>
        <w:t>tzn. z jakých</w:t>
      </w:r>
      <w:proofErr w:type="gramEnd"/>
      <w:r>
        <w:rPr>
          <w:rFonts w:ascii="Arial" w:hAnsi="Arial" w:cs="Arial"/>
          <w:szCs w:val="22"/>
        </w:rPr>
        <w:t xml:space="preserve"> hledisek se má krajský úřad </w:t>
      </w:r>
      <w:r w:rsidR="00D4466E">
        <w:rPr>
          <w:rFonts w:ascii="Arial" w:hAnsi="Arial" w:cs="Arial"/>
          <w:szCs w:val="22"/>
        </w:rPr>
        <w:t xml:space="preserve">k věci vyjádřit. </w:t>
      </w:r>
    </w:p>
    <w:p w:rsidR="00D4466E" w:rsidRDefault="00D4466E" w:rsidP="00A912F5">
      <w:pPr>
        <w:spacing w:line="360" w:lineRule="auto"/>
        <w:jc w:val="both"/>
        <w:rPr>
          <w:rFonts w:ascii="Arial" w:hAnsi="Arial" w:cs="Arial"/>
          <w:szCs w:val="22"/>
        </w:rPr>
      </w:pPr>
    </w:p>
    <w:p w:rsidR="009A31C0" w:rsidRDefault="009A31C0" w:rsidP="00A912F5">
      <w:pPr>
        <w:spacing w:line="360" w:lineRule="auto"/>
        <w:jc w:val="both"/>
        <w:rPr>
          <w:rFonts w:ascii="Arial" w:hAnsi="Arial" w:cs="Arial"/>
          <w:szCs w:val="22"/>
        </w:rPr>
      </w:pPr>
    </w:p>
    <w:p w:rsidR="00D4466E" w:rsidRDefault="00D4466E" w:rsidP="00A912F5">
      <w:pPr>
        <w:spacing w:line="360" w:lineRule="auto"/>
        <w:jc w:val="both"/>
        <w:rPr>
          <w:rFonts w:ascii="Arial" w:hAnsi="Arial" w:cs="Arial"/>
          <w:szCs w:val="22"/>
        </w:rPr>
      </w:pPr>
      <w:r w:rsidRPr="00D4466E">
        <w:rPr>
          <w:rFonts w:ascii="Arial" w:hAnsi="Arial" w:cs="Arial"/>
          <w:szCs w:val="22"/>
          <w:u w:val="single"/>
        </w:rPr>
        <w:lastRenderedPageBreak/>
        <w:t>K bodu 9</w:t>
      </w:r>
    </w:p>
    <w:p w:rsidR="00D4466E" w:rsidRDefault="00D4466E" w:rsidP="00A912F5">
      <w:pPr>
        <w:spacing w:line="36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  <w:t>Je třeba doplnit, že souhlas krajského úřadu je třeba i k samotnému vydání řádu neveře</w:t>
      </w:r>
      <w:r>
        <w:rPr>
          <w:rFonts w:ascii="Arial" w:hAnsi="Arial" w:cs="Arial"/>
          <w:szCs w:val="22"/>
        </w:rPr>
        <w:t>j</w:t>
      </w:r>
      <w:r>
        <w:rPr>
          <w:rFonts w:ascii="Arial" w:hAnsi="Arial" w:cs="Arial"/>
          <w:szCs w:val="22"/>
        </w:rPr>
        <w:t>ného pohřebiště, nejen k jeho změnám. Slova „územně příslušného“ jsou v tomto a dalších ust</w:t>
      </w:r>
      <w:r>
        <w:rPr>
          <w:rFonts w:ascii="Arial" w:hAnsi="Arial" w:cs="Arial"/>
          <w:szCs w:val="22"/>
        </w:rPr>
        <w:t>a</w:t>
      </w:r>
      <w:r>
        <w:rPr>
          <w:rFonts w:ascii="Arial" w:hAnsi="Arial" w:cs="Arial"/>
          <w:szCs w:val="22"/>
        </w:rPr>
        <w:t xml:space="preserve">noveních návrhu zbytečná, neboť správní orgán musí být vždy místně (nikoliv územně) příslušný podle </w:t>
      </w:r>
      <w:r w:rsidR="009A31C0">
        <w:rPr>
          <w:rFonts w:ascii="Arial" w:hAnsi="Arial" w:cs="Arial"/>
          <w:szCs w:val="22"/>
        </w:rPr>
        <w:t xml:space="preserve">obecné úpravy v </w:t>
      </w:r>
      <w:r>
        <w:rPr>
          <w:rFonts w:ascii="Arial" w:hAnsi="Arial" w:cs="Arial"/>
          <w:szCs w:val="22"/>
        </w:rPr>
        <w:t>§ 11 správního řádu, případně podle kritérií místní příslušnosti ve zvláštní úpravě, která ale návrh neobsahuje a pouze obecný odkaz na místní příslušnost nemá význam</w:t>
      </w:r>
      <w:r w:rsidR="009A31C0">
        <w:rPr>
          <w:rFonts w:ascii="Arial" w:hAnsi="Arial" w:cs="Arial"/>
          <w:szCs w:val="22"/>
        </w:rPr>
        <w:t>.</w:t>
      </w:r>
      <w:r>
        <w:rPr>
          <w:rFonts w:ascii="Arial" w:hAnsi="Arial" w:cs="Arial"/>
          <w:szCs w:val="22"/>
        </w:rPr>
        <w:t xml:space="preserve"> </w:t>
      </w:r>
      <w:r w:rsidR="009A31C0">
        <w:rPr>
          <w:rFonts w:ascii="Arial" w:hAnsi="Arial" w:cs="Arial"/>
          <w:szCs w:val="22"/>
        </w:rPr>
        <w:t>P</w:t>
      </w:r>
      <w:r>
        <w:rPr>
          <w:rFonts w:ascii="Arial" w:hAnsi="Arial" w:cs="Arial"/>
          <w:szCs w:val="22"/>
        </w:rPr>
        <w:t xml:space="preserve">okud by správní orgán místně příslušný nebyl, rozhodnutí by bylo nezákonné. </w:t>
      </w:r>
    </w:p>
    <w:p w:rsidR="00D4466E" w:rsidRDefault="00D4466E" w:rsidP="00A912F5">
      <w:pPr>
        <w:spacing w:line="360" w:lineRule="auto"/>
        <w:jc w:val="both"/>
        <w:rPr>
          <w:rFonts w:ascii="Arial" w:hAnsi="Arial" w:cs="Arial"/>
          <w:szCs w:val="22"/>
        </w:rPr>
      </w:pPr>
    </w:p>
    <w:p w:rsidR="00D4466E" w:rsidRDefault="00D4466E" w:rsidP="00A912F5">
      <w:pPr>
        <w:spacing w:line="360" w:lineRule="auto"/>
        <w:jc w:val="both"/>
        <w:rPr>
          <w:rFonts w:ascii="Arial" w:hAnsi="Arial" w:cs="Arial"/>
          <w:szCs w:val="22"/>
        </w:rPr>
      </w:pPr>
      <w:r w:rsidRPr="00D4466E">
        <w:rPr>
          <w:rFonts w:ascii="Arial" w:hAnsi="Arial" w:cs="Arial"/>
          <w:szCs w:val="22"/>
          <w:u w:val="single"/>
        </w:rPr>
        <w:t>K bodu 10</w:t>
      </w:r>
    </w:p>
    <w:p w:rsidR="00D4466E" w:rsidRDefault="00D4466E" w:rsidP="00A912F5">
      <w:pPr>
        <w:spacing w:line="36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  <w:t>Spojku „nebo“ je třeba nahradit spojk</w:t>
      </w:r>
      <w:r w:rsidR="00652EDA">
        <w:rPr>
          <w:rFonts w:ascii="Arial" w:hAnsi="Arial" w:cs="Arial"/>
          <w:szCs w:val="22"/>
        </w:rPr>
        <w:t>o</w:t>
      </w:r>
      <w:r>
        <w:rPr>
          <w:rFonts w:ascii="Arial" w:hAnsi="Arial" w:cs="Arial"/>
          <w:szCs w:val="22"/>
        </w:rPr>
        <w:t>u „a“ jako se to provádí i v dalších ustanoveních v návaznosti na terminologii zákona č. 3/2002 Sb.</w:t>
      </w:r>
    </w:p>
    <w:p w:rsidR="00AD4279" w:rsidRDefault="00AD4279" w:rsidP="00A912F5">
      <w:pPr>
        <w:spacing w:line="360" w:lineRule="auto"/>
        <w:jc w:val="both"/>
        <w:rPr>
          <w:rFonts w:ascii="Arial" w:hAnsi="Arial" w:cs="Arial"/>
          <w:szCs w:val="22"/>
        </w:rPr>
      </w:pPr>
    </w:p>
    <w:p w:rsidR="00AD4279" w:rsidRDefault="00AD4279" w:rsidP="00A912F5">
      <w:pPr>
        <w:spacing w:line="360" w:lineRule="auto"/>
        <w:jc w:val="both"/>
        <w:rPr>
          <w:rFonts w:ascii="Arial" w:hAnsi="Arial" w:cs="Arial"/>
          <w:szCs w:val="22"/>
        </w:rPr>
      </w:pPr>
      <w:r w:rsidRPr="00AD4279">
        <w:rPr>
          <w:rFonts w:ascii="Arial" w:hAnsi="Arial" w:cs="Arial"/>
          <w:szCs w:val="22"/>
          <w:u w:val="single"/>
        </w:rPr>
        <w:t>K bodu 13</w:t>
      </w:r>
    </w:p>
    <w:p w:rsidR="00AD4279" w:rsidRDefault="00AD4279" w:rsidP="00A912F5">
      <w:pPr>
        <w:spacing w:line="36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  <w:t>V § 3 odst. 5 je třeba stanovit, že se § 24 použije obdobně, neboť ustanovení se týká veře</w:t>
      </w:r>
      <w:r>
        <w:rPr>
          <w:rFonts w:ascii="Arial" w:hAnsi="Arial" w:cs="Arial"/>
          <w:szCs w:val="22"/>
        </w:rPr>
        <w:t>j</w:t>
      </w:r>
      <w:r>
        <w:rPr>
          <w:rFonts w:ascii="Arial" w:hAnsi="Arial" w:cs="Arial"/>
          <w:szCs w:val="22"/>
        </w:rPr>
        <w:t xml:space="preserve">ného pohřebiště. </w:t>
      </w:r>
    </w:p>
    <w:p w:rsidR="00AD4279" w:rsidRDefault="00AD4279" w:rsidP="00A912F5">
      <w:pPr>
        <w:spacing w:line="360" w:lineRule="auto"/>
        <w:jc w:val="both"/>
        <w:rPr>
          <w:rFonts w:ascii="Arial" w:hAnsi="Arial" w:cs="Arial"/>
          <w:szCs w:val="22"/>
        </w:rPr>
      </w:pPr>
    </w:p>
    <w:p w:rsidR="00AD4279" w:rsidRDefault="00AD4279" w:rsidP="00A912F5">
      <w:pPr>
        <w:spacing w:line="360" w:lineRule="auto"/>
        <w:jc w:val="both"/>
        <w:rPr>
          <w:rFonts w:ascii="Arial" w:hAnsi="Arial" w:cs="Arial"/>
          <w:szCs w:val="22"/>
        </w:rPr>
      </w:pPr>
      <w:r w:rsidRPr="00AD4279">
        <w:rPr>
          <w:rFonts w:ascii="Arial" w:hAnsi="Arial" w:cs="Arial"/>
          <w:szCs w:val="22"/>
          <w:u w:val="single"/>
        </w:rPr>
        <w:t>K bodům 14 až 20</w:t>
      </w:r>
    </w:p>
    <w:p w:rsidR="000572D5" w:rsidRDefault="00AD4279" w:rsidP="00A912F5">
      <w:pPr>
        <w:spacing w:line="36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  <w:t xml:space="preserve">Ze stávajícího ani měněného znění § 4 odst. 1 se nepozná, kdo </w:t>
      </w:r>
      <w:r w:rsidR="00715A22">
        <w:rPr>
          <w:rFonts w:ascii="Arial" w:hAnsi="Arial" w:cs="Arial"/>
          <w:szCs w:val="22"/>
        </w:rPr>
        <w:t xml:space="preserve">konkrétně, jaké subjekty, </w:t>
      </w:r>
      <w:r>
        <w:rPr>
          <w:rFonts w:ascii="Arial" w:hAnsi="Arial" w:cs="Arial"/>
          <w:szCs w:val="22"/>
        </w:rPr>
        <w:t>m</w:t>
      </w:r>
      <w:r w:rsidR="00652EDA">
        <w:rPr>
          <w:rFonts w:ascii="Arial" w:hAnsi="Arial" w:cs="Arial"/>
          <w:szCs w:val="22"/>
        </w:rPr>
        <w:t>ají</w:t>
      </w:r>
      <w:r>
        <w:rPr>
          <w:rFonts w:ascii="Arial" w:hAnsi="Arial" w:cs="Arial"/>
          <w:szCs w:val="22"/>
        </w:rPr>
        <w:t xml:space="preserve"> být adresát</w:t>
      </w:r>
      <w:r w:rsidR="00652EDA">
        <w:rPr>
          <w:rFonts w:ascii="Arial" w:hAnsi="Arial" w:cs="Arial"/>
          <w:szCs w:val="22"/>
        </w:rPr>
        <w:t>y</w:t>
      </w:r>
      <w:r>
        <w:rPr>
          <w:rFonts w:ascii="Arial" w:hAnsi="Arial" w:cs="Arial"/>
          <w:szCs w:val="22"/>
        </w:rPr>
        <w:t xml:space="preserve"> povinností v tomto ustanovení uvedených</w:t>
      </w:r>
      <w:r w:rsidR="00652EDA">
        <w:rPr>
          <w:rFonts w:ascii="Arial" w:hAnsi="Arial" w:cs="Arial"/>
          <w:szCs w:val="22"/>
        </w:rPr>
        <w:t>.</w:t>
      </w:r>
      <w:r>
        <w:rPr>
          <w:rFonts w:ascii="Arial" w:hAnsi="Arial" w:cs="Arial"/>
          <w:szCs w:val="22"/>
        </w:rPr>
        <w:t xml:space="preserve"> </w:t>
      </w:r>
      <w:r w:rsidR="00652EDA">
        <w:rPr>
          <w:rFonts w:ascii="Arial" w:hAnsi="Arial" w:cs="Arial"/>
          <w:szCs w:val="22"/>
        </w:rPr>
        <w:t>T</w:t>
      </w:r>
      <w:r>
        <w:rPr>
          <w:rFonts w:ascii="Arial" w:hAnsi="Arial" w:cs="Arial"/>
          <w:szCs w:val="22"/>
        </w:rPr>
        <w:t>o by mohlo činit problémy v případě nově doplňovaných sankčních ustanovení, kde se v případě § 4 odst. 1 počítá jak s přestupky f</w:t>
      </w:r>
      <w:r>
        <w:rPr>
          <w:rFonts w:ascii="Arial" w:hAnsi="Arial" w:cs="Arial"/>
          <w:szCs w:val="22"/>
        </w:rPr>
        <w:t>y</w:t>
      </w:r>
      <w:r>
        <w:rPr>
          <w:rFonts w:ascii="Arial" w:hAnsi="Arial" w:cs="Arial"/>
          <w:szCs w:val="22"/>
        </w:rPr>
        <w:t>zických nepodnikajících osob</w:t>
      </w:r>
      <w:r w:rsidR="00715A22">
        <w:rPr>
          <w:rFonts w:ascii="Arial" w:hAnsi="Arial" w:cs="Arial"/>
          <w:szCs w:val="22"/>
        </w:rPr>
        <w:t>,</w:t>
      </w:r>
      <w:r>
        <w:rPr>
          <w:rFonts w:ascii="Arial" w:hAnsi="Arial" w:cs="Arial"/>
          <w:szCs w:val="22"/>
        </w:rPr>
        <w:t xml:space="preserve"> tak s přestupky </w:t>
      </w:r>
      <w:r w:rsidR="00715A22">
        <w:rPr>
          <w:rFonts w:ascii="Arial" w:hAnsi="Arial" w:cs="Arial"/>
          <w:szCs w:val="22"/>
        </w:rPr>
        <w:t xml:space="preserve">právnických osob a podnikatelů, přičemž ale ani v § 26 ani v § 27 se nepostihují všechny povinnosti z § 4 odst. 1. </w:t>
      </w:r>
    </w:p>
    <w:p w:rsidR="00AD4279" w:rsidRDefault="00715A22" w:rsidP="000572D5">
      <w:pPr>
        <w:spacing w:line="360" w:lineRule="auto"/>
        <w:ind w:firstLine="708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Pokud to má znamenat, že některé povinnosti z § 4 odst. 1 se vztahují jen na nepodnikající fyzické osoby a jiné povinnosti zase jen na podnikatele a právnické osoby, je třeba tuto kategoriz</w:t>
      </w:r>
      <w:r>
        <w:rPr>
          <w:rFonts w:ascii="Arial" w:hAnsi="Arial" w:cs="Arial"/>
          <w:szCs w:val="22"/>
        </w:rPr>
        <w:t>a</w:t>
      </w:r>
      <w:r>
        <w:rPr>
          <w:rFonts w:ascii="Arial" w:hAnsi="Arial" w:cs="Arial"/>
          <w:szCs w:val="22"/>
        </w:rPr>
        <w:t xml:space="preserve">ci provést v § 4 odst. 1 a ne až nepřímo v sankčních ustanoveních. V § 4 odst. 1 je třeba výslovně vyjádřit, na koho se mají povinnosti vztahovat. </w:t>
      </w:r>
      <w:r w:rsidR="0069032D">
        <w:rPr>
          <w:rFonts w:ascii="Arial" w:hAnsi="Arial" w:cs="Arial"/>
          <w:szCs w:val="22"/>
        </w:rPr>
        <w:t>Souvisí to koneckonců i s úpravou příslušnosti k dozoru v novém § 25a, kde se rovněž uvádí zcela konkrétně, vůči jakým druhům subjektů budou orgány dozoru dohlížet nad dodržováním povinností podle § 4 odst. 1</w:t>
      </w:r>
      <w:r w:rsidR="00652EDA">
        <w:rPr>
          <w:rFonts w:ascii="Arial" w:hAnsi="Arial" w:cs="Arial"/>
          <w:szCs w:val="22"/>
        </w:rPr>
        <w:t>, takže i z tohoto pohledu musí být jednoznačně stanoveno, kdo má jaké povinnosti</w:t>
      </w:r>
      <w:r w:rsidR="0069032D">
        <w:rPr>
          <w:rFonts w:ascii="Arial" w:hAnsi="Arial" w:cs="Arial"/>
          <w:szCs w:val="22"/>
        </w:rPr>
        <w:t>.</w:t>
      </w:r>
    </w:p>
    <w:p w:rsidR="00203661" w:rsidRDefault="00203661" w:rsidP="00A912F5">
      <w:pPr>
        <w:spacing w:line="360" w:lineRule="auto"/>
        <w:jc w:val="both"/>
        <w:rPr>
          <w:rFonts w:ascii="Arial" w:hAnsi="Arial" w:cs="Arial"/>
          <w:szCs w:val="22"/>
        </w:rPr>
      </w:pPr>
    </w:p>
    <w:p w:rsidR="00203661" w:rsidRDefault="00203661" w:rsidP="00A912F5">
      <w:pPr>
        <w:spacing w:line="360" w:lineRule="auto"/>
        <w:jc w:val="both"/>
        <w:rPr>
          <w:rFonts w:ascii="Arial" w:hAnsi="Arial" w:cs="Arial"/>
          <w:szCs w:val="22"/>
        </w:rPr>
      </w:pPr>
      <w:r w:rsidRPr="00203661">
        <w:rPr>
          <w:rFonts w:ascii="Arial" w:hAnsi="Arial" w:cs="Arial"/>
          <w:szCs w:val="22"/>
          <w:u w:val="single"/>
        </w:rPr>
        <w:t>K bodu 15</w:t>
      </w:r>
    </w:p>
    <w:p w:rsidR="000572D5" w:rsidRDefault="00203661" w:rsidP="00D840C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Cs w:val="22"/>
        </w:rPr>
        <w:tab/>
        <w:t>V § 4 odst. 1 písm. a) se předpokládá, že orgán veřejného zdraví, kterým je podle § 80 odst. 1 písm. j) zákona č. 258/2000 Sb., Ministerstvo zdravotnictví, má stanovit okruh dalších i</w:t>
      </w:r>
      <w:r>
        <w:rPr>
          <w:rFonts w:ascii="Arial" w:hAnsi="Arial" w:cs="Arial"/>
          <w:szCs w:val="22"/>
        </w:rPr>
        <w:t>n</w:t>
      </w:r>
      <w:r w:rsidRPr="00203661">
        <w:rPr>
          <w:rFonts w:ascii="Arial" w:hAnsi="Arial" w:cs="Arial"/>
          <w:szCs w:val="22"/>
        </w:rPr>
        <w:t>fekčních onemocnění, která mají vylučovat, aby se s pozůstatky osoby, která v době úmrtí byla nakažena tímto onemocněním, nakládalo tak, že se budou upravovat, konzervovat, balzamovat nebo vystavovat</w:t>
      </w:r>
      <w:r w:rsidR="00D840C3">
        <w:rPr>
          <w:rFonts w:ascii="Arial" w:hAnsi="Arial" w:cs="Arial"/>
          <w:szCs w:val="22"/>
        </w:rPr>
        <w:t xml:space="preserve">. V citovaném ustanovení zákona č. 258/2000 Sb., je uvedeno, že ministerstvo </w:t>
      </w:r>
      <w:r w:rsidR="00D840C3" w:rsidRPr="00D840C3">
        <w:rPr>
          <w:rFonts w:ascii="Arial" w:hAnsi="Arial" w:cs="Arial"/>
        </w:rPr>
        <w:t>stanoví další infekční onemocnění vyvolaná vysoce rizikovými biologickými agens a toxiny, které se považují za nebezpečnou nemoc podle zákona o pohřebnictví zveřejněním na své úřední desce</w:t>
      </w:r>
      <w:r w:rsidR="00D840C3">
        <w:rPr>
          <w:rFonts w:ascii="Arial" w:hAnsi="Arial" w:cs="Arial"/>
        </w:rPr>
        <w:t xml:space="preserve"> </w:t>
      </w:r>
      <w:r w:rsidR="00D840C3">
        <w:rPr>
          <w:rFonts w:ascii="Arial" w:hAnsi="Arial" w:cs="Arial"/>
        </w:rPr>
        <w:lastRenderedPageBreak/>
        <w:t xml:space="preserve">a </w:t>
      </w:r>
      <w:r w:rsidR="00D840C3" w:rsidRPr="00D840C3">
        <w:rPr>
          <w:rFonts w:ascii="Arial" w:hAnsi="Arial" w:cs="Arial"/>
        </w:rPr>
        <w:t>současně vyhlásí tato další infekční onemocnění v celoplošném televizním a rozhlasovém vys</w:t>
      </w:r>
      <w:r w:rsidR="00D840C3" w:rsidRPr="00D840C3">
        <w:rPr>
          <w:rFonts w:ascii="Arial" w:hAnsi="Arial" w:cs="Arial"/>
        </w:rPr>
        <w:t>í</w:t>
      </w:r>
      <w:r w:rsidR="00D840C3" w:rsidRPr="00D840C3">
        <w:rPr>
          <w:rFonts w:ascii="Arial" w:hAnsi="Arial" w:cs="Arial"/>
        </w:rPr>
        <w:t>lání</w:t>
      </w:r>
      <w:r w:rsidR="00D840C3">
        <w:rPr>
          <w:rFonts w:ascii="Arial" w:hAnsi="Arial" w:cs="Arial"/>
        </w:rPr>
        <w:t xml:space="preserve">. </w:t>
      </w:r>
    </w:p>
    <w:p w:rsidR="00D840C3" w:rsidRDefault="00D840C3" w:rsidP="000572D5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má být daný </w:t>
      </w:r>
      <w:r w:rsidR="00652EDA">
        <w:rPr>
          <w:rFonts w:ascii="Arial" w:hAnsi="Arial" w:cs="Arial"/>
        </w:rPr>
        <w:t xml:space="preserve">správní </w:t>
      </w:r>
      <w:r>
        <w:rPr>
          <w:rFonts w:ascii="Arial" w:hAnsi="Arial" w:cs="Arial"/>
        </w:rPr>
        <w:t>akt závazný, je třeba, aby měl odpovídající formu, přičemž v daném případě je zřejmě nejpřiléhavější forma opatření obecné povahy jako aktu s konkrétním předmětem vztahujícím se na neurčitý okruh adresátů</w:t>
      </w:r>
      <w:r w:rsidR="00652EDA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 xml:space="preserve"> v tomto smyslu by měla být úprava v zákoně č. 258/2000 Sb. upřesněna</w:t>
      </w:r>
      <w:r w:rsidR="007A59F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7A59F9">
        <w:rPr>
          <w:rFonts w:ascii="Arial" w:hAnsi="Arial" w:cs="Arial"/>
        </w:rPr>
        <w:t>Z</w:t>
      </w:r>
      <w:r>
        <w:rPr>
          <w:rFonts w:ascii="Arial" w:hAnsi="Arial" w:cs="Arial"/>
        </w:rPr>
        <w:t> materiálního hlediska uplatňovaného v judikatuře sprá</w:t>
      </w:r>
      <w:r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ních soudů, </w:t>
      </w:r>
      <w:r w:rsidR="007A59F9">
        <w:rPr>
          <w:rFonts w:ascii="Arial" w:hAnsi="Arial" w:cs="Arial"/>
        </w:rPr>
        <w:t>je</w:t>
      </w:r>
      <w:r>
        <w:rPr>
          <w:rFonts w:ascii="Arial" w:hAnsi="Arial" w:cs="Arial"/>
        </w:rPr>
        <w:t xml:space="preserve"> to opatření obecné povahy již dnes, otázkou však je, zda z hlediska účelu sledov</w:t>
      </w:r>
      <w:r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ného daným ustanovením by neměla být upravena nějaká specifická </w:t>
      </w:r>
      <w:r w:rsidR="007A59F9">
        <w:rPr>
          <w:rFonts w:ascii="Arial" w:hAnsi="Arial" w:cs="Arial"/>
        </w:rPr>
        <w:t xml:space="preserve">procesní </w:t>
      </w:r>
      <w:r>
        <w:rPr>
          <w:rFonts w:ascii="Arial" w:hAnsi="Arial" w:cs="Arial"/>
        </w:rPr>
        <w:t>pravidla</w:t>
      </w:r>
      <w:r w:rsidR="007A59F9">
        <w:rPr>
          <w:rFonts w:ascii="Arial" w:hAnsi="Arial" w:cs="Arial"/>
        </w:rPr>
        <w:t xml:space="preserve"> pro jeho vydání</w:t>
      </w:r>
      <w:r>
        <w:rPr>
          <w:rFonts w:ascii="Arial" w:hAnsi="Arial" w:cs="Arial"/>
        </w:rPr>
        <w:t>, např. vydat takové opatření bez předchozího řízení, viz § 94a zákona č. 258/2000 Sb.</w:t>
      </w:r>
    </w:p>
    <w:p w:rsidR="00BC059D" w:rsidRDefault="00BC059D" w:rsidP="00D840C3">
      <w:pPr>
        <w:spacing w:line="360" w:lineRule="auto"/>
        <w:jc w:val="both"/>
        <w:rPr>
          <w:rFonts w:ascii="Arial" w:hAnsi="Arial" w:cs="Arial"/>
        </w:rPr>
      </w:pPr>
    </w:p>
    <w:p w:rsidR="00BC059D" w:rsidRDefault="00BC059D" w:rsidP="00D840C3">
      <w:pPr>
        <w:spacing w:line="360" w:lineRule="auto"/>
        <w:jc w:val="both"/>
        <w:rPr>
          <w:rFonts w:ascii="Arial" w:hAnsi="Arial" w:cs="Arial"/>
        </w:rPr>
      </w:pPr>
      <w:r w:rsidRPr="00BC059D">
        <w:rPr>
          <w:rFonts w:ascii="Arial" w:hAnsi="Arial" w:cs="Arial"/>
          <w:u w:val="single"/>
        </w:rPr>
        <w:t>K bodu 18</w:t>
      </w:r>
    </w:p>
    <w:p w:rsidR="00BC059D" w:rsidRDefault="00BC059D" w:rsidP="00D840C3">
      <w:pPr>
        <w:spacing w:line="360" w:lineRule="auto"/>
        <w:jc w:val="both"/>
        <w:rPr>
          <w:rFonts w:ascii="Arial" w:hAnsi="Arial" w:cs="Arial"/>
          <w:szCs w:val="22"/>
        </w:rPr>
      </w:pPr>
      <w:r w:rsidRPr="00BC059D">
        <w:rPr>
          <w:rFonts w:ascii="Arial" w:hAnsi="Arial" w:cs="Arial"/>
          <w:szCs w:val="22"/>
        </w:rPr>
        <w:tab/>
        <w:t xml:space="preserve">Podle definice v § 2 jsou </w:t>
      </w:r>
      <w:r w:rsidRPr="00BC059D">
        <w:rPr>
          <w:rFonts w:ascii="Arial" w:hAnsi="Arial" w:cs="Arial"/>
          <w:bCs/>
          <w:szCs w:val="22"/>
        </w:rPr>
        <w:t xml:space="preserve">lidskými ostatky lidské pozůstatky nebo jiné lidské pozůstatky po pohřbení, takže v jiném ustanovení zákona nejde mluvit o </w:t>
      </w:r>
      <w:r w:rsidRPr="00BC059D">
        <w:rPr>
          <w:rFonts w:ascii="Arial" w:hAnsi="Arial" w:cs="Arial"/>
          <w:szCs w:val="22"/>
        </w:rPr>
        <w:t>změně</w:t>
      </w:r>
      <w:r>
        <w:rPr>
          <w:rFonts w:ascii="Arial" w:hAnsi="Arial" w:cs="Arial"/>
          <w:szCs w:val="22"/>
        </w:rPr>
        <w:t xml:space="preserve"> lidských</w:t>
      </w:r>
      <w:r w:rsidRPr="00BC059D">
        <w:rPr>
          <w:rFonts w:ascii="Arial" w:hAnsi="Arial" w:cs="Arial"/>
          <w:szCs w:val="22"/>
        </w:rPr>
        <w:t xml:space="preserve"> pozůstatk</w:t>
      </w:r>
      <w:r>
        <w:rPr>
          <w:rFonts w:ascii="Arial" w:hAnsi="Arial" w:cs="Arial"/>
          <w:szCs w:val="22"/>
        </w:rPr>
        <w:t>ů</w:t>
      </w:r>
      <w:r w:rsidRPr="00BC059D">
        <w:rPr>
          <w:rFonts w:ascii="Arial" w:hAnsi="Arial" w:cs="Arial"/>
          <w:szCs w:val="22"/>
        </w:rPr>
        <w:t xml:space="preserve"> nebo jin</w:t>
      </w:r>
      <w:r>
        <w:rPr>
          <w:rFonts w:ascii="Arial" w:hAnsi="Arial" w:cs="Arial"/>
          <w:szCs w:val="22"/>
        </w:rPr>
        <w:t>ých</w:t>
      </w:r>
      <w:r w:rsidRPr="00BC059D">
        <w:rPr>
          <w:rFonts w:ascii="Arial" w:hAnsi="Arial" w:cs="Arial"/>
          <w:szCs w:val="22"/>
        </w:rPr>
        <w:t xml:space="preserve"> lidsk</w:t>
      </w:r>
      <w:r>
        <w:rPr>
          <w:rFonts w:ascii="Arial" w:hAnsi="Arial" w:cs="Arial"/>
          <w:szCs w:val="22"/>
        </w:rPr>
        <w:t>ých</w:t>
      </w:r>
      <w:r w:rsidRPr="00BC059D">
        <w:rPr>
          <w:rFonts w:ascii="Arial" w:hAnsi="Arial" w:cs="Arial"/>
          <w:szCs w:val="22"/>
        </w:rPr>
        <w:t xml:space="preserve"> pozůstatk</w:t>
      </w:r>
      <w:r>
        <w:rPr>
          <w:rFonts w:ascii="Arial" w:hAnsi="Arial" w:cs="Arial"/>
          <w:szCs w:val="22"/>
        </w:rPr>
        <w:t>ů</w:t>
      </w:r>
      <w:r w:rsidRPr="00BC059D">
        <w:rPr>
          <w:rFonts w:ascii="Arial" w:hAnsi="Arial" w:cs="Arial"/>
          <w:szCs w:val="22"/>
        </w:rPr>
        <w:t xml:space="preserve"> v lidské ostatky jiným způsobem než pohřbením</w:t>
      </w:r>
      <w:r w:rsidR="005A4722">
        <w:rPr>
          <w:rFonts w:ascii="Arial" w:hAnsi="Arial" w:cs="Arial"/>
          <w:szCs w:val="22"/>
        </w:rPr>
        <w:t>, neboť to uvedené definici odporuje</w:t>
      </w:r>
      <w:r>
        <w:rPr>
          <w:rFonts w:ascii="Arial" w:hAnsi="Arial" w:cs="Arial"/>
          <w:szCs w:val="22"/>
        </w:rPr>
        <w:t>.</w:t>
      </w:r>
    </w:p>
    <w:p w:rsidR="005A4722" w:rsidRDefault="005A4722" w:rsidP="00D840C3">
      <w:pPr>
        <w:spacing w:line="360" w:lineRule="auto"/>
        <w:jc w:val="both"/>
        <w:rPr>
          <w:rFonts w:ascii="Arial" w:hAnsi="Arial" w:cs="Arial"/>
          <w:szCs w:val="22"/>
        </w:rPr>
      </w:pPr>
    </w:p>
    <w:p w:rsidR="005A4722" w:rsidRDefault="005A4722" w:rsidP="00D840C3">
      <w:pPr>
        <w:spacing w:line="360" w:lineRule="auto"/>
        <w:jc w:val="both"/>
        <w:rPr>
          <w:rFonts w:ascii="Arial" w:hAnsi="Arial" w:cs="Arial"/>
          <w:szCs w:val="22"/>
        </w:rPr>
      </w:pPr>
      <w:r w:rsidRPr="005A4722">
        <w:rPr>
          <w:rFonts w:ascii="Arial" w:hAnsi="Arial" w:cs="Arial"/>
          <w:szCs w:val="22"/>
          <w:u w:val="single"/>
        </w:rPr>
        <w:t>K bodu 21</w:t>
      </w:r>
    </w:p>
    <w:p w:rsidR="005A4722" w:rsidRDefault="005A4722" w:rsidP="00D840C3">
      <w:pPr>
        <w:spacing w:line="36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  <w:t xml:space="preserve">Pokud se v § 4 odst. 4 předpokládá povinnost hradit náklady, je třeba doplnit, komu se tyto náklady mají hradit, nicméně v kontextu s § 4 odst. 5 se spíše zdá, že v odst. 4 jde o povinnost něco zajistit </w:t>
      </w:r>
      <w:r w:rsidR="00A3541C">
        <w:rPr>
          <w:rFonts w:ascii="Arial" w:hAnsi="Arial" w:cs="Arial"/>
          <w:szCs w:val="22"/>
        </w:rPr>
        <w:t xml:space="preserve">(sám nebo prostřednictvím jiné osoby) </w:t>
      </w:r>
      <w:r>
        <w:rPr>
          <w:rFonts w:ascii="Arial" w:hAnsi="Arial" w:cs="Arial"/>
          <w:szCs w:val="22"/>
        </w:rPr>
        <w:t xml:space="preserve">než hradit někomu za něco náklady. </w:t>
      </w:r>
    </w:p>
    <w:p w:rsidR="005A4722" w:rsidRDefault="005A4722" w:rsidP="00D840C3">
      <w:pPr>
        <w:spacing w:line="360" w:lineRule="auto"/>
        <w:jc w:val="both"/>
        <w:rPr>
          <w:rFonts w:ascii="Arial" w:hAnsi="Arial" w:cs="Arial"/>
          <w:szCs w:val="22"/>
        </w:rPr>
      </w:pPr>
    </w:p>
    <w:p w:rsidR="005A4722" w:rsidRDefault="005A4722" w:rsidP="00D840C3">
      <w:pPr>
        <w:spacing w:line="360" w:lineRule="auto"/>
        <w:jc w:val="both"/>
        <w:rPr>
          <w:rFonts w:ascii="Arial" w:hAnsi="Arial" w:cs="Arial"/>
          <w:szCs w:val="22"/>
        </w:rPr>
      </w:pPr>
      <w:r w:rsidRPr="005A4722">
        <w:rPr>
          <w:rFonts w:ascii="Arial" w:hAnsi="Arial" w:cs="Arial"/>
          <w:szCs w:val="22"/>
          <w:u w:val="single"/>
        </w:rPr>
        <w:t>K bodu 22</w:t>
      </w:r>
    </w:p>
    <w:p w:rsidR="005A4722" w:rsidRPr="005A4722" w:rsidRDefault="005A4722" w:rsidP="00D840C3">
      <w:pPr>
        <w:spacing w:line="36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  <w:t xml:space="preserve">Je třeba upřesnit, kdo může být „jinou osobou“ a kdo jsou „zúčastněné osoby“. </w:t>
      </w:r>
    </w:p>
    <w:p w:rsidR="00D840C3" w:rsidRDefault="00D840C3" w:rsidP="00A912F5">
      <w:pPr>
        <w:spacing w:line="360" w:lineRule="auto"/>
        <w:jc w:val="both"/>
        <w:rPr>
          <w:rFonts w:ascii="Arial" w:hAnsi="Arial" w:cs="Arial"/>
          <w:szCs w:val="22"/>
        </w:rPr>
      </w:pPr>
    </w:p>
    <w:p w:rsidR="005A4722" w:rsidRDefault="005A4722" w:rsidP="00A912F5">
      <w:pPr>
        <w:spacing w:line="360" w:lineRule="auto"/>
        <w:jc w:val="both"/>
        <w:rPr>
          <w:rFonts w:ascii="Arial" w:hAnsi="Arial" w:cs="Arial"/>
          <w:szCs w:val="22"/>
        </w:rPr>
      </w:pPr>
      <w:r w:rsidRPr="005A4722">
        <w:rPr>
          <w:rFonts w:ascii="Arial" w:hAnsi="Arial" w:cs="Arial"/>
          <w:szCs w:val="22"/>
          <w:u w:val="single"/>
        </w:rPr>
        <w:t>K bodu 23</w:t>
      </w:r>
    </w:p>
    <w:p w:rsidR="005A4722" w:rsidRDefault="005A4722" w:rsidP="00A912F5">
      <w:pPr>
        <w:spacing w:line="36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  <w:t>V § 4a odst. 1 je třeba upřesnit, co se myslí oním pověřením, které může udělovat osoba zajišťuj</w:t>
      </w:r>
      <w:r w:rsidR="00A3541C">
        <w:rPr>
          <w:rFonts w:ascii="Arial" w:hAnsi="Arial" w:cs="Arial"/>
          <w:szCs w:val="22"/>
        </w:rPr>
        <w:t>í</w:t>
      </w:r>
      <w:r>
        <w:rPr>
          <w:rFonts w:ascii="Arial" w:hAnsi="Arial" w:cs="Arial"/>
          <w:szCs w:val="22"/>
        </w:rPr>
        <w:t>cí pohřbení (plná moc?)</w:t>
      </w:r>
      <w:r w:rsidR="00A3541C">
        <w:rPr>
          <w:rFonts w:ascii="Arial" w:hAnsi="Arial" w:cs="Arial"/>
          <w:szCs w:val="22"/>
        </w:rPr>
        <w:t>, tzn. upřesnit povahu tohoto právního vztahu</w:t>
      </w:r>
      <w:r>
        <w:rPr>
          <w:rFonts w:ascii="Arial" w:hAnsi="Arial" w:cs="Arial"/>
          <w:szCs w:val="22"/>
        </w:rPr>
        <w:t>.</w:t>
      </w:r>
      <w:r w:rsidR="008F6D81">
        <w:rPr>
          <w:rFonts w:ascii="Arial" w:hAnsi="Arial" w:cs="Arial"/>
          <w:szCs w:val="22"/>
        </w:rPr>
        <w:t xml:space="preserve"> Z</w:t>
      </w:r>
      <w:r w:rsidR="007E1F49">
        <w:rPr>
          <w:rFonts w:ascii="Arial" w:hAnsi="Arial" w:cs="Arial"/>
          <w:szCs w:val="22"/>
        </w:rPr>
        <w:t>a slovo „oprávn</w:t>
      </w:r>
      <w:r w:rsidR="007E1F49">
        <w:rPr>
          <w:rFonts w:ascii="Arial" w:hAnsi="Arial" w:cs="Arial"/>
          <w:szCs w:val="22"/>
        </w:rPr>
        <w:t>ě</w:t>
      </w:r>
      <w:r w:rsidR="007E1F49">
        <w:rPr>
          <w:rFonts w:ascii="Arial" w:hAnsi="Arial" w:cs="Arial"/>
          <w:szCs w:val="22"/>
        </w:rPr>
        <w:t xml:space="preserve">na“ v odst. 1 by mělo být vloženo slovo „pouze“. </w:t>
      </w:r>
    </w:p>
    <w:p w:rsidR="005A4722" w:rsidRDefault="005A4722" w:rsidP="00A912F5">
      <w:pPr>
        <w:spacing w:line="360" w:lineRule="auto"/>
        <w:jc w:val="both"/>
        <w:rPr>
          <w:rFonts w:ascii="Arial" w:hAnsi="Arial" w:cs="Arial"/>
          <w:szCs w:val="22"/>
        </w:rPr>
      </w:pPr>
    </w:p>
    <w:p w:rsidR="005A4722" w:rsidRDefault="008F6D81" w:rsidP="00A912F5">
      <w:pPr>
        <w:spacing w:line="360" w:lineRule="auto"/>
        <w:jc w:val="both"/>
        <w:rPr>
          <w:rFonts w:ascii="Arial" w:hAnsi="Arial" w:cs="Arial"/>
          <w:szCs w:val="22"/>
        </w:rPr>
      </w:pPr>
      <w:r w:rsidRPr="008F6D81">
        <w:rPr>
          <w:rFonts w:ascii="Arial" w:hAnsi="Arial" w:cs="Arial"/>
          <w:szCs w:val="22"/>
          <w:u w:val="single"/>
        </w:rPr>
        <w:t>K bodu 24</w:t>
      </w:r>
    </w:p>
    <w:p w:rsidR="008F6D81" w:rsidRDefault="008F6D81" w:rsidP="00A912F5">
      <w:pPr>
        <w:spacing w:line="36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  <w:t>Z § 5 odst. 4 je třeba vypustit zmínku o službě ve veřejném zájmu, neboť jde o přenesenou působnost</w:t>
      </w:r>
      <w:r w:rsidR="00A3541C">
        <w:rPr>
          <w:rFonts w:ascii="Arial" w:hAnsi="Arial" w:cs="Arial"/>
          <w:szCs w:val="22"/>
        </w:rPr>
        <w:t>, kde se taková charakteristika nepoužívá</w:t>
      </w:r>
      <w:r>
        <w:rPr>
          <w:rFonts w:ascii="Arial" w:hAnsi="Arial" w:cs="Arial"/>
          <w:szCs w:val="22"/>
        </w:rPr>
        <w:t xml:space="preserve">. </w:t>
      </w:r>
    </w:p>
    <w:p w:rsidR="008F6D81" w:rsidRDefault="008F6D81" w:rsidP="00A912F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Cs w:val="22"/>
        </w:rPr>
        <w:tab/>
        <w:t xml:space="preserve">V případě § 5 odst. 7 se v důvodové zprávě uvádí, že se </w:t>
      </w:r>
      <w:r w:rsidRPr="008F6D81">
        <w:rPr>
          <w:rFonts w:ascii="Arial" w:hAnsi="Arial" w:cs="Arial"/>
        </w:rPr>
        <w:t>navrh</w:t>
      </w:r>
      <w:r>
        <w:rPr>
          <w:rFonts w:ascii="Arial" w:hAnsi="Arial" w:cs="Arial"/>
        </w:rPr>
        <w:t xml:space="preserve">uje </w:t>
      </w:r>
      <w:r w:rsidRPr="008F6D81">
        <w:rPr>
          <w:rFonts w:ascii="Arial" w:hAnsi="Arial" w:cs="Arial"/>
        </w:rPr>
        <w:t xml:space="preserve">umožnit </w:t>
      </w:r>
      <w:proofErr w:type="spellStart"/>
      <w:r w:rsidRPr="008F6D81">
        <w:rPr>
          <w:rFonts w:ascii="Arial" w:hAnsi="Arial" w:cs="Arial"/>
        </w:rPr>
        <w:t>vypraviteli</w:t>
      </w:r>
      <w:proofErr w:type="spellEnd"/>
      <w:r w:rsidRPr="008F6D81">
        <w:rPr>
          <w:rFonts w:ascii="Arial" w:hAnsi="Arial" w:cs="Arial"/>
        </w:rPr>
        <w:t xml:space="preserve"> p</w:t>
      </w:r>
      <w:r w:rsidRPr="008F6D81">
        <w:rPr>
          <w:rFonts w:ascii="Arial" w:hAnsi="Arial" w:cs="Arial"/>
        </w:rPr>
        <w:t>o</w:t>
      </w:r>
      <w:r w:rsidRPr="008F6D81">
        <w:rPr>
          <w:rFonts w:ascii="Arial" w:hAnsi="Arial" w:cs="Arial"/>
        </w:rPr>
        <w:t>hřbu, kterému krajská hygienická stanice nařídila změnit příkazní smlouvu a pohřbít zpopelněním, příp. i další zvláštní způsob zacházení se zemřelým, požádat o úhradu účelně vynaložených n</w:t>
      </w:r>
      <w:r w:rsidRPr="008F6D81">
        <w:rPr>
          <w:rFonts w:ascii="Arial" w:hAnsi="Arial" w:cs="Arial"/>
        </w:rPr>
        <w:t>á</w:t>
      </w:r>
      <w:r w:rsidRPr="008F6D81">
        <w:rPr>
          <w:rFonts w:ascii="Arial" w:hAnsi="Arial" w:cs="Arial"/>
        </w:rPr>
        <w:t>kladů na pohřbení stát prostřednictvím Ministerstva pro místní rozvoj</w:t>
      </w:r>
      <w:r>
        <w:rPr>
          <w:rFonts w:ascii="Arial" w:hAnsi="Arial" w:cs="Arial"/>
        </w:rPr>
        <w:t xml:space="preserve">, ale nic takového z návrhu nevyplývá. </w:t>
      </w:r>
      <w:r w:rsidR="00A3541C">
        <w:rPr>
          <w:rFonts w:ascii="Arial" w:hAnsi="Arial" w:cs="Arial"/>
        </w:rPr>
        <w:t xml:space="preserve">Rozpor mezi důvodovou zprávou a návrhem novely je třeba odstranit. </w:t>
      </w:r>
    </w:p>
    <w:p w:rsidR="00D24393" w:rsidRDefault="00D24393" w:rsidP="00A912F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  <w:t>Zatímco v § 5 odst. 7 písm. a) je uvedeno, komu může KHS svým rozhodnutím stanovit povinnost, v písm. b) a c) taková osoba nebo osoby uvedeny nejsou, takže není jasné, kdo má být v takových případech účastníkem řízení podle § 27 odst. 1 písm. a) správního řádu, což je třeba doplnit. Do písm. c) doporučujeme doplnit, že takto by se mělo postupovat jen tehdy, pokud nelze vyloučit riziko nákazy</w:t>
      </w:r>
      <w:r w:rsidR="00725D7B">
        <w:rPr>
          <w:rFonts w:ascii="Arial" w:hAnsi="Arial" w:cs="Arial"/>
        </w:rPr>
        <w:t>, aby se do nakládání s lidskými ostatky zasahovalo tímto způsobem jen v nezbytných případech</w:t>
      </w:r>
      <w:r>
        <w:rPr>
          <w:rFonts w:ascii="Arial" w:hAnsi="Arial" w:cs="Arial"/>
        </w:rPr>
        <w:t xml:space="preserve">. </w:t>
      </w:r>
    </w:p>
    <w:p w:rsidR="00D24393" w:rsidRDefault="00D24393" w:rsidP="00A912F5">
      <w:pPr>
        <w:spacing w:line="360" w:lineRule="auto"/>
        <w:jc w:val="both"/>
        <w:rPr>
          <w:rFonts w:ascii="Arial" w:hAnsi="Arial" w:cs="Arial"/>
        </w:rPr>
      </w:pPr>
    </w:p>
    <w:p w:rsidR="00D24393" w:rsidRDefault="00D24393" w:rsidP="00A912F5">
      <w:pPr>
        <w:spacing w:line="360" w:lineRule="auto"/>
        <w:jc w:val="both"/>
        <w:rPr>
          <w:rFonts w:ascii="Arial" w:hAnsi="Arial" w:cs="Arial"/>
          <w:szCs w:val="22"/>
        </w:rPr>
      </w:pPr>
      <w:r w:rsidRPr="00D24393">
        <w:rPr>
          <w:rFonts w:ascii="Arial" w:hAnsi="Arial" w:cs="Arial"/>
          <w:szCs w:val="22"/>
          <w:u w:val="single"/>
        </w:rPr>
        <w:t>K bodu 26</w:t>
      </w:r>
    </w:p>
    <w:p w:rsidR="00D24393" w:rsidRDefault="00D24393" w:rsidP="00A912F5">
      <w:pPr>
        <w:spacing w:line="36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  <w:t>V § 6 odst. 3 nelze v případě stanoviska KHS odkazovat na zvláštní právní předpis, kterým má být živnostenský zákon, neboť závazn</w:t>
      </w:r>
      <w:r w:rsidR="00A85250">
        <w:rPr>
          <w:rFonts w:ascii="Arial" w:hAnsi="Arial" w:cs="Arial"/>
          <w:szCs w:val="22"/>
        </w:rPr>
        <w:t>é</w:t>
      </w:r>
      <w:r>
        <w:rPr>
          <w:rFonts w:ascii="Arial" w:hAnsi="Arial" w:cs="Arial"/>
          <w:szCs w:val="22"/>
        </w:rPr>
        <w:t xml:space="preserve"> stanovisko se</w:t>
      </w:r>
      <w:r w:rsidR="00A85250">
        <w:rPr>
          <w:rFonts w:ascii="Arial" w:hAnsi="Arial" w:cs="Arial"/>
          <w:szCs w:val="22"/>
        </w:rPr>
        <w:t xml:space="preserve"> vydává podle zákona o pohřebnictví. </w:t>
      </w:r>
      <w:r w:rsidR="00900CC1">
        <w:rPr>
          <w:rFonts w:ascii="Arial" w:hAnsi="Arial" w:cs="Arial"/>
          <w:szCs w:val="22"/>
        </w:rPr>
        <w:t xml:space="preserve">Dále navrhujeme vypustit slova „prokáže, že“, která do normy hmotného práva nepatří. </w:t>
      </w:r>
      <w:r w:rsidR="002839EE">
        <w:rPr>
          <w:rFonts w:ascii="Arial" w:hAnsi="Arial" w:cs="Arial"/>
          <w:szCs w:val="22"/>
        </w:rPr>
        <w:t>Stejné př</w:t>
      </w:r>
      <w:r w:rsidR="002839EE">
        <w:rPr>
          <w:rFonts w:ascii="Arial" w:hAnsi="Arial" w:cs="Arial"/>
          <w:szCs w:val="22"/>
        </w:rPr>
        <w:t>i</w:t>
      </w:r>
      <w:r w:rsidR="002839EE">
        <w:rPr>
          <w:rFonts w:ascii="Arial" w:hAnsi="Arial" w:cs="Arial"/>
          <w:szCs w:val="22"/>
        </w:rPr>
        <w:t xml:space="preserve">pomínky platí i pro § 13 odst. 3. </w:t>
      </w:r>
    </w:p>
    <w:p w:rsidR="002839EE" w:rsidRDefault="00056179" w:rsidP="00A912F5">
      <w:pPr>
        <w:spacing w:line="360" w:lineRule="auto"/>
        <w:jc w:val="both"/>
        <w:rPr>
          <w:rFonts w:ascii="Arial" w:hAnsi="Arial" w:cs="Arial"/>
          <w:color w:val="000000"/>
          <w:szCs w:val="22"/>
        </w:rPr>
      </w:pPr>
      <w:r w:rsidRPr="00056179">
        <w:rPr>
          <w:rFonts w:ascii="Arial" w:hAnsi="Arial" w:cs="Arial"/>
          <w:szCs w:val="22"/>
        </w:rPr>
        <w:tab/>
        <w:t xml:space="preserve">Podle § 7 odst. 1 písm. b) má mít sice provozovatel pohřební služby povinnost zajistit </w:t>
      </w:r>
      <w:r w:rsidRPr="00056179">
        <w:rPr>
          <w:rFonts w:ascii="Arial" w:hAnsi="Arial" w:cs="Arial"/>
          <w:color w:val="000000"/>
          <w:szCs w:val="22"/>
        </w:rPr>
        <w:t>pr</w:t>
      </w:r>
      <w:r w:rsidRPr="00056179">
        <w:rPr>
          <w:rFonts w:ascii="Arial" w:hAnsi="Arial" w:cs="Arial"/>
          <w:color w:val="000000"/>
          <w:szCs w:val="22"/>
        </w:rPr>
        <w:t>o</w:t>
      </w:r>
      <w:r w:rsidRPr="00056179">
        <w:rPr>
          <w:rFonts w:ascii="Arial" w:hAnsi="Arial" w:cs="Arial"/>
          <w:color w:val="000000"/>
          <w:szCs w:val="22"/>
        </w:rPr>
        <w:t>vozování pohřební služby v souladu s tímto řádem</w:t>
      </w:r>
      <w:r>
        <w:rPr>
          <w:rFonts w:ascii="Arial" w:hAnsi="Arial" w:cs="Arial"/>
          <w:color w:val="000000"/>
          <w:szCs w:val="22"/>
        </w:rPr>
        <w:t>, podobně jako má takovou povinnost dnes pr</w:t>
      </w:r>
      <w:r>
        <w:rPr>
          <w:rFonts w:ascii="Arial" w:hAnsi="Arial" w:cs="Arial"/>
          <w:color w:val="000000"/>
          <w:szCs w:val="22"/>
        </w:rPr>
        <w:t>o</w:t>
      </w:r>
      <w:r>
        <w:rPr>
          <w:rFonts w:ascii="Arial" w:hAnsi="Arial" w:cs="Arial"/>
          <w:color w:val="000000"/>
          <w:szCs w:val="22"/>
        </w:rPr>
        <w:t>vozovatel veřejného pohřebiště v § 19 odst. 1, ale porušování této povinnosti u provozovatele p</w:t>
      </w:r>
      <w:r>
        <w:rPr>
          <w:rFonts w:ascii="Arial" w:hAnsi="Arial" w:cs="Arial"/>
          <w:color w:val="000000"/>
          <w:szCs w:val="22"/>
        </w:rPr>
        <w:t>o</w:t>
      </w:r>
      <w:r>
        <w:rPr>
          <w:rFonts w:ascii="Arial" w:hAnsi="Arial" w:cs="Arial"/>
          <w:color w:val="000000"/>
          <w:szCs w:val="22"/>
        </w:rPr>
        <w:t>hřební služby nemá být na rozdíl od provozovatele veřejného pohřebiště přestupkem, aniž by bylo jasné, proč tomu tak má být. To platí podobně i pro řád provozovatele krematoria</w:t>
      </w:r>
      <w:r w:rsidR="006D5736">
        <w:rPr>
          <w:rFonts w:ascii="Arial" w:hAnsi="Arial" w:cs="Arial"/>
          <w:color w:val="000000"/>
          <w:szCs w:val="22"/>
        </w:rPr>
        <w:t xml:space="preserve"> a řád provozov</w:t>
      </w:r>
      <w:r w:rsidR="006D5736">
        <w:rPr>
          <w:rFonts w:ascii="Arial" w:hAnsi="Arial" w:cs="Arial"/>
          <w:color w:val="000000"/>
          <w:szCs w:val="22"/>
        </w:rPr>
        <w:t>a</w:t>
      </w:r>
      <w:r w:rsidR="006D5736">
        <w:rPr>
          <w:rFonts w:ascii="Arial" w:hAnsi="Arial" w:cs="Arial"/>
          <w:color w:val="000000"/>
          <w:szCs w:val="22"/>
        </w:rPr>
        <w:t xml:space="preserve">tele </w:t>
      </w:r>
      <w:proofErr w:type="spellStart"/>
      <w:r w:rsidR="006D5736">
        <w:rPr>
          <w:rFonts w:ascii="Arial" w:hAnsi="Arial" w:cs="Arial"/>
          <w:color w:val="000000"/>
          <w:szCs w:val="22"/>
        </w:rPr>
        <w:t>balzamace</w:t>
      </w:r>
      <w:proofErr w:type="spellEnd"/>
      <w:r w:rsidR="006D5736">
        <w:rPr>
          <w:rFonts w:ascii="Arial" w:hAnsi="Arial" w:cs="Arial"/>
          <w:color w:val="000000"/>
          <w:szCs w:val="22"/>
        </w:rPr>
        <w:t xml:space="preserve"> a konzervace</w:t>
      </w:r>
      <w:r>
        <w:rPr>
          <w:rFonts w:ascii="Arial" w:hAnsi="Arial" w:cs="Arial"/>
          <w:color w:val="000000"/>
          <w:szCs w:val="22"/>
        </w:rPr>
        <w:t>.</w:t>
      </w:r>
    </w:p>
    <w:p w:rsidR="00056179" w:rsidRPr="00056179" w:rsidRDefault="00056179" w:rsidP="00A912F5">
      <w:pPr>
        <w:spacing w:line="360" w:lineRule="auto"/>
        <w:jc w:val="both"/>
        <w:rPr>
          <w:rFonts w:ascii="Arial" w:hAnsi="Arial" w:cs="Arial"/>
          <w:szCs w:val="22"/>
        </w:rPr>
      </w:pPr>
    </w:p>
    <w:p w:rsidR="002839EE" w:rsidRDefault="002839EE" w:rsidP="00A912F5">
      <w:pPr>
        <w:spacing w:line="360" w:lineRule="auto"/>
        <w:jc w:val="both"/>
        <w:rPr>
          <w:rFonts w:ascii="Arial" w:hAnsi="Arial" w:cs="Arial"/>
          <w:szCs w:val="22"/>
        </w:rPr>
      </w:pPr>
      <w:r w:rsidRPr="002839EE">
        <w:rPr>
          <w:rFonts w:ascii="Arial" w:hAnsi="Arial" w:cs="Arial"/>
          <w:szCs w:val="22"/>
          <w:u w:val="single"/>
        </w:rPr>
        <w:t>K bodu 76</w:t>
      </w:r>
    </w:p>
    <w:p w:rsidR="002839EE" w:rsidRDefault="002839EE" w:rsidP="00A912F5">
      <w:pPr>
        <w:spacing w:line="36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="00CD1F8C">
        <w:rPr>
          <w:rFonts w:ascii="Arial" w:hAnsi="Arial" w:cs="Arial"/>
          <w:szCs w:val="22"/>
        </w:rPr>
        <w:t>V § 17 odst. 1 nelze použít slovní spojení „úřad územního plánování“, neboť je to jen legi</w:t>
      </w:r>
      <w:r w:rsidR="00CD1F8C">
        <w:rPr>
          <w:rFonts w:ascii="Arial" w:hAnsi="Arial" w:cs="Arial"/>
          <w:szCs w:val="22"/>
        </w:rPr>
        <w:t>s</w:t>
      </w:r>
      <w:r w:rsidR="00CD1F8C">
        <w:rPr>
          <w:rFonts w:ascii="Arial" w:hAnsi="Arial" w:cs="Arial"/>
          <w:szCs w:val="22"/>
        </w:rPr>
        <w:t xml:space="preserve">lativní zkratka ze stavebního zákona, kterou nejde používat v jiných předpisech. </w:t>
      </w:r>
    </w:p>
    <w:p w:rsidR="00CD1F8C" w:rsidRDefault="00CD1F8C" w:rsidP="00A912F5">
      <w:pPr>
        <w:spacing w:line="36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  <w:t xml:space="preserve">Pokud mají být KHS, vodoprávní úřad a orgán územního plánování dotčenými orgány, je třeba doplnit, co se od nich bude v řízení vyžadovat, zda závazné stanovisko nebo jen stanovisko a co by mělo být jeho obsahem. </w:t>
      </w:r>
    </w:p>
    <w:p w:rsidR="00CD1F8C" w:rsidRDefault="00CD1F8C" w:rsidP="00A912F5">
      <w:pPr>
        <w:spacing w:line="36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  <w:t>V případě veřejných pohřebišť doporučujeme doplnit pravomoc stavebního úřadu vyhlásit kolem nich z moci úřední ochranné pásmo ve formě opatření obecné povahy, podobně jako např. v § 30 vodního zákona, neboť stávající úprava v § 17 odst. 2 se ve spojení s úpravou rozhodování o ochranném pásmu ve stavebním zákoně, kde se předpokládá forma rozhodnutí, vzhledem k ch</w:t>
      </w:r>
      <w:r>
        <w:rPr>
          <w:rFonts w:ascii="Arial" w:hAnsi="Arial" w:cs="Arial"/>
          <w:szCs w:val="22"/>
        </w:rPr>
        <w:t>a</w:t>
      </w:r>
      <w:r>
        <w:rPr>
          <w:rFonts w:ascii="Arial" w:hAnsi="Arial" w:cs="Arial"/>
          <w:szCs w:val="22"/>
        </w:rPr>
        <w:t>rakteru ochranného pásma ne</w:t>
      </w:r>
      <w:r w:rsidR="00725D7B">
        <w:rPr>
          <w:rFonts w:ascii="Arial" w:hAnsi="Arial" w:cs="Arial"/>
          <w:szCs w:val="22"/>
        </w:rPr>
        <w:t>ní</w:t>
      </w:r>
      <w:r>
        <w:rPr>
          <w:rFonts w:ascii="Arial" w:hAnsi="Arial" w:cs="Arial"/>
          <w:szCs w:val="22"/>
        </w:rPr>
        <w:t xml:space="preserve"> vhodná. </w:t>
      </w:r>
      <w:r w:rsidR="00725D7B">
        <w:rPr>
          <w:rFonts w:ascii="Arial" w:hAnsi="Arial" w:cs="Arial"/>
          <w:szCs w:val="22"/>
        </w:rPr>
        <w:t xml:space="preserve">Ochranná pásma předpokládající omezení pro neurčitý okruh subjektů by obecně měla mít formu opatření obecné povahy. </w:t>
      </w:r>
    </w:p>
    <w:p w:rsidR="00CD1F8C" w:rsidRDefault="00CD1F8C" w:rsidP="00A912F5">
      <w:pPr>
        <w:spacing w:line="360" w:lineRule="auto"/>
        <w:jc w:val="both"/>
        <w:rPr>
          <w:rFonts w:ascii="Arial" w:hAnsi="Arial" w:cs="Arial"/>
          <w:szCs w:val="22"/>
        </w:rPr>
      </w:pPr>
    </w:p>
    <w:p w:rsidR="00CD1F8C" w:rsidRDefault="00A50815" w:rsidP="00A912F5">
      <w:pPr>
        <w:spacing w:line="360" w:lineRule="auto"/>
        <w:jc w:val="both"/>
        <w:rPr>
          <w:rFonts w:ascii="Arial" w:hAnsi="Arial" w:cs="Arial"/>
          <w:szCs w:val="22"/>
        </w:rPr>
      </w:pPr>
      <w:r w:rsidRPr="00A50815">
        <w:rPr>
          <w:rFonts w:ascii="Arial" w:hAnsi="Arial" w:cs="Arial"/>
          <w:szCs w:val="22"/>
          <w:u w:val="single"/>
        </w:rPr>
        <w:t>K bodu 108</w:t>
      </w:r>
    </w:p>
    <w:p w:rsidR="00A50815" w:rsidRDefault="00A50815" w:rsidP="00A912F5">
      <w:pPr>
        <w:spacing w:line="36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  <w:t>V § 23 odst. 1 se odkazuje na orgán státní správy příslušný podle jiného právního předpisu, ale podle poznámky pod čarou by mělo jít zřejmě o krajskou hygienickou stanici, jejíž působnost v oblasti pohřebnictví stanoví sám zákon o pohřebnictví, nikoliv zákon č. 258/2000 Sb.</w:t>
      </w:r>
      <w:r w:rsidR="00FB369B">
        <w:rPr>
          <w:rFonts w:ascii="Arial" w:hAnsi="Arial" w:cs="Arial"/>
          <w:szCs w:val="22"/>
        </w:rPr>
        <w:t>, navrhov</w:t>
      </w:r>
      <w:r w:rsidR="00FB369B">
        <w:rPr>
          <w:rFonts w:ascii="Arial" w:hAnsi="Arial" w:cs="Arial"/>
          <w:szCs w:val="22"/>
        </w:rPr>
        <w:t>a</w:t>
      </w:r>
      <w:r w:rsidR="00FB369B">
        <w:rPr>
          <w:rFonts w:ascii="Arial" w:hAnsi="Arial" w:cs="Arial"/>
          <w:szCs w:val="22"/>
        </w:rPr>
        <w:t xml:space="preserve">né doplnění tak nedává smysl. </w:t>
      </w:r>
      <w:r w:rsidR="00725D7B">
        <w:rPr>
          <w:rFonts w:ascii="Arial" w:hAnsi="Arial" w:cs="Arial"/>
          <w:szCs w:val="22"/>
        </w:rPr>
        <w:t xml:space="preserve">Další možností je doplnit působnost KHS v oblasti pohřebnictví do </w:t>
      </w:r>
      <w:r w:rsidR="00725D7B">
        <w:rPr>
          <w:rFonts w:ascii="Arial" w:hAnsi="Arial" w:cs="Arial"/>
          <w:szCs w:val="22"/>
        </w:rPr>
        <w:lastRenderedPageBreak/>
        <w:t>zákona č. 258/2000 Sb. a neupravovat ji v zákoně o pohřebnictví a v něm jen obecně odkazovat na orgán ochrany veřejného zdraví.</w:t>
      </w:r>
    </w:p>
    <w:p w:rsidR="00FB369B" w:rsidRDefault="00FB369B" w:rsidP="00A912F5">
      <w:pPr>
        <w:spacing w:line="360" w:lineRule="auto"/>
        <w:jc w:val="both"/>
        <w:rPr>
          <w:rFonts w:ascii="Arial" w:hAnsi="Arial" w:cs="Arial"/>
          <w:szCs w:val="22"/>
        </w:rPr>
      </w:pPr>
    </w:p>
    <w:p w:rsidR="00FB369B" w:rsidRDefault="00FB369B" w:rsidP="00A912F5">
      <w:pPr>
        <w:spacing w:line="360" w:lineRule="auto"/>
        <w:jc w:val="both"/>
        <w:rPr>
          <w:rFonts w:ascii="Arial" w:hAnsi="Arial" w:cs="Arial"/>
          <w:szCs w:val="22"/>
        </w:rPr>
      </w:pPr>
      <w:r w:rsidRPr="00FB369B">
        <w:rPr>
          <w:rFonts w:ascii="Arial" w:hAnsi="Arial" w:cs="Arial"/>
          <w:szCs w:val="22"/>
          <w:u w:val="single"/>
        </w:rPr>
        <w:t>K bodu 122</w:t>
      </w:r>
    </w:p>
    <w:p w:rsidR="00FB369B" w:rsidRDefault="00FB369B" w:rsidP="00A912F5">
      <w:pPr>
        <w:spacing w:line="36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  <w:t>V § 25a je zbytečné upravovat kritérium místní příslušnosti orgán</w:t>
      </w:r>
      <w:r w:rsidR="005D0D94">
        <w:rPr>
          <w:rFonts w:ascii="Arial" w:hAnsi="Arial" w:cs="Arial"/>
          <w:szCs w:val="22"/>
        </w:rPr>
        <w:t>ů</w:t>
      </w:r>
      <w:r>
        <w:rPr>
          <w:rFonts w:ascii="Arial" w:hAnsi="Arial" w:cs="Arial"/>
          <w:szCs w:val="22"/>
        </w:rPr>
        <w:t xml:space="preserve"> dozoru, neboť pro dozor se subsidiárně použije správní řád, viz § 28 kontrolního řádu, a tím i úprava místní příslušnosti správních orgánů v § 11 správního řádu, od které se kritérium v § 25a neodchyluje. </w:t>
      </w:r>
    </w:p>
    <w:p w:rsidR="005D0D94" w:rsidRDefault="005D0D94" w:rsidP="00A912F5">
      <w:pPr>
        <w:spacing w:line="36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  <w:t>Z § 25a je třeba vypustit odst. 3, který si vnitřně odporuje, neboť dozor je činností vykon</w:t>
      </w:r>
      <w:r>
        <w:rPr>
          <w:rFonts w:ascii="Arial" w:hAnsi="Arial" w:cs="Arial"/>
          <w:szCs w:val="22"/>
        </w:rPr>
        <w:t>á</w:t>
      </w:r>
      <w:r>
        <w:rPr>
          <w:rFonts w:ascii="Arial" w:hAnsi="Arial" w:cs="Arial"/>
          <w:szCs w:val="22"/>
        </w:rPr>
        <w:t>vanou z moci úřední, viz § 5 odst. 1 kontrolního řádu</w:t>
      </w:r>
      <w:r w:rsidR="000572D5">
        <w:rPr>
          <w:rFonts w:ascii="Arial" w:hAnsi="Arial" w:cs="Arial"/>
          <w:szCs w:val="22"/>
        </w:rPr>
        <w:t>,</w:t>
      </w:r>
      <w:r>
        <w:rPr>
          <w:rFonts w:ascii="Arial" w:hAnsi="Arial" w:cs="Arial"/>
          <w:szCs w:val="22"/>
        </w:rPr>
        <w:t xml:space="preserve"> a pokud při takové činnosti získá orgán d</w:t>
      </w:r>
      <w:r>
        <w:rPr>
          <w:rFonts w:ascii="Arial" w:hAnsi="Arial" w:cs="Arial"/>
          <w:szCs w:val="22"/>
        </w:rPr>
        <w:t>o</w:t>
      </w:r>
      <w:r>
        <w:rPr>
          <w:rFonts w:ascii="Arial" w:hAnsi="Arial" w:cs="Arial"/>
          <w:szCs w:val="22"/>
        </w:rPr>
        <w:t xml:space="preserve">zoru poznatky, které nasvědčují tomu, že byl při výkonu kontrolované činnosti spáchán správní delikt, musí o něm zahájit řízení na základě svých vlastních zjištění, nikoliv na základě vnějšího podnětu, </w:t>
      </w:r>
      <w:r w:rsidR="000572D5">
        <w:rPr>
          <w:rFonts w:ascii="Arial" w:hAnsi="Arial" w:cs="Arial"/>
          <w:szCs w:val="22"/>
        </w:rPr>
        <w:t>jinak by se popíral smysl dozoru. K</w:t>
      </w:r>
      <w:r>
        <w:rPr>
          <w:rFonts w:ascii="Arial" w:hAnsi="Arial" w:cs="Arial"/>
          <w:szCs w:val="22"/>
        </w:rPr>
        <w:t>romě toho § 42 správního řádu ani neupravuje zah</w:t>
      </w:r>
      <w:r>
        <w:rPr>
          <w:rFonts w:ascii="Arial" w:hAnsi="Arial" w:cs="Arial"/>
          <w:szCs w:val="22"/>
        </w:rPr>
        <w:t>á</w:t>
      </w:r>
      <w:r>
        <w:rPr>
          <w:rFonts w:ascii="Arial" w:hAnsi="Arial" w:cs="Arial"/>
          <w:szCs w:val="22"/>
        </w:rPr>
        <w:t xml:space="preserve">jení správního řízení (to je upraveno v § 44 a 46 správního řádu), ale jen vyřízení podnětu k zahájení řízení z moci úřední, takže i samotný odkaz na toto ustanovení je chybný. </w:t>
      </w:r>
    </w:p>
    <w:p w:rsidR="000572D5" w:rsidRPr="00FB369B" w:rsidRDefault="000572D5" w:rsidP="00A912F5">
      <w:pPr>
        <w:spacing w:line="36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  <w:t xml:space="preserve">Po vzoru jiných právních úprav doporučujeme doplnit pravomoc orgánu dozoru uložit na základě kontrolních zjištění provést opatření k nápravě. </w:t>
      </w:r>
    </w:p>
    <w:p w:rsidR="00900CC1" w:rsidRDefault="00900CC1" w:rsidP="00A912F5">
      <w:pPr>
        <w:spacing w:line="360" w:lineRule="auto"/>
        <w:jc w:val="both"/>
        <w:rPr>
          <w:rFonts w:ascii="Arial" w:hAnsi="Arial" w:cs="Arial"/>
          <w:szCs w:val="22"/>
        </w:rPr>
      </w:pPr>
    </w:p>
    <w:p w:rsidR="00900CC1" w:rsidRPr="0069032D" w:rsidRDefault="0069032D" w:rsidP="00A912F5">
      <w:pPr>
        <w:spacing w:line="360" w:lineRule="auto"/>
        <w:jc w:val="both"/>
        <w:rPr>
          <w:rFonts w:ascii="Arial" w:hAnsi="Arial" w:cs="Arial"/>
          <w:szCs w:val="22"/>
          <w:u w:val="single"/>
        </w:rPr>
      </w:pPr>
      <w:r w:rsidRPr="0069032D">
        <w:rPr>
          <w:rFonts w:ascii="Arial" w:hAnsi="Arial" w:cs="Arial"/>
          <w:szCs w:val="22"/>
          <w:u w:val="single"/>
        </w:rPr>
        <w:t>K bodu 124</w:t>
      </w:r>
    </w:p>
    <w:p w:rsidR="008F6D81" w:rsidRDefault="0069032D" w:rsidP="00A912F5">
      <w:pPr>
        <w:spacing w:line="36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  <w:t xml:space="preserve">Skutková podstata přestupku podle § 26 odst. 1 písm. f) je formulována zcela shodně jako navrhovaná skutková podstata nového trestného činu a není tak jasné, v jakých případech by mělo jít jen o přestupek a v jakých případech už o trestný čin. </w:t>
      </w:r>
      <w:r w:rsidR="000572D5">
        <w:rPr>
          <w:rFonts w:ascii="Arial" w:hAnsi="Arial" w:cs="Arial"/>
          <w:szCs w:val="22"/>
        </w:rPr>
        <w:t xml:space="preserve">Kritérium závažnosti jednání se v tomto případě zdá sporné, skutkové podstaty by se měly alespoň částečně lišit. </w:t>
      </w:r>
    </w:p>
    <w:p w:rsidR="0069032D" w:rsidRDefault="0069032D" w:rsidP="00A912F5">
      <w:pPr>
        <w:spacing w:line="36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  <w:t xml:space="preserve">V případě skutkových podstat podle § 26 odst. 1 písm. i) až l), kde se používá kombinace nedokonavého vidu a množného čísla, např. porušuje povinnosti, není z navrženého textu jasné, jakým jednáním by měla být skutková podstata naplněna, zejména v kontextu s § 7 až 9 zákona č. 250/2016 Sb., návrh je proto třeba upřesnit podle záměru navrhovatele. </w:t>
      </w:r>
    </w:p>
    <w:p w:rsidR="0069032D" w:rsidRDefault="0069032D" w:rsidP="00A912F5">
      <w:pPr>
        <w:spacing w:line="36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  <w:t>J</w:t>
      </w:r>
      <w:r w:rsidR="009D138E">
        <w:rPr>
          <w:rFonts w:ascii="Arial" w:hAnsi="Arial" w:cs="Arial"/>
          <w:szCs w:val="22"/>
        </w:rPr>
        <w:t>e</w:t>
      </w:r>
      <w:r>
        <w:rPr>
          <w:rFonts w:ascii="Arial" w:hAnsi="Arial" w:cs="Arial"/>
          <w:szCs w:val="22"/>
        </w:rPr>
        <w:t xml:space="preserve"> </w:t>
      </w:r>
      <w:r w:rsidR="009D138E">
        <w:rPr>
          <w:rFonts w:ascii="Arial" w:hAnsi="Arial" w:cs="Arial"/>
          <w:szCs w:val="22"/>
        </w:rPr>
        <w:t>hodně</w:t>
      </w:r>
      <w:r>
        <w:rPr>
          <w:rFonts w:ascii="Arial" w:hAnsi="Arial" w:cs="Arial"/>
          <w:szCs w:val="22"/>
        </w:rPr>
        <w:t>, aby přestupk</w:t>
      </w:r>
      <w:r w:rsidR="000572D5">
        <w:rPr>
          <w:rFonts w:ascii="Arial" w:hAnsi="Arial" w:cs="Arial"/>
          <w:szCs w:val="22"/>
        </w:rPr>
        <w:t>em</w:t>
      </w:r>
      <w:r>
        <w:rPr>
          <w:rFonts w:ascii="Arial" w:hAnsi="Arial" w:cs="Arial"/>
          <w:szCs w:val="22"/>
        </w:rPr>
        <w:t xml:space="preserve"> bylo porušování povinnosti stanovených řá</w:t>
      </w:r>
      <w:r w:rsidRPr="0069032D">
        <w:rPr>
          <w:rFonts w:ascii="Arial" w:hAnsi="Arial" w:cs="Arial"/>
          <w:szCs w:val="22"/>
        </w:rPr>
        <w:t>dem provozovatele pohřební služby, provozovatele krematoria nebo veřejného pohřebiště</w:t>
      </w:r>
      <w:r>
        <w:rPr>
          <w:rFonts w:ascii="Arial" w:hAnsi="Arial" w:cs="Arial"/>
          <w:szCs w:val="22"/>
        </w:rPr>
        <w:t xml:space="preserve">, </w:t>
      </w:r>
      <w:r w:rsidR="00056179">
        <w:rPr>
          <w:rFonts w:ascii="Arial" w:hAnsi="Arial" w:cs="Arial"/>
          <w:szCs w:val="22"/>
        </w:rPr>
        <w:t xml:space="preserve">ze strany jiných osob než samotného provozovatele, </w:t>
      </w:r>
      <w:r>
        <w:rPr>
          <w:rFonts w:ascii="Arial" w:hAnsi="Arial" w:cs="Arial"/>
          <w:szCs w:val="22"/>
        </w:rPr>
        <w:t>neboť jde o soukromoprávní dokumenty, byť schvalované orgány v</w:t>
      </w:r>
      <w:r>
        <w:rPr>
          <w:rFonts w:ascii="Arial" w:hAnsi="Arial" w:cs="Arial"/>
          <w:szCs w:val="22"/>
        </w:rPr>
        <w:t>e</w:t>
      </w:r>
      <w:r>
        <w:rPr>
          <w:rFonts w:ascii="Arial" w:hAnsi="Arial" w:cs="Arial"/>
          <w:szCs w:val="22"/>
        </w:rPr>
        <w:t xml:space="preserve">řejné správy a prakticky by to znamenalo, že </w:t>
      </w:r>
      <w:r w:rsidR="000572D5">
        <w:rPr>
          <w:rFonts w:ascii="Arial" w:hAnsi="Arial" w:cs="Arial"/>
          <w:szCs w:val="22"/>
        </w:rPr>
        <w:t xml:space="preserve">vlastní </w:t>
      </w:r>
      <w:r>
        <w:rPr>
          <w:rFonts w:ascii="Arial" w:hAnsi="Arial" w:cs="Arial"/>
          <w:szCs w:val="22"/>
        </w:rPr>
        <w:t>obsah skutkových podstat těchto přestupků by neformuloval stát prostřednictvím zákona ale nestátní soukromoprávní subjekt svým předpisem, jehož obsah se může navíc mezi různými provozovateli lišit, byť asi ne zásadně. Vynucování p</w:t>
      </w:r>
      <w:r>
        <w:rPr>
          <w:rFonts w:ascii="Arial" w:hAnsi="Arial" w:cs="Arial"/>
          <w:szCs w:val="22"/>
        </w:rPr>
        <w:t>o</w:t>
      </w:r>
      <w:r>
        <w:rPr>
          <w:rFonts w:ascii="Arial" w:hAnsi="Arial" w:cs="Arial"/>
          <w:szCs w:val="22"/>
        </w:rPr>
        <w:t>vinností, např. návštěvníků, stanovených těmito řády, by mělo</w:t>
      </w:r>
      <w:r w:rsidR="00F11ABF">
        <w:rPr>
          <w:rFonts w:ascii="Arial" w:hAnsi="Arial" w:cs="Arial"/>
          <w:szCs w:val="22"/>
        </w:rPr>
        <w:t xml:space="preserve"> být na těch, kdo je vydávají, stát by mohl případně kontrolovat, zda se dodržování těmito řády stanovených povinností vynucuje a z</w:t>
      </w:r>
      <w:r w:rsidR="00F11ABF">
        <w:rPr>
          <w:rFonts w:ascii="Arial" w:hAnsi="Arial" w:cs="Arial"/>
          <w:szCs w:val="22"/>
        </w:rPr>
        <w:t>a</w:t>
      </w:r>
      <w:r w:rsidR="00F11ABF">
        <w:rPr>
          <w:rFonts w:ascii="Arial" w:hAnsi="Arial" w:cs="Arial"/>
          <w:szCs w:val="22"/>
        </w:rPr>
        <w:t>sáhnout, např. ve formě sankce, pokud by tomu tak nebylo</w:t>
      </w:r>
      <w:r w:rsidR="000572D5">
        <w:rPr>
          <w:rFonts w:ascii="Arial" w:hAnsi="Arial" w:cs="Arial"/>
          <w:szCs w:val="22"/>
        </w:rPr>
        <w:t xml:space="preserve"> a řády by neplnily svou funkci</w:t>
      </w:r>
      <w:r w:rsidR="00F11ABF">
        <w:rPr>
          <w:rFonts w:ascii="Arial" w:hAnsi="Arial" w:cs="Arial"/>
          <w:szCs w:val="22"/>
        </w:rPr>
        <w:t xml:space="preserve">. </w:t>
      </w:r>
      <w:r w:rsidR="00506294">
        <w:rPr>
          <w:rFonts w:ascii="Arial" w:hAnsi="Arial" w:cs="Arial"/>
          <w:szCs w:val="22"/>
        </w:rPr>
        <w:t xml:space="preserve">Zákon koneckonců ani nestanoví </w:t>
      </w:r>
      <w:r w:rsidR="000572D5">
        <w:rPr>
          <w:rFonts w:ascii="Arial" w:hAnsi="Arial" w:cs="Arial"/>
          <w:szCs w:val="22"/>
        </w:rPr>
        <w:t xml:space="preserve">(veřejnoprávní) </w:t>
      </w:r>
      <w:r w:rsidR="00506294">
        <w:rPr>
          <w:rFonts w:ascii="Arial" w:hAnsi="Arial" w:cs="Arial"/>
          <w:szCs w:val="22"/>
        </w:rPr>
        <w:t>povinnost dalších osob</w:t>
      </w:r>
      <w:r w:rsidR="00056179">
        <w:rPr>
          <w:rFonts w:ascii="Arial" w:hAnsi="Arial" w:cs="Arial"/>
          <w:szCs w:val="22"/>
        </w:rPr>
        <w:t>, zejm. návštěvníků,</w:t>
      </w:r>
      <w:r w:rsidR="00506294">
        <w:rPr>
          <w:rFonts w:ascii="Arial" w:hAnsi="Arial" w:cs="Arial"/>
          <w:szCs w:val="22"/>
        </w:rPr>
        <w:t xml:space="preserve"> tyto provo</w:t>
      </w:r>
      <w:r w:rsidR="00506294">
        <w:rPr>
          <w:rFonts w:ascii="Arial" w:hAnsi="Arial" w:cs="Arial"/>
          <w:szCs w:val="22"/>
        </w:rPr>
        <w:t>z</w:t>
      </w:r>
      <w:r w:rsidR="00506294">
        <w:rPr>
          <w:rFonts w:ascii="Arial" w:hAnsi="Arial" w:cs="Arial"/>
          <w:szCs w:val="22"/>
        </w:rPr>
        <w:t>ní řády dodržovat</w:t>
      </w:r>
      <w:r w:rsidR="00056179">
        <w:rPr>
          <w:rFonts w:ascii="Arial" w:hAnsi="Arial" w:cs="Arial"/>
          <w:szCs w:val="22"/>
        </w:rPr>
        <w:t xml:space="preserve">. </w:t>
      </w:r>
    </w:p>
    <w:p w:rsidR="006D5736" w:rsidRPr="008F6D81" w:rsidRDefault="006D5736" w:rsidP="00A912F5">
      <w:pPr>
        <w:spacing w:line="36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lastRenderedPageBreak/>
        <w:tab/>
        <w:t>V § 28 je zbytečné uvádět, že jde o první stupeň, pokud se stanoví příslušnost ke správn</w:t>
      </w:r>
      <w:r>
        <w:rPr>
          <w:rFonts w:ascii="Arial" w:hAnsi="Arial" w:cs="Arial"/>
          <w:szCs w:val="22"/>
        </w:rPr>
        <w:t>í</w:t>
      </w:r>
      <w:r>
        <w:rPr>
          <w:rFonts w:ascii="Arial" w:hAnsi="Arial" w:cs="Arial"/>
          <w:szCs w:val="22"/>
        </w:rPr>
        <w:t>mu řízení, jinak to být nemůže</w:t>
      </w:r>
      <w:r w:rsidR="009D138E">
        <w:rPr>
          <w:rFonts w:ascii="Arial" w:hAnsi="Arial" w:cs="Arial"/>
          <w:szCs w:val="22"/>
        </w:rPr>
        <w:t>, začíná se na prvním stupni</w:t>
      </w:r>
      <w:r>
        <w:rPr>
          <w:rFonts w:ascii="Arial" w:hAnsi="Arial" w:cs="Arial"/>
          <w:szCs w:val="22"/>
        </w:rPr>
        <w:t xml:space="preserve">. Rovněž je zbytečné upravovat místní příslušnost správních orgánů k projednávání přestupků, pokud se vystačí s obecnou úpravou v zákoně o přestupcích a správním </w:t>
      </w:r>
      <w:r w:rsidR="00865CC7">
        <w:rPr>
          <w:rFonts w:ascii="Arial" w:hAnsi="Arial" w:cs="Arial"/>
          <w:szCs w:val="22"/>
        </w:rPr>
        <w:t>ř</w:t>
      </w:r>
      <w:r>
        <w:rPr>
          <w:rFonts w:ascii="Arial" w:hAnsi="Arial" w:cs="Arial"/>
          <w:szCs w:val="22"/>
        </w:rPr>
        <w:t>ádu</w:t>
      </w:r>
      <w:r w:rsidR="009D138E">
        <w:rPr>
          <w:rFonts w:ascii="Arial" w:hAnsi="Arial" w:cs="Arial"/>
          <w:szCs w:val="22"/>
        </w:rPr>
        <w:t xml:space="preserve"> a zákon nemá obsahovat odchylky</w:t>
      </w:r>
      <w:r>
        <w:rPr>
          <w:rFonts w:ascii="Arial" w:hAnsi="Arial" w:cs="Arial"/>
          <w:szCs w:val="22"/>
        </w:rPr>
        <w:t xml:space="preserve">. </w:t>
      </w:r>
    </w:p>
    <w:p w:rsidR="00236D55" w:rsidRDefault="00236D55" w:rsidP="004E4951">
      <w:pPr>
        <w:spacing w:after="240"/>
        <w:jc w:val="both"/>
        <w:rPr>
          <w:rFonts w:ascii="Arial" w:hAnsi="Arial" w:cs="Arial"/>
          <w:b/>
          <w:szCs w:val="22"/>
        </w:rPr>
      </w:pPr>
    </w:p>
    <w:p w:rsidR="00D9036D" w:rsidRDefault="00D9036D" w:rsidP="004E4951">
      <w:pPr>
        <w:spacing w:after="240"/>
        <w:jc w:val="both"/>
        <w:rPr>
          <w:rFonts w:ascii="Arial" w:hAnsi="Arial" w:cs="Arial"/>
          <w:b/>
          <w:szCs w:val="22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79"/>
        <w:gridCol w:w="236"/>
        <w:gridCol w:w="3166"/>
      </w:tblGrid>
      <w:tr w:rsidR="00DD6D6A" w:rsidRPr="00C80B22" w:rsidTr="005C5BB4">
        <w:tc>
          <w:tcPr>
            <w:tcW w:w="6379" w:type="dxa"/>
            <w:shd w:val="clear" w:color="auto" w:fill="auto"/>
            <w:vAlign w:val="center"/>
          </w:tcPr>
          <w:p w:rsidR="004C29D0" w:rsidRDefault="004C29D0" w:rsidP="009C2371">
            <w:pPr>
              <w:tabs>
                <w:tab w:val="left" w:pos="6237"/>
              </w:tabs>
              <w:rPr>
                <w:rFonts w:ascii="Arial" w:hAnsi="Arial" w:cs="Arial"/>
                <w:sz w:val="20"/>
              </w:rPr>
            </w:pPr>
          </w:p>
          <w:p w:rsidR="004C29D0" w:rsidRPr="004C3D38" w:rsidRDefault="004C29D0" w:rsidP="009C2371">
            <w:pPr>
              <w:tabs>
                <w:tab w:val="left" w:pos="6237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DD6D6A" w:rsidRPr="00FF570B" w:rsidRDefault="00DD6D6A" w:rsidP="009C2371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3166" w:type="dxa"/>
            <w:shd w:val="clear" w:color="auto" w:fill="auto"/>
            <w:vAlign w:val="center"/>
          </w:tcPr>
          <w:p w:rsidR="00DD6D6A" w:rsidRPr="00C80B22" w:rsidRDefault="00DD6D6A" w:rsidP="009C2371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</w:tr>
      <w:tr w:rsidR="00DD6D6A" w:rsidRPr="00C80B22" w:rsidTr="005C5BB4">
        <w:tc>
          <w:tcPr>
            <w:tcW w:w="6379" w:type="dxa"/>
            <w:shd w:val="clear" w:color="auto" w:fill="auto"/>
            <w:vAlign w:val="center"/>
          </w:tcPr>
          <w:p w:rsidR="00DD6D6A" w:rsidRPr="00C80B22" w:rsidRDefault="00DD6D6A" w:rsidP="009C2371">
            <w:pPr>
              <w:tabs>
                <w:tab w:val="left" w:pos="6237"/>
              </w:tabs>
              <w:rPr>
                <w:rFonts w:ascii="Arial" w:hAnsi="Arial" w:cs="Arial"/>
                <w:caps/>
                <w:szCs w:val="22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DD6D6A" w:rsidRPr="00FF570B" w:rsidRDefault="00DD6D6A" w:rsidP="009C2371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3166" w:type="dxa"/>
            <w:shd w:val="clear" w:color="auto" w:fill="auto"/>
            <w:vAlign w:val="center"/>
          </w:tcPr>
          <w:p w:rsidR="00DD6D6A" w:rsidRPr="00C80B22" w:rsidRDefault="00DD6D6A" w:rsidP="009C2371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</w:tr>
      <w:tr w:rsidR="00DD6D6A" w:rsidRPr="00C80B22" w:rsidTr="005C5BB4">
        <w:tc>
          <w:tcPr>
            <w:tcW w:w="6379" w:type="dxa"/>
            <w:shd w:val="clear" w:color="auto" w:fill="auto"/>
            <w:vAlign w:val="center"/>
          </w:tcPr>
          <w:p w:rsidR="00DD6D6A" w:rsidRPr="00C80B22" w:rsidRDefault="00DD6D6A" w:rsidP="009C2371">
            <w:pPr>
              <w:tabs>
                <w:tab w:val="left" w:pos="6237"/>
              </w:tabs>
              <w:rPr>
                <w:rFonts w:ascii="Arial" w:hAnsi="Arial" w:cs="Arial"/>
                <w:caps/>
                <w:szCs w:val="22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DD6D6A" w:rsidRPr="00FF570B" w:rsidRDefault="00DD6D6A" w:rsidP="009C2371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3166" w:type="dxa"/>
            <w:shd w:val="clear" w:color="auto" w:fill="auto"/>
            <w:vAlign w:val="center"/>
          </w:tcPr>
          <w:p w:rsidR="00DD6D6A" w:rsidRPr="00C80B22" w:rsidRDefault="00D9036D" w:rsidP="00D9036D">
            <w:pPr>
              <w:tabs>
                <w:tab w:val="left" w:pos="6237"/>
              </w:tabs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JUDr. </w:t>
            </w:r>
            <w:proofErr w:type="gramStart"/>
            <w:r>
              <w:rPr>
                <w:rFonts w:ascii="Arial" w:hAnsi="Arial" w:cs="Arial"/>
                <w:szCs w:val="22"/>
              </w:rPr>
              <w:t>Josef  V e d r a l, Ph.</w:t>
            </w:r>
            <w:proofErr w:type="gramEnd"/>
            <w:r>
              <w:rPr>
                <w:rFonts w:ascii="Arial" w:hAnsi="Arial" w:cs="Arial"/>
                <w:szCs w:val="22"/>
              </w:rPr>
              <w:t>D.</w:t>
            </w:r>
          </w:p>
        </w:tc>
      </w:tr>
      <w:tr w:rsidR="00DD6D6A" w:rsidRPr="00C80B22" w:rsidTr="005C5BB4">
        <w:tc>
          <w:tcPr>
            <w:tcW w:w="6379" w:type="dxa"/>
            <w:shd w:val="clear" w:color="auto" w:fill="auto"/>
            <w:vAlign w:val="center"/>
          </w:tcPr>
          <w:p w:rsidR="00DD6D6A" w:rsidRPr="00C80B22" w:rsidRDefault="00DD6D6A" w:rsidP="009C2371">
            <w:pPr>
              <w:tabs>
                <w:tab w:val="left" w:pos="6237"/>
              </w:tabs>
              <w:rPr>
                <w:rFonts w:ascii="Arial" w:hAnsi="Arial" w:cs="Arial"/>
                <w:caps/>
                <w:szCs w:val="22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DD6D6A" w:rsidRPr="00FF570B" w:rsidRDefault="00DD6D6A" w:rsidP="009C2371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3166" w:type="dxa"/>
            <w:shd w:val="clear" w:color="auto" w:fill="auto"/>
            <w:vAlign w:val="center"/>
          </w:tcPr>
          <w:p w:rsidR="00DD6D6A" w:rsidRPr="00C80B22" w:rsidRDefault="00D9036D" w:rsidP="00D9036D">
            <w:pPr>
              <w:tabs>
                <w:tab w:val="left" w:pos="6237"/>
              </w:tabs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předseda komise</w:t>
            </w:r>
          </w:p>
        </w:tc>
      </w:tr>
    </w:tbl>
    <w:p w:rsidR="00DD6D6A" w:rsidRDefault="00DD6D6A" w:rsidP="00DD6D6A">
      <w:pPr>
        <w:spacing w:line="360" w:lineRule="auto"/>
        <w:rPr>
          <w:rFonts w:ascii="Arial" w:hAnsi="Arial" w:cs="Arial"/>
          <w:b/>
          <w:szCs w:val="22"/>
        </w:rPr>
      </w:pPr>
    </w:p>
    <w:sectPr w:rsidR="00DD6D6A" w:rsidSect="00C80B22"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C76" w:rsidRDefault="004A7C76" w:rsidP="009B41B1">
      <w:r>
        <w:separator/>
      </w:r>
    </w:p>
  </w:endnote>
  <w:endnote w:type="continuationSeparator" w:id="0">
    <w:p w:rsidR="004A7C76" w:rsidRDefault="004A7C76" w:rsidP="009B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393" w:rsidRPr="00896030" w:rsidRDefault="00D24393" w:rsidP="00076316">
    <w:pPr>
      <w:pStyle w:val="Zpat"/>
      <w:pBdr>
        <w:top w:val="single" w:sz="4" w:space="1" w:color="auto"/>
      </w:pBdr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Stran</w:t>
    </w:r>
    <w:r w:rsidRPr="00896030">
      <w:rPr>
        <w:rFonts w:ascii="Arial" w:hAnsi="Arial" w:cs="Arial"/>
        <w:sz w:val="20"/>
      </w:rPr>
      <w:t xml:space="preserve">a </w:t>
    </w:r>
    <w:r w:rsidRPr="00896030">
      <w:rPr>
        <w:rFonts w:ascii="Arial" w:hAnsi="Arial" w:cs="Arial"/>
        <w:bCs/>
        <w:sz w:val="20"/>
      </w:rPr>
      <w:fldChar w:fldCharType="begin"/>
    </w:r>
    <w:r w:rsidRPr="00896030">
      <w:rPr>
        <w:rFonts w:ascii="Arial" w:hAnsi="Arial" w:cs="Arial"/>
        <w:bCs/>
        <w:sz w:val="20"/>
      </w:rPr>
      <w:instrText>PAGE</w:instrText>
    </w:r>
    <w:r w:rsidRPr="00896030">
      <w:rPr>
        <w:rFonts w:ascii="Arial" w:hAnsi="Arial" w:cs="Arial"/>
        <w:bCs/>
        <w:sz w:val="20"/>
      </w:rPr>
      <w:fldChar w:fldCharType="separate"/>
    </w:r>
    <w:r w:rsidR="006C051C">
      <w:rPr>
        <w:rFonts w:ascii="Arial" w:hAnsi="Arial" w:cs="Arial"/>
        <w:bCs/>
        <w:noProof/>
        <w:sz w:val="20"/>
      </w:rPr>
      <w:t>7</w:t>
    </w:r>
    <w:r w:rsidRPr="00896030">
      <w:rPr>
        <w:rFonts w:ascii="Arial" w:hAnsi="Arial" w:cs="Arial"/>
        <w:bCs/>
        <w:sz w:val="20"/>
      </w:rPr>
      <w:fldChar w:fldCharType="end"/>
    </w:r>
    <w:r w:rsidRPr="00896030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</w:rPr>
      <w:t>(celkem</w:t>
    </w:r>
    <w:r w:rsidRPr="00896030">
      <w:rPr>
        <w:rFonts w:ascii="Arial" w:hAnsi="Arial" w:cs="Arial"/>
        <w:sz w:val="20"/>
      </w:rPr>
      <w:t xml:space="preserve"> </w:t>
    </w:r>
    <w:r w:rsidRPr="00896030">
      <w:rPr>
        <w:rFonts w:ascii="Arial" w:hAnsi="Arial" w:cs="Arial"/>
        <w:bCs/>
        <w:sz w:val="20"/>
      </w:rPr>
      <w:fldChar w:fldCharType="begin"/>
    </w:r>
    <w:r w:rsidRPr="00896030">
      <w:rPr>
        <w:rFonts w:ascii="Arial" w:hAnsi="Arial" w:cs="Arial"/>
        <w:bCs/>
        <w:sz w:val="20"/>
      </w:rPr>
      <w:instrText>NUMPAGES</w:instrText>
    </w:r>
    <w:r w:rsidRPr="00896030">
      <w:rPr>
        <w:rFonts w:ascii="Arial" w:hAnsi="Arial" w:cs="Arial"/>
        <w:bCs/>
        <w:sz w:val="20"/>
      </w:rPr>
      <w:fldChar w:fldCharType="separate"/>
    </w:r>
    <w:r w:rsidR="006C051C">
      <w:rPr>
        <w:rFonts w:ascii="Arial" w:hAnsi="Arial" w:cs="Arial"/>
        <w:bCs/>
        <w:noProof/>
        <w:sz w:val="20"/>
      </w:rPr>
      <w:t>7</w:t>
    </w:r>
    <w:r w:rsidRPr="00896030">
      <w:rPr>
        <w:rFonts w:ascii="Arial" w:hAnsi="Arial" w:cs="Arial"/>
        <w:bCs/>
        <w:sz w:val="20"/>
      </w:rPr>
      <w:fldChar w:fldCharType="end"/>
    </w:r>
    <w:r>
      <w:rPr>
        <w:rFonts w:ascii="Arial" w:hAnsi="Arial" w:cs="Arial"/>
        <w:bCs/>
        <w:sz w:val="20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393" w:rsidRPr="000261A2" w:rsidRDefault="00D24393">
    <w:pPr>
      <w:rPr>
        <w:rFonts w:ascii="Arial" w:hAnsi="Arial" w:cs="Arial"/>
      </w:rPr>
    </w:pPr>
  </w:p>
  <w:tbl>
    <w:tblPr>
      <w:tblW w:w="9639" w:type="dxa"/>
      <w:jc w:val="center"/>
      <w:tblLook w:val="04A0" w:firstRow="1" w:lastRow="0" w:firstColumn="1" w:lastColumn="0" w:noHBand="0" w:noVBand="1"/>
    </w:tblPr>
    <w:tblGrid>
      <w:gridCol w:w="4253"/>
      <w:gridCol w:w="1134"/>
      <w:gridCol w:w="4252"/>
    </w:tblGrid>
    <w:tr w:rsidR="00D24393" w:rsidRPr="00563410" w:rsidTr="006B0BFC">
      <w:trPr>
        <w:trHeight w:val="442"/>
        <w:jc w:val="center"/>
      </w:trPr>
      <w:tc>
        <w:tcPr>
          <w:tcW w:w="4255" w:type="dxa"/>
          <w:tcBorders>
            <w:top w:val="single" w:sz="4" w:space="0" w:color="auto"/>
          </w:tcBorders>
          <w:shd w:val="clear" w:color="auto" w:fill="auto"/>
          <w:vAlign w:val="center"/>
        </w:tcPr>
        <w:p w:rsidR="00D24393" w:rsidRPr="00563410" w:rsidRDefault="00D24393" w:rsidP="000261A2">
          <w:pPr>
            <w:pStyle w:val="Zpat"/>
            <w:spacing w:before="60"/>
            <w:jc w:val="righ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Úřad vlády</w:t>
          </w:r>
          <w:r w:rsidRPr="00563410">
            <w:rPr>
              <w:rFonts w:ascii="Arial" w:hAnsi="Arial" w:cs="Arial"/>
              <w:sz w:val="20"/>
            </w:rPr>
            <w:t xml:space="preserve"> </w:t>
          </w:r>
          <w:r>
            <w:rPr>
              <w:rFonts w:ascii="Arial" w:hAnsi="Arial" w:cs="Arial"/>
              <w:sz w:val="20"/>
            </w:rPr>
            <w:t>ČR</w:t>
          </w:r>
          <w:r>
            <w:rPr>
              <w:rFonts w:ascii="Arial" w:hAnsi="Arial" w:cs="Arial"/>
              <w:sz w:val="20"/>
            </w:rPr>
            <w:br/>
            <w:t>nábř. Edvarda Beneše 4</w:t>
          </w:r>
          <w:r>
            <w:rPr>
              <w:rFonts w:ascii="Arial" w:hAnsi="Arial" w:cs="Arial"/>
              <w:sz w:val="20"/>
            </w:rPr>
            <w:br/>
          </w:r>
          <w:proofErr w:type="gramStart"/>
          <w:r w:rsidRPr="00563410">
            <w:rPr>
              <w:rFonts w:ascii="Arial" w:hAnsi="Arial" w:cs="Arial"/>
              <w:sz w:val="20"/>
            </w:rPr>
            <w:t xml:space="preserve">118 01 </w:t>
          </w:r>
          <w:r>
            <w:rPr>
              <w:rFonts w:ascii="Arial" w:hAnsi="Arial" w:cs="Arial"/>
              <w:sz w:val="20"/>
            </w:rPr>
            <w:t xml:space="preserve"> </w:t>
          </w:r>
          <w:r w:rsidRPr="00563410">
            <w:rPr>
              <w:rFonts w:ascii="Arial" w:hAnsi="Arial" w:cs="Arial"/>
              <w:sz w:val="20"/>
            </w:rPr>
            <w:t>Praha</w:t>
          </w:r>
          <w:proofErr w:type="gramEnd"/>
          <w:r w:rsidRPr="00563410">
            <w:rPr>
              <w:rFonts w:ascii="Arial" w:hAnsi="Arial" w:cs="Arial"/>
              <w:sz w:val="20"/>
            </w:rPr>
            <w:t xml:space="preserve"> 1</w:t>
          </w:r>
        </w:p>
      </w:tc>
      <w:tc>
        <w:tcPr>
          <w:tcW w:w="1134" w:type="dxa"/>
          <w:tcBorders>
            <w:top w:val="single" w:sz="4" w:space="0" w:color="auto"/>
          </w:tcBorders>
          <w:vAlign w:val="center"/>
        </w:tcPr>
        <w:p w:rsidR="00D24393" w:rsidRDefault="00D24393" w:rsidP="00A3590A">
          <w:pPr>
            <w:pStyle w:val="Zpat"/>
            <w:jc w:val="center"/>
            <w:rPr>
              <w:rFonts w:ascii="Arial" w:hAnsi="Arial" w:cs="Arial"/>
              <w:sz w:val="20"/>
            </w:rPr>
          </w:pPr>
          <w:r>
            <w:rPr>
              <w:rFonts w:cs="Arial"/>
              <w:b/>
              <w:noProof/>
              <w:color w:val="1F497D"/>
              <w:sz w:val="44"/>
              <w:szCs w:val="28"/>
            </w:rPr>
            <w:drawing>
              <wp:inline distT="0" distB="0" distL="0" distR="0">
                <wp:extent cx="429260" cy="429260"/>
                <wp:effectExtent l="0" t="0" r="8890" b="8890"/>
                <wp:docPr id="2" name="obrázek 2" descr="uvcr-logo-sablony-zapa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vcr-logo-sablony-zapat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9260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3" w:type="dxa"/>
          <w:tcBorders>
            <w:top w:val="single" w:sz="4" w:space="0" w:color="auto"/>
          </w:tcBorders>
        </w:tcPr>
        <w:p w:rsidR="00D24393" w:rsidRDefault="00D24393" w:rsidP="00A3590A">
          <w:pPr>
            <w:pStyle w:val="Zpat"/>
            <w:spacing w:before="60"/>
            <w:rPr>
              <w:rFonts w:ascii="Arial" w:hAnsi="Arial" w:cs="Arial"/>
              <w:sz w:val="20"/>
            </w:rPr>
          </w:pPr>
          <w:r w:rsidRPr="00563410">
            <w:rPr>
              <w:rFonts w:ascii="Arial" w:hAnsi="Arial" w:cs="Arial"/>
              <w:sz w:val="20"/>
            </w:rPr>
            <w:t>ústředna 224 002</w:t>
          </w:r>
          <w:r>
            <w:rPr>
              <w:rFonts w:ascii="Arial" w:hAnsi="Arial" w:cs="Arial"/>
              <w:sz w:val="20"/>
            </w:rPr>
            <w:t> </w:t>
          </w:r>
          <w:r w:rsidRPr="00563410">
            <w:rPr>
              <w:rFonts w:ascii="Arial" w:hAnsi="Arial" w:cs="Arial"/>
              <w:sz w:val="20"/>
            </w:rPr>
            <w:t>111</w:t>
          </w:r>
          <w:r>
            <w:rPr>
              <w:rFonts w:ascii="Arial" w:hAnsi="Arial" w:cs="Arial"/>
              <w:sz w:val="20"/>
            </w:rPr>
            <w:br/>
          </w:r>
          <w:r w:rsidRPr="00563410">
            <w:rPr>
              <w:rFonts w:ascii="Arial" w:hAnsi="Arial" w:cs="Arial"/>
              <w:sz w:val="20"/>
            </w:rPr>
            <w:t>posta@vlada.cz</w:t>
          </w:r>
          <w:r>
            <w:rPr>
              <w:rFonts w:ascii="Arial" w:hAnsi="Arial" w:cs="Arial"/>
              <w:sz w:val="20"/>
            </w:rPr>
            <w:br/>
          </w:r>
          <w:r w:rsidRPr="00563410">
            <w:rPr>
              <w:rFonts w:ascii="Arial" w:hAnsi="Arial" w:cs="Arial"/>
              <w:sz w:val="20"/>
            </w:rPr>
            <w:t xml:space="preserve">dat. </w:t>
          </w:r>
          <w:proofErr w:type="gramStart"/>
          <w:r w:rsidRPr="00563410">
            <w:rPr>
              <w:rFonts w:ascii="Arial" w:hAnsi="Arial" w:cs="Arial"/>
              <w:sz w:val="20"/>
            </w:rPr>
            <w:t>schránka</w:t>
          </w:r>
          <w:proofErr w:type="gramEnd"/>
          <w:r w:rsidRPr="00563410">
            <w:rPr>
              <w:rFonts w:ascii="Arial" w:hAnsi="Arial" w:cs="Arial"/>
              <w:sz w:val="20"/>
            </w:rPr>
            <w:t xml:space="preserve"> ID: trfaa33</w:t>
          </w:r>
        </w:p>
      </w:tc>
    </w:tr>
  </w:tbl>
  <w:p w:rsidR="00D24393" w:rsidRPr="00797FD4" w:rsidRDefault="00D24393" w:rsidP="00C80B22">
    <w:pPr>
      <w:pStyle w:val="Zpat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C76" w:rsidRDefault="004A7C76" w:rsidP="009B41B1">
      <w:r>
        <w:separator/>
      </w:r>
    </w:p>
  </w:footnote>
  <w:footnote w:type="continuationSeparator" w:id="0">
    <w:p w:rsidR="004A7C76" w:rsidRDefault="004A7C76" w:rsidP="009B41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D24393" w:rsidTr="00C44121">
      <w:tc>
        <w:tcPr>
          <w:tcW w:w="6345" w:type="dxa"/>
          <w:shd w:val="clear" w:color="auto" w:fill="auto"/>
        </w:tcPr>
        <w:p w:rsidR="00D24393" w:rsidRDefault="00D24393" w:rsidP="00FF570B">
          <w:pPr>
            <w:tabs>
              <w:tab w:val="left" w:pos="1206"/>
            </w:tabs>
            <w:rPr>
              <w:rFonts w:ascii="Cambria" w:hAnsi="Cambria" w:cs="Arial"/>
              <w:color w:val="1F497D"/>
              <w:sz w:val="28"/>
              <w:szCs w:val="26"/>
            </w:rPr>
          </w:pP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>
            <w:rPr>
              <w:rFonts w:ascii="Cambria" w:hAnsi="Cambria" w:cs="Arial"/>
              <w:color w:val="1F497D"/>
              <w:sz w:val="28"/>
              <w:szCs w:val="26"/>
            </w:rPr>
            <w:t>LEGISLATIVNÍ RADA VLÁDY ČESKÉ REPUBLIKY</w:t>
          </w:r>
        </w:p>
        <w:p w:rsidR="00D24393" w:rsidRDefault="00D24393" w:rsidP="00392806">
          <w:pPr>
            <w:tabs>
              <w:tab w:val="left" w:pos="1206"/>
            </w:tabs>
            <w:rPr>
              <w:rFonts w:ascii="Cambria" w:hAnsi="Cambria" w:cs="Arial"/>
              <w:color w:val="1F497D"/>
              <w:sz w:val="28"/>
              <w:szCs w:val="26"/>
            </w:rPr>
          </w:pPr>
          <w:r>
            <w:rPr>
              <w:rFonts w:ascii="Cambria" w:hAnsi="Cambria" w:cs="Arial"/>
              <w:color w:val="1F497D"/>
              <w:sz w:val="28"/>
              <w:szCs w:val="26"/>
            </w:rPr>
            <w:t xml:space="preserve">PRACOVNÍ KOMISE PRO VEŘEJNÉ PRÁVO I – </w:t>
          </w:r>
        </w:p>
        <w:p w:rsidR="00D24393" w:rsidRPr="00E34594" w:rsidRDefault="00D24393" w:rsidP="00392806">
          <w:pPr>
            <w:tabs>
              <w:tab w:val="left" w:pos="1206"/>
            </w:tabs>
            <w:rPr>
              <w:rFonts w:ascii="Cambria" w:hAnsi="Cambria" w:cs="Arial"/>
              <w:sz w:val="28"/>
              <w:szCs w:val="28"/>
            </w:rPr>
          </w:pPr>
          <w:r>
            <w:rPr>
              <w:rFonts w:ascii="Cambria" w:hAnsi="Cambria" w:cs="Arial"/>
              <w:color w:val="1F497D"/>
              <w:sz w:val="28"/>
              <w:szCs w:val="26"/>
            </w:rPr>
            <w:t>KOMISE PRO SPRÁVNÍ PRÁVO Č. 1</w:t>
          </w:r>
        </w:p>
      </w:tc>
      <w:tc>
        <w:tcPr>
          <w:tcW w:w="3544" w:type="dxa"/>
          <w:shd w:val="clear" w:color="auto" w:fill="auto"/>
        </w:tcPr>
        <w:p w:rsidR="00D24393" w:rsidRDefault="00D24393" w:rsidP="00563410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</w:rPr>
            <w:drawing>
              <wp:inline distT="0" distB="0" distL="0" distR="0">
                <wp:extent cx="2083435" cy="596265"/>
                <wp:effectExtent l="0" t="0" r="0" b="0"/>
                <wp:docPr id="1" name="obrázek 1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83435" cy="596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24393" w:rsidRPr="00A94081" w:rsidRDefault="00D24393" w:rsidP="00A94081">
    <w:pPr>
      <w:pStyle w:val="Zhlav"/>
      <w:rPr>
        <w:rFonts w:ascii="Arial" w:hAnsi="Arial" w:cs="Arial"/>
      </w:rPr>
    </w:pPr>
  </w:p>
  <w:p w:rsidR="00D24393" w:rsidRPr="00AA1BE3" w:rsidRDefault="00D24393" w:rsidP="00E60AA5">
    <w:pPr>
      <w:pStyle w:val="Zhlav"/>
      <w:rPr>
        <w:rFonts w:ascii="Arial" w:hAnsi="Arial" w:cs="Arial"/>
        <w:vanish/>
      </w:rPr>
    </w:pPr>
  </w:p>
  <w:p w:rsidR="00D24393" w:rsidRPr="00A94081" w:rsidRDefault="00D24393" w:rsidP="00A9408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97C4D"/>
    <w:multiLevelType w:val="singleLevel"/>
    <w:tmpl w:val="EF6C8036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">
    <w:nsid w:val="17541B82"/>
    <w:multiLevelType w:val="hybridMultilevel"/>
    <w:tmpl w:val="59C661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3250D8D"/>
    <w:multiLevelType w:val="hybridMultilevel"/>
    <w:tmpl w:val="27B4A2B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4CB48AB"/>
    <w:multiLevelType w:val="hybridMultilevel"/>
    <w:tmpl w:val="77E866EE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30E80327"/>
    <w:multiLevelType w:val="hybridMultilevel"/>
    <w:tmpl w:val="16DEB29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3D662AF"/>
    <w:multiLevelType w:val="hybridMultilevel"/>
    <w:tmpl w:val="4D5AE4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945167"/>
    <w:multiLevelType w:val="hybridMultilevel"/>
    <w:tmpl w:val="4A92595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6FE6018"/>
    <w:multiLevelType w:val="hybridMultilevel"/>
    <w:tmpl w:val="834C71B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8490356"/>
    <w:multiLevelType w:val="hybridMultilevel"/>
    <w:tmpl w:val="5DD87D78"/>
    <w:lvl w:ilvl="0" w:tplc="1E169E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D5160C1"/>
    <w:multiLevelType w:val="hybridMultilevel"/>
    <w:tmpl w:val="56C64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C7311D"/>
    <w:multiLevelType w:val="hybridMultilevel"/>
    <w:tmpl w:val="03BA4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2646CA"/>
    <w:multiLevelType w:val="hybridMultilevel"/>
    <w:tmpl w:val="E47626C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599D33BF"/>
    <w:multiLevelType w:val="hybridMultilevel"/>
    <w:tmpl w:val="E582338A"/>
    <w:lvl w:ilvl="0" w:tplc="25103E9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80017BA"/>
    <w:multiLevelType w:val="hybridMultilevel"/>
    <w:tmpl w:val="02B0613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684C0708"/>
    <w:multiLevelType w:val="hybridMultilevel"/>
    <w:tmpl w:val="FB84B0D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696A5BA9"/>
    <w:multiLevelType w:val="hybridMultilevel"/>
    <w:tmpl w:val="67FA4C6C"/>
    <w:lvl w:ilvl="0" w:tplc="EF6C8036">
      <w:numFmt w:val="bullet"/>
      <w:lvlText w:val="-"/>
      <w:lvlJc w:val="left"/>
      <w:pPr>
        <w:ind w:left="106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6FC94E46"/>
    <w:multiLevelType w:val="hybridMultilevel"/>
    <w:tmpl w:val="0E6CAD5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728D5B6A"/>
    <w:multiLevelType w:val="hybridMultilevel"/>
    <w:tmpl w:val="51C2042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7C535C6F"/>
    <w:multiLevelType w:val="hybridMultilevel"/>
    <w:tmpl w:val="70586A3A"/>
    <w:lvl w:ilvl="0" w:tplc="00C294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8"/>
  </w:num>
  <w:num w:numId="4">
    <w:abstractNumId w:val="0"/>
  </w:num>
  <w:num w:numId="5">
    <w:abstractNumId w:val="12"/>
  </w:num>
  <w:num w:numId="6">
    <w:abstractNumId w:val="8"/>
  </w:num>
  <w:num w:numId="7">
    <w:abstractNumId w:val="15"/>
  </w:num>
  <w:num w:numId="8">
    <w:abstractNumId w:val="4"/>
  </w:num>
  <w:num w:numId="9">
    <w:abstractNumId w:val="11"/>
  </w:num>
  <w:num w:numId="10">
    <w:abstractNumId w:val="2"/>
  </w:num>
  <w:num w:numId="11">
    <w:abstractNumId w:val="7"/>
  </w:num>
  <w:num w:numId="12">
    <w:abstractNumId w:val="13"/>
  </w:num>
  <w:num w:numId="13">
    <w:abstractNumId w:val="14"/>
  </w:num>
  <w:num w:numId="14">
    <w:abstractNumId w:val="17"/>
  </w:num>
  <w:num w:numId="15">
    <w:abstractNumId w:val="16"/>
  </w:num>
  <w:num w:numId="16">
    <w:abstractNumId w:val="6"/>
  </w:num>
  <w:num w:numId="17">
    <w:abstractNumId w:val="3"/>
  </w:num>
  <w:num w:numId="18">
    <w:abstractNumId w:val="5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D23"/>
    <w:rsid w:val="00002180"/>
    <w:rsid w:val="00021AAE"/>
    <w:rsid w:val="000261A2"/>
    <w:rsid w:val="0003237A"/>
    <w:rsid w:val="00056179"/>
    <w:rsid w:val="00056792"/>
    <w:rsid w:val="000572D5"/>
    <w:rsid w:val="000608E9"/>
    <w:rsid w:val="00076316"/>
    <w:rsid w:val="00077086"/>
    <w:rsid w:val="00097DE7"/>
    <w:rsid w:val="000A2500"/>
    <w:rsid w:val="000B2779"/>
    <w:rsid w:val="000D00D4"/>
    <w:rsid w:val="000D2CB5"/>
    <w:rsid w:val="000E027F"/>
    <w:rsid w:val="000E44FA"/>
    <w:rsid w:val="000E4613"/>
    <w:rsid w:val="000E6F08"/>
    <w:rsid w:val="00114DCB"/>
    <w:rsid w:val="00121F80"/>
    <w:rsid w:val="00131B1E"/>
    <w:rsid w:val="001365E2"/>
    <w:rsid w:val="001416B6"/>
    <w:rsid w:val="0016228E"/>
    <w:rsid w:val="00164122"/>
    <w:rsid w:val="00167BCA"/>
    <w:rsid w:val="00180BC6"/>
    <w:rsid w:val="001A024D"/>
    <w:rsid w:val="001A5362"/>
    <w:rsid w:val="001B62D2"/>
    <w:rsid w:val="001C44BE"/>
    <w:rsid w:val="001D5483"/>
    <w:rsid w:val="001E17B5"/>
    <w:rsid w:val="001F6F19"/>
    <w:rsid w:val="00203661"/>
    <w:rsid w:val="00205F18"/>
    <w:rsid w:val="00215282"/>
    <w:rsid w:val="002208DA"/>
    <w:rsid w:val="00224A43"/>
    <w:rsid w:val="00233532"/>
    <w:rsid w:val="00236D55"/>
    <w:rsid w:val="0025282D"/>
    <w:rsid w:val="00273DDB"/>
    <w:rsid w:val="00274F6B"/>
    <w:rsid w:val="0028105D"/>
    <w:rsid w:val="002839EE"/>
    <w:rsid w:val="00283C63"/>
    <w:rsid w:val="002A221D"/>
    <w:rsid w:val="002A23A6"/>
    <w:rsid w:val="002A601A"/>
    <w:rsid w:val="002B566D"/>
    <w:rsid w:val="002C1DCF"/>
    <w:rsid w:val="002D5356"/>
    <w:rsid w:val="002E4AE4"/>
    <w:rsid w:val="0030153D"/>
    <w:rsid w:val="003026F3"/>
    <w:rsid w:val="00310376"/>
    <w:rsid w:val="00342112"/>
    <w:rsid w:val="00342DF1"/>
    <w:rsid w:val="00345D44"/>
    <w:rsid w:val="0035660A"/>
    <w:rsid w:val="00361DBF"/>
    <w:rsid w:val="003632C7"/>
    <w:rsid w:val="00366CE4"/>
    <w:rsid w:val="00392806"/>
    <w:rsid w:val="00394B23"/>
    <w:rsid w:val="003B4CF0"/>
    <w:rsid w:val="003C19BF"/>
    <w:rsid w:val="003C7182"/>
    <w:rsid w:val="003D1FD1"/>
    <w:rsid w:val="003E3145"/>
    <w:rsid w:val="003F4E86"/>
    <w:rsid w:val="004022BD"/>
    <w:rsid w:val="00411FB8"/>
    <w:rsid w:val="00423BC1"/>
    <w:rsid w:val="0043702E"/>
    <w:rsid w:val="00460F2F"/>
    <w:rsid w:val="004825F6"/>
    <w:rsid w:val="004900C1"/>
    <w:rsid w:val="004A32DE"/>
    <w:rsid w:val="004A664A"/>
    <w:rsid w:val="004A7C76"/>
    <w:rsid w:val="004B41F0"/>
    <w:rsid w:val="004B7F1C"/>
    <w:rsid w:val="004C29D0"/>
    <w:rsid w:val="004C3D38"/>
    <w:rsid w:val="004C53E9"/>
    <w:rsid w:val="004E4951"/>
    <w:rsid w:val="004F2D72"/>
    <w:rsid w:val="005039A6"/>
    <w:rsid w:val="00505E45"/>
    <w:rsid w:val="00506294"/>
    <w:rsid w:val="00544378"/>
    <w:rsid w:val="00544D26"/>
    <w:rsid w:val="005610AA"/>
    <w:rsid w:val="00563410"/>
    <w:rsid w:val="00575703"/>
    <w:rsid w:val="00575B09"/>
    <w:rsid w:val="00587B58"/>
    <w:rsid w:val="00590A43"/>
    <w:rsid w:val="005938FD"/>
    <w:rsid w:val="005A0B22"/>
    <w:rsid w:val="005A4722"/>
    <w:rsid w:val="005A6EDA"/>
    <w:rsid w:val="005B2E29"/>
    <w:rsid w:val="005C5BB4"/>
    <w:rsid w:val="005D0D94"/>
    <w:rsid w:val="005E315C"/>
    <w:rsid w:val="005E700A"/>
    <w:rsid w:val="005F6D6B"/>
    <w:rsid w:val="00600B95"/>
    <w:rsid w:val="006126CC"/>
    <w:rsid w:val="00614D0B"/>
    <w:rsid w:val="00617C66"/>
    <w:rsid w:val="00646863"/>
    <w:rsid w:val="00652E26"/>
    <w:rsid w:val="00652EDA"/>
    <w:rsid w:val="00655D58"/>
    <w:rsid w:val="00660A19"/>
    <w:rsid w:val="006775EE"/>
    <w:rsid w:val="0068607E"/>
    <w:rsid w:val="00686CE3"/>
    <w:rsid w:val="0069032D"/>
    <w:rsid w:val="00693772"/>
    <w:rsid w:val="00695E01"/>
    <w:rsid w:val="006B0BFC"/>
    <w:rsid w:val="006C051C"/>
    <w:rsid w:val="006C7A2A"/>
    <w:rsid w:val="006C7D23"/>
    <w:rsid w:val="006D17F2"/>
    <w:rsid w:val="006D5736"/>
    <w:rsid w:val="006E2515"/>
    <w:rsid w:val="006F76B9"/>
    <w:rsid w:val="00702407"/>
    <w:rsid w:val="00704E52"/>
    <w:rsid w:val="00715A22"/>
    <w:rsid w:val="007208D0"/>
    <w:rsid w:val="00725D7B"/>
    <w:rsid w:val="00740D68"/>
    <w:rsid w:val="00744D30"/>
    <w:rsid w:val="007663FF"/>
    <w:rsid w:val="00772905"/>
    <w:rsid w:val="007738C5"/>
    <w:rsid w:val="00791536"/>
    <w:rsid w:val="00794512"/>
    <w:rsid w:val="00797FD4"/>
    <w:rsid w:val="007A59F9"/>
    <w:rsid w:val="007C722D"/>
    <w:rsid w:val="007E0C88"/>
    <w:rsid w:val="007E1F49"/>
    <w:rsid w:val="007F2974"/>
    <w:rsid w:val="00805DD6"/>
    <w:rsid w:val="0081123F"/>
    <w:rsid w:val="008158ED"/>
    <w:rsid w:val="00841D30"/>
    <w:rsid w:val="00851176"/>
    <w:rsid w:val="00852A0F"/>
    <w:rsid w:val="00865CC7"/>
    <w:rsid w:val="008855DC"/>
    <w:rsid w:val="00896030"/>
    <w:rsid w:val="0089690D"/>
    <w:rsid w:val="008A6DC6"/>
    <w:rsid w:val="008B0DC0"/>
    <w:rsid w:val="008B38B4"/>
    <w:rsid w:val="008D45AB"/>
    <w:rsid w:val="008F6D81"/>
    <w:rsid w:val="00900CC1"/>
    <w:rsid w:val="009043EC"/>
    <w:rsid w:val="00933826"/>
    <w:rsid w:val="00937070"/>
    <w:rsid w:val="00964B11"/>
    <w:rsid w:val="00970C5A"/>
    <w:rsid w:val="00971510"/>
    <w:rsid w:val="00981CC5"/>
    <w:rsid w:val="00993A82"/>
    <w:rsid w:val="009960E8"/>
    <w:rsid w:val="009A0032"/>
    <w:rsid w:val="009A31C0"/>
    <w:rsid w:val="009A5EE2"/>
    <w:rsid w:val="009B1BF9"/>
    <w:rsid w:val="009B41B1"/>
    <w:rsid w:val="009C01D8"/>
    <w:rsid w:val="009C2371"/>
    <w:rsid w:val="009D138E"/>
    <w:rsid w:val="009F0995"/>
    <w:rsid w:val="00A02B42"/>
    <w:rsid w:val="00A1452B"/>
    <w:rsid w:val="00A16450"/>
    <w:rsid w:val="00A177FB"/>
    <w:rsid w:val="00A22957"/>
    <w:rsid w:val="00A22C43"/>
    <w:rsid w:val="00A2699B"/>
    <w:rsid w:val="00A3474A"/>
    <w:rsid w:val="00A3541C"/>
    <w:rsid w:val="00A3590A"/>
    <w:rsid w:val="00A438FD"/>
    <w:rsid w:val="00A45BA0"/>
    <w:rsid w:val="00A50815"/>
    <w:rsid w:val="00A51BAE"/>
    <w:rsid w:val="00A529D9"/>
    <w:rsid w:val="00A54372"/>
    <w:rsid w:val="00A5470D"/>
    <w:rsid w:val="00A85250"/>
    <w:rsid w:val="00A912F5"/>
    <w:rsid w:val="00A94081"/>
    <w:rsid w:val="00A94A08"/>
    <w:rsid w:val="00A97F41"/>
    <w:rsid w:val="00AB2FBE"/>
    <w:rsid w:val="00AB4A08"/>
    <w:rsid w:val="00AB5A83"/>
    <w:rsid w:val="00AC0A02"/>
    <w:rsid w:val="00AC565D"/>
    <w:rsid w:val="00AD4279"/>
    <w:rsid w:val="00AE0006"/>
    <w:rsid w:val="00B04923"/>
    <w:rsid w:val="00B04C8B"/>
    <w:rsid w:val="00B07D4C"/>
    <w:rsid w:val="00B14416"/>
    <w:rsid w:val="00B26126"/>
    <w:rsid w:val="00B32A61"/>
    <w:rsid w:val="00B33CC4"/>
    <w:rsid w:val="00B60C6C"/>
    <w:rsid w:val="00B63CA4"/>
    <w:rsid w:val="00B745B6"/>
    <w:rsid w:val="00B97628"/>
    <w:rsid w:val="00B97758"/>
    <w:rsid w:val="00BA2E49"/>
    <w:rsid w:val="00BA4BA1"/>
    <w:rsid w:val="00BB1C8F"/>
    <w:rsid w:val="00BB7E55"/>
    <w:rsid w:val="00BC059D"/>
    <w:rsid w:val="00BC7FBB"/>
    <w:rsid w:val="00BF16BE"/>
    <w:rsid w:val="00C069F5"/>
    <w:rsid w:val="00C1050E"/>
    <w:rsid w:val="00C143FB"/>
    <w:rsid w:val="00C2437A"/>
    <w:rsid w:val="00C32C40"/>
    <w:rsid w:val="00C44121"/>
    <w:rsid w:val="00C73FC4"/>
    <w:rsid w:val="00C80B22"/>
    <w:rsid w:val="00C84778"/>
    <w:rsid w:val="00C90A43"/>
    <w:rsid w:val="00CD1F8C"/>
    <w:rsid w:val="00CE28B5"/>
    <w:rsid w:val="00CE712B"/>
    <w:rsid w:val="00CF01DF"/>
    <w:rsid w:val="00D03121"/>
    <w:rsid w:val="00D0544E"/>
    <w:rsid w:val="00D145BF"/>
    <w:rsid w:val="00D24393"/>
    <w:rsid w:val="00D2680E"/>
    <w:rsid w:val="00D36BF6"/>
    <w:rsid w:val="00D40944"/>
    <w:rsid w:val="00D4466E"/>
    <w:rsid w:val="00D52CF1"/>
    <w:rsid w:val="00D72C51"/>
    <w:rsid w:val="00D824CB"/>
    <w:rsid w:val="00D840C3"/>
    <w:rsid w:val="00D853D2"/>
    <w:rsid w:val="00D9036D"/>
    <w:rsid w:val="00D95E14"/>
    <w:rsid w:val="00DA2E17"/>
    <w:rsid w:val="00DC19AF"/>
    <w:rsid w:val="00DD6D6A"/>
    <w:rsid w:val="00DE406E"/>
    <w:rsid w:val="00E0513B"/>
    <w:rsid w:val="00E101E7"/>
    <w:rsid w:val="00E10B2B"/>
    <w:rsid w:val="00E12E02"/>
    <w:rsid w:val="00E34594"/>
    <w:rsid w:val="00E56948"/>
    <w:rsid w:val="00E60AA5"/>
    <w:rsid w:val="00EA5F7F"/>
    <w:rsid w:val="00EA759E"/>
    <w:rsid w:val="00EE6DE5"/>
    <w:rsid w:val="00F05E7F"/>
    <w:rsid w:val="00F07AD5"/>
    <w:rsid w:val="00F11ABF"/>
    <w:rsid w:val="00F12ABB"/>
    <w:rsid w:val="00F3236F"/>
    <w:rsid w:val="00F36D42"/>
    <w:rsid w:val="00F4040A"/>
    <w:rsid w:val="00F407AD"/>
    <w:rsid w:val="00F41F67"/>
    <w:rsid w:val="00F54D85"/>
    <w:rsid w:val="00F57258"/>
    <w:rsid w:val="00F573E3"/>
    <w:rsid w:val="00F76890"/>
    <w:rsid w:val="00F82B7E"/>
    <w:rsid w:val="00F963FE"/>
    <w:rsid w:val="00FB369B"/>
    <w:rsid w:val="00FD1188"/>
    <w:rsid w:val="00FF3066"/>
    <w:rsid w:val="00FF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C7D23"/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qFormat/>
    <w:rsid w:val="00937070"/>
    <w:pPr>
      <w:keepNext/>
      <w:jc w:val="both"/>
      <w:outlineLvl w:val="0"/>
    </w:pPr>
    <w:rPr>
      <w:color w:val="FF0000"/>
      <w:sz w:val="24"/>
    </w:rPr>
  </w:style>
  <w:style w:type="paragraph" w:styleId="Nadpis2">
    <w:name w:val="heading 2"/>
    <w:basedOn w:val="Normln"/>
    <w:next w:val="Normln"/>
    <w:link w:val="Nadpis2Char"/>
    <w:qFormat/>
    <w:rsid w:val="00937070"/>
    <w:pPr>
      <w:keepNext/>
      <w:outlineLvl w:val="1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 w:val="24"/>
    </w:rPr>
  </w:style>
  <w:style w:type="paragraph" w:styleId="Odstavecseseznamem">
    <w:name w:val="List Paragraph"/>
    <w:basedOn w:val="Normln"/>
    <w:uiPriority w:val="34"/>
    <w:qFormat/>
    <w:rsid w:val="006C7D23"/>
    <w:pPr>
      <w:ind w:left="720"/>
      <w:contextualSpacing/>
    </w:p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5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</w:rPr>
  </w:style>
  <w:style w:type="character" w:customStyle="1" w:styleId="Nadpis1Char">
    <w:name w:val="Nadpis 1 Char"/>
    <w:link w:val="Nadpis1"/>
    <w:rsid w:val="00937070"/>
    <w:rPr>
      <w:rFonts w:ascii="Times New Roman" w:eastAsia="Times New Roman" w:hAnsi="Times New Roman"/>
      <w:color w:val="FF0000"/>
      <w:sz w:val="24"/>
    </w:rPr>
  </w:style>
  <w:style w:type="character" w:customStyle="1" w:styleId="Nadpis2Char">
    <w:name w:val="Nadpis 2 Char"/>
    <w:link w:val="Nadpis2"/>
    <w:rsid w:val="00937070"/>
    <w:rPr>
      <w:rFonts w:ascii="Times New Roman" w:eastAsia="Times New Roman" w:hAnsi="Times New Roman"/>
      <w:sz w:val="24"/>
    </w:rPr>
  </w:style>
  <w:style w:type="paragraph" w:styleId="Zkladntextodsazen">
    <w:name w:val="Body Text Indent"/>
    <w:basedOn w:val="Normln"/>
    <w:link w:val="ZkladntextodsazenChar"/>
    <w:semiHidden/>
    <w:rsid w:val="00937070"/>
    <w:pPr>
      <w:ind w:firstLine="709"/>
      <w:jc w:val="both"/>
    </w:pPr>
    <w:rPr>
      <w:color w:val="FF0000"/>
      <w:sz w:val="24"/>
    </w:rPr>
  </w:style>
  <w:style w:type="character" w:customStyle="1" w:styleId="ZkladntextodsazenChar">
    <w:name w:val="Základní text odsazený Char"/>
    <w:link w:val="Zkladntextodsazen"/>
    <w:semiHidden/>
    <w:rsid w:val="00937070"/>
    <w:rPr>
      <w:rFonts w:ascii="Times New Roman" w:eastAsia="Times New Roman" w:hAnsi="Times New Roman"/>
      <w:color w:val="FF0000"/>
      <w:sz w:val="24"/>
    </w:rPr>
  </w:style>
  <w:style w:type="paragraph" w:styleId="Zkladntext2">
    <w:name w:val="Body Text 2"/>
    <w:basedOn w:val="Normln"/>
    <w:link w:val="Zkladntext2Char"/>
    <w:semiHidden/>
    <w:rsid w:val="00937070"/>
    <w:pPr>
      <w:jc w:val="both"/>
    </w:pPr>
    <w:rPr>
      <w:sz w:val="24"/>
      <w:szCs w:val="22"/>
    </w:rPr>
  </w:style>
  <w:style w:type="character" w:customStyle="1" w:styleId="Zkladntext2Char">
    <w:name w:val="Základní text 2 Char"/>
    <w:link w:val="Zkladntext2"/>
    <w:semiHidden/>
    <w:rsid w:val="00937070"/>
    <w:rPr>
      <w:rFonts w:ascii="Times New Roman" w:eastAsia="Times New Roman" w:hAnsi="Times New Roman"/>
      <w:sz w:val="24"/>
      <w:szCs w:val="22"/>
    </w:rPr>
  </w:style>
  <w:style w:type="paragraph" w:styleId="Textpoznpodarou">
    <w:name w:val="footnote text"/>
    <w:basedOn w:val="Normln"/>
    <w:link w:val="TextpoznpodarouChar"/>
    <w:semiHidden/>
    <w:rsid w:val="00937070"/>
    <w:rPr>
      <w:sz w:val="20"/>
    </w:rPr>
  </w:style>
  <w:style w:type="character" w:customStyle="1" w:styleId="TextpoznpodarouChar">
    <w:name w:val="Text pozn. pod čarou Char"/>
    <w:link w:val="Textpoznpodarou"/>
    <w:semiHidden/>
    <w:rsid w:val="00937070"/>
    <w:rPr>
      <w:rFonts w:ascii="Times New Roman" w:eastAsia="Times New Roman" w:hAnsi="Times New Roman"/>
    </w:rPr>
  </w:style>
  <w:style w:type="character" w:styleId="Znakapoznpodarou">
    <w:name w:val="footnote reference"/>
    <w:semiHidden/>
    <w:rsid w:val="00937070"/>
    <w:rPr>
      <w:vertAlign w:val="superscript"/>
    </w:rPr>
  </w:style>
  <w:style w:type="paragraph" w:styleId="Zkladntext3">
    <w:name w:val="Body Text 3"/>
    <w:basedOn w:val="Normln"/>
    <w:link w:val="Zkladntext3Char"/>
    <w:semiHidden/>
    <w:rsid w:val="00937070"/>
    <w:pPr>
      <w:jc w:val="both"/>
    </w:pPr>
    <w:rPr>
      <w:rFonts w:ascii="Arial" w:hAnsi="Arial" w:cs="Arial"/>
      <w:b/>
      <w:bCs/>
      <w:sz w:val="24"/>
      <w:szCs w:val="22"/>
    </w:rPr>
  </w:style>
  <w:style w:type="character" w:customStyle="1" w:styleId="Zkladntext3Char">
    <w:name w:val="Základní text 3 Char"/>
    <w:link w:val="Zkladntext3"/>
    <w:semiHidden/>
    <w:rsid w:val="00937070"/>
    <w:rPr>
      <w:rFonts w:ascii="Arial" w:eastAsia="Times New Roman" w:hAnsi="Arial" w:cs="Arial"/>
      <w:b/>
      <w:bCs/>
      <w:sz w:val="24"/>
      <w:szCs w:val="22"/>
    </w:rPr>
  </w:style>
  <w:style w:type="paragraph" w:styleId="Zkladntext">
    <w:name w:val="Body Text"/>
    <w:basedOn w:val="Normln"/>
    <w:rsid w:val="007663FF"/>
    <w:pPr>
      <w:spacing w:after="120"/>
    </w:pPr>
  </w:style>
  <w:style w:type="paragraph" w:customStyle="1" w:styleId="Odstavecseseznamem1">
    <w:name w:val="Odstavec se seznamem1"/>
    <w:basedOn w:val="Normln"/>
    <w:rsid w:val="007663FF"/>
    <w:pPr>
      <w:ind w:left="720"/>
      <w:contextualSpacing/>
      <w:jc w:val="both"/>
    </w:pPr>
    <w:rPr>
      <w:rFonts w:ascii="Arial" w:hAnsi="Arial"/>
      <w:sz w:val="24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C01D8"/>
    <w:pPr>
      <w:spacing w:before="240" w:after="24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C01D8"/>
    <w:rPr>
      <w:rFonts w:asciiTheme="minorHAnsi" w:eastAsiaTheme="minorHAnsi" w:hAnsiTheme="minorHAnsi" w:cstheme="minorBidi"/>
      <w:lang w:eastAsia="en-US"/>
    </w:rPr>
  </w:style>
  <w:style w:type="character" w:styleId="Odkaznakoment">
    <w:name w:val="annotation reference"/>
    <w:uiPriority w:val="99"/>
    <w:semiHidden/>
    <w:unhideWhenUsed/>
    <w:rsid w:val="009C01D8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C7D23"/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qFormat/>
    <w:rsid w:val="00937070"/>
    <w:pPr>
      <w:keepNext/>
      <w:jc w:val="both"/>
      <w:outlineLvl w:val="0"/>
    </w:pPr>
    <w:rPr>
      <w:color w:val="FF0000"/>
      <w:sz w:val="24"/>
    </w:rPr>
  </w:style>
  <w:style w:type="paragraph" w:styleId="Nadpis2">
    <w:name w:val="heading 2"/>
    <w:basedOn w:val="Normln"/>
    <w:next w:val="Normln"/>
    <w:link w:val="Nadpis2Char"/>
    <w:qFormat/>
    <w:rsid w:val="00937070"/>
    <w:pPr>
      <w:keepNext/>
      <w:outlineLvl w:val="1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 w:val="24"/>
    </w:rPr>
  </w:style>
  <w:style w:type="paragraph" w:styleId="Odstavecseseznamem">
    <w:name w:val="List Paragraph"/>
    <w:basedOn w:val="Normln"/>
    <w:uiPriority w:val="34"/>
    <w:qFormat/>
    <w:rsid w:val="006C7D23"/>
    <w:pPr>
      <w:ind w:left="720"/>
      <w:contextualSpacing/>
    </w:p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5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</w:rPr>
  </w:style>
  <w:style w:type="character" w:customStyle="1" w:styleId="Nadpis1Char">
    <w:name w:val="Nadpis 1 Char"/>
    <w:link w:val="Nadpis1"/>
    <w:rsid w:val="00937070"/>
    <w:rPr>
      <w:rFonts w:ascii="Times New Roman" w:eastAsia="Times New Roman" w:hAnsi="Times New Roman"/>
      <w:color w:val="FF0000"/>
      <w:sz w:val="24"/>
    </w:rPr>
  </w:style>
  <w:style w:type="character" w:customStyle="1" w:styleId="Nadpis2Char">
    <w:name w:val="Nadpis 2 Char"/>
    <w:link w:val="Nadpis2"/>
    <w:rsid w:val="00937070"/>
    <w:rPr>
      <w:rFonts w:ascii="Times New Roman" w:eastAsia="Times New Roman" w:hAnsi="Times New Roman"/>
      <w:sz w:val="24"/>
    </w:rPr>
  </w:style>
  <w:style w:type="paragraph" w:styleId="Zkladntextodsazen">
    <w:name w:val="Body Text Indent"/>
    <w:basedOn w:val="Normln"/>
    <w:link w:val="ZkladntextodsazenChar"/>
    <w:semiHidden/>
    <w:rsid w:val="00937070"/>
    <w:pPr>
      <w:ind w:firstLine="709"/>
      <w:jc w:val="both"/>
    </w:pPr>
    <w:rPr>
      <w:color w:val="FF0000"/>
      <w:sz w:val="24"/>
    </w:rPr>
  </w:style>
  <w:style w:type="character" w:customStyle="1" w:styleId="ZkladntextodsazenChar">
    <w:name w:val="Základní text odsazený Char"/>
    <w:link w:val="Zkladntextodsazen"/>
    <w:semiHidden/>
    <w:rsid w:val="00937070"/>
    <w:rPr>
      <w:rFonts w:ascii="Times New Roman" w:eastAsia="Times New Roman" w:hAnsi="Times New Roman"/>
      <w:color w:val="FF0000"/>
      <w:sz w:val="24"/>
    </w:rPr>
  </w:style>
  <w:style w:type="paragraph" w:styleId="Zkladntext2">
    <w:name w:val="Body Text 2"/>
    <w:basedOn w:val="Normln"/>
    <w:link w:val="Zkladntext2Char"/>
    <w:semiHidden/>
    <w:rsid w:val="00937070"/>
    <w:pPr>
      <w:jc w:val="both"/>
    </w:pPr>
    <w:rPr>
      <w:sz w:val="24"/>
      <w:szCs w:val="22"/>
    </w:rPr>
  </w:style>
  <w:style w:type="character" w:customStyle="1" w:styleId="Zkladntext2Char">
    <w:name w:val="Základní text 2 Char"/>
    <w:link w:val="Zkladntext2"/>
    <w:semiHidden/>
    <w:rsid w:val="00937070"/>
    <w:rPr>
      <w:rFonts w:ascii="Times New Roman" w:eastAsia="Times New Roman" w:hAnsi="Times New Roman"/>
      <w:sz w:val="24"/>
      <w:szCs w:val="22"/>
    </w:rPr>
  </w:style>
  <w:style w:type="paragraph" w:styleId="Textpoznpodarou">
    <w:name w:val="footnote text"/>
    <w:basedOn w:val="Normln"/>
    <w:link w:val="TextpoznpodarouChar"/>
    <w:semiHidden/>
    <w:rsid w:val="00937070"/>
    <w:rPr>
      <w:sz w:val="20"/>
    </w:rPr>
  </w:style>
  <w:style w:type="character" w:customStyle="1" w:styleId="TextpoznpodarouChar">
    <w:name w:val="Text pozn. pod čarou Char"/>
    <w:link w:val="Textpoznpodarou"/>
    <w:semiHidden/>
    <w:rsid w:val="00937070"/>
    <w:rPr>
      <w:rFonts w:ascii="Times New Roman" w:eastAsia="Times New Roman" w:hAnsi="Times New Roman"/>
    </w:rPr>
  </w:style>
  <w:style w:type="character" w:styleId="Znakapoznpodarou">
    <w:name w:val="footnote reference"/>
    <w:semiHidden/>
    <w:rsid w:val="00937070"/>
    <w:rPr>
      <w:vertAlign w:val="superscript"/>
    </w:rPr>
  </w:style>
  <w:style w:type="paragraph" w:styleId="Zkladntext3">
    <w:name w:val="Body Text 3"/>
    <w:basedOn w:val="Normln"/>
    <w:link w:val="Zkladntext3Char"/>
    <w:semiHidden/>
    <w:rsid w:val="00937070"/>
    <w:pPr>
      <w:jc w:val="both"/>
    </w:pPr>
    <w:rPr>
      <w:rFonts w:ascii="Arial" w:hAnsi="Arial" w:cs="Arial"/>
      <w:b/>
      <w:bCs/>
      <w:sz w:val="24"/>
      <w:szCs w:val="22"/>
    </w:rPr>
  </w:style>
  <w:style w:type="character" w:customStyle="1" w:styleId="Zkladntext3Char">
    <w:name w:val="Základní text 3 Char"/>
    <w:link w:val="Zkladntext3"/>
    <w:semiHidden/>
    <w:rsid w:val="00937070"/>
    <w:rPr>
      <w:rFonts w:ascii="Arial" w:eastAsia="Times New Roman" w:hAnsi="Arial" w:cs="Arial"/>
      <w:b/>
      <w:bCs/>
      <w:sz w:val="24"/>
      <w:szCs w:val="22"/>
    </w:rPr>
  </w:style>
  <w:style w:type="paragraph" w:styleId="Zkladntext">
    <w:name w:val="Body Text"/>
    <w:basedOn w:val="Normln"/>
    <w:rsid w:val="007663FF"/>
    <w:pPr>
      <w:spacing w:after="120"/>
    </w:pPr>
  </w:style>
  <w:style w:type="paragraph" w:customStyle="1" w:styleId="Odstavecseseznamem1">
    <w:name w:val="Odstavec se seznamem1"/>
    <w:basedOn w:val="Normln"/>
    <w:rsid w:val="007663FF"/>
    <w:pPr>
      <w:ind w:left="720"/>
      <w:contextualSpacing/>
      <w:jc w:val="both"/>
    </w:pPr>
    <w:rPr>
      <w:rFonts w:ascii="Arial" w:hAnsi="Arial"/>
      <w:sz w:val="24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C01D8"/>
    <w:pPr>
      <w:spacing w:before="240" w:after="24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C01D8"/>
    <w:rPr>
      <w:rFonts w:asciiTheme="minorHAnsi" w:eastAsiaTheme="minorHAnsi" w:hAnsiTheme="minorHAnsi" w:cstheme="minorBidi"/>
      <w:lang w:eastAsia="en-US"/>
    </w:rPr>
  </w:style>
  <w:style w:type="character" w:styleId="Odkaznakoment">
    <w:name w:val="annotation reference"/>
    <w:uiPriority w:val="99"/>
    <w:semiHidden/>
    <w:unhideWhenUsed/>
    <w:rsid w:val="009C01D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3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38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50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F3746-7A14-4A81-9564-7485DFAA1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2255</Words>
  <Characters>13305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Praze 14</vt:lpstr>
    </vt:vector>
  </TitlesOfParts>
  <Company>Microsoft</Company>
  <LinksUpToDate>false</LinksUpToDate>
  <CharactersWithSpaces>15529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Praze 14</dc:title>
  <dc:creator>KZ</dc:creator>
  <cp:lastModifiedBy>Pavlovska Pavlína</cp:lastModifiedBy>
  <cp:revision>2</cp:revision>
  <cp:lastPrinted>2015-09-30T13:47:00Z</cp:lastPrinted>
  <dcterms:created xsi:type="dcterms:W3CDTF">2016-08-12T12:07:00Z</dcterms:created>
  <dcterms:modified xsi:type="dcterms:W3CDTF">2016-08-12T12:07:00Z</dcterms:modified>
</cp:coreProperties>
</file>