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bookmarkStart w:id="0" w:name="document_fragment_onrf6mjzhezv6mzrhewta"/>
    </w:p>
    <w:p w:rsidR="00AE380E" w:rsidRPr="002A1395" w:rsidRDefault="009C0E5B">
      <w:pPr>
        <w:spacing w:line="369" w:lineRule="auto"/>
        <w:ind w:left="375"/>
        <w:jc w:val="right"/>
        <w:rPr>
          <w:rFonts w:ascii="Times New Roman" w:hAnsi="Times New Roman" w:cs="Times New Roman"/>
          <w:color w:val="000000" w:themeColor="text1"/>
        </w:rPr>
      </w:pPr>
      <w:r w:rsidRPr="002A1395">
        <w:rPr>
          <w:rFonts w:ascii="Times New Roman" w:hAnsi="Times New Roman" w:cs="Times New Roman"/>
          <w:i/>
          <w:color w:val="000000" w:themeColor="text1"/>
        </w:rPr>
        <w:t>319/1993 Sb. znění účinné od 1. 1. 1994 do 30. 6. 1995</w:t>
      </w:r>
    </w:p>
    <w:p w:rsidR="00AE380E" w:rsidRPr="002A1395" w:rsidRDefault="009C0E5B">
      <w:pPr>
        <w:spacing w:after="6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319</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p w:rsidR="00AE380E" w:rsidRPr="002A1395" w:rsidRDefault="009C0E5B">
      <w:pPr>
        <w:spacing w:after="6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ZÁKON</w:t>
      </w:r>
    </w:p>
    <w:p w:rsidR="00AE380E" w:rsidRPr="002A1395" w:rsidRDefault="009C0E5B">
      <w:pPr>
        <w:spacing w:after="6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ze dne 9. prosince 1993</w:t>
      </w:r>
    </w:p>
    <w:p w:rsidR="00AE380E" w:rsidRPr="002A1395" w:rsidRDefault="009C0E5B">
      <w:pPr>
        <w:spacing w:after="6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o příspěvku na nájemné</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Parlament se usnesl na tomto zákoně České republiky:</w:t>
      </w:r>
    </w:p>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1" w:name="pf1"/>
      <w:r w:rsidRPr="002A1395">
        <w:rPr>
          <w:rFonts w:ascii="Times New Roman" w:hAnsi="Times New Roman" w:cs="Times New Roman"/>
          <w:b/>
          <w:color w:val="000000" w:themeColor="text1"/>
        </w:rPr>
        <w:t>§ 1</w:t>
      </w:r>
    </w:p>
    <w:bookmarkEnd w:id="1"/>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Tento zákon upravuje podmínky pro poskytování příspěvku na nájemné </w:t>
      </w:r>
      <w:r w:rsidRPr="002A1395">
        <w:rPr>
          <w:rFonts w:ascii="Times New Roman" w:hAnsi="Times New Roman" w:cs="Times New Roman"/>
          <w:color w:val="000000" w:themeColor="text1"/>
        </w:rPr>
        <w:t>a úhradu některých plnění poskytovaných s užíváním bytu (dále jen "příspěvek"). Příspěvek je státní dávkou, která je určena nájemcům bytů s nízkými příjmy.</w:t>
      </w:r>
    </w:p>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2" w:name="pf2"/>
      <w:r w:rsidRPr="002A1395">
        <w:rPr>
          <w:rFonts w:ascii="Times New Roman" w:hAnsi="Times New Roman" w:cs="Times New Roman"/>
          <w:b/>
          <w:color w:val="000000" w:themeColor="text1"/>
        </w:rPr>
        <w:t>§ 2</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Podmínky nároku na příspěvek</w:t>
      </w:r>
    </w:p>
    <w:tbl>
      <w:tblPr>
        <w:tblW w:w="0" w:type="auto"/>
        <w:tblCellSpacing w:w="0" w:type="dxa"/>
        <w:tblLook w:val="04A0" w:firstRow="1" w:lastRow="0" w:firstColumn="1" w:lastColumn="0" w:noHBand="0" w:noVBand="1"/>
      </w:tblPr>
      <w:tblGrid>
        <w:gridCol w:w="345"/>
        <w:gridCol w:w="8682"/>
      </w:tblGrid>
      <w:tr w:rsidR="002A1395" w:rsidRPr="002A1395">
        <w:trPr>
          <w:trHeight w:val="30"/>
          <w:tblCellSpacing w:w="0" w:type="dxa"/>
        </w:trPr>
        <w:tc>
          <w:tcPr>
            <w:tcW w:w="380" w:type="dxa"/>
            <w:tcMar>
              <w:top w:w="30" w:type="dxa"/>
              <w:left w:w="15" w:type="dxa"/>
              <w:bottom w:w="15" w:type="dxa"/>
              <w:right w:w="15" w:type="dxa"/>
            </w:tcMar>
          </w:tcPr>
          <w:bookmarkEnd w:id="2"/>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Nárok na příspěvek má nájemce bytu (obytné </w:t>
            </w:r>
            <w:r w:rsidRPr="002A1395">
              <w:rPr>
                <w:rFonts w:ascii="Times New Roman" w:hAnsi="Times New Roman" w:cs="Times New Roman"/>
                <w:color w:val="000000" w:themeColor="text1"/>
              </w:rPr>
              <w:t>místnosti), který užívá na základě nájemní smlouvy pouze jeden byt (obytnou místnost), je plátcem nájemného</w:t>
            </w:r>
          </w:p>
          <w:tbl>
            <w:tblPr>
              <w:tblW w:w="0" w:type="auto"/>
              <w:tblCellSpacing w:w="0" w:type="dxa"/>
              <w:tblLook w:val="04A0" w:firstRow="1" w:lastRow="0" w:firstColumn="1" w:lastColumn="0" w:noHBand="0" w:noVBand="1"/>
            </w:tblPr>
            <w:tblGrid>
              <w:gridCol w:w="318"/>
              <w:gridCol w:w="8289"/>
            </w:tblGrid>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a)</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podle předpisu o nájemném z bytu a úhradě za plnění poskytovaná s užíváním bytu, 1</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b)</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podle předpisů o družstevních bytech, 2 nebo</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c)</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v zařízen</w:t>
                  </w:r>
                  <w:r w:rsidRPr="002A1395">
                    <w:rPr>
                      <w:rFonts w:ascii="Times New Roman" w:hAnsi="Times New Roman" w:cs="Times New Roman"/>
                      <w:color w:val="000000" w:themeColor="text1"/>
                    </w:rPr>
                    <w:t>í určeném k trvalému bydlení 3</w:t>
                  </w:r>
                </w:p>
              </w:tc>
            </w:tr>
          </w:tbl>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a nevlastní žádný byt (dále jen "nájemce").</w:t>
            </w:r>
          </w:p>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Podmínka užívání bytu na základě nájemní smlouvy se považuje za splněnou i tehdy, jestliže došlo k zániku nájemního poměru rozhodnutím soudu, který přivolil k výpovědi nájmu bytu z</w:t>
            </w:r>
            <w:r w:rsidRPr="002A1395">
              <w:rPr>
                <w:rFonts w:ascii="Times New Roman" w:hAnsi="Times New Roman" w:cs="Times New Roman"/>
                <w:color w:val="000000" w:themeColor="text1"/>
              </w:rPr>
              <w:t> důvodů, které nájemce sám nezavinil, a na základě rozhodnutí soudu v bytě nadále bydlí.</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(2)</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Příspěvek náleží pouze nájemci, který je fyzickou osobou s trvalým pobytem na území České republiky.</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(3)</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Nárok na příspěvek má nájemce, jestliže</w:t>
            </w:r>
          </w:p>
          <w:tbl>
            <w:tblPr>
              <w:tblW w:w="0" w:type="auto"/>
              <w:tblCellSpacing w:w="0" w:type="dxa"/>
              <w:tblLook w:val="04A0" w:firstRow="1" w:lastRow="0" w:firstColumn="1" w:lastColumn="0" w:noHBand="0" w:noVBand="1"/>
            </w:tblPr>
            <w:tblGrid>
              <w:gridCol w:w="318"/>
              <w:gridCol w:w="8289"/>
            </w:tblGrid>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a)</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jeho příjem spolu s příjmy osob s ním pro účely tohoto zákona společně posuzovaných podle § 4 nepřesáhne 1,3 násobek součtu částek považovaných za potřebné podle </w:t>
                  </w:r>
                  <w:r w:rsidRPr="002A1395">
                    <w:rPr>
                      <w:rFonts w:ascii="Times New Roman" w:hAnsi="Times New Roman" w:cs="Times New Roman"/>
                      <w:color w:val="000000" w:themeColor="text1"/>
                    </w:rPr>
                    <w:lastRenderedPageBreak/>
                    <w:t>zvláštního zákona k zajištění výživy a ostatních základních osobních potřeb 4 a částky považov</w:t>
                  </w:r>
                  <w:r w:rsidRPr="002A1395">
                    <w:rPr>
                      <w:rFonts w:ascii="Times New Roman" w:hAnsi="Times New Roman" w:cs="Times New Roman"/>
                      <w:color w:val="000000" w:themeColor="text1"/>
                    </w:rPr>
                    <w:t>ané podle zvláštního zákona za potřebnou k zajištění nezbytných nákladů na domácnost 5 odpovídající počtu těchto osob; u nájemců a pro účely tohoto zákona společně posuzovaných osob, jimž byly přiznány mimořádné výhody III. stupně (průkaz ZTP/P), se částka</w:t>
                  </w:r>
                  <w:r w:rsidRPr="002A1395">
                    <w:rPr>
                      <w:rFonts w:ascii="Times New Roman" w:hAnsi="Times New Roman" w:cs="Times New Roman"/>
                      <w:color w:val="000000" w:themeColor="text1"/>
                    </w:rPr>
                    <w:t xml:space="preserve"> považovaná podle zvláštního zákona za potřebnou k zajištění nezbytných nákladů na domácnost 5 zvyšuje způsobem uvedeným ve zvláštním zákoně, 6 (dále jen "součet částek životního minima"). Při stanovení součtu částek životního minima nájemce a osob s ním s</w:t>
                  </w:r>
                  <w:r w:rsidRPr="002A1395">
                    <w:rPr>
                      <w:rFonts w:ascii="Times New Roman" w:hAnsi="Times New Roman" w:cs="Times New Roman"/>
                      <w:color w:val="000000" w:themeColor="text1"/>
                    </w:rPr>
                    <w:t>polečně posuzovaných platí částky životního minima platné k prvnímu dni kalendářního pololetí, na které se příspěvek uplatňuje, a věk dítěte, kterého dítě dosáhne v prvním měsíci tohoto pololetí,</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lastRenderedPageBreak/>
                    <w:t>b)</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prokáže, že řádně uhradil nájemné a úhradu plnění </w:t>
                  </w:r>
                  <w:r w:rsidRPr="002A1395">
                    <w:rPr>
                      <w:rFonts w:ascii="Times New Roman" w:hAnsi="Times New Roman" w:cs="Times New Roman"/>
                      <w:color w:val="000000" w:themeColor="text1"/>
                    </w:rPr>
                    <w:t>poskytovaných s užíváním bytu za kalendářní pololetí předcházející kalendářnímu pololetí, na které se nárok na příspěvek uplatňuje; řádnou úhradou se rozumí též úhrada stanovených záloh na plnění poskytovaná s užíváním bytu, a</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c)</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podal v termínu stanovené</w:t>
                  </w:r>
                  <w:r w:rsidRPr="002A1395">
                    <w:rPr>
                      <w:rFonts w:ascii="Times New Roman" w:hAnsi="Times New Roman" w:cs="Times New Roman"/>
                      <w:color w:val="000000" w:themeColor="text1"/>
                    </w:rPr>
                    <w:t>m v § 10 odst. 2 žádost o přiznání příspěvku.</w:t>
                  </w:r>
                </w:p>
              </w:tc>
            </w:tr>
          </w:tbl>
          <w:p w:rsidR="00AE380E" w:rsidRPr="002A1395" w:rsidRDefault="00AE380E">
            <w:pPr>
              <w:rPr>
                <w:rFonts w:ascii="Times New Roman" w:hAnsi="Times New Roman" w:cs="Times New Roman"/>
                <w:color w:val="000000" w:themeColor="text1"/>
              </w:rPr>
            </w:pP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lastRenderedPageBreak/>
              <w:t>(4)</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V případě společného nájmu bytu náleží příspěvek jen jednomu ze společných nájemců.</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(5)</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Podmínky nároku uvedené v odstavcích 1 a 2 musí být splněny k prvnímu dni kalendářního pololetí, na které se </w:t>
            </w:r>
            <w:r w:rsidRPr="002A1395">
              <w:rPr>
                <w:rFonts w:ascii="Times New Roman" w:hAnsi="Times New Roman" w:cs="Times New Roman"/>
                <w:color w:val="000000" w:themeColor="text1"/>
              </w:rPr>
              <w:t>příspěvek poskytuje.</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(6)</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Změna skutečností uvedených v odstavci 3 písm. a) v průběhu kalendářního pololetí, na které příspěvek náleží, nemá vliv na nárok na příspěvek ani jeho výši.</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(7)</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Nárok na příspěvek zaniká od prvého dne kalendářního měsíce následuj</w:t>
            </w:r>
            <w:r w:rsidRPr="002A1395">
              <w:rPr>
                <w:rFonts w:ascii="Times New Roman" w:hAnsi="Times New Roman" w:cs="Times New Roman"/>
                <w:color w:val="000000" w:themeColor="text1"/>
              </w:rPr>
              <w:t>ícího po měsíci, ve kterém došlo k zániku nájemního poměru, 7 k uzavření další nájemní smlouvy, k zániku trvalého pobytu nájemce na území České republiky, anebo ke vzniku vlastnického práva k bytu. Ustanovení předchozí věty neplatí, jestliže došlo k zániku</w:t>
            </w:r>
            <w:r w:rsidRPr="002A1395">
              <w:rPr>
                <w:rFonts w:ascii="Times New Roman" w:hAnsi="Times New Roman" w:cs="Times New Roman"/>
                <w:color w:val="000000" w:themeColor="text1"/>
              </w:rPr>
              <w:t xml:space="preserve"> nájemního poměru 7 rozhodnutím soudu, který přivolil k výpovědi nájmu bytu z důvodů, které nájemce sám nezavinil, a na základě rozhodnutí soudu v bytě nadále bydlí.</w:t>
            </w:r>
          </w:p>
        </w:tc>
      </w:tr>
    </w:tbl>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3" w:name="pf3"/>
      <w:r w:rsidRPr="002A1395">
        <w:rPr>
          <w:rFonts w:ascii="Times New Roman" w:hAnsi="Times New Roman" w:cs="Times New Roman"/>
          <w:b/>
          <w:color w:val="000000" w:themeColor="text1"/>
        </w:rPr>
        <w:t>§ 3</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Příjem pro nárok na příspěvek</w:t>
      </w:r>
    </w:p>
    <w:tbl>
      <w:tblPr>
        <w:tblW w:w="0" w:type="auto"/>
        <w:tblCellSpacing w:w="0" w:type="dxa"/>
        <w:tblLook w:val="04A0" w:firstRow="1" w:lastRow="0" w:firstColumn="1" w:lastColumn="0" w:noHBand="0" w:noVBand="1"/>
      </w:tblPr>
      <w:tblGrid>
        <w:gridCol w:w="346"/>
        <w:gridCol w:w="8681"/>
      </w:tblGrid>
      <w:tr w:rsidR="002A1395" w:rsidRPr="002A1395">
        <w:trPr>
          <w:trHeight w:val="30"/>
          <w:tblCellSpacing w:w="0" w:type="dxa"/>
        </w:trPr>
        <w:tc>
          <w:tcPr>
            <w:tcW w:w="380" w:type="dxa"/>
            <w:tcMar>
              <w:top w:w="30" w:type="dxa"/>
              <w:left w:w="15" w:type="dxa"/>
              <w:bottom w:w="15" w:type="dxa"/>
              <w:right w:w="15" w:type="dxa"/>
            </w:tcMar>
          </w:tcPr>
          <w:bookmarkEnd w:id="3"/>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Pro nárok na příspěvek se příjmem nájemce a osob s ním pro tyto účely společně posuzovaných rozumí příjem stanovený ve zvláštním zákoně, 8 s výjimkou příspěvku.</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lastRenderedPageBreak/>
              <w:t>(2)</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Příjem se zjišťuje, pokud se dále nestanoví jinak, za kalendářní pololetí předcházející ka</w:t>
            </w:r>
            <w:r w:rsidRPr="002A1395">
              <w:rPr>
                <w:rFonts w:ascii="Times New Roman" w:hAnsi="Times New Roman" w:cs="Times New Roman"/>
                <w:color w:val="000000" w:themeColor="text1"/>
              </w:rPr>
              <w:t>lendářnímu pololetí, na které se nárok na příspěvek uplatňuje, a stanovuje se jako měsíční průměr.</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(3)</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U osob samostatně výdělečně činných se příjmem ze samostatné výdělečné činnosti za kalendářní měsíc rozumí dvojnásobek měsíčního vyměřovacího základu pro stanovení záloh na pojistné na důchodové zabezpečení a příspěvek na státní politiku zaměstnanosti. 9</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(4)</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U poživatele důchodu se výše důchodu zjišťuje za kalendářní měsíc předcházející prvnímu kalendářnímu měsíci kalendářního pololetí, na které se nárok na příspěvek uplatňuje.</w:t>
            </w:r>
          </w:p>
        </w:tc>
      </w:tr>
    </w:tbl>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4" w:name="pf4"/>
      <w:r w:rsidRPr="002A1395">
        <w:rPr>
          <w:rFonts w:ascii="Times New Roman" w:hAnsi="Times New Roman" w:cs="Times New Roman"/>
          <w:b/>
          <w:color w:val="000000" w:themeColor="text1"/>
        </w:rPr>
        <w:t>§ 4</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Společně posuzované osoby</w:t>
      </w:r>
    </w:p>
    <w:bookmarkEnd w:id="4"/>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Společně posuzovanými osobami jsou pro </w:t>
      </w:r>
      <w:r w:rsidRPr="002A1395">
        <w:rPr>
          <w:rFonts w:ascii="Times New Roman" w:hAnsi="Times New Roman" w:cs="Times New Roman"/>
          <w:color w:val="000000" w:themeColor="text1"/>
        </w:rPr>
        <w:t>účely tohoto zákona ostatní společní nájemci a všechny fyzické osoby, které užívají byt s nájemcem. Za osoby užívající byt se považují osoby, které mají v bytě k prvnímu dni kalendářního pololetí, na které se příspěvek poskytuje, trvalý pobyt.</w:t>
      </w:r>
    </w:p>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5" w:name="pf5"/>
      <w:r w:rsidRPr="002A1395">
        <w:rPr>
          <w:rFonts w:ascii="Times New Roman" w:hAnsi="Times New Roman" w:cs="Times New Roman"/>
          <w:b/>
          <w:color w:val="000000" w:themeColor="text1"/>
        </w:rPr>
        <w:t>§ 5</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Nájemné</w:t>
      </w:r>
      <w:r w:rsidRPr="002A1395">
        <w:rPr>
          <w:rFonts w:ascii="Times New Roman" w:hAnsi="Times New Roman" w:cs="Times New Roman"/>
          <w:b/>
          <w:color w:val="000000" w:themeColor="text1"/>
        </w:rPr>
        <w:t xml:space="preserve"> a úhrada některých plnění</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poskytovaných s užíváním bytu</w:t>
      </w:r>
    </w:p>
    <w:bookmarkEnd w:id="5"/>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Nájemným s úhradou některých plnění poskytovaných s užíváním bytu se pro účely tohoto zákona rozumí úhrada za</w:t>
      </w:r>
    </w:p>
    <w:tbl>
      <w:tblPr>
        <w:tblW w:w="0" w:type="auto"/>
        <w:tblCellSpacing w:w="0" w:type="dxa"/>
        <w:tblLook w:val="04A0" w:firstRow="1" w:lastRow="0" w:firstColumn="1" w:lastColumn="0" w:noHBand="0" w:noVBand="1"/>
      </w:tblPr>
      <w:tblGrid>
        <w:gridCol w:w="321"/>
        <w:gridCol w:w="8706"/>
      </w:tblGrid>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a)</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základní nájemné,</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b)</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nájemné za vybavení bytu,</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c)</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úklid společných prostor </w:t>
            </w:r>
            <w:r w:rsidRPr="002A1395">
              <w:rPr>
                <w:rFonts w:ascii="Times New Roman" w:hAnsi="Times New Roman" w:cs="Times New Roman"/>
                <w:color w:val="000000" w:themeColor="text1"/>
              </w:rPr>
              <w:t>v domě,</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d)</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osvětlení společných prostor v domě,</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e)</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užívání výtahu,</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f)</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kontrolu a čištění komínů,</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g)</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odvoz popela a smetí,</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h)</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odvoz splašků a čištění žump,</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i)</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vybavení bytu společnou televizní a rozhlasovou anténou</w:t>
            </w:r>
          </w:p>
        </w:tc>
      </w:tr>
    </w:tbl>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(dále jen "hrubé </w:t>
      </w:r>
      <w:r w:rsidRPr="002A1395">
        <w:rPr>
          <w:rFonts w:ascii="Times New Roman" w:hAnsi="Times New Roman" w:cs="Times New Roman"/>
          <w:color w:val="000000" w:themeColor="text1"/>
        </w:rPr>
        <w:t>nájemné").</w:t>
      </w:r>
    </w:p>
    <w:p w:rsidR="00AE380E" w:rsidRPr="002A1395" w:rsidRDefault="009C0E5B">
      <w:pPr>
        <w:spacing w:after="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lastRenderedPageBreak/>
        <w:t>Výše příspěvku</w:t>
      </w:r>
    </w:p>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6" w:name="pf6"/>
      <w:r w:rsidRPr="002A1395">
        <w:rPr>
          <w:rFonts w:ascii="Times New Roman" w:hAnsi="Times New Roman" w:cs="Times New Roman"/>
          <w:b/>
          <w:color w:val="000000" w:themeColor="text1"/>
        </w:rPr>
        <w:t>§ 6</w:t>
      </w:r>
    </w:p>
    <w:tbl>
      <w:tblPr>
        <w:tblW w:w="0" w:type="auto"/>
        <w:tblCellSpacing w:w="0" w:type="dxa"/>
        <w:tblLook w:val="04A0" w:firstRow="1" w:lastRow="0" w:firstColumn="1" w:lastColumn="0" w:noHBand="0" w:noVBand="1"/>
      </w:tblPr>
      <w:tblGrid>
        <w:gridCol w:w="346"/>
        <w:gridCol w:w="8681"/>
      </w:tblGrid>
      <w:tr w:rsidR="002A1395" w:rsidRPr="002A1395">
        <w:trPr>
          <w:trHeight w:val="30"/>
          <w:tblCellSpacing w:w="0" w:type="dxa"/>
        </w:trPr>
        <w:tc>
          <w:tcPr>
            <w:tcW w:w="380" w:type="dxa"/>
            <w:tcMar>
              <w:top w:w="30" w:type="dxa"/>
              <w:left w:w="15" w:type="dxa"/>
              <w:bottom w:w="15" w:type="dxa"/>
              <w:right w:w="15" w:type="dxa"/>
            </w:tcMar>
          </w:tcPr>
          <w:bookmarkEnd w:id="6"/>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Výše příspěvku nájemce uvedeného v § 2 odst. 1 písm. a), jehož příjem spolu s příjmy osob s ním společně posuzovaných nepřesahuje součet částek životního minima, se stanoví jako rozdíl vzniklý zvýšením mezi hrubým </w:t>
            </w:r>
            <w:r w:rsidRPr="002A1395">
              <w:rPr>
                <w:rFonts w:ascii="Times New Roman" w:hAnsi="Times New Roman" w:cs="Times New Roman"/>
                <w:color w:val="000000" w:themeColor="text1"/>
              </w:rPr>
              <w:t>nájemným sjednaným na kalendářní měsíc k prvnímu dni kalendářního pololetí, na které se nárok na příspěvek uplatňuje (dále jen "sjednané hrubé nájemné"), a hrubým nájemným sjednaným na kalendářní měsíc k 1. prosinci 1993 (dále jen "hrubé nájemné roku 1993)</w:t>
            </w:r>
            <w:r w:rsidRPr="002A1395">
              <w:rPr>
                <w:rFonts w:ascii="Times New Roman" w:hAnsi="Times New Roman" w:cs="Times New Roman"/>
                <w:color w:val="000000" w:themeColor="text1"/>
              </w:rPr>
              <w:t>. Hrubým nájemným roku 1993 je hrubé nájemné nájemce uplatňujícího nárok na příspěvek.</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(2)</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Maximální výše sjednaného hrubého nájemného, ke kterému se přihlíží, činí měsíčně</w:t>
            </w:r>
          </w:p>
          <w:tbl>
            <w:tblPr>
              <w:tblW w:w="0" w:type="auto"/>
              <w:tblCellSpacing w:w="0" w:type="dxa"/>
              <w:tblLook w:val="04A0" w:firstRow="1" w:lastRow="0" w:firstColumn="1" w:lastColumn="0" w:noHBand="0" w:noVBand="1"/>
            </w:tblPr>
            <w:tblGrid>
              <w:gridCol w:w="321"/>
              <w:gridCol w:w="8285"/>
            </w:tblGrid>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a)</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610 Kč, užívá-li byt jedna osoba,</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b)</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730 Kč, užívají-li byt dvě osoby,</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c)</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900 Kč, užívají-li byt tři nebo více osob.</w:t>
                  </w:r>
                </w:p>
              </w:tc>
            </w:tr>
          </w:tbl>
          <w:p w:rsidR="00AE380E" w:rsidRPr="002A1395" w:rsidRDefault="00AE380E">
            <w:pPr>
              <w:rPr>
                <w:rFonts w:ascii="Times New Roman" w:hAnsi="Times New Roman" w:cs="Times New Roman"/>
                <w:color w:val="000000" w:themeColor="text1"/>
              </w:rPr>
            </w:pP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(3)</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Výše příspěvku stanovená podle předchozích odstavců může činit měsíčně nejvýše</w:t>
            </w:r>
          </w:p>
          <w:tbl>
            <w:tblPr>
              <w:tblW w:w="0" w:type="auto"/>
              <w:tblCellSpacing w:w="0" w:type="dxa"/>
              <w:tblLook w:val="04A0" w:firstRow="1" w:lastRow="0" w:firstColumn="1" w:lastColumn="0" w:noHBand="0" w:noVBand="1"/>
            </w:tblPr>
            <w:tblGrid>
              <w:gridCol w:w="321"/>
              <w:gridCol w:w="8285"/>
            </w:tblGrid>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a)</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170 Kč, užívá-li byt jedna osoba,</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b)</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210 Kč, užívají-li byt dvě osoby,</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c)</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250 Kč, užívají-li byt tři nebo více osob.</w:t>
                  </w:r>
                </w:p>
              </w:tc>
            </w:tr>
          </w:tbl>
          <w:p w:rsidR="00AE380E" w:rsidRPr="002A1395" w:rsidRDefault="00AE380E">
            <w:pPr>
              <w:rPr>
                <w:rFonts w:ascii="Times New Roman" w:hAnsi="Times New Roman" w:cs="Times New Roman"/>
                <w:color w:val="000000" w:themeColor="text1"/>
              </w:rPr>
            </w:pP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(4)</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Činí-li rozdíl mezi sjednaným hrubým nájemným a hrubým nájemným roku 1993 méně než 50 Kč, příspěvek nenáleží.</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(5)</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Nelze-li zjistit hrubé nájemné roku 1993 nebo nebylo-li sjednáno, činí výše příspěvku v závislosti na počtu osob užívajících byt 0,7 náso</w:t>
            </w:r>
            <w:r w:rsidRPr="002A1395">
              <w:rPr>
                <w:rFonts w:ascii="Times New Roman" w:hAnsi="Times New Roman" w:cs="Times New Roman"/>
                <w:color w:val="000000" w:themeColor="text1"/>
              </w:rPr>
              <w:t>bek částky uvedené v odstavci 3.</w:t>
            </w:r>
          </w:p>
        </w:tc>
      </w:tr>
    </w:tbl>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7" w:name="pf7"/>
      <w:r w:rsidRPr="002A1395">
        <w:rPr>
          <w:rFonts w:ascii="Times New Roman" w:hAnsi="Times New Roman" w:cs="Times New Roman"/>
          <w:b/>
          <w:color w:val="000000" w:themeColor="text1"/>
        </w:rPr>
        <w:t>§ 7</w:t>
      </w:r>
    </w:p>
    <w:bookmarkEnd w:id="7"/>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Nájemci uvedenému v § 2 odst. 1 písm. a), jehož příjem spolu s příjmem osob s ním společně posuzovaných je vyšší než součet částek životního minima, náleží příspěvek ve výši uvedené v příloze č. 1, která je součástí t</w:t>
      </w:r>
      <w:r w:rsidRPr="002A1395">
        <w:rPr>
          <w:rFonts w:ascii="Times New Roman" w:hAnsi="Times New Roman" w:cs="Times New Roman"/>
          <w:color w:val="000000" w:themeColor="text1"/>
        </w:rPr>
        <w:t>ohoto zákona. Ustanovení § 6 odst. 2 platí obdobně.</w:t>
      </w:r>
    </w:p>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8" w:name="pf8"/>
      <w:r w:rsidRPr="002A1395">
        <w:rPr>
          <w:rFonts w:ascii="Times New Roman" w:hAnsi="Times New Roman" w:cs="Times New Roman"/>
          <w:b/>
          <w:color w:val="000000" w:themeColor="text1"/>
        </w:rPr>
        <w:t>§ 8</w:t>
      </w:r>
    </w:p>
    <w:tbl>
      <w:tblPr>
        <w:tblW w:w="0" w:type="auto"/>
        <w:tblCellSpacing w:w="0" w:type="dxa"/>
        <w:tblLook w:val="04A0" w:firstRow="1" w:lastRow="0" w:firstColumn="1" w:lastColumn="0" w:noHBand="0" w:noVBand="1"/>
      </w:tblPr>
      <w:tblGrid>
        <w:gridCol w:w="346"/>
        <w:gridCol w:w="8681"/>
      </w:tblGrid>
      <w:tr w:rsidR="002A1395" w:rsidRPr="002A1395">
        <w:trPr>
          <w:trHeight w:val="30"/>
          <w:tblCellSpacing w:w="0" w:type="dxa"/>
        </w:trPr>
        <w:tc>
          <w:tcPr>
            <w:tcW w:w="380" w:type="dxa"/>
            <w:tcMar>
              <w:top w:w="30" w:type="dxa"/>
              <w:left w:w="15" w:type="dxa"/>
              <w:bottom w:w="15" w:type="dxa"/>
              <w:right w:w="15" w:type="dxa"/>
            </w:tcMar>
          </w:tcPr>
          <w:bookmarkEnd w:id="8"/>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lastRenderedPageBreak/>
              <w:t>(1)</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Výše příspěvku nájemce uvedeného v § 2 odst. 1 písm. b) nebo c), jehož příjem spolu s příjmem osob s ním společně posuzovaných nepřesahuje součet částek životního minima, činí měsíčně</w:t>
            </w:r>
          </w:p>
          <w:tbl>
            <w:tblPr>
              <w:tblW w:w="0" w:type="auto"/>
              <w:tblCellSpacing w:w="0" w:type="dxa"/>
              <w:tblLook w:val="04A0" w:firstRow="1" w:lastRow="0" w:firstColumn="1" w:lastColumn="0" w:noHBand="0" w:noVBand="1"/>
            </w:tblPr>
            <w:tblGrid>
              <w:gridCol w:w="321"/>
              <w:gridCol w:w="8285"/>
            </w:tblGrid>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a)</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85 Kč, užívá-li byt jedna osoba,</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b)</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105 Kč, užívají-li byt dvě osoby,</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c)</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125 Kč, užívají-li byt tři nebo více osob.</w:t>
                  </w:r>
                </w:p>
              </w:tc>
            </w:tr>
          </w:tbl>
          <w:p w:rsidR="00AE380E" w:rsidRPr="002A1395" w:rsidRDefault="00AE380E">
            <w:pPr>
              <w:rPr>
                <w:rFonts w:ascii="Times New Roman" w:hAnsi="Times New Roman" w:cs="Times New Roman"/>
                <w:color w:val="000000" w:themeColor="text1"/>
              </w:rPr>
            </w:pP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(2)</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Nájemci uvedenému v § 2 odst. 1 písm. b) nebo c), jehož příjem spolu s příjmem osob s ním společně posuzovaných je vyšší než </w:t>
            </w:r>
            <w:r w:rsidRPr="002A1395">
              <w:rPr>
                <w:rFonts w:ascii="Times New Roman" w:hAnsi="Times New Roman" w:cs="Times New Roman"/>
                <w:color w:val="000000" w:themeColor="text1"/>
              </w:rPr>
              <w:t>součet částek životního minima, náleží příspěvek ve výši uvedené v příloze č. 2, která je součástí tohoto zákona.</w:t>
            </w:r>
          </w:p>
        </w:tc>
      </w:tr>
    </w:tbl>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9" w:name="pf9"/>
      <w:r w:rsidRPr="002A1395">
        <w:rPr>
          <w:rFonts w:ascii="Times New Roman" w:hAnsi="Times New Roman" w:cs="Times New Roman"/>
          <w:b/>
          <w:color w:val="000000" w:themeColor="text1"/>
        </w:rPr>
        <w:t>§ 9</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Doba poskytování příspěvku</w:t>
      </w:r>
    </w:p>
    <w:tbl>
      <w:tblPr>
        <w:tblW w:w="0" w:type="auto"/>
        <w:tblCellSpacing w:w="0" w:type="dxa"/>
        <w:tblLook w:val="04A0" w:firstRow="1" w:lastRow="0" w:firstColumn="1" w:lastColumn="0" w:noHBand="0" w:noVBand="1"/>
      </w:tblPr>
      <w:tblGrid>
        <w:gridCol w:w="347"/>
        <w:gridCol w:w="8680"/>
      </w:tblGrid>
      <w:tr w:rsidR="002A1395" w:rsidRPr="002A1395">
        <w:trPr>
          <w:trHeight w:val="30"/>
          <w:tblCellSpacing w:w="0" w:type="dxa"/>
        </w:trPr>
        <w:tc>
          <w:tcPr>
            <w:tcW w:w="380" w:type="dxa"/>
            <w:tcMar>
              <w:top w:w="30" w:type="dxa"/>
              <w:left w:w="15" w:type="dxa"/>
              <w:bottom w:w="15" w:type="dxa"/>
              <w:right w:w="15" w:type="dxa"/>
            </w:tcMar>
          </w:tcPr>
          <w:bookmarkEnd w:id="9"/>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Příspěvek se témuž nájemci (společným nájemcům) při splnění podmínek nároku vyplácí nejdéle po dobu </w:t>
            </w:r>
            <w:r w:rsidRPr="002A1395">
              <w:rPr>
                <w:rFonts w:ascii="Times New Roman" w:hAnsi="Times New Roman" w:cs="Times New Roman"/>
                <w:color w:val="000000" w:themeColor="text1"/>
              </w:rPr>
              <w:t>dvou let.</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(2)</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Doba poskytování příspěvku není omezena podle odstavce 1, jestliže nájemce a všechny s ním společně posuzované osoby jsou starší 72 let nebo invalidní. 10</w:t>
            </w:r>
          </w:p>
        </w:tc>
      </w:tr>
    </w:tbl>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10" w:name="pf10"/>
      <w:r w:rsidRPr="002A1395">
        <w:rPr>
          <w:rFonts w:ascii="Times New Roman" w:hAnsi="Times New Roman" w:cs="Times New Roman"/>
          <w:b/>
          <w:color w:val="000000" w:themeColor="text1"/>
        </w:rPr>
        <w:t>§ 10</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Uplatnění nároku na příspěvek</w:t>
      </w:r>
    </w:p>
    <w:tbl>
      <w:tblPr>
        <w:tblW w:w="0" w:type="auto"/>
        <w:tblCellSpacing w:w="0" w:type="dxa"/>
        <w:tblLook w:val="04A0" w:firstRow="1" w:lastRow="0" w:firstColumn="1" w:lastColumn="0" w:noHBand="0" w:noVBand="1"/>
      </w:tblPr>
      <w:tblGrid>
        <w:gridCol w:w="347"/>
        <w:gridCol w:w="8680"/>
      </w:tblGrid>
      <w:tr w:rsidR="002A1395" w:rsidRPr="002A1395">
        <w:trPr>
          <w:trHeight w:val="30"/>
          <w:tblCellSpacing w:w="0" w:type="dxa"/>
        </w:trPr>
        <w:tc>
          <w:tcPr>
            <w:tcW w:w="380" w:type="dxa"/>
            <w:tcMar>
              <w:top w:w="30" w:type="dxa"/>
              <w:left w:w="15" w:type="dxa"/>
              <w:bottom w:w="15" w:type="dxa"/>
              <w:right w:w="15" w:type="dxa"/>
            </w:tcMar>
          </w:tcPr>
          <w:bookmarkEnd w:id="10"/>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Příspěvek se poskytuje na základě žádosti podané nájemcem. N</w:t>
            </w:r>
            <w:r w:rsidRPr="002A1395">
              <w:rPr>
                <w:rFonts w:ascii="Times New Roman" w:hAnsi="Times New Roman" w:cs="Times New Roman"/>
                <w:color w:val="000000" w:themeColor="text1"/>
              </w:rPr>
              <w:t>ájemce je povinen podávat žádost na předepsaném tiskopisu vydaném ministerstvem práce a sociálních věcí.</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(2)</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Příspěvek se při splnění podmínek přiznává na kalendářní pololetí. Žádost o příspěvek je třeba uplatnit na I. pololetí kalendářního roku do konce </w:t>
            </w:r>
            <w:r w:rsidRPr="002A1395">
              <w:rPr>
                <w:rFonts w:ascii="Times New Roman" w:hAnsi="Times New Roman" w:cs="Times New Roman"/>
                <w:color w:val="000000" w:themeColor="text1"/>
              </w:rPr>
              <w:t>února tohoto roku a na II. pololetí kalendářního roku do konce srpna tohoto roku.</w:t>
            </w:r>
          </w:p>
        </w:tc>
      </w:tr>
    </w:tbl>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11" w:name="pf11"/>
      <w:r w:rsidRPr="002A1395">
        <w:rPr>
          <w:rFonts w:ascii="Times New Roman" w:hAnsi="Times New Roman" w:cs="Times New Roman"/>
          <w:b/>
          <w:color w:val="000000" w:themeColor="text1"/>
        </w:rPr>
        <w:t>§ 11</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Náležitosti žádosti</w:t>
      </w:r>
    </w:p>
    <w:tbl>
      <w:tblPr>
        <w:tblW w:w="0" w:type="auto"/>
        <w:tblCellSpacing w:w="0" w:type="dxa"/>
        <w:tblLook w:val="04A0" w:firstRow="1" w:lastRow="0" w:firstColumn="1" w:lastColumn="0" w:noHBand="0" w:noVBand="1"/>
      </w:tblPr>
      <w:tblGrid>
        <w:gridCol w:w="344"/>
        <w:gridCol w:w="8683"/>
      </w:tblGrid>
      <w:tr w:rsidR="002A1395" w:rsidRPr="002A1395">
        <w:trPr>
          <w:trHeight w:val="30"/>
          <w:tblCellSpacing w:w="0" w:type="dxa"/>
        </w:trPr>
        <w:tc>
          <w:tcPr>
            <w:tcW w:w="380" w:type="dxa"/>
            <w:tcMar>
              <w:top w:w="30" w:type="dxa"/>
              <w:left w:w="15" w:type="dxa"/>
              <w:bottom w:w="15" w:type="dxa"/>
              <w:right w:w="15" w:type="dxa"/>
            </w:tcMar>
          </w:tcPr>
          <w:bookmarkEnd w:id="11"/>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Žádost musí obsahovat</w:t>
            </w:r>
          </w:p>
          <w:tbl>
            <w:tblPr>
              <w:tblW w:w="0" w:type="auto"/>
              <w:tblCellSpacing w:w="0" w:type="dxa"/>
              <w:tblLook w:val="04A0" w:firstRow="1" w:lastRow="0" w:firstColumn="1" w:lastColumn="0" w:noHBand="0" w:noVBand="1"/>
            </w:tblPr>
            <w:tblGrid>
              <w:gridCol w:w="315"/>
              <w:gridCol w:w="8293"/>
            </w:tblGrid>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a)</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jméno, příjmení, adresu bytu a rodné číslo nájemce a osob s ním společně posuzovaných;</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lastRenderedPageBreak/>
                    <w:t>b)</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výši příjmu nájemce </w:t>
                  </w:r>
                  <w:r w:rsidRPr="002A1395">
                    <w:rPr>
                      <w:rFonts w:ascii="Times New Roman" w:hAnsi="Times New Roman" w:cs="Times New Roman"/>
                      <w:color w:val="000000" w:themeColor="text1"/>
                    </w:rPr>
                    <w:t>a osob s ním společně posuzovaných z pracovněprávního nebo obdobného vztahu za kalendářní pololetí ( § 3 odst. 2) doloženou potvrzením plátce příjmu;</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c)</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potvrzení o výši důchodu vydané poštou, popřípadě plátcem důchodu;</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d)</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u osob samostatně výdělečně čin</w:t>
                  </w:r>
                  <w:r w:rsidRPr="002A1395">
                    <w:rPr>
                      <w:rFonts w:ascii="Times New Roman" w:hAnsi="Times New Roman" w:cs="Times New Roman"/>
                      <w:color w:val="000000" w:themeColor="text1"/>
                    </w:rPr>
                    <w:t>ných potvrzení příslušné okresní správy sociálního zabezpečení o výši měsíčního vyměřovacího základu pro stanovení záloh na pojistné na důchodové zabezpečení a příspěvku na státní politiku zaměstnanosti;</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e)</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potvrzení o ostatních příjmech; nelze-li ostatní</w:t>
                  </w:r>
                  <w:r w:rsidRPr="002A1395">
                    <w:rPr>
                      <w:rFonts w:ascii="Times New Roman" w:hAnsi="Times New Roman" w:cs="Times New Roman"/>
                      <w:color w:val="000000" w:themeColor="text1"/>
                    </w:rPr>
                    <w:t xml:space="preserve"> příjmy doložit potvrzením, čestné prohlášení o výši takových příjmů;</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f)</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u nájemce uvedeného v § 2 odst. 1 písm. a)</w:t>
                  </w:r>
                </w:p>
                <w:tbl>
                  <w:tblPr>
                    <w:tblW w:w="0" w:type="auto"/>
                    <w:tblCellSpacing w:w="0" w:type="dxa"/>
                    <w:tblLook w:val="04A0" w:firstRow="1" w:lastRow="0" w:firstColumn="1" w:lastColumn="0" w:noHBand="0" w:noVBand="1"/>
                  </w:tblPr>
                  <w:tblGrid>
                    <w:gridCol w:w="309"/>
                    <w:gridCol w:w="7909"/>
                  </w:tblGrid>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w:t>
                        </w:r>
                      </w:p>
                    </w:tc>
                    <w:tc>
                      <w:tcPr>
                        <w:tcW w:w="11654" w:type="dxa"/>
                        <w:tcMar>
                          <w:top w:w="30" w:type="dxa"/>
                          <w:left w:w="60" w:type="dxa"/>
                          <w:bottom w:w="15" w:type="dxa"/>
                          <w:right w:w="15" w:type="dxa"/>
                        </w:tcMar>
                        <w:vAlign w:val="center"/>
                      </w:tcPr>
                      <w:p w:rsidR="00AE380E" w:rsidRPr="002A1395" w:rsidRDefault="009C0E5B">
                        <w:pPr>
                          <w:spacing w:after="60" w:line="369" w:lineRule="auto"/>
                          <w:ind w:left="555"/>
                          <w:jc w:val="both"/>
                          <w:rPr>
                            <w:rFonts w:ascii="Times New Roman" w:hAnsi="Times New Roman" w:cs="Times New Roman"/>
                            <w:color w:val="000000" w:themeColor="text1"/>
                          </w:rPr>
                        </w:pPr>
                        <w:r w:rsidRPr="002A1395">
                          <w:rPr>
                            <w:rFonts w:ascii="Times New Roman" w:hAnsi="Times New Roman" w:cs="Times New Roman"/>
                            <w:color w:val="000000" w:themeColor="text1"/>
                          </w:rPr>
                          <w:t>potvrzení pronajímatele nebo jiný doklad o řádné úhradě hrubého nájemného a úhradě za další plnění poskytovaná s užíváním bytu 11 za kalendářní pololetí předcházející kalendářnímu pololetí, na které se nárok na příspěvek uplatňuje,</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2.</w:t>
                        </w:r>
                      </w:p>
                    </w:tc>
                    <w:tc>
                      <w:tcPr>
                        <w:tcW w:w="11654" w:type="dxa"/>
                        <w:tcMar>
                          <w:top w:w="30" w:type="dxa"/>
                          <w:left w:w="60" w:type="dxa"/>
                          <w:bottom w:w="15" w:type="dxa"/>
                          <w:right w:w="15" w:type="dxa"/>
                        </w:tcMar>
                        <w:vAlign w:val="center"/>
                      </w:tcPr>
                      <w:p w:rsidR="00AE380E" w:rsidRPr="002A1395" w:rsidRDefault="009C0E5B">
                        <w:pPr>
                          <w:spacing w:after="60" w:line="369" w:lineRule="auto"/>
                          <w:ind w:left="555"/>
                          <w:jc w:val="both"/>
                          <w:rPr>
                            <w:rFonts w:ascii="Times New Roman" w:hAnsi="Times New Roman" w:cs="Times New Roman"/>
                            <w:color w:val="000000" w:themeColor="text1"/>
                          </w:rPr>
                        </w:pPr>
                        <w:r w:rsidRPr="002A1395">
                          <w:rPr>
                            <w:rFonts w:ascii="Times New Roman" w:hAnsi="Times New Roman" w:cs="Times New Roman"/>
                            <w:color w:val="000000" w:themeColor="text1"/>
                          </w:rPr>
                          <w:t>potvrzení pronajímat</w:t>
                        </w:r>
                        <w:r w:rsidRPr="002A1395">
                          <w:rPr>
                            <w:rFonts w:ascii="Times New Roman" w:hAnsi="Times New Roman" w:cs="Times New Roman"/>
                            <w:color w:val="000000" w:themeColor="text1"/>
                          </w:rPr>
                          <w:t>ele nebo jiný doklad o výši sjednaného hrubého nájemného a hrubého nájemného roku 1993;</w:t>
                        </w:r>
                      </w:p>
                    </w:tc>
                  </w:tr>
                </w:tbl>
                <w:p w:rsidR="00AE380E" w:rsidRPr="002A1395" w:rsidRDefault="00AE380E">
                  <w:pPr>
                    <w:rPr>
                      <w:rFonts w:ascii="Times New Roman" w:hAnsi="Times New Roman" w:cs="Times New Roman"/>
                      <w:color w:val="000000" w:themeColor="text1"/>
                    </w:rPr>
                  </w:pP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g)</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u nájemce uvedeného v § 2 odst. 1 písm. b) nebo c) potvrzení pronajímatele nebo jiný doklad o řádné úhradě nákladů obdobných hrubému nájemnému a dalších </w:t>
                  </w:r>
                  <w:r w:rsidRPr="002A1395">
                    <w:rPr>
                      <w:rFonts w:ascii="Times New Roman" w:hAnsi="Times New Roman" w:cs="Times New Roman"/>
                      <w:color w:val="000000" w:themeColor="text1"/>
                    </w:rPr>
                    <w:t>plnění poskytovaných s užíváním bytu za kalendářní pololetí ( § 3 odst. 2);</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h)</w:t>
                  </w:r>
                </w:p>
              </w:tc>
              <w:tc>
                <w:tcPr>
                  <w:tcW w:w="12114" w:type="dxa"/>
                  <w:tcMar>
                    <w:top w:w="30" w:type="dxa"/>
                    <w:left w:w="60" w:type="dxa"/>
                    <w:bottom w:w="15" w:type="dxa"/>
                    <w:right w:w="15" w:type="dxa"/>
                  </w:tcMar>
                  <w:vAlign w:val="center"/>
                </w:tcPr>
                <w:p w:rsidR="00AE380E" w:rsidRPr="002A1395" w:rsidRDefault="009C0E5B">
                  <w:pPr>
                    <w:spacing w:after="60" w:line="369" w:lineRule="auto"/>
                    <w:ind w:left="495"/>
                    <w:jc w:val="both"/>
                    <w:rPr>
                      <w:rFonts w:ascii="Times New Roman" w:hAnsi="Times New Roman" w:cs="Times New Roman"/>
                      <w:color w:val="000000" w:themeColor="text1"/>
                    </w:rPr>
                  </w:pPr>
                  <w:r w:rsidRPr="002A1395">
                    <w:rPr>
                      <w:rFonts w:ascii="Times New Roman" w:hAnsi="Times New Roman" w:cs="Times New Roman"/>
                      <w:color w:val="000000" w:themeColor="text1"/>
                    </w:rPr>
                    <w:t>čestné prohlášení nájemce o tom, že není nájemcem jiného bytu a žádný byt nevlastní.</w:t>
                  </w:r>
                </w:p>
              </w:tc>
            </w:tr>
          </w:tbl>
          <w:p w:rsidR="00AE380E" w:rsidRPr="002A1395" w:rsidRDefault="00AE380E">
            <w:pPr>
              <w:rPr>
                <w:rFonts w:ascii="Times New Roman" w:hAnsi="Times New Roman" w:cs="Times New Roman"/>
                <w:color w:val="000000" w:themeColor="text1"/>
              </w:rPr>
            </w:pP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lastRenderedPageBreak/>
              <w:t>(2)</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Potvrzení o výši příjmu z pracovněprávního nebo obdobného vztahu je povinen </w:t>
            </w:r>
            <w:r w:rsidRPr="002A1395">
              <w:rPr>
                <w:rFonts w:ascii="Times New Roman" w:hAnsi="Times New Roman" w:cs="Times New Roman"/>
                <w:color w:val="000000" w:themeColor="text1"/>
              </w:rPr>
              <w:t>bezúplatně poskytnout zaměstnavatel. Potvrzení o skutečnostech uvedených v odstavci 1 písm. f) a g) je povinen bezúplatně poskytnout pronajímatel bytu.</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(3)</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Lze-li skutečnosti uvedené v předchozích odstavcích ověřit z rozhodnutí příslušných orgánů, 12 nebo</w:t>
            </w:r>
            <w:r w:rsidRPr="002A1395">
              <w:rPr>
                <w:rFonts w:ascii="Times New Roman" w:hAnsi="Times New Roman" w:cs="Times New Roman"/>
                <w:color w:val="000000" w:themeColor="text1"/>
              </w:rPr>
              <w:t xml:space="preserve"> z jiných dokladů, nevyžaduje se přiložení potvrzení.</w:t>
            </w:r>
          </w:p>
        </w:tc>
      </w:tr>
    </w:tbl>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12" w:name="pf12"/>
      <w:r w:rsidRPr="002A1395">
        <w:rPr>
          <w:rFonts w:ascii="Times New Roman" w:hAnsi="Times New Roman" w:cs="Times New Roman"/>
          <w:b/>
          <w:color w:val="000000" w:themeColor="text1"/>
        </w:rPr>
        <w:t>§ 12</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Výplata příspěvku</w:t>
      </w:r>
    </w:p>
    <w:tbl>
      <w:tblPr>
        <w:tblW w:w="0" w:type="auto"/>
        <w:tblCellSpacing w:w="0" w:type="dxa"/>
        <w:tblLook w:val="04A0" w:firstRow="1" w:lastRow="0" w:firstColumn="1" w:lastColumn="0" w:noHBand="0" w:noVBand="1"/>
      </w:tblPr>
      <w:tblGrid>
        <w:gridCol w:w="347"/>
        <w:gridCol w:w="8680"/>
      </w:tblGrid>
      <w:tr w:rsidR="002A1395" w:rsidRPr="002A1395">
        <w:trPr>
          <w:trHeight w:val="30"/>
          <w:tblCellSpacing w:w="0" w:type="dxa"/>
        </w:trPr>
        <w:tc>
          <w:tcPr>
            <w:tcW w:w="380" w:type="dxa"/>
            <w:tcMar>
              <w:top w:w="30" w:type="dxa"/>
              <w:left w:w="15" w:type="dxa"/>
              <w:bottom w:w="15" w:type="dxa"/>
              <w:right w:w="15" w:type="dxa"/>
            </w:tcMar>
          </w:tcPr>
          <w:bookmarkEnd w:id="12"/>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Příspěvek se vyplácí za uplynulé kalendářní čtvrtletí, a to nejpozději do konce kalendářního měsíce následujícího po skončení tohoto čtvrtletí.</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(2)</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Nárok na výplatu </w:t>
            </w:r>
            <w:r w:rsidRPr="002A1395">
              <w:rPr>
                <w:rFonts w:ascii="Times New Roman" w:hAnsi="Times New Roman" w:cs="Times New Roman"/>
                <w:color w:val="000000" w:themeColor="text1"/>
              </w:rPr>
              <w:t>příspěvku zaniká ve lhůtě jednoho roku od posledního dne kalendářního měsíce následujícího po skončení kalendářního čtvrtletí, za které měl být příspěvek vyplacen.</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lastRenderedPageBreak/>
              <w:t>(3)</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Příspěvek se do ciziny nevyplácí.</w:t>
            </w:r>
          </w:p>
        </w:tc>
      </w:tr>
    </w:tbl>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13" w:name="pf13"/>
      <w:r w:rsidRPr="002A1395">
        <w:rPr>
          <w:rFonts w:ascii="Times New Roman" w:hAnsi="Times New Roman" w:cs="Times New Roman"/>
          <w:b/>
          <w:color w:val="000000" w:themeColor="text1"/>
        </w:rPr>
        <w:t>§ 13</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Plátce příspěvku</w:t>
      </w:r>
    </w:p>
    <w:bookmarkEnd w:id="13"/>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O příspěvku rozhoduje a vyplácí jej pověřený obecní úřad, 13 v jehož obvodu se nachází byt, ke kterému je uplatňován nárok na příspěvek. V hlavním městě Praze náleží působnost podle předchozí věty městským částem.</w:t>
      </w:r>
    </w:p>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14" w:name="pf14"/>
      <w:r w:rsidRPr="002A1395">
        <w:rPr>
          <w:rFonts w:ascii="Times New Roman" w:hAnsi="Times New Roman" w:cs="Times New Roman"/>
          <w:b/>
          <w:color w:val="000000" w:themeColor="text1"/>
        </w:rPr>
        <w:t>§ 14</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Povinnosti nájemce a plátce příspěvk</w:t>
      </w:r>
      <w:r w:rsidRPr="002A1395">
        <w:rPr>
          <w:rFonts w:ascii="Times New Roman" w:hAnsi="Times New Roman" w:cs="Times New Roman"/>
          <w:b/>
          <w:color w:val="000000" w:themeColor="text1"/>
        </w:rPr>
        <w:t>u</w:t>
      </w:r>
    </w:p>
    <w:tbl>
      <w:tblPr>
        <w:tblW w:w="0" w:type="auto"/>
        <w:tblCellSpacing w:w="0" w:type="dxa"/>
        <w:tblLook w:val="04A0" w:firstRow="1" w:lastRow="0" w:firstColumn="1" w:lastColumn="0" w:noHBand="0" w:noVBand="1"/>
      </w:tblPr>
      <w:tblGrid>
        <w:gridCol w:w="347"/>
        <w:gridCol w:w="8680"/>
      </w:tblGrid>
      <w:tr w:rsidR="002A1395" w:rsidRPr="002A1395">
        <w:trPr>
          <w:trHeight w:val="30"/>
          <w:tblCellSpacing w:w="0" w:type="dxa"/>
        </w:trPr>
        <w:tc>
          <w:tcPr>
            <w:tcW w:w="380" w:type="dxa"/>
            <w:tcMar>
              <w:top w:w="30" w:type="dxa"/>
              <w:left w:w="15" w:type="dxa"/>
              <w:bottom w:w="15" w:type="dxa"/>
              <w:right w:w="15" w:type="dxa"/>
            </w:tcMar>
          </w:tcPr>
          <w:bookmarkEnd w:id="14"/>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Zjistí-li plátce příspěvku dodatečně, že byl příspěvek přiznán nebo vyplacen v nižší částce, než v jaké náležel, nebo nebylo-li neprávem přiznání příspěvku odepřeno, příspěvek zvýší nebo přizná ode dne, od něhož byly podmínky nároku splněny, nejvýše </w:t>
            </w:r>
            <w:r w:rsidRPr="002A1395">
              <w:rPr>
                <w:rFonts w:ascii="Times New Roman" w:hAnsi="Times New Roman" w:cs="Times New Roman"/>
                <w:color w:val="000000" w:themeColor="text1"/>
              </w:rPr>
              <w:t>však za jeden rok nazpět ode dne zjištění uvedených skutečností nebo uplatnění nároku na příspěvek nebo na jeho zvýšení. Pokud dodatečně plátce příspěvku zjistí, že příspěvek je vyplácen neprávem nebo ve vyšší výši, než náleží, odejme ho nebo sníží od kale</w:t>
            </w:r>
            <w:r w:rsidRPr="002A1395">
              <w:rPr>
                <w:rFonts w:ascii="Times New Roman" w:hAnsi="Times New Roman" w:cs="Times New Roman"/>
                <w:color w:val="000000" w:themeColor="text1"/>
              </w:rPr>
              <w:t>ndářního čtvrtletí následujícího po kalendářním čtvrtletí, za které již byl vyplacen.</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(2)</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Jestliže nájemce zavinil, že příspěvek byl přiznán neprávem nebo v nesprávné výši, je povinen částky neprávem přijaté vrátit. Nárok na vrácení příspěvku </w:t>
            </w:r>
            <w:r w:rsidRPr="002A1395">
              <w:rPr>
                <w:rFonts w:ascii="Times New Roman" w:hAnsi="Times New Roman" w:cs="Times New Roman"/>
                <w:color w:val="000000" w:themeColor="text1"/>
              </w:rPr>
              <w:t>poskytnutého neprávem nebo v nesprávné výši zaniká uplynutím jednoho roku ode dne, kdy plátce příspěvku tuto skutečnost zjistil, nejpozději však uplynutím tří let ode dne, za který byl příspěvek vyplacen.</w:t>
            </w:r>
          </w:p>
        </w:tc>
      </w:tr>
      <w:tr w:rsidR="002A1395" w:rsidRPr="002A1395">
        <w:trPr>
          <w:trHeight w:val="30"/>
          <w:tblCellSpacing w:w="0" w:type="dxa"/>
        </w:trPr>
        <w:tc>
          <w:tcPr>
            <w:tcW w:w="380" w:type="dxa"/>
            <w:tcMar>
              <w:top w:w="30"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(3)</w:t>
            </w:r>
          </w:p>
        </w:tc>
        <w:tc>
          <w:tcPr>
            <w:tcW w:w="12574" w:type="dxa"/>
            <w:tcMar>
              <w:top w:w="30" w:type="dxa"/>
              <w:left w:w="60" w:type="dxa"/>
              <w:bottom w:w="15" w:type="dxa"/>
              <w:right w:w="15" w:type="dxa"/>
            </w:tcMar>
            <w:vAlign w:val="center"/>
          </w:tcPr>
          <w:p w:rsidR="00AE380E" w:rsidRPr="002A1395" w:rsidRDefault="009C0E5B">
            <w:pPr>
              <w:spacing w:after="60" w:line="369" w:lineRule="auto"/>
              <w:ind w:left="435"/>
              <w:jc w:val="both"/>
              <w:rPr>
                <w:rFonts w:ascii="Times New Roman" w:hAnsi="Times New Roman" w:cs="Times New Roman"/>
                <w:color w:val="000000" w:themeColor="text1"/>
              </w:rPr>
            </w:pPr>
            <w:r w:rsidRPr="002A1395">
              <w:rPr>
                <w:rFonts w:ascii="Times New Roman" w:hAnsi="Times New Roman" w:cs="Times New Roman"/>
                <w:color w:val="000000" w:themeColor="text1"/>
              </w:rPr>
              <w:t>Nájemce, který podal žádost o přiznání příspěv</w:t>
            </w:r>
            <w:r w:rsidRPr="002A1395">
              <w:rPr>
                <w:rFonts w:ascii="Times New Roman" w:hAnsi="Times New Roman" w:cs="Times New Roman"/>
                <w:color w:val="000000" w:themeColor="text1"/>
              </w:rPr>
              <w:t>ku, je povinen oznámit plátci příspěvku do osmi dnů zánik nájemního poměru, zánik trvalého pobytu na území České republiky, vznik vlastnického práva k bytu a uzavření další nájemní smlouvy.</w:t>
            </w:r>
          </w:p>
        </w:tc>
      </w:tr>
    </w:tbl>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15" w:name="pf15"/>
      <w:r w:rsidRPr="002A1395">
        <w:rPr>
          <w:rFonts w:ascii="Times New Roman" w:hAnsi="Times New Roman" w:cs="Times New Roman"/>
          <w:b/>
          <w:color w:val="000000" w:themeColor="text1"/>
        </w:rPr>
        <w:t>§ 15</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Řízení o příspěvku</w:t>
      </w:r>
    </w:p>
    <w:bookmarkEnd w:id="15"/>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Řízení o přiznání příspěvku se řídí </w:t>
      </w:r>
      <w:r w:rsidRPr="002A1395">
        <w:rPr>
          <w:rFonts w:ascii="Times New Roman" w:hAnsi="Times New Roman" w:cs="Times New Roman"/>
          <w:color w:val="000000" w:themeColor="text1"/>
        </w:rPr>
        <w:t>správním řádem, s výjimkou příslušnosti stanovené v § 13.</w:t>
      </w:r>
    </w:p>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0" w:line="369" w:lineRule="auto"/>
        <w:ind w:left="375"/>
        <w:jc w:val="center"/>
        <w:rPr>
          <w:rFonts w:ascii="Times New Roman" w:hAnsi="Times New Roman" w:cs="Times New Roman"/>
          <w:color w:val="000000" w:themeColor="text1"/>
        </w:rPr>
      </w:pPr>
      <w:bookmarkStart w:id="16" w:name="pf16"/>
      <w:r w:rsidRPr="002A1395">
        <w:rPr>
          <w:rFonts w:ascii="Times New Roman" w:hAnsi="Times New Roman" w:cs="Times New Roman"/>
          <w:b/>
          <w:color w:val="000000" w:themeColor="text1"/>
        </w:rPr>
        <w:t>§ 16</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Přechodné ustanovení</w:t>
      </w:r>
    </w:p>
    <w:bookmarkEnd w:id="16"/>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lastRenderedPageBreak/>
        <w:t>Při stanovení součtu částek životního minima nájemce a osob s ním společně posuzovaných platí pro přiznání příspěvku na první pololetí roku 1994 částky životního minima pl</w:t>
      </w:r>
      <w:r w:rsidRPr="002A1395">
        <w:rPr>
          <w:rFonts w:ascii="Times New Roman" w:hAnsi="Times New Roman" w:cs="Times New Roman"/>
          <w:color w:val="000000" w:themeColor="text1"/>
        </w:rPr>
        <w:t>atné k 1. únoru 1994.</w:t>
      </w:r>
    </w:p>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bookmarkStart w:id="17" w:name="document_fragment_onrf6mjzhezv6mzrhexhaz"/>
    </w:p>
    <w:p w:rsidR="00AE380E" w:rsidRPr="002A1395" w:rsidRDefault="009C0E5B">
      <w:pPr>
        <w:spacing w:after="0" w:line="369" w:lineRule="auto"/>
        <w:ind w:left="375"/>
        <w:jc w:val="center"/>
        <w:rPr>
          <w:rFonts w:ascii="Times New Roman" w:hAnsi="Times New Roman" w:cs="Times New Roman"/>
          <w:color w:val="000000" w:themeColor="text1"/>
        </w:rPr>
      </w:pPr>
      <w:bookmarkStart w:id="18" w:name="pf17"/>
      <w:r w:rsidRPr="002A1395">
        <w:rPr>
          <w:rFonts w:ascii="Times New Roman" w:hAnsi="Times New Roman" w:cs="Times New Roman"/>
          <w:b/>
          <w:color w:val="000000" w:themeColor="text1"/>
        </w:rPr>
        <w:t>§ 17</w:t>
      </w:r>
    </w:p>
    <w:p w:rsidR="00AE380E" w:rsidRPr="002A1395" w:rsidRDefault="009C0E5B">
      <w:pPr>
        <w:spacing w:after="18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Účinnost</w:t>
      </w:r>
    </w:p>
    <w:bookmarkEnd w:id="18"/>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Tento zákon nabývá účinnosti dnem 1. ledna 1994.</w:t>
      </w:r>
    </w:p>
    <w:bookmarkEnd w:id="17"/>
    <w:p w:rsidR="00AE380E" w:rsidRPr="002A1395" w:rsidRDefault="009C0E5B">
      <w:pPr>
        <w:spacing w:after="6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Uhde v. r.</w:t>
      </w:r>
    </w:p>
    <w:p w:rsidR="00AE380E" w:rsidRPr="002A1395" w:rsidRDefault="009C0E5B">
      <w:pPr>
        <w:spacing w:after="6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Havel v. r.</w:t>
      </w:r>
    </w:p>
    <w:p w:rsidR="00AE380E" w:rsidRPr="002A1395" w:rsidRDefault="009C0E5B">
      <w:pPr>
        <w:spacing w:after="60" w:line="369" w:lineRule="auto"/>
        <w:ind w:left="375"/>
        <w:jc w:val="center"/>
        <w:rPr>
          <w:rFonts w:ascii="Times New Roman" w:hAnsi="Times New Roman" w:cs="Times New Roman"/>
          <w:color w:val="000000" w:themeColor="text1"/>
        </w:rPr>
      </w:pPr>
      <w:r w:rsidRPr="002A1395">
        <w:rPr>
          <w:rFonts w:ascii="Times New Roman" w:hAnsi="Times New Roman" w:cs="Times New Roman"/>
          <w:b/>
          <w:color w:val="000000" w:themeColor="text1"/>
        </w:rPr>
        <w:t>Klaus v. r.</w:t>
      </w:r>
    </w:p>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p>
    <w:p w:rsidR="00AE380E" w:rsidRPr="002A1395" w:rsidRDefault="009C0E5B">
      <w:pPr>
        <w:spacing w:after="75" w:line="369" w:lineRule="auto"/>
        <w:ind w:left="375"/>
        <w:jc w:val="right"/>
        <w:rPr>
          <w:rFonts w:ascii="Times New Roman" w:hAnsi="Times New Roman" w:cs="Times New Roman"/>
          <w:color w:val="000000" w:themeColor="text1"/>
        </w:rPr>
      </w:pPr>
      <w:bookmarkStart w:id="19" w:name="pr1"/>
      <w:r w:rsidRPr="002A1395">
        <w:rPr>
          <w:rFonts w:ascii="Times New Roman" w:hAnsi="Times New Roman" w:cs="Times New Roman"/>
          <w:b/>
          <w:color w:val="000000" w:themeColor="text1"/>
        </w:rPr>
        <w:t>Příloha č. 1 k zákonu č. 319/1993 Sb.</w:t>
      </w:r>
    </w:p>
    <w:bookmarkEnd w:id="19"/>
    <w:p w:rsidR="00AE380E" w:rsidRPr="002A1395" w:rsidRDefault="009C0E5B">
      <w:pPr>
        <w:spacing w:after="60" w:line="369" w:lineRule="auto"/>
        <w:ind w:left="375"/>
        <w:jc w:val="center"/>
        <w:rPr>
          <w:rFonts w:ascii="Times New Roman" w:hAnsi="Times New Roman" w:cs="Times New Roman"/>
          <w:color w:val="000000" w:themeColor="text1"/>
        </w:rPr>
      </w:pPr>
      <w:r w:rsidRPr="002A1395">
        <w:rPr>
          <w:rFonts w:ascii="Times New Roman" w:hAnsi="Times New Roman" w:cs="Times New Roman"/>
          <w:color w:val="000000" w:themeColor="text1"/>
        </w:rPr>
        <w:t>Výše příspěvku nájemce uvedeného v § 7 (v Kč/měs.)</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1. Výše příspěvku, užívá-li byt jedna osoba</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Výše příjmu ve vztahu k částkám životního minima (v násobcích)</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tbl>
      <w:tblPr>
        <w:tblW w:w="0" w:type="auto"/>
        <w:tblCellSpacing w:w="0" w:type="auto"/>
        <w:tblLook w:val="04A0" w:firstRow="1" w:lastRow="0" w:firstColumn="1" w:lastColumn="0" w:noHBand="0" w:noVBand="1"/>
      </w:tblPr>
      <w:tblGrid>
        <w:gridCol w:w="1687"/>
        <w:gridCol w:w="1220"/>
        <w:gridCol w:w="1220"/>
        <w:gridCol w:w="1220"/>
        <w:gridCol w:w="1220"/>
        <w:gridCol w:w="1220"/>
        <w:gridCol w:w="1220"/>
      </w:tblGrid>
      <w:tr w:rsidR="002A1395" w:rsidRPr="002A1395">
        <w:trPr>
          <w:trHeight w:val="45"/>
          <w:tblCellSpacing w:w="0" w:type="auto"/>
        </w:trPr>
        <w:tc>
          <w:tcPr>
            <w:tcW w:w="22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Rozdíl mezi sjednaným hrubým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nájemným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a hrubým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nájemným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roku 1993</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v Kč/měs.)</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-1,05</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-1,10</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-1,15</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-1,20</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-1,25</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-1,30</w:t>
            </w:r>
          </w:p>
        </w:tc>
      </w:tr>
      <w:tr w:rsidR="002A1395" w:rsidRPr="002A1395">
        <w:trPr>
          <w:trHeight w:val="45"/>
          <w:tblCellSpacing w:w="0" w:type="auto"/>
        </w:trPr>
        <w:tc>
          <w:tcPr>
            <w:tcW w:w="22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50 – 69</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50</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22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70 – 89</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70</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66</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57</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22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90 – 109</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90</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84</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73</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62</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51</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22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110 – 129</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110</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103</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89</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76</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62</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22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130 – 149</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130</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122</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106</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89</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73</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57</w:t>
            </w:r>
          </w:p>
        </w:tc>
      </w:tr>
      <w:tr w:rsidR="002A1395" w:rsidRPr="002A1395">
        <w:trPr>
          <w:trHeight w:val="45"/>
          <w:tblCellSpacing w:w="0" w:type="auto"/>
        </w:trPr>
        <w:tc>
          <w:tcPr>
            <w:tcW w:w="224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lastRenderedPageBreak/>
              <w:t>150 a více</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150</w:t>
            </w:r>
          </w:p>
        </w:tc>
        <w:tc>
          <w:tcPr>
            <w:tcW w:w="178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141</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122</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103</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84</w:t>
            </w:r>
          </w:p>
        </w:tc>
        <w:tc>
          <w:tcPr>
            <w:tcW w:w="178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66</w:t>
            </w:r>
          </w:p>
        </w:tc>
      </w:tr>
    </w:tbl>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2. Výše příspěvku, užívají-li byt dvě osoby</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Výše příjmu ve vztahu k částkám životního minima (v násobcích)</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tbl>
      <w:tblPr>
        <w:tblW w:w="0" w:type="auto"/>
        <w:tblCellSpacing w:w="0" w:type="auto"/>
        <w:tblLook w:val="04A0" w:firstRow="1" w:lastRow="0" w:firstColumn="1" w:lastColumn="0" w:noHBand="0" w:noVBand="1"/>
      </w:tblPr>
      <w:tblGrid>
        <w:gridCol w:w="1633"/>
        <w:gridCol w:w="1229"/>
        <w:gridCol w:w="1229"/>
        <w:gridCol w:w="1229"/>
        <w:gridCol w:w="1229"/>
        <w:gridCol w:w="1229"/>
        <w:gridCol w:w="1229"/>
      </w:tblGrid>
      <w:tr w:rsidR="002A1395" w:rsidRPr="002A1395">
        <w:trPr>
          <w:trHeight w:val="45"/>
          <w:tblCellSpacing w:w="0" w:type="auto"/>
        </w:trPr>
        <w:tc>
          <w:tcPr>
            <w:tcW w:w="193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Rozdíl mezi sjednaným hrubým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nájemným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a hrubým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nájemným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roku 1993</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v Kč/měs.)</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-1,05</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-1,10</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-1,15</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-1,20</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-1,25</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-1,30</w:t>
            </w:r>
          </w:p>
        </w:tc>
      </w:tr>
      <w:tr w:rsidR="002A1395" w:rsidRPr="002A1395">
        <w:trPr>
          <w:trHeight w:val="45"/>
          <w:tblCellSpacing w:w="0" w:type="auto"/>
        </w:trPr>
        <w:tc>
          <w:tcPr>
            <w:tcW w:w="193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50 – 69</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50</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193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70 – 89</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70</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66</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57</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193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90 – 109</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90</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84</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73</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62</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51</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193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110 – 129</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110</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103</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89</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76</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62</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193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130 – 149</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130</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122</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106</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89</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73</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57</w:t>
            </w:r>
          </w:p>
        </w:tc>
      </w:tr>
      <w:tr w:rsidR="002A1395" w:rsidRPr="002A1395">
        <w:trPr>
          <w:trHeight w:val="45"/>
          <w:tblCellSpacing w:w="0" w:type="auto"/>
        </w:trPr>
        <w:tc>
          <w:tcPr>
            <w:tcW w:w="193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150 – 169</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150</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141</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122</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103</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84</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66</w:t>
            </w:r>
          </w:p>
        </w:tc>
      </w:tr>
      <w:tr w:rsidR="002A1395" w:rsidRPr="002A1395">
        <w:trPr>
          <w:trHeight w:val="45"/>
          <w:tblCellSpacing w:w="0" w:type="auto"/>
        </w:trPr>
        <w:tc>
          <w:tcPr>
            <w:tcW w:w="193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170 – 189</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170</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159</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138</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117</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96</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74</w:t>
            </w:r>
          </w:p>
        </w:tc>
      </w:tr>
      <w:tr w:rsidR="002A1395" w:rsidRPr="002A1395">
        <w:trPr>
          <w:trHeight w:val="45"/>
          <w:tblCellSpacing w:w="0" w:type="auto"/>
        </w:trPr>
        <w:tc>
          <w:tcPr>
            <w:tcW w:w="193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190 a více</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190</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178</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154</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131</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107</w:t>
            </w:r>
          </w:p>
        </w:tc>
        <w:tc>
          <w:tcPr>
            <w:tcW w:w="183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83</w:t>
            </w:r>
          </w:p>
        </w:tc>
      </w:tr>
    </w:tbl>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3. Výše příspěvku, užívají-li byt tři nebo více osob</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xml:space="preserve">Výše příjmu ve vztahu k částkám životního minima (v </w:t>
      </w:r>
      <w:r w:rsidRPr="002A1395">
        <w:rPr>
          <w:rFonts w:ascii="Times New Roman" w:hAnsi="Times New Roman" w:cs="Times New Roman"/>
          <w:color w:val="000000" w:themeColor="text1"/>
        </w:rPr>
        <w:t>násobcích)</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tbl>
      <w:tblPr>
        <w:tblW w:w="0" w:type="auto"/>
        <w:tblCellSpacing w:w="0" w:type="auto"/>
        <w:tblLook w:val="04A0" w:firstRow="1" w:lastRow="0" w:firstColumn="1" w:lastColumn="0" w:noHBand="0" w:noVBand="1"/>
      </w:tblPr>
      <w:tblGrid>
        <w:gridCol w:w="1622"/>
        <w:gridCol w:w="1230"/>
        <w:gridCol w:w="1231"/>
        <w:gridCol w:w="1231"/>
        <w:gridCol w:w="1231"/>
        <w:gridCol w:w="1231"/>
        <w:gridCol w:w="1231"/>
      </w:tblGrid>
      <w:tr w:rsidR="002A1395" w:rsidRPr="002A1395">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 xml:space="preserve">Rozdíl mezi </w:t>
            </w:r>
            <w:r w:rsidRPr="002A1395">
              <w:rPr>
                <w:rFonts w:ascii="Times New Roman" w:hAnsi="Times New Roman" w:cs="Times New Roman"/>
                <w:color w:val="000000" w:themeColor="text1"/>
              </w:rPr>
              <w:lastRenderedPageBreak/>
              <w:t>sjednaným hrubým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nájemným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a hrubým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nájemným</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roku 1993</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v Kč/měs.)</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lastRenderedPageBreak/>
              <w:t>1,001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-1,05</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-1,10</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-1,15</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-1,20</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-1,25</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-1,30</w:t>
            </w:r>
          </w:p>
        </w:tc>
      </w:tr>
      <w:tr w:rsidR="002A1395" w:rsidRPr="002A1395">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50 – 69</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50</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70 – 89</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70</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66</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57</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90 – 109</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90</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84</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73</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62</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51</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110 – 129</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110</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103</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89</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76</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62</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130 – 149</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130</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122</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106</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89</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73</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57</w:t>
            </w:r>
          </w:p>
        </w:tc>
      </w:tr>
      <w:tr w:rsidR="002A1395" w:rsidRPr="002A1395">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150 – 169</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150</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141</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122</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103</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84</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66</w:t>
            </w:r>
          </w:p>
        </w:tc>
      </w:tr>
      <w:tr w:rsidR="002A1395" w:rsidRPr="002A1395">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170 – 189</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170</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159</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138</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117</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96</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74</w:t>
            </w:r>
          </w:p>
        </w:tc>
      </w:tr>
      <w:tr w:rsidR="002A1395" w:rsidRPr="002A1395">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190 - 209</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190</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178</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154</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131</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107</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83</w:t>
            </w:r>
          </w:p>
        </w:tc>
      </w:tr>
      <w:tr w:rsidR="002A1395" w:rsidRPr="002A1395">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210 – 229</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210</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197</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171</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144</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118</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92</w:t>
            </w:r>
          </w:p>
        </w:tc>
      </w:tr>
      <w:tr w:rsidR="002A1395" w:rsidRPr="002A1395">
        <w:trPr>
          <w:trHeight w:val="45"/>
          <w:tblCellSpacing w:w="0" w:type="auto"/>
        </w:trPr>
        <w:tc>
          <w:tcPr>
            <w:tcW w:w="188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both"/>
              <w:rPr>
                <w:rFonts w:ascii="Times New Roman" w:hAnsi="Times New Roman" w:cs="Times New Roman"/>
                <w:color w:val="000000" w:themeColor="text1"/>
              </w:rPr>
            </w:pPr>
            <w:r w:rsidRPr="002A1395">
              <w:rPr>
                <w:rFonts w:ascii="Times New Roman" w:hAnsi="Times New Roman" w:cs="Times New Roman"/>
                <w:color w:val="000000" w:themeColor="text1"/>
              </w:rPr>
              <w:t>230 a více</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230</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216</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187</w:t>
            </w:r>
          </w:p>
        </w:tc>
        <w:tc>
          <w:tcPr>
            <w:tcW w:w="184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158</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129</w:t>
            </w:r>
          </w:p>
        </w:tc>
        <w:tc>
          <w:tcPr>
            <w:tcW w:w="184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101</w:t>
            </w:r>
          </w:p>
        </w:tc>
      </w:tr>
    </w:tbl>
    <w:p w:rsidR="00AE380E" w:rsidRPr="002A1395" w:rsidRDefault="00AE380E">
      <w:pPr>
        <w:pBdr>
          <w:top w:val="none" w:sz="0" w:space="4" w:color="auto"/>
          <w:right w:val="none" w:sz="0" w:space="4" w:color="auto"/>
        </w:pBdr>
        <w:spacing w:after="0" w:line="369" w:lineRule="auto"/>
        <w:ind w:left="375"/>
        <w:jc w:val="right"/>
        <w:rPr>
          <w:rFonts w:ascii="Times New Roman" w:hAnsi="Times New Roman" w:cs="Times New Roman"/>
          <w:color w:val="000000" w:themeColor="text1"/>
        </w:rPr>
      </w:pPr>
      <w:bookmarkStart w:id="20" w:name="document_fragment_onrf6mjzhezv6mzrhexha4"/>
    </w:p>
    <w:p w:rsidR="00AE380E" w:rsidRPr="002A1395" w:rsidRDefault="009C0E5B">
      <w:pPr>
        <w:spacing w:after="75" w:line="369" w:lineRule="auto"/>
        <w:ind w:left="375"/>
        <w:jc w:val="right"/>
        <w:rPr>
          <w:rFonts w:ascii="Times New Roman" w:hAnsi="Times New Roman" w:cs="Times New Roman"/>
          <w:color w:val="000000" w:themeColor="text1"/>
        </w:rPr>
      </w:pPr>
      <w:bookmarkStart w:id="21" w:name="pr2"/>
      <w:r w:rsidRPr="002A1395">
        <w:rPr>
          <w:rFonts w:ascii="Times New Roman" w:hAnsi="Times New Roman" w:cs="Times New Roman"/>
          <w:b/>
          <w:color w:val="000000" w:themeColor="text1"/>
        </w:rPr>
        <w:t>Příloha č. 2 k zákonu č. 319/1993 Sb.</w:t>
      </w:r>
    </w:p>
    <w:bookmarkEnd w:id="21"/>
    <w:p w:rsidR="00AE380E" w:rsidRPr="002A1395" w:rsidRDefault="009C0E5B">
      <w:pPr>
        <w:spacing w:after="60" w:line="369" w:lineRule="auto"/>
        <w:ind w:left="375"/>
        <w:jc w:val="center"/>
        <w:rPr>
          <w:rFonts w:ascii="Times New Roman" w:hAnsi="Times New Roman" w:cs="Times New Roman"/>
          <w:color w:val="000000" w:themeColor="text1"/>
        </w:rPr>
      </w:pPr>
      <w:r w:rsidRPr="002A1395">
        <w:rPr>
          <w:rFonts w:ascii="Times New Roman" w:hAnsi="Times New Roman" w:cs="Times New Roman"/>
          <w:color w:val="000000" w:themeColor="text1"/>
        </w:rPr>
        <w:t>Výše příspěvku nájemce uvedeného v § 8 odst. 2 (v Kč/měs.)</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Výše příjmu ve vztahu k částkám životního minima (v násobcích)</w:t>
      </w:r>
    </w:p>
    <w:p w:rsidR="00AE380E" w:rsidRPr="002A1395" w:rsidRDefault="009C0E5B">
      <w:pPr>
        <w:spacing w:after="60" w:line="369" w:lineRule="auto"/>
        <w:ind w:left="375"/>
        <w:jc w:val="both"/>
        <w:rPr>
          <w:rFonts w:ascii="Times New Roman" w:hAnsi="Times New Roman" w:cs="Times New Roman"/>
          <w:color w:val="000000" w:themeColor="text1"/>
        </w:rPr>
      </w:pPr>
      <w:r w:rsidRPr="002A1395">
        <w:rPr>
          <w:rFonts w:ascii="Times New Roman" w:hAnsi="Times New Roman" w:cs="Times New Roman"/>
          <w:color w:val="000000" w:themeColor="text1"/>
        </w:rPr>
        <w:t> </w:t>
      </w:r>
    </w:p>
    <w:tbl>
      <w:tblPr>
        <w:tblW w:w="0" w:type="auto"/>
        <w:tblCellSpacing w:w="0" w:type="auto"/>
        <w:tblLook w:val="04A0" w:firstRow="1" w:lastRow="0" w:firstColumn="1" w:lastColumn="0" w:noHBand="0" w:noVBand="1"/>
      </w:tblPr>
      <w:tblGrid>
        <w:gridCol w:w="351"/>
        <w:gridCol w:w="1293"/>
        <w:gridCol w:w="1227"/>
        <w:gridCol w:w="1227"/>
        <w:gridCol w:w="1227"/>
        <w:gridCol w:w="1227"/>
        <w:gridCol w:w="1227"/>
        <w:gridCol w:w="1205"/>
        <w:gridCol w:w="23"/>
      </w:tblGrid>
      <w:tr w:rsidR="002A1395" w:rsidRPr="002A1395">
        <w:trPr>
          <w:trHeight w:val="45"/>
          <w:tblCellSpacing w:w="0" w:type="auto"/>
        </w:trPr>
        <w:tc>
          <w:tcPr>
            <w:tcW w:w="1998" w:type="dxa"/>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Počet osob užívajících byt</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-1,05</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-1,10</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-1,15</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-1,20</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1,201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-1,25</w:t>
            </w:r>
          </w:p>
        </w:tc>
        <w:tc>
          <w:tcPr>
            <w:tcW w:w="1826" w:type="dxa"/>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1,251</w:t>
            </w:r>
          </w:p>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-1,30</w:t>
            </w:r>
          </w:p>
        </w:tc>
      </w:tr>
      <w:tr w:rsidR="002A1395" w:rsidRPr="002A1395">
        <w:trPr>
          <w:trHeight w:val="45"/>
          <w:tblCellSpacing w:w="0" w:type="auto"/>
        </w:trPr>
        <w:tc>
          <w:tcPr>
            <w:tcW w:w="1998" w:type="dxa"/>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75</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70</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61</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52</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c>
          <w:tcPr>
            <w:tcW w:w="1826" w:type="dxa"/>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1998" w:type="dxa"/>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2</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95</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89</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77</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65</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54</w:t>
            </w:r>
          </w:p>
        </w:tc>
        <w:tc>
          <w:tcPr>
            <w:tcW w:w="1826" w:type="dxa"/>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w:t>
            </w:r>
          </w:p>
        </w:tc>
      </w:tr>
      <w:tr w:rsidR="002A1395" w:rsidRPr="002A1395">
        <w:trPr>
          <w:trHeight w:val="45"/>
          <w:tblCellSpacing w:w="0" w:type="auto"/>
        </w:trPr>
        <w:tc>
          <w:tcPr>
            <w:tcW w:w="1998" w:type="dxa"/>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3 nebo více</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115</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108</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94</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79</w:t>
            </w:r>
          </w:p>
        </w:tc>
        <w:tc>
          <w:tcPr>
            <w:tcW w:w="18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65</w:t>
            </w:r>
          </w:p>
        </w:tc>
        <w:tc>
          <w:tcPr>
            <w:tcW w:w="1826" w:type="dxa"/>
            <w:gridSpan w:val="2"/>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AE380E" w:rsidRPr="002A1395" w:rsidRDefault="009C0E5B">
            <w:pPr>
              <w:spacing w:after="60" w:line="369" w:lineRule="auto"/>
              <w:ind w:left="450"/>
              <w:jc w:val="center"/>
              <w:rPr>
                <w:rFonts w:ascii="Times New Roman" w:hAnsi="Times New Roman" w:cs="Times New Roman"/>
                <w:color w:val="000000" w:themeColor="text1"/>
              </w:rPr>
            </w:pPr>
            <w:r w:rsidRPr="002A1395">
              <w:rPr>
                <w:rFonts w:ascii="Times New Roman" w:hAnsi="Times New Roman" w:cs="Times New Roman"/>
                <w:color w:val="000000" w:themeColor="text1"/>
              </w:rPr>
              <w:t>50</w:t>
            </w:r>
          </w:p>
        </w:tc>
      </w:tr>
      <w:bookmarkEnd w:id="0"/>
      <w:bookmarkEnd w:id="20"/>
      <w:tr w:rsidR="002A1395" w:rsidRPr="002A1395">
        <w:tblPrEx>
          <w:tblCellSpacing w:w="20" w:type="dxa"/>
          <w:tblBorders>
            <w:top w:val="dotted" w:sz="8" w:space="0" w:color="808080"/>
          </w:tblBorders>
        </w:tblPrEx>
        <w:trPr>
          <w:gridAfter w:val="1"/>
          <w:wAfter w:w="10" w:type="dxa"/>
          <w:trHeight w:val="90"/>
          <w:tblCellSpacing w:w="20" w:type="dxa"/>
        </w:trPr>
        <w:tc>
          <w:tcPr>
            <w:tcW w:w="0" w:type="auto"/>
            <w:gridSpan w:val="8"/>
            <w:tcMar>
              <w:top w:w="45" w:type="dxa"/>
              <w:left w:w="45" w:type="dxa"/>
              <w:bottom w:w="45" w:type="dxa"/>
              <w:right w:w="45" w:type="dxa"/>
            </w:tcMar>
          </w:tcPr>
          <w:p w:rsidR="00AE380E" w:rsidRPr="002A1395" w:rsidRDefault="009C0E5B">
            <w:pPr>
              <w:spacing w:after="0" w:line="369" w:lineRule="auto"/>
              <w:ind w:left="420"/>
              <w:rPr>
                <w:rFonts w:ascii="Times New Roman" w:hAnsi="Times New Roman" w:cs="Times New Roman"/>
                <w:color w:val="000000" w:themeColor="text1"/>
              </w:rPr>
            </w:pPr>
            <w:r w:rsidRPr="002A1395">
              <w:rPr>
                <w:rFonts w:ascii="Times New Roman" w:hAnsi="Times New Roman" w:cs="Times New Roman"/>
                <w:b/>
                <w:color w:val="000000" w:themeColor="text1"/>
              </w:rPr>
              <w:lastRenderedPageBreak/>
              <w:t>Poznámky pod čarou:</w:t>
            </w:r>
          </w:p>
        </w:tc>
      </w:tr>
      <w:tr w:rsidR="002A1395"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w:t>
            </w:r>
          </w:p>
        </w:tc>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bookmarkStart w:id="22" w:name="footnote_display_content_d1e367"/>
            <w:r w:rsidRPr="002A1395">
              <w:rPr>
                <w:rFonts w:ascii="Times New Roman" w:hAnsi="Times New Roman" w:cs="Times New Roman"/>
                <w:color w:val="000000" w:themeColor="text1"/>
              </w:rPr>
              <w:t>Vyhláška ministerstva financí č. </w:t>
            </w:r>
            <w:hyperlink r:id="rId6">
              <w:r w:rsidRPr="002A1395">
                <w:rPr>
                  <w:rFonts w:ascii="Times New Roman" w:hAnsi="Times New Roman" w:cs="Times New Roman"/>
                  <w:color w:val="000000" w:themeColor="text1"/>
                </w:rPr>
                <w:t>16/1993 Sb.</w:t>
              </w:r>
            </w:hyperlink>
            <w:r w:rsidRPr="002A1395">
              <w:rPr>
                <w:rFonts w:ascii="Times New Roman" w:hAnsi="Times New Roman" w:cs="Times New Roman"/>
                <w:color w:val="000000" w:themeColor="text1"/>
              </w:rPr>
              <w:t>, o nájemném z bytu a úhradě za plnění poskytovaná s užíváním bytu.</w:t>
            </w:r>
          </w:p>
        </w:tc>
        <w:bookmarkEnd w:id="22"/>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2</w:t>
            </w:r>
          </w:p>
        </w:tc>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bookmarkStart w:id="23" w:name="footnote_display_content_d1e379"/>
            <w:r w:rsidRPr="002A1395">
              <w:rPr>
                <w:rFonts w:ascii="Times New Roman" w:hAnsi="Times New Roman" w:cs="Times New Roman"/>
                <w:color w:val="000000" w:themeColor="text1"/>
              </w:rPr>
              <w:t xml:space="preserve">§ 11 a násl. výnosu FMF, FM ČR, FM SR a SBČS ze dne 22. února 1991 o podmínkách poskytování finanční pomoci na družstevní bytovou výstavbu (č. </w:t>
            </w:r>
            <w:hyperlink r:id="rId7">
              <w:r w:rsidRPr="002A1395">
                <w:rPr>
                  <w:rFonts w:ascii="Times New Roman" w:hAnsi="Times New Roman" w:cs="Times New Roman"/>
                  <w:color w:val="000000" w:themeColor="text1"/>
                </w:rPr>
                <w:t>78/1991 Sb.</w:t>
              </w:r>
            </w:hyperlink>
            <w:r w:rsidRPr="002A1395">
              <w:rPr>
                <w:rFonts w:ascii="Times New Roman" w:hAnsi="Times New Roman" w:cs="Times New Roman"/>
                <w:color w:val="000000" w:themeColor="text1"/>
              </w:rPr>
              <w:t>).</w:t>
            </w:r>
          </w:p>
        </w:tc>
        <w:bookmarkEnd w:id="23"/>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3</w:t>
            </w:r>
          </w:p>
        </w:tc>
        <w:bookmarkStart w:id="24" w:name="footnote_display_content_d1e392"/>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r w:rsidRPr="002A1395">
              <w:rPr>
                <w:rFonts w:ascii="Times New Roman" w:hAnsi="Times New Roman" w:cs="Times New Roman"/>
                <w:color w:val="000000" w:themeColor="text1"/>
              </w:rPr>
              <w:fldChar w:fldCharType="begin"/>
            </w:r>
            <w:r w:rsidRPr="002A1395">
              <w:rPr>
                <w:rFonts w:ascii="Times New Roman" w:hAnsi="Times New Roman" w:cs="Times New Roman"/>
                <w:color w:val="000000" w:themeColor="text1"/>
              </w:rPr>
              <w:instrText xml:space="preserve"> HYPERLINK "http://www.beck-online.cz/bo/document-view.seam?documentId=onrf6mjzgy2f6nbqfzygmnzrg4" \h </w:instrText>
            </w:r>
            <w:r w:rsidRPr="002A1395">
              <w:rPr>
                <w:rFonts w:ascii="Times New Roman" w:hAnsi="Times New Roman" w:cs="Times New Roman"/>
                <w:color w:val="000000" w:themeColor="text1"/>
              </w:rPr>
              <w:fldChar w:fldCharType="separate"/>
            </w:r>
            <w:r w:rsidRPr="002A1395">
              <w:rPr>
                <w:rFonts w:ascii="Times New Roman" w:hAnsi="Times New Roman" w:cs="Times New Roman"/>
                <w:color w:val="000000" w:themeColor="text1"/>
              </w:rPr>
              <w:t>§ 717 občanského zákoníku</w:t>
            </w:r>
            <w:r w:rsidRPr="002A1395">
              <w:rPr>
                <w:rFonts w:ascii="Times New Roman" w:hAnsi="Times New Roman" w:cs="Times New Roman"/>
                <w:color w:val="000000" w:themeColor="text1"/>
              </w:rPr>
              <w:fldChar w:fldCharType="end"/>
            </w:r>
            <w:r w:rsidRPr="002A1395">
              <w:rPr>
                <w:rFonts w:ascii="Times New Roman" w:hAnsi="Times New Roman" w:cs="Times New Roman"/>
                <w:color w:val="000000" w:themeColor="text1"/>
              </w:rPr>
              <w:t>.</w:t>
            </w:r>
          </w:p>
        </w:tc>
        <w:bookmarkEnd w:id="24"/>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4</w:t>
            </w:r>
          </w:p>
        </w:tc>
        <w:bookmarkStart w:id="25" w:name="footnote_display_content_d1e420"/>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r w:rsidRPr="002A1395">
              <w:rPr>
                <w:rFonts w:ascii="Times New Roman" w:hAnsi="Times New Roman" w:cs="Times New Roman"/>
                <w:color w:val="000000" w:themeColor="text1"/>
              </w:rPr>
              <w:fldChar w:fldCharType="begin"/>
            </w:r>
            <w:r w:rsidRPr="002A1395">
              <w:rPr>
                <w:rFonts w:ascii="Times New Roman" w:hAnsi="Times New Roman" w:cs="Times New Roman"/>
                <w:color w:val="000000" w:themeColor="text1"/>
              </w:rPr>
              <w:instrText xml:space="preserve"> HYPERLINK "http://www.beck-online.cz/bo/document-view.seam?documentId=onrf6mjzheyv6nbwgmxhazrt" \h </w:instrText>
            </w:r>
            <w:r w:rsidRPr="002A1395">
              <w:rPr>
                <w:rFonts w:ascii="Times New Roman" w:hAnsi="Times New Roman" w:cs="Times New Roman"/>
                <w:color w:val="000000" w:themeColor="text1"/>
              </w:rPr>
              <w:fldChar w:fldCharType="separate"/>
            </w:r>
            <w:r w:rsidRPr="002A1395">
              <w:rPr>
                <w:rFonts w:ascii="Times New Roman" w:hAnsi="Times New Roman" w:cs="Times New Roman"/>
                <w:color w:val="000000" w:themeColor="text1"/>
              </w:rPr>
              <w:t>§ 3</w:t>
            </w:r>
            <w:r w:rsidRPr="002A1395">
              <w:rPr>
                <w:rFonts w:ascii="Times New Roman" w:hAnsi="Times New Roman" w:cs="Times New Roman"/>
                <w:color w:val="000000" w:themeColor="text1"/>
              </w:rPr>
              <w:fldChar w:fldCharType="end"/>
            </w:r>
            <w:r w:rsidRPr="002A1395">
              <w:rPr>
                <w:rFonts w:ascii="Times New Roman" w:hAnsi="Times New Roman" w:cs="Times New Roman"/>
                <w:color w:val="000000" w:themeColor="text1"/>
              </w:rPr>
              <w:t xml:space="preserve"> odst. 2 zákona </w:t>
            </w:r>
            <w:r w:rsidRPr="002A1395">
              <w:rPr>
                <w:rFonts w:ascii="Times New Roman" w:hAnsi="Times New Roman" w:cs="Times New Roman"/>
                <w:color w:val="000000" w:themeColor="text1"/>
              </w:rPr>
              <w:t>č. 463/1991 Sb., o životním minimu.</w:t>
            </w:r>
            <w:r w:rsidRPr="002A1395">
              <w:rPr>
                <w:rFonts w:ascii="Times New Roman" w:hAnsi="Times New Roman" w:cs="Times New Roman"/>
                <w:color w:val="000000" w:themeColor="text1"/>
              </w:rPr>
              <w:br/>
            </w:r>
            <w:hyperlink r:id="rId8">
              <w:r w:rsidRPr="002A1395">
                <w:rPr>
                  <w:rFonts w:ascii="Times New Roman" w:hAnsi="Times New Roman" w:cs="Times New Roman"/>
                  <w:color w:val="000000" w:themeColor="text1"/>
                </w:rPr>
                <w:t>§ 2</w:t>
              </w:r>
            </w:hyperlink>
            <w:r w:rsidRPr="002A1395">
              <w:rPr>
                <w:rFonts w:ascii="Times New Roman" w:hAnsi="Times New Roman" w:cs="Times New Roman"/>
                <w:color w:val="000000" w:themeColor="text1"/>
              </w:rPr>
              <w:t xml:space="preserve"> nařízení vlády č. 81/1993 Sb., o zvýšení částek životního minima.</w:t>
            </w:r>
          </w:p>
        </w:tc>
        <w:bookmarkEnd w:id="25"/>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5</w:t>
            </w:r>
          </w:p>
        </w:tc>
        <w:bookmarkStart w:id="26" w:name="footnote_display_content_d1e430"/>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r w:rsidRPr="002A1395">
              <w:rPr>
                <w:rFonts w:ascii="Times New Roman" w:hAnsi="Times New Roman" w:cs="Times New Roman"/>
                <w:color w:val="000000" w:themeColor="text1"/>
              </w:rPr>
              <w:fldChar w:fldCharType="begin"/>
            </w:r>
            <w:r w:rsidRPr="002A1395">
              <w:rPr>
                <w:rFonts w:ascii="Times New Roman" w:hAnsi="Times New Roman" w:cs="Times New Roman"/>
                <w:color w:val="000000" w:themeColor="text1"/>
              </w:rPr>
              <w:instrText xml:space="preserve"> HYPERLINK "http://www.beck-online.cz/bo/do</w:instrText>
            </w:r>
            <w:r w:rsidRPr="002A1395">
              <w:rPr>
                <w:rFonts w:ascii="Times New Roman" w:hAnsi="Times New Roman" w:cs="Times New Roman"/>
                <w:color w:val="000000" w:themeColor="text1"/>
              </w:rPr>
              <w:instrText xml:space="preserve">cument-view.seam?documentId=onrf6mjzheyv6nbwgmxhazrt" \h </w:instrText>
            </w:r>
            <w:r w:rsidRPr="002A1395">
              <w:rPr>
                <w:rFonts w:ascii="Times New Roman" w:hAnsi="Times New Roman" w:cs="Times New Roman"/>
                <w:color w:val="000000" w:themeColor="text1"/>
              </w:rPr>
              <w:fldChar w:fldCharType="separate"/>
            </w:r>
            <w:r w:rsidRPr="002A1395">
              <w:rPr>
                <w:rFonts w:ascii="Times New Roman" w:hAnsi="Times New Roman" w:cs="Times New Roman"/>
                <w:color w:val="000000" w:themeColor="text1"/>
              </w:rPr>
              <w:t>§ 3</w:t>
            </w:r>
            <w:r w:rsidRPr="002A1395">
              <w:rPr>
                <w:rFonts w:ascii="Times New Roman" w:hAnsi="Times New Roman" w:cs="Times New Roman"/>
                <w:color w:val="000000" w:themeColor="text1"/>
              </w:rPr>
              <w:fldChar w:fldCharType="end"/>
            </w:r>
            <w:r w:rsidRPr="002A1395">
              <w:rPr>
                <w:rFonts w:ascii="Times New Roman" w:hAnsi="Times New Roman" w:cs="Times New Roman"/>
                <w:color w:val="000000" w:themeColor="text1"/>
              </w:rPr>
              <w:t xml:space="preserve"> odst. 3 zákona č. 463/1991 Sb.</w:t>
            </w:r>
            <w:r w:rsidRPr="002A1395">
              <w:rPr>
                <w:rFonts w:ascii="Times New Roman" w:hAnsi="Times New Roman" w:cs="Times New Roman"/>
                <w:color w:val="000000" w:themeColor="text1"/>
              </w:rPr>
              <w:br/>
            </w:r>
            <w:hyperlink r:id="rId9">
              <w:r w:rsidRPr="002A1395">
                <w:rPr>
                  <w:rFonts w:ascii="Times New Roman" w:hAnsi="Times New Roman" w:cs="Times New Roman"/>
                  <w:color w:val="000000" w:themeColor="text1"/>
                </w:rPr>
                <w:t>§ 2</w:t>
              </w:r>
            </w:hyperlink>
            <w:r w:rsidRPr="002A1395">
              <w:rPr>
                <w:rFonts w:ascii="Times New Roman" w:hAnsi="Times New Roman" w:cs="Times New Roman"/>
                <w:color w:val="000000" w:themeColor="text1"/>
              </w:rPr>
              <w:t xml:space="preserve"> nařízení vlády č. 81/1993 Sb.</w:t>
            </w:r>
          </w:p>
        </w:tc>
        <w:bookmarkEnd w:id="26"/>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6</w:t>
            </w:r>
          </w:p>
        </w:tc>
        <w:bookmarkStart w:id="27" w:name="footnote_display_content_d1e450"/>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r w:rsidRPr="002A1395">
              <w:rPr>
                <w:rFonts w:ascii="Times New Roman" w:hAnsi="Times New Roman" w:cs="Times New Roman"/>
                <w:color w:val="000000" w:themeColor="text1"/>
              </w:rPr>
              <w:fldChar w:fldCharType="begin"/>
            </w:r>
            <w:r w:rsidRPr="002A1395">
              <w:rPr>
                <w:rFonts w:ascii="Times New Roman" w:hAnsi="Times New Roman" w:cs="Times New Roman"/>
                <w:color w:val="000000" w:themeColor="text1"/>
              </w:rPr>
              <w:instrText xml:space="preserve"> HYPERLINK "http://www.beck-online.cz/bo/document-view.seam?documentId=onrf6mjzheyv6nbygixhazrs" \h </w:instrText>
            </w:r>
            <w:r w:rsidRPr="002A1395">
              <w:rPr>
                <w:rFonts w:ascii="Times New Roman" w:hAnsi="Times New Roman" w:cs="Times New Roman"/>
                <w:color w:val="000000" w:themeColor="text1"/>
              </w:rPr>
              <w:fldChar w:fldCharType="separate"/>
            </w:r>
            <w:r w:rsidRPr="002A1395">
              <w:rPr>
                <w:rFonts w:ascii="Times New Roman" w:hAnsi="Times New Roman" w:cs="Times New Roman"/>
                <w:color w:val="000000" w:themeColor="text1"/>
              </w:rPr>
              <w:t>§ 2</w:t>
            </w:r>
            <w:r w:rsidRPr="002A1395">
              <w:rPr>
                <w:rFonts w:ascii="Times New Roman" w:hAnsi="Times New Roman" w:cs="Times New Roman"/>
                <w:color w:val="000000" w:themeColor="text1"/>
              </w:rPr>
              <w:fldChar w:fldCharType="end"/>
            </w:r>
            <w:r w:rsidRPr="002A1395">
              <w:rPr>
                <w:rFonts w:ascii="Times New Roman" w:hAnsi="Times New Roman" w:cs="Times New Roman"/>
                <w:color w:val="000000" w:themeColor="text1"/>
              </w:rPr>
              <w:t xml:space="preserve"> odst. 2 zákona ČNR č. 482/1991 Sb., o sociální potřebnosti, ve znění zákona č. </w:t>
            </w:r>
            <w:hyperlink r:id="rId10">
              <w:r w:rsidRPr="002A1395">
                <w:rPr>
                  <w:rFonts w:ascii="Times New Roman" w:hAnsi="Times New Roman" w:cs="Times New Roman"/>
                  <w:color w:val="000000" w:themeColor="text1"/>
                </w:rPr>
                <w:t>84/1993 Sb.</w:t>
              </w:r>
            </w:hyperlink>
          </w:p>
        </w:tc>
        <w:bookmarkEnd w:id="27"/>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7</w:t>
            </w:r>
          </w:p>
        </w:tc>
        <w:bookmarkStart w:id="28" w:name="footnote_display_content_d1e494"/>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r w:rsidRPr="002A1395">
              <w:rPr>
                <w:rFonts w:ascii="Times New Roman" w:hAnsi="Times New Roman" w:cs="Times New Roman"/>
                <w:color w:val="000000" w:themeColor="text1"/>
              </w:rPr>
              <w:fldChar w:fldCharType="begin"/>
            </w:r>
            <w:r w:rsidRPr="002A1395">
              <w:rPr>
                <w:rFonts w:ascii="Times New Roman" w:hAnsi="Times New Roman" w:cs="Times New Roman"/>
                <w:color w:val="000000" w:themeColor="text1"/>
              </w:rPr>
              <w:instrText xml:space="preserve"> HYPERLINK "http://www.beck-online.cz/bo/document-view.seam?documentId=onrf6mjzgy2f6nbqfzygmnzrga" \h </w:instrText>
            </w:r>
            <w:r w:rsidRPr="002A1395">
              <w:rPr>
                <w:rFonts w:ascii="Times New Roman" w:hAnsi="Times New Roman" w:cs="Times New Roman"/>
                <w:color w:val="000000" w:themeColor="text1"/>
              </w:rPr>
              <w:fldChar w:fldCharType="separate"/>
            </w:r>
            <w:r w:rsidRPr="002A1395">
              <w:rPr>
                <w:rFonts w:ascii="Times New Roman" w:hAnsi="Times New Roman" w:cs="Times New Roman"/>
                <w:color w:val="000000" w:themeColor="text1"/>
              </w:rPr>
              <w:t>§ 710 občanského zákoníku</w:t>
            </w:r>
            <w:r w:rsidRPr="002A1395">
              <w:rPr>
                <w:rFonts w:ascii="Times New Roman" w:hAnsi="Times New Roman" w:cs="Times New Roman"/>
                <w:color w:val="000000" w:themeColor="text1"/>
              </w:rPr>
              <w:fldChar w:fldCharType="end"/>
            </w:r>
            <w:r w:rsidRPr="002A1395">
              <w:rPr>
                <w:rFonts w:ascii="Times New Roman" w:hAnsi="Times New Roman" w:cs="Times New Roman"/>
                <w:color w:val="000000" w:themeColor="text1"/>
              </w:rPr>
              <w:t>.</w:t>
            </w:r>
          </w:p>
        </w:tc>
        <w:bookmarkEnd w:id="28"/>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8</w:t>
            </w:r>
          </w:p>
        </w:tc>
        <w:bookmarkStart w:id="29" w:name="footnote_display_content_d1e626"/>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r w:rsidRPr="002A1395">
              <w:rPr>
                <w:rFonts w:ascii="Times New Roman" w:hAnsi="Times New Roman" w:cs="Times New Roman"/>
                <w:color w:val="000000" w:themeColor="text1"/>
              </w:rPr>
              <w:fldChar w:fldCharType="begin"/>
            </w:r>
            <w:r w:rsidRPr="002A1395">
              <w:rPr>
                <w:rFonts w:ascii="Times New Roman" w:hAnsi="Times New Roman" w:cs="Times New Roman"/>
                <w:color w:val="000000" w:themeColor="text1"/>
              </w:rPr>
              <w:instrText xml:space="preserve"> HYPERLINK "http://www.beck-online.cz/bo/document-view.seam?documentId=onrf6mjzhe</w:instrText>
            </w:r>
            <w:r w:rsidRPr="002A1395">
              <w:rPr>
                <w:rFonts w:ascii="Times New Roman" w:hAnsi="Times New Roman" w:cs="Times New Roman"/>
                <w:color w:val="000000" w:themeColor="text1"/>
              </w:rPr>
              <w:instrText xml:space="preserve">yv6nbwgmxhazrv" \h </w:instrText>
            </w:r>
            <w:r w:rsidRPr="002A1395">
              <w:rPr>
                <w:rFonts w:ascii="Times New Roman" w:hAnsi="Times New Roman" w:cs="Times New Roman"/>
                <w:color w:val="000000" w:themeColor="text1"/>
              </w:rPr>
              <w:fldChar w:fldCharType="separate"/>
            </w:r>
            <w:r w:rsidRPr="002A1395">
              <w:rPr>
                <w:rFonts w:ascii="Times New Roman" w:hAnsi="Times New Roman" w:cs="Times New Roman"/>
                <w:color w:val="000000" w:themeColor="text1"/>
              </w:rPr>
              <w:t>§ 5</w:t>
            </w:r>
            <w:r w:rsidRPr="002A1395">
              <w:rPr>
                <w:rFonts w:ascii="Times New Roman" w:hAnsi="Times New Roman" w:cs="Times New Roman"/>
                <w:color w:val="000000" w:themeColor="text1"/>
              </w:rPr>
              <w:fldChar w:fldCharType="end"/>
            </w:r>
            <w:r w:rsidRPr="002A1395">
              <w:rPr>
                <w:rFonts w:ascii="Times New Roman" w:hAnsi="Times New Roman" w:cs="Times New Roman"/>
                <w:color w:val="000000" w:themeColor="text1"/>
              </w:rPr>
              <w:t xml:space="preserve"> zákona č. 463/1991 Sb., ve znění zákona ČNR č. </w:t>
            </w:r>
            <w:hyperlink r:id="rId11">
              <w:r w:rsidRPr="002A1395">
                <w:rPr>
                  <w:rFonts w:ascii="Times New Roman" w:hAnsi="Times New Roman" w:cs="Times New Roman"/>
                  <w:color w:val="000000" w:themeColor="text1"/>
                </w:rPr>
                <w:t>10/1993 Sb.</w:t>
              </w:r>
            </w:hyperlink>
            <w:r w:rsidRPr="002A1395">
              <w:rPr>
                <w:rFonts w:ascii="Times New Roman" w:hAnsi="Times New Roman" w:cs="Times New Roman"/>
                <w:color w:val="000000" w:themeColor="text1"/>
              </w:rPr>
              <w:t xml:space="preserve"> a zákona č. </w:t>
            </w:r>
            <w:hyperlink r:id="rId12">
              <w:r w:rsidRPr="002A1395">
                <w:rPr>
                  <w:rFonts w:ascii="Times New Roman" w:hAnsi="Times New Roman" w:cs="Times New Roman"/>
                  <w:color w:val="000000" w:themeColor="text1"/>
                </w:rPr>
                <w:t>84/1993 Sb.</w:t>
              </w:r>
            </w:hyperlink>
          </w:p>
        </w:tc>
        <w:bookmarkEnd w:id="29"/>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9</w:t>
            </w:r>
          </w:p>
        </w:tc>
        <w:bookmarkStart w:id="30" w:name="footnote_display_content_d1e649"/>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r w:rsidRPr="002A1395">
              <w:rPr>
                <w:rFonts w:ascii="Times New Roman" w:hAnsi="Times New Roman" w:cs="Times New Roman"/>
                <w:color w:val="000000" w:themeColor="text1"/>
              </w:rPr>
              <w:fldChar w:fldCharType="begin"/>
            </w:r>
            <w:r w:rsidRPr="002A1395">
              <w:rPr>
                <w:rFonts w:ascii="Times New Roman" w:hAnsi="Times New Roman" w:cs="Times New Roman"/>
                <w:color w:val="000000" w:themeColor="text1"/>
              </w:rPr>
              <w:instrText xml:space="preserve"> HYPERLINK "http://www.beck-online.cz/bo/document-view.seam?documentId=onrf6mjzhezf6njyhexhazrrgq" \h </w:instrText>
            </w:r>
            <w:r w:rsidRPr="002A1395">
              <w:rPr>
                <w:rFonts w:ascii="Times New Roman" w:hAnsi="Times New Roman" w:cs="Times New Roman"/>
                <w:color w:val="000000" w:themeColor="text1"/>
              </w:rPr>
              <w:fldChar w:fldCharType="separate"/>
            </w:r>
            <w:r w:rsidRPr="002A1395">
              <w:rPr>
                <w:rFonts w:ascii="Times New Roman" w:hAnsi="Times New Roman" w:cs="Times New Roman"/>
                <w:color w:val="000000" w:themeColor="text1"/>
              </w:rPr>
              <w:t>§ 14</w:t>
            </w:r>
            <w:r w:rsidRPr="002A1395">
              <w:rPr>
                <w:rFonts w:ascii="Times New Roman" w:hAnsi="Times New Roman" w:cs="Times New Roman"/>
                <w:color w:val="000000" w:themeColor="text1"/>
              </w:rPr>
              <w:fldChar w:fldCharType="end"/>
            </w:r>
            <w:r w:rsidRPr="002A1395">
              <w:rPr>
                <w:rFonts w:ascii="Times New Roman" w:hAnsi="Times New Roman" w:cs="Times New Roman"/>
                <w:color w:val="000000" w:themeColor="text1"/>
              </w:rPr>
              <w:t xml:space="preserve"> zákona ČNR č. 589/1992 Sb., o pojistném na sociální zabezpečení a příspěvku na státní politiku zaměstnanosti, ve znění zákona ČNR č. </w:t>
            </w:r>
            <w:hyperlink r:id="rId13">
              <w:r w:rsidRPr="002A1395">
                <w:rPr>
                  <w:rFonts w:ascii="Times New Roman" w:hAnsi="Times New Roman" w:cs="Times New Roman"/>
                  <w:color w:val="000000" w:themeColor="text1"/>
                </w:rPr>
                <w:t>10/1993 Sb.</w:t>
              </w:r>
            </w:hyperlink>
            <w:r w:rsidRPr="002A1395">
              <w:rPr>
                <w:rFonts w:ascii="Times New Roman" w:hAnsi="Times New Roman" w:cs="Times New Roman"/>
                <w:color w:val="000000" w:themeColor="text1"/>
              </w:rPr>
              <w:t>, zákona č. </w:t>
            </w:r>
            <w:hyperlink r:id="rId14">
              <w:r w:rsidRPr="002A1395">
                <w:rPr>
                  <w:rFonts w:ascii="Times New Roman" w:hAnsi="Times New Roman" w:cs="Times New Roman"/>
                  <w:color w:val="000000" w:themeColor="text1"/>
                </w:rPr>
                <w:t>160/1993 Sb.</w:t>
              </w:r>
            </w:hyperlink>
            <w:r w:rsidRPr="002A1395">
              <w:rPr>
                <w:rFonts w:ascii="Times New Roman" w:hAnsi="Times New Roman" w:cs="Times New Roman"/>
                <w:color w:val="000000" w:themeColor="text1"/>
              </w:rPr>
              <w:t xml:space="preserve"> a zákona č. </w:t>
            </w:r>
            <w:hyperlink r:id="rId15">
              <w:r w:rsidRPr="002A1395">
                <w:rPr>
                  <w:rFonts w:ascii="Times New Roman" w:hAnsi="Times New Roman" w:cs="Times New Roman"/>
                  <w:color w:val="000000" w:themeColor="text1"/>
                </w:rPr>
                <w:t>307/1993 Sb.</w:t>
              </w:r>
            </w:hyperlink>
          </w:p>
        </w:tc>
        <w:bookmarkEnd w:id="30"/>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10</w:t>
            </w:r>
          </w:p>
        </w:tc>
        <w:bookmarkStart w:id="31" w:name="footnote_display_content_d1e1523"/>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r w:rsidRPr="002A1395">
              <w:rPr>
                <w:rFonts w:ascii="Times New Roman" w:hAnsi="Times New Roman" w:cs="Times New Roman"/>
                <w:color w:val="000000" w:themeColor="text1"/>
              </w:rPr>
              <w:fldChar w:fldCharType="begin"/>
            </w:r>
            <w:r w:rsidRPr="002A1395">
              <w:rPr>
                <w:rFonts w:ascii="Times New Roman" w:hAnsi="Times New Roman" w:cs="Times New Roman"/>
                <w:color w:val="000000" w:themeColor="text1"/>
              </w:rPr>
              <w:instrText xml:space="preserve"> HYPERLINK "http://www</w:instrText>
            </w:r>
            <w:r w:rsidRPr="002A1395">
              <w:rPr>
                <w:rFonts w:ascii="Times New Roman" w:hAnsi="Times New Roman" w:cs="Times New Roman"/>
                <w:color w:val="000000" w:themeColor="text1"/>
              </w:rPr>
              <w:instrText xml:space="preserve">.beck-online.cz/bo/document-view.seam?documentId=onrf6mjzha4f6mjqgaxhazrshe" \h </w:instrText>
            </w:r>
            <w:r w:rsidRPr="002A1395">
              <w:rPr>
                <w:rFonts w:ascii="Times New Roman" w:hAnsi="Times New Roman" w:cs="Times New Roman"/>
                <w:color w:val="000000" w:themeColor="text1"/>
              </w:rPr>
              <w:fldChar w:fldCharType="separate"/>
            </w:r>
            <w:r w:rsidRPr="002A1395">
              <w:rPr>
                <w:rFonts w:ascii="Times New Roman" w:hAnsi="Times New Roman" w:cs="Times New Roman"/>
                <w:color w:val="000000" w:themeColor="text1"/>
              </w:rPr>
              <w:t>§ 29</w:t>
            </w:r>
            <w:r w:rsidRPr="002A1395">
              <w:rPr>
                <w:rFonts w:ascii="Times New Roman" w:hAnsi="Times New Roman" w:cs="Times New Roman"/>
                <w:color w:val="000000" w:themeColor="text1"/>
              </w:rPr>
              <w:fldChar w:fldCharType="end"/>
            </w:r>
            <w:r w:rsidRPr="002A1395">
              <w:rPr>
                <w:rFonts w:ascii="Times New Roman" w:hAnsi="Times New Roman" w:cs="Times New Roman"/>
                <w:color w:val="000000" w:themeColor="text1"/>
              </w:rPr>
              <w:t xml:space="preserve"> odst. 2 zákona č. 100/1988 Sb., o sociálním zabezpečení.</w:t>
            </w:r>
          </w:p>
        </w:tc>
        <w:bookmarkEnd w:id="31"/>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11</w:t>
            </w:r>
          </w:p>
        </w:tc>
        <w:bookmarkStart w:id="32" w:name="footnote_display_content_d1e1818"/>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r w:rsidRPr="002A1395">
              <w:rPr>
                <w:rFonts w:ascii="Times New Roman" w:hAnsi="Times New Roman" w:cs="Times New Roman"/>
                <w:color w:val="000000" w:themeColor="text1"/>
              </w:rPr>
              <w:fldChar w:fldCharType="begin"/>
            </w:r>
            <w:r w:rsidRPr="002A1395">
              <w:rPr>
                <w:rFonts w:ascii="Times New Roman" w:hAnsi="Times New Roman" w:cs="Times New Roman"/>
                <w:color w:val="000000" w:themeColor="text1"/>
              </w:rPr>
              <w:instrText xml:space="preserve"> HYPERLINK "http://www.beck-online.cz/bo/document-view.seam?documentId=onrf6mjzhezv6mjxgyxhazrrge" \h </w:instrText>
            </w:r>
            <w:r w:rsidRPr="002A1395">
              <w:rPr>
                <w:rFonts w:ascii="Times New Roman" w:hAnsi="Times New Roman" w:cs="Times New Roman"/>
                <w:color w:val="000000" w:themeColor="text1"/>
              </w:rPr>
              <w:fldChar w:fldCharType="separate"/>
            </w:r>
            <w:r w:rsidRPr="002A1395">
              <w:rPr>
                <w:rFonts w:ascii="Times New Roman" w:hAnsi="Times New Roman" w:cs="Times New Roman"/>
                <w:color w:val="000000" w:themeColor="text1"/>
              </w:rPr>
              <w:t>§ 11</w:t>
            </w:r>
            <w:r w:rsidRPr="002A1395">
              <w:rPr>
                <w:rFonts w:ascii="Times New Roman" w:hAnsi="Times New Roman" w:cs="Times New Roman"/>
                <w:color w:val="000000" w:themeColor="text1"/>
              </w:rPr>
              <w:fldChar w:fldCharType="end"/>
            </w:r>
            <w:r w:rsidRPr="002A1395">
              <w:rPr>
                <w:rFonts w:ascii="Times New Roman" w:hAnsi="Times New Roman" w:cs="Times New Roman"/>
                <w:color w:val="000000" w:themeColor="text1"/>
              </w:rPr>
              <w:t xml:space="preserve"> odst. 1 vyhlášky ministerstva financí č. 176/1993 Sb.</w:t>
            </w:r>
          </w:p>
        </w:tc>
        <w:bookmarkEnd w:id="32"/>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12</w:t>
            </w:r>
          </w:p>
        </w:tc>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bookmarkStart w:id="33" w:name="footnote_display_content_d1e1854"/>
            <w:r w:rsidRPr="002A1395">
              <w:rPr>
                <w:rFonts w:ascii="Times New Roman" w:hAnsi="Times New Roman" w:cs="Times New Roman"/>
                <w:color w:val="000000" w:themeColor="text1"/>
              </w:rPr>
              <w:t xml:space="preserve">Např. </w:t>
            </w:r>
            <w:hyperlink r:id="rId16">
              <w:r w:rsidRPr="002A1395">
                <w:rPr>
                  <w:rFonts w:ascii="Times New Roman" w:hAnsi="Times New Roman" w:cs="Times New Roman"/>
                  <w:color w:val="000000" w:themeColor="text1"/>
                </w:rPr>
                <w:t>§ 8</w:t>
              </w:r>
            </w:hyperlink>
            <w:r w:rsidRPr="002A1395">
              <w:rPr>
                <w:rFonts w:ascii="Times New Roman" w:hAnsi="Times New Roman" w:cs="Times New Roman"/>
                <w:color w:val="000000" w:themeColor="text1"/>
              </w:rPr>
              <w:t xml:space="preserve"> odst. 1 zákona ČNR č. 582/1991 Sb., o organizaci a provádění sociálního zabezpečení, ve znění zákona ČNR č. </w:t>
            </w:r>
            <w:hyperlink r:id="rId17">
              <w:r w:rsidRPr="002A1395">
                <w:rPr>
                  <w:rFonts w:ascii="Times New Roman" w:hAnsi="Times New Roman" w:cs="Times New Roman"/>
                  <w:color w:val="000000" w:themeColor="text1"/>
                </w:rPr>
                <w:t>590/1992 Sb.</w:t>
              </w:r>
            </w:hyperlink>
            <w:r w:rsidRPr="002A1395">
              <w:rPr>
                <w:rFonts w:ascii="Times New Roman" w:hAnsi="Times New Roman" w:cs="Times New Roman"/>
                <w:color w:val="000000" w:themeColor="text1"/>
              </w:rPr>
              <w:t xml:space="preserve">, </w:t>
            </w:r>
            <w:hyperlink r:id="rId18">
              <w:r w:rsidRPr="002A1395">
                <w:rPr>
                  <w:rFonts w:ascii="Times New Roman" w:hAnsi="Times New Roman" w:cs="Times New Roman"/>
                  <w:color w:val="000000" w:themeColor="text1"/>
                </w:rPr>
                <w:t>§ 12</w:t>
              </w:r>
            </w:hyperlink>
            <w:r w:rsidRPr="002A1395">
              <w:rPr>
                <w:rFonts w:ascii="Times New Roman" w:hAnsi="Times New Roman" w:cs="Times New Roman"/>
                <w:color w:val="000000" w:themeColor="text1"/>
              </w:rPr>
              <w:t xml:space="preserve"> odst. 2 písm. b) zákona ČNR č. 9/1991 Sb., o zaměstnanosti a působnosti orgánů České republiky na úseku zaměstnanosti.</w:t>
            </w:r>
          </w:p>
        </w:tc>
        <w:bookmarkEnd w:id="33"/>
      </w:tr>
      <w:tr w:rsidR="00AE380E" w:rsidRPr="002A1395">
        <w:tblPrEx>
          <w:tblCellSpacing w:w="20" w:type="dxa"/>
          <w:tblBorders>
            <w:top w:val="dotted" w:sz="8" w:space="0" w:color="808080"/>
          </w:tblBorders>
        </w:tblPrEx>
        <w:trPr>
          <w:gridAfter w:val="1"/>
          <w:wAfter w:w="10" w:type="dxa"/>
          <w:trHeight w:val="30"/>
          <w:tblCellSpacing w:w="20" w:type="dxa"/>
        </w:trPr>
        <w:tc>
          <w:tcPr>
            <w:tcW w:w="351" w:type="dxa"/>
            <w:tcMar>
              <w:top w:w="15" w:type="dxa"/>
              <w:left w:w="15" w:type="dxa"/>
              <w:bottom w:w="15" w:type="dxa"/>
              <w:right w:w="15" w:type="dxa"/>
            </w:tcMar>
          </w:tcPr>
          <w:p w:rsidR="00AE380E" w:rsidRPr="002A1395" w:rsidRDefault="009C0E5B">
            <w:pPr>
              <w:spacing w:after="0" w:line="369" w:lineRule="auto"/>
              <w:rPr>
                <w:rFonts w:ascii="Times New Roman" w:hAnsi="Times New Roman" w:cs="Times New Roman"/>
                <w:color w:val="000000" w:themeColor="text1"/>
              </w:rPr>
            </w:pPr>
            <w:r w:rsidRPr="002A1395">
              <w:rPr>
                <w:rFonts w:ascii="Times New Roman" w:hAnsi="Times New Roman" w:cs="Times New Roman"/>
                <w:color w:val="000000" w:themeColor="text1"/>
              </w:rPr>
              <w:t>13</w:t>
            </w:r>
          </w:p>
        </w:tc>
        <w:bookmarkStart w:id="34" w:name="footnote_display_content_d1e2114"/>
        <w:tc>
          <w:tcPr>
            <w:tcW w:w="12563" w:type="dxa"/>
            <w:gridSpan w:val="7"/>
            <w:tcMar>
              <w:top w:w="15" w:type="dxa"/>
              <w:left w:w="15" w:type="dxa"/>
              <w:bottom w:w="15" w:type="dxa"/>
              <w:right w:w="15" w:type="dxa"/>
            </w:tcMar>
          </w:tcPr>
          <w:p w:rsidR="00AE380E" w:rsidRPr="002A1395" w:rsidRDefault="009C0E5B">
            <w:pPr>
              <w:pBdr>
                <w:left w:val="none" w:sz="0" w:space="8" w:color="auto"/>
              </w:pBdr>
              <w:spacing w:after="0" w:line="369" w:lineRule="auto"/>
              <w:ind w:left="540"/>
              <w:rPr>
                <w:rFonts w:ascii="Times New Roman" w:hAnsi="Times New Roman" w:cs="Times New Roman"/>
                <w:color w:val="000000" w:themeColor="text1"/>
              </w:rPr>
            </w:pPr>
            <w:r w:rsidRPr="002A1395">
              <w:rPr>
                <w:rFonts w:ascii="Times New Roman" w:hAnsi="Times New Roman" w:cs="Times New Roman"/>
                <w:color w:val="000000" w:themeColor="text1"/>
              </w:rPr>
              <w:fldChar w:fldCharType="begin"/>
            </w:r>
            <w:r w:rsidRPr="002A1395">
              <w:rPr>
                <w:rFonts w:ascii="Times New Roman" w:hAnsi="Times New Roman" w:cs="Times New Roman"/>
                <w:color w:val="000000" w:themeColor="text1"/>
              </w:rPr>
              <w:instrText xml:space="preserve"> HYPERLINK "http://www.beck-online.cz/</w:instrText>
            </w:r>
            <w:r w:rsidRPr="002A1395">
              <w:rPr>
                <w:rFonts w:ascii="Times New Roman" w:hAnsi="Times New Roman" w:cs="Times New Roman"/>
                <w:color w:val="000000" w:themeColor="text1"/>
              </w:rPr>
              <w:instrText xml:space="preserve">bo/document-view.seam?documentId=onrf6mjzheyf6mzwg4xhazrwga" \h </w:instrText>
            </w:r>
            <w:r w:rsidRPr="002A1395">
              <w:rPr>
                <w:rFonts w:ascii="Times New Roman" w:hAnsi="Times New Roman" w:cs="Times New Roman"/>
                <w:color w:val="000000" w:themeColor="text1"/>
              </w:rPr>
              <w:fldChar w:fldCharType="separate"/>
            </w:r>
            <w:r w:rsidRPr="002A1395">
              <w:rPr>
                <w:rFonts w:ascii="Times New Roman" w:hAnsi="Times New Roman" w:cs="Times New Roman"/>
                <w:color w:val="000000" w:themeColor="text1"/>
              </w:rPr>
              <w:t>§ 60</w:t>
            </w:r>
            <w:r w:rsidRPr="002A1395">
              <w:rPr>
                <w:rFonts w:ascii="Times New Roman" w:hAnsi="Times New Roman" w:cs="Times New Roman"/>
                <w:color w:val="000000" w:themeColor="text1"/>
              </w:rPr>
              <w:fldChar w:fldCharType="end"/>
            </w:r>
            <w:r w:rsidRPr="002A1395">
              <w:rPr>
                <w:rFonts w:ascii="Times New Roman" w:hAnsi="Times New Roman" w:cs="Times New Roman"/>
                <w:color w:val="000000" w:themeColor="text1"/>
              </w:rPr>
              <w:t xml:space="preserve"> odst. 1 písm. c) zákona ČNR č. 367/1990 Sb․, o obcích (</w:t>
            </w:r>
            <w:hyperlink r:id="rId19">
              <w:r w:rsidRPr="002A1395">
                <w:rPr>
                  <w:rFonts w:ascii="Times New Roman" w:hAnsi="Times New Roman" w:cs="Times New Roman"/>
                  <w:color w:val="000000" w:themeColor="text1"/>
                </w:rPr>
                <w:t>obecní zřízení</w:t>
              </w:r>
            </w:hyperlink>
            <w:r w:rsidRPr="002A1395">
              <w:rPr>
                <w:rFonts w:ascii="Times New Roman" w:hAnsi="Times New Roman" w:cs="Times New Roman"/>
                <w:color w:val="000000" w:themeColor="text1"/>
              </w:rPr>
              <w:t>), ve znění zákona Č</w:t>
            </w:r>
            <w:r w:rsidRPr="002A1395">
              <w:rPr>
                <w:rFonts w:ascii="Times New Roman" w:hAnsi="Times New Roman" w:cs="Times New Roman"/>
                <w:color w:val="000000" w:themeColor="text1"/>
              </w:rPr>
              <w:t>NR č. </w:t>
            </w:r>
            <w:hyperlink r:id="rId20">
              <w:r w:rsidRPr="002A1395">
                <w:rPr>
                  <w:rFonts w:ascii="Times New Roman" w:hAnsi="Times New Roman" w:cs="Times New Roman"/>
                  <w:color w:val="000000" w:themeColor="text1"/>
                </w:rPr>
                <w:t>302/1992 Sb.</w:t>
              </w:r>
            </w:hyperlink>
          </w:p>
        </w:tc>
        <w:bookmarkEnd w:id="34"/>
      </w:tr>
    </w:tbl>
    <w:p w:rsidR="009C0E5B" w:rsidRPr="002A1395" w:rsidRDefault="009C0E5B">
      <w:pPr>
        <w:rPr>
          <w:rFonts w:ascii="Times New Roman" w:hAnsi="Times New Roman" w:cs="Times New Roman"/>
          <w:color w:val="000000" w:themeColor="text1"/>
        </w:rPr>
      </w:pPr>
    </w:p>
    <w:sectPr w:rsidR="009C0E5B" w:rsidRPr="002A1395">
      <w:headerReference w:type="default" r:id="rId21"/>
      <w:footerReference w:type="default" r:id="rId22"/>
      <w:headerReference w:type="first" r:id="rId23"/>
      <w:footerReference w:type="first" r:id="rId2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E5B" w:rsidRDefault="009C0E5B">
      <w:pPr>
        <w:spacing w:after="0" w:line="240" w:lineRule="auto"/>
      </w:pPr>
      <w:r>
        <w:separator/>
      </w:r>
    </w:p>
  </w:endnote>
  <w:endnote w:type="continuationSeparator" w:id="0">
    <w:p w:rsidR="009C0E5B" w:rsidRDefault="009C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0E" w:rsidRDefault="00AE380E">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0E" w:rsidRDefault="009C0E5B">
    <w:pPr>
      <w:jc w:val="center"/>
    </w:pPr>
    <w:r>
      <w:rPr>
        <w:sz w:val="21"/>
      </w:rPr>
      <w:t>Z</w:t>
    </w:r>
    <w:r>
      <w:rPr>
        <w:sz w:val="21"/>
      </w:rPr>
      <w:t>droj: http://www.beck-online.cz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E5B" w:rsidRDefault="009C0E5B">
      <w:pPr>
        <w:spacing w:after="0" w:line="240" w:lineRule="auto"/>
      </w:pPr>
      <w:r>
        <w:separator/>
      </w:r>
    </w:p>
  </w:footnote>
  <w:footnote w:type="continuationSeparator" w:id="0">
    <w:p w:rsidR="009C0E5B" w:rsidRDefault="009C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0E" w:rsidRDefault="00AE380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0E" w:rsidRDefault="009C0E5B">
    <w:pPr>
      <w:jc w:val="center"/>
    </w:pPr>
    <w:r>
      <w:rPr>
        <w:sz w:val="21"/>
      </w:rPr>
      <w:t>Univerzita Karlova - právnická fakulta                                  </w:t>
    </w: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08.04.2020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0E"/>
    <w:rsid w:val="002A1395"/>
    <w:rsid w:val="008D3FE7"/>
    <w:rsid w:val="009C0E5B"/>
    <w:rsid w:val="00AE3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0E8D0B1"/>
  <w15:docId w15:val="{578A7B6D-03F6-1A48-BCC2-59B910AD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472C4" w:themeColor="accent1"/>
    </w:rPr>
  </w:style>
  <w:style w:type="paragraph" w:styleId="Normlnodsazen">
    <w:name w:val="Normal Indent"/>
    <w:basedOn w:val="Normln"/>
    <w:uiPriority w:val="99"/>
    <w:unhideWhenUsed/>
    <w:rsid w:val="00841CD9"/>
    <w:pPr>
      <w:ind w:left="720"/>
    </w:pPr>
  </w:style>
  <w:style w:type="paragraph" w:styleId="Podnadpis">
    <w:name w:val="Subtitle"/>
    <w:basedOn w:val="Normln"/>
    <w:next w:val="Normln"/>
    <w:link w:val="Podnadpis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nadpisChar">
    <w:name w:val="Podnadpis Char"/>
    <w:basedOn w:val="Standardnpsmoodstavce"/>
    <w:link w:val="Podnadpis"/>
    <w:uiPriority w:val="11"/>
    <w:rsid w:val="00841CD9"/>
    <w:rPr>
      <w:rFonts w:asciiTheme="majorHAnsi" w:eastAsiaTheme="majorEastAsia" w:hAnsiTheme="majorHAnsi" w:cstheme="majorBidi"/>
      <w:i/>
      <w:iCs/>
      <w:color w:val="4472C4" w:themeColor="accent1"/>
      <w:spacing w:val="15"/>
      <w:sz w:val="24"/>
      <w:szCs w:val="24"/>
    </w:rPr>
  </w:style>
  <w:style w:type="paragraph" w:styleId="Nzev">
    <w:name w:val="Title"/>
    <w:basedOn w:val="Normln"/>
    <w:next w:val="Normln"/>
    <w:link w:val="Nze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d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563C1"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472C4" w:themeColor="accent1"/>
      <w:sz w:val="18"/>
      <w:szCs w:val="18"/>
    </w:rPr>
  </w:style>
  <w:style w:type="paragraph" w:styleId="Zpat">
    <w:name w:val="footer"/>
    <w:basedOn w:val="Normln"/>
    <w:link w:val="ZpatChar"/>
    <w:uiPriority w:val="99"/>
    <w:unhideWhenUsed/>
    <w:rsid w:val="002A1395"/>
    <w:pPr>
      <w:tabs>
        <w:tab w:val="center" w:pos="4536"/>
        <w:tab w:val="right" w:pos="9072"/>
      </w:tabs>
      <w:spacing w:after="0" w:line="240" w:lineRule="auto"/>
    </w:pPr>
  </w:style>
  <w:style w:type="character" w:customStyle="1" w:styleId="ZpatChar">
    <w:name w:val="Zápatí Char"/>
    <w:basedOn w:val="Standardnpsmoodstavce"/>
    <w:link w:val="Zpat"/>
    <w:uiPriority w:val="99"/>
    <w:rsid w:val="002A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eck-online.cz/bo/document-view.seam?documentId=onrf6mjzhezv6obrfzygmmq" TargetMode="External"/><Relationship Id="rId13" Type="http://schemas.openxmlformats.org/officeDocument/2006/relationships/hyperlink" Target="http://www.beck-online.cz/bo/document-view.seam?documentId=onrf6mjzhezv6mjq" TargetMode="External"/><Relationship Id="rId18" Type="http://schemas.openxmlformats.org/officeDocument/2006/relationships/hyperlink" Target="http://www.beck-online.cz/bo/document-view.seam?documentId=onrf6mjzheyv6ojoobtdcmq"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beck-online.cz/bo/document-view.seam?documentId=onrf6mjzheyv6nzy" TargetMode="External"/><Relationship Id="rId12" Type="http://schemas.openxmlformats.org/officeDocument/2006/relationships/hyperlink" Target="http://www.beck-online.cz/bo/document-view.seam?documentId=onrf6mjzhezv6obu" TargetMode="External"/><Relationship Id="rId17" Type="http://schemas.openxmlformats.org/officeDocument/2006/relationships/hyperlink" Target="http://www.beck-online.cz/bo/document-view.seam?documentId=onrf6mjzhezf6njzg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eck-online.cz/bo/document-view.seam?documentId=onrf6mjzheyv6njygixhazry" TargetMode="External"/><Relationship Id="rId20" Type="http://schemas.openxmlformats.org/officeDocument/2006/relationships/hyperlink" Target="http://www.beck-online.cz/bo/document-view.seam?documentId=onrf6mjzhezf6mzqgi" TargetMode="External"/><Relationship Id="rId1" Type="http://schemas.openxmlformats.org/officeDocument/2006/relationships/styles" Target="styles.xml"/><Relationship Id="rId6" Type="http://schemas.openxmlformats.org/officeDocument/2006/relationships/hyperlink" Target="http://www.beck-online.cz/bo/document-view.seam?documentId=onrf6mjzhezv6mjw" TargetMode="External"/><Relationship Id="rId11" Type="http://schemas.openxmlformats.org/officeDocument/2006/relationships/hyperlink" Target="http://www.beck-online.cz/bo/document-view.seam?documentId=onrf6mjzhezv6mjq"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beck-online.cz/bo/document-view.seam?documentId=onrf6mjzhezv6mzqg4" TargetMode="External"/><Relationship Id="rId23" Type="http://schemas.openxmlformats.org/officeDocument/2006/relationships/header" Target="header2.xml"/><Relationship Id="rId10" Type="http://schemas.openxmlformats.org/officeDocument/2006/relationships/hyperlink" Target="http://www.beck-online.cz/bo/document-view.seam?documentId=onrf6mjzhezv6obu" TargetMode="External"/><Relationship Id="rId19" Type="http://schemas.openxmlformats.org/officeDocument/2006/relationships/hyperlink" Target="http://www.beck-online.cz/bo/document-view.seam?documentId=onrf6mjzheyf6mzwg4" TargetMode="External"/><Relationship Id="rId4" Type="http://schemas.openxmlformats.org/officeDocument/2006/relationships/footnotes" Target="footnotes.xml"/><Relationship Id="rId9" Type="http://schemas.openxmlformats.org/officeDocument/2006/relationships/hyperlink" Target="http://www.beck-online.cz/bo/document-view.seam?documentId=onrf6mjzhezv6obrfzygmmq" TargetMode="External"/><Relationship Id="rId14" Type="http://schemas.openxmlformats.org/officeDocument/2006/relationships/hyperlink" Target="http://www.beck-online.cz/bo/document-view.seam?documentId=onrf6mjzhezv6mjwga"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2519</Words>
  <Characters>15518</Characters>
  <Application>Microsoft Office Word</Application>
  <DocSecurity>0</DocSecurity>
  <Lines>310</Lines>
  <Paragraphs>97</Paragraphs>
  <ScaleCrop>false</ScaleCrop>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2020-04-07T22:57:00Z</dcterms:created>
  <dcterms:modified xsi:type="dcterms:W3CDTF">2020-04-07T22:58:00Z</dcterms:modified>
</cp:coreProperties>
</file>