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AC1" w:rsidRPr="00725AC1" w:rsidRDefault="00AA1CF9" w:rsidP="00725AC1">
      <w:pPr>
        <w:pStyle w:val="Nadpis1"/>
        <w:jc w:val="right"/>
        <w:rPr>
          <w:b w:val="0"/>
          <w:sz w:val="24"/>
        </w:rPr>
      </w:pPr>
      <w:bookmarkStart w:id="0" w:name="_GoBack"/>
      <w:bookmarkEnd w:id="0"/>
      <w:r w:rsidRPr="00725AC1">
        <w:rPr>
          <w:b w:val="0"/>
          <w:sz w:val="24"/>
        </w:rPr>
        <w:t>IV.</w:t>
      </w:r>
    </w:p>
    <w:p w:rsidR="00725AC1" w:rsidRPr="00F027E4" w:rsidRDefault="00AA1CF9" w:rsidP="00725AC1">
      <w:pPr>
        <w:pStyle w:val="Nadpis1"/>
        <w:jc w:val="center"/>
        <w:rPr>
          <w:rFonts w:ascii="Times New Roman" w:hAnsi="Times New Roman"/>
          <w:sz w:val="24"/>
        </w:rPr>
      </w:pPr>
      <w:r w:rsidRPr="00F027E4">
        <w:rPr>
          <w:sz w:val="24"/>
        </w:rPr>
        <w:t>INFORMACE O ZDRAVOTNÍCH RIZICÍCH SPOJENÝCH S KVALITOU OVZDUŠÍ V ROCE 201</w:t>
      </w:r>
      <w:r>
        <w:rPr>
          <w:sz w:val="24"/>
        </w:rPr>
        <w:t>8</w:t>
      </w:r>
    </w:p>
    <w:p w:rsidR="0067211B" w:rsidRPr="007C6CB6" w:rsidRDefault="0067211B" w:rsidP="0067211B">
      <w:pPr>
        <w:rPr>
          <w:rFonts w:ascii="Times New Roman" w:hAnsi="Times New Roman"/>
        </w:rPr>
      </w:pPr>
    </w:p>
    <w:p w:rsidR="00EA0BD7" w:rsidRPr="00725AC1" w:rsidRDefault="00AA1CF9" w:rsidP="005E44FA">
      <w:pPr>
        <w:pStyle w:val="Nadpis2"/>
        <w:numPr>
          <w:ilvl w:val="0"/>
          <w:numId w:val="13"/>
        </w:numPr>
        <w:jc w:val="left"/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725AC1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t>Úvod</w:t>
      </w:r>
    </w:p>
    <w:p w:rsidR="009B459E" w:rsidRPr="00725AC1" w:rsidRDefault="00AA1CF9" w:rsidP="000E4A2F">
      <w:pPr>
        <w:spacing w:before="120" w:line="276" w:lineRule="auto"/>
        <w:jc w:val="both"/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Při posuzování kvality venkovního ovzduší </w:t>
      </w:r>
      <w:r w:rsidR="00D63D3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se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D63D3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v obecné rovině </w:t>
      </w:r>
      <w:r w:rsidR="00883245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postup</w:t>
      </w:r>
      <w:r w:rsidR="00D63D3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uje</w:t>
      </w:r>
      <w:r w:rsidR="00883245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dvěma způsoby. </w:t>
      </w:r>
      <w:r w:rsidR="00E40C5D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Základ</w:t>
      </w:r>
      <w:r w:rsidR="00D63D3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</w:t>
      </w:r>
      <w:r w:rsidR="00E40C5D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m je srovnání s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legislativně stanovený</w:t>
      </w:r>
      <w:r w:rsidR="00E40C5D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mi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imisní</w:t>
      </w:r>
      <w:r w:rsidR="00E40C5D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mi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limit</w:t>
      </w:r>
      <w:r w:rsidR="00E40C5D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y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– na principu řízení kvality ovzduší. Výstupem je informace o překročení (formát ANO/NE) či frekvenci překračování imisních limitů na konkrétních měřicích stanicích a aproximac</w:t>
      </w:r>
      <w:r w:rsidR="00D63D3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procentuální</w:t>
      </w:r>
      <w:r w:rsidR="00D63D3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ch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odhad</w:t>
      </w:r>
      <w:r w:rsidR="00D63D3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ů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zatí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žené plochy </w:t>
      </w:r>
      <w:r w:rsidR="00777AF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aglomerací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či </w:t>
      </w:r>
      <w:r w:rsidR="00777AF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odhad počtu nadlimitně exponovaných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obyvatel. T</w:t>
      </w:r>
      <w:r w:rsidR="007A7945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yto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výstupy jsou publikovány v ročenkách ČHMÚ </w:t>
      </w:r>
      <w:r w:rsidR="005B6B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v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tabelární i grafické </w:t>
      </w:r>
      <w:r w:rsidR="005B6B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formě </w:t>
      </w:r>
      <w:r w:rsidR="007A7945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za jednotlivé roky</w:t>
      </w:r>
      <w:r w:rsidR="005B6B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6915C0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="005B6B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</w:t>
      </w:r>
      <w:r w:rsidR="007A7945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5B6B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představují mimo jiné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nutné výstupy </w:t>
      </w:r>
      <w:r w:rsidR="007A7945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pro </w:t>
      </w:r>
      <w:r w:rsidR="00E46107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podávání zpráv</w:t>
      </w:r>
      <w:r w:rsidR="007A7945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EU</w:t>
      </w:r>
      <w:r w:rsidR="003521F6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Zároveň</w:t>
      </w:r>
      <w:r w:rsidR="008058EF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jsou </w:t>
      </w:r>
      <w:r w:rsidR="00352131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jedním </w:t>
      </w:r>
      <w:r w:rsidR="003521F6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="00352131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 podkladů</w:t>
      </w:r>
      <w:r w:rsidR="008058EF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pro detailnější hodnocení kvality ovzduší ve vztahu ke kvantifikaci zdravotních rizik. </w:t>
      </w:r>
    </w:p>
    <w:p w:rsidR="009B459E" w:rsidRPr="00725AC1" w:rsidRDefault="00AA1CF9" w:rsidP="000E4A2F">
      <w:pPr>
        <w:spacing w:before="120" w:line="276" w:lineRule="auto"/>
        <w:jc w:val="both"/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Vliv znečišťujících látek z ovzduší závisí nejen na jejich </w:t>
      </w:r>
      <w:r w:rsidR="00AA0AE1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schopnosti působit na zdraví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ale také na velikosti expozice, tedy na tom po jakou dobu </w:t>
      </w:r>
      <w:r w:rsidR="00E615D2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a 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jak v</w:t>
      </w:r>
      <w:r w:rsidR="00AA0AE1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ysoké 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koncentrac</w:t>
      </w:r>
      <w:r w:rsidR="00AA0AE1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i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lát</w:t>
      </w:r>
      <w:r w:rsidR="00AA0AE1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k </w:t>
      </w:r>
      <w:r w:rsidR="00AA0AE1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jsou lidé vystaveni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. </w:t>
      </w:r>
      <w:r w:rsidR="00E40C5D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Pro účely narůstajících požadavků na hodnocení zdravotních rizik je </w:t>
      </w:r>
      <w:r w:rsidR="00AA0AE1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proto </w:t>
      </w:r>
      <w:r w:rsidR="0066359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potřebná interpretace pros</w:t>
      </w:r>
      <w:r w:rsidR="00597E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torov</w:t>
      </w:r>
      <w:r w:rsidR="0066359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é</w:t>
      </w:r>
      <w:r w:rsidR="00597E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representativnost</w:t>
      </w:r>
      <w:r w:rsidR="0066359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i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dat získávaných v síti stacionárních měřicích stanic</w:t>
      </w:r>
      <w:r w:rsidR="00597E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Využití </w:t>
      </w:r>
      <w:r w:rsidR="00597E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výsledků prostorově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ohraničených staničních měření nebo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modelových zpracování zatížených 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významnými a navíc obtížně kvantifikovatelnými nejistotami 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přináš</w:t>
      </w:r>
      <w:r w:rsidR="00E40C5D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í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problémy</w:t>
      </w:r>
      <w:r w:rsidR="00E40C5D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při odhadu expozice obyvatel znečišťujícím látkám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. </w:t>
      </w:r>
      <w:r w:rsidR="00AA0AE1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Jedním z možných v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ýchodis</w:t>
      </w:r>
      <w:r w:rsidR="00AA0AE1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k </w:t>
      </w:r>
      <w:r w:rsidR="00AA0AE1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je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kategorizace měřicí</w:t>
      </w:r>
      <w:r w:rsidR="00014E97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ch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stanic</w:t>
      </w:r>
      <w:r w:rsidR="00014E97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které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014E97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lze 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rozděl</w:t>
      </w:r>
      <w:r w:rsidR="00014E97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it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podle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intenzit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y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okolní dopravy a podíl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u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dalších 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typů zdrojů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(</w:t>
      </w:r>
      <w:r w:rsidR="00777AF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energetické zdroje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růmysl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) znečišťování ovzduší</w:t>
      </w:r>
      <w:r w:rsidR="00014E97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na specifické typy městských lokalit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. </w:t>
      </w:r>
      <w:r w:rsidR="00777AF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To umožňuje</w:t>
      </w:r>
      <w:r w:rsidR="00014E97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detailnější popis znečištění ovzduší v</w:t>
      </w:r>
      <w:r w:rsidR="003521F6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 městech</w:t>
      </w:r>
      <w:r w:rsidR="00014E97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66359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včetně odhadu střední hodnoty</w:t>
      </w:r>
      <w:r w:rsid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a jejího trendu v ČR a zároveň </w:t>
      </w:r>
      <w:r w:rsidR="0066359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i stratifikaci navazujícího hodnocení zdravotních rizik</w:t>
      </w:r>
      <w:r w:rsidR="00014E97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. </w:t>
      </w:r>
    </w:p>
    <w:p w:rsidR="005D4FD8" w:rsidRPr="00725AC1" w:rsidRDefault="00AA1CF9" w:rsidP="000E4A2F">
      <w:pPr>
        <w:spacing w:before="120" w:line="276" w:lineRule="auto"/>
        <w:jc w:val="both"/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Primární 24hodinová d</w:t>
      </w:r>
      <w:r w:rsidR="00E615D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ata pro hodnocení 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kvalit</w:t>
      </w:r>
      <w:r w:rsidR="00E615D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y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ovzduší byla převzata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převážně 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 databáze ISKO, následně byla zpracována v databázovém prostředí ISID a doplněna o krátkodobé hodnoty (hodinový průměr a osmihodinový klouzavý průměr) z </w:t>
      </w:r>
      <w:r w:rsidR="00201856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tabelární ročenky 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ČHMÚ</w:t>
      </w:r>
      <w:r w:rsidR="00EF413F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3521F6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="00EF413F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za rok 201</w:t>
      </w:r>
      <w:r w:rsidR="001306F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8</w:t>
      </w:r>
      <w:r w:rsidR="00600E61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</w:t>
      </w:r>
      <w:r w:rsidR="00EF413F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Pro potřeby hodnocení zdravotních rizik byla tato data, pro nemožnost provázání s demografickými údaji</w:t>
      </w:r>
      <w:r w:rsidR="00AA0AE1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zpracována ve formě rozpěťových intervalů</w:t>
      </w:r>
      <w:r w:rsidR="003521F6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A to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pro jednotlivé látky (NO</w:t>
      </w:r>
      <w:r w:rsidR="00127D62" w:rsidRPr="00725AC1">
        <w:rPr>
          <w:rFonts w:ascii="Arial" w:hAnsi="Arial" w:cs="Arial"/>
          <w:noProof w:val="0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PM</w:t>
      </w:r>
      <w:r w:rsidR="00127D62" w:rsidRPr="00725AC1">
        <w:rPr>
          <w:rFonts w:ascii="Arial" w:hAnsi="Arial" w:cs="Arial"/>
          <w:noProof w:val="0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</w:t>
      </w:r>
      <w:r w:rsidR="00995960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PM</w:t>
      </w:r>
      <w:r w:rsidR="00995960" w:rsidRPr="00725AC1">
        <w:rPr>
          <w:rFonts w:ascii="Arial" w:hAnsi="Arial" w:cs="Arial"/>
          <w:noProof w:val="0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="00995960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As, Cd, Ni</w:t>
      </w:r>
      <w:r w:rsidR="008749C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benzen</w:t>
      </w:r>
      <w:r w:rsid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a benzo[</w:t>
      </w:r>
      <w:r w:rsidR="00725AC1" w:rsidRPr="00725AC1">
        <w:rPr>
          <w:rFonts w:ascii="Arial" w:hAnsi="Arial" w:cs="Arial"/>
          <w:i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</w:t>
      </w:r>
      <w:r w:rsid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]pyren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)</w:t>
      </w:r>
      <w:r w:rsidR="009B459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127D62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pro celou Českou republiku, pro všechny městské stanice a pro vybrané typy městských lokalit (obytné bez dopravní zátěže, městské s dopravní zátěží </w:t>
      </w:r>
      <w:r w:rsidR="009B459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a městské s průmyslovou zátěží). Uvedený postup nelze pro nedostatek údajů </w:t>
      </w:r>
      <w:r w:rsidR="003521F6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o kvalitě ovzduší </w:t>
      </w:r>
      <w:r w:rsidR="009B459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použít pro </w:t>
      </w:r>
      <w:r w:rsidR="00D63D3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odhad</w:t>
      </w:r>
      <w:r w:rsidR="009B459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66359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úrovní </w:t>
      </w:r>
      <w:r w:rsidR="009B459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zá</w:t>
      </w:r>
      <w:r w:rsid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těže obyvatel malých sídel (&lt; 5 </w:t>
      </w:r>
      <w:r w:rsidR="009B459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000 obyvatel).</w:t>
      </w:r>
    </w:p>
    <w:p w:rsidR="00127D62" w:rsidRPr="00282D39" w:rsidRDefault="00127D62" w:rsidP="00FA209D">
      <w:pPr>
        <w:pStyle w:val="Nadpis2"/>
        <w:jc w:val="left"/>
        <w:rPr>
          <w:rFonts w:ascii="Times New Roman" w:hAnsi="Times New Roman"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bookmarkStart w:id="1" w:name="_Toc170269969"/>
    </w:p>
    <w:p w:rsidR="00FA209D" w:rsidRPr="00725AC1" w:rsidRDefault="00AA1CF9" w:rsidP="005E44FA">
      <w:pPr>
        <w:pStyle w:val="Nadpis2"/>
        <w:numPr>
          <w:ilvl w:val="0"/>
          <w:numId w:val="13"/>
        </w:numPr>
        <w:jc w:val="left"/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725AC1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t>Odhad zdravotních rizik</w:t>
      </w:r>
      <w:bookmarkEnd w:id="1"/>
    </w:p>
    <w:p w:rsidR="00E46107" w:rsidRPr="00725AC1" w:rsidRDefault="00AA1CF9" w:rsidP="000E4A2F">
      <w:pPr>
        <w:pStyle w:val="Zkladntext"/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Základní metodické postupy odhadu zdravotních rizik byly zpracovány zejména Americkou agenturou pro ochranu životního prostředí (US EPA) a Světovou zdravotní organizací (WHO). </w:t>
      </w:r>
      <w:r w:rsidR="00A3058E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V České republice byly z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ákladní metodické podklady pro hodnocení zdravotních riz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ik vydány Ministerstvem zdravotnictví a Ministerstvem životního prostředí. </w:t>
      </w:r>
    </w:p>
    <w:p w:rsidR="000E6B41" w:rsidRPr="00725AC1" w:rsidRDefault="00AA1CF9" w:rsidP="000E4A2F">
      <w:pPr>
        <w:pStyle w:val="Zkladntext"/>
        <w:spacing w:before="120" w:line="276" w:lineRule="auto"/>
        <w:jc w:val="both"/>
        <w:rPr>
          <w:rFonts w:ascii="Arial" w:hAnsi="Arial" w:cs="Arial"/>
          <w:noProof w:val="0"/>
          <w:color w:val="FF000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Zdravotní riziko </w:t>
      </w:r>
      <w:r w:rsidR="000F0C12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vyjadřuje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pravděpodobnost změny zdravotního stavu exponovan</w:t>
      </w:r>
      <w:r w:rsidR="00E46107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ých 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osob.</w:t>
      </w:r>
      <w:r w:rsidR="00E46107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Při hodnocení zdravotních rizik se standardně postupuje </w:t>
      </w:r>
      <w:r w:rsidR="00A3058E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ve čtyřech následných krocích. </w:t>
      </w:r>
      <w:r w:rsidR="00A3058E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lastRenderedPageBreak/>
        <w:t>Nejprve je identifikována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725AC1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zdravotní nebezpečnost</w:t>
      </w:r>
      <w:r w:rsidR="00A3058E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tedy to,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zda je sledovaná látka, faktor nebo komplexní směs schopná vyv</w:t>
      </w:r>
      <w:r w:rsidR="00A3058E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olat nežádoucí zdravotní účinek. Následuje o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dhad </w:t>
      </w:r>
      <w:r w:rsidRPr="000E4A2F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d</w:t>
      </w:r>
      <w:r w:rsidRPr="00725AC1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ávkové závislosti</w:t>
      </w:r>
      <w:r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tohoto efektu, tedy jak se intenzita, frekvence nebo pravděpodobnost nežádoucích účinků mění s dávkou. </w:t>
      </w:r>
      <w:r w:rsidR="00A3058E" w:rsidRPr="00725AC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Třetím a často nejsložitějším krokem v odhadu rizika je </w:t>
      </w:r>
      <w:r w:rsidR="00A3058E" w:rsidRPr="00725AC1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</w:t>
      </w:r>
      <w:r w:rsidRPr="00725AC1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dhad</w:t>
      </w:r>
      <w:r w:rsidR="00A3058E" w:rsidRPr="00725AC1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A3058E" w:rsidRPr="00725AC1">
        <w:rPr>
          <w:rFonts w:ascii="Arial" w:hAnsi="Arial" w:cs="Arial"/>
          <w:b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expozice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to </w:t>
      </w:r>
      <w:r w:rsidR="0058022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znamená, zda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a do jaké míry je </w:t>
      </w:r>
      <w:r w:rsidR="00A3058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populace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vystaven</w:t>
      </w:r>
      <w:r w:rsidR="00A3058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působení sledované látky či faktoru v daném prostředí</w:t>
      </w:r>
      <w:r w:rsidR="005D4FD8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Na základě znalosti situace se při něm sestavuje expoziční scénář, tedy představa, jakými cestami a v jaké intenzitě a množství je konkrétní populace exponována dané látce a jaká je její dávka.</w:t>
      </w:r>
      <w:r w:rsidR="00A3058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Konečným krokem v odhadu rizika je </w:t>
      </w:r>
      <w:r w:rsidR="00A3058E" w:rsidRPr="00725AC1">
        <w:rPr>
          <w:rFonts w:ascii="Arial" w:hAnsi="Arial" w:cs="Arial"/>
          <w:b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ch</w:t>
      </w:r>
      <w:r w:rsidRPr="00725AC1">
        <w:rPr>
          <w:rFonts w:ascii="Arial" w:hAnsi="Arial" w:cs="Arial"/>
          <w:b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arakterizace rizika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. Znamená integraci poznatků vyplývajících ze všech výše zmíněných kroků, včetně zvážení všech nejistot, závažnosti i slabých stránek </w:t>
      </w:r>
      <w:r w:rsidR="00A3058E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použitých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podkladových materiálů. Cílem je dospět, pokud to dostupné </w:t>
      </w:r>
      <w:r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informace umožňují, ke kvantitativnímu vyjádření míry konkrétního zdr</w:t>
      </w:r>
      <w:r w:rsidR="00AE63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avotního rizika za dané situace. </w:t>
      </w:r>
      <w:r w:rsidR="004056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Tento postup</w:t>
      </w:r>
      <w:r w:rsidR="00AE63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který</w:t>
      </w:r>
      <w:r w:rsidR="004056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bývá nejčastěji aplikován pro určitou konkrétní lokalitu</w:t>
      </w:r>
      <w:r w:rsidR="00AE63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a problém</w:t>
      </w:r>
      <w:r w:rsidR="003C6136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</w:t>
      </w:r>
      <w:r w:rsidR="00AE63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byl použit pro následující hodnocení</w:t>
      </w:r>
      <w:r w:rsidR="004056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ovzduší </w:t>
      </w:r>
      <w:r w:rsidR="00AE63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v rámci dostupných podkladů pro</w:t>
      </w:r>
      <w:r w:rsidR="004056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Česk</w:t>
      </w:r>
      <w:r w:rsidR="00AE63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ou</w:t>
      </w:r>
      <w:r w:rsidR="004056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republik</w:t>
      </w:r>
      <w:r w:rsidR="00AE632A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u.</w:t>
      </w:r>
      <w:r w:rsidR="00597E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Výsledkem je hodnocení platné pouze pro území měst, protože pro hodnocení venkovských sídel nejsou k dispozici dostačující informace. Na druhou stranu by mělo </w:t>
      </w:r>
      <w:r w:rsidR="00282D3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variabilitu </w:t>
      </w:r>
      <w:r w:rsidR="00597E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situac</w:t>
      </w:r>
      <w:r w:rsidR="00282D3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</w:t>
      </w:r>
      <w:r w:rsidR="00597E49" w:rsidRPr="00725AC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v těchto malých sídlech zahrnovat stanovené z rozpětí pro Českou republiku. </w:t>
      </w:r>
    </w:p>
    <w:p w:rsidR="009B459E" w:rsidRPr="00365818" w:rsidRDefault="009B459E" w:rsidP="005D4FD8">
      <w:pPr>
        <w:pStyle w:val="Zkladntext"/>
        <w:spacing w:before="120"/>
        <w:jc w:val="both"/>
        <w:rPr>
          <w:rFonts w:ascii="Times New Roman" w:hAnsi="Times New Roman"/>
          <w:color w:val="FF0000"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</w:p>
    <w:p w:rsidR="00653A9B" w:rsidRPr="000E4A2F" w:rsidRDefault="00AA1CF9" w:rsidP="005E44FA">
      <w:pPr>
        <w:pStyle w:val="Nadpis2"/>
        <w:numPr>
          <w:ilvl w:val="0"/>
          <w:numId w:val="13"/>
        </w:numPr>
        <w:jc w:val="left"/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</w:pPr>
      <w:bookmarkStart w:id="2" w:name="_Toc89500100"/>
      <w:r w:rsidRPr="000E4A2F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t>Hodnocené znečišťující látky</w:t>
      </w:r>
    </w:p>
    <w:p w:rsidR="0040562A" w:rsidRPr="000E4A2F" w:rsidRDefault="00AA1CF9" w:rsidP="000E4A2F">
      <w:pPr>
        <w:spacing w:before="120" w:after="120" w:line="276" w:lineRule="auto"/>
        <w:jc w:val="both"/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Ze sledovaných  ukazatelů znečištění ovzduší byly do hodnocení zahrnuty </w:t>
      </w:r>
      <w:r w:rsidR="005513EE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suspendované částice</w:t>
      </w:r>
      <w:r w:rsidR="009B459E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frakce PM</w:t>
      </w:r>
      <w:r w:rsidR="009B459E" w:rsidRPr="000E4A2F">
        <w:rPr>
          <w:rFonts w:ascii="Arial" w:hAnsi="Arial" w:cs="Arial"/>
          <w:noProof w:val="0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="005513EE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2E13FA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 PM</w:t>
      </w:r>
      <w:r w:rsidR="002E13FA" w:rsidRPr="000E4A2F">
        <w:rPr>
          <w:rFonts w:ascii="Arial" w:hAnsi="Arial" w:cs="Arial"/>
          <w:noProof w:val="0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="00732DAC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</w:t>
      </w:r>
      <w:r w:rsidR="005513EE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oxid dusičitý a </w:t>
      </w:r>
      <w:r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škodliviny s karcinogenním účinkem, pro které byla definována míra karcinogenního potenciálu – arsen (As), nikl (Ni)</w:t>
      </w:r>
      <w:r w:rsidR="008749C9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kadmium (Cd), benzen</w:t>
      </w:r>
      <w:r w:rsidR="00713F1A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 </w:t>
      </w:r>
      <w:r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benzo</w:t>
      </w:r>
      <w:r w:rsidR="009B459E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[</w:t>
      </w:r>
      <w:r w:rsidRPr="000E4A2F">
        <w:rPr>
          <w:rFonts w:ascii="Arial" w:hAnsi="Arial" w:cs="Arial"/>
          <w:i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</w:t>
      </w:r>
      <w:r w:rsidR="009B459E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]</w:t>
      </w:r>
      <w:r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pyren. </w:t>
      </w:r>
      <w:r w:rsidR="001638C2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V</w:t>
      </w:r>
      <w:r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 případě polycyklických aromatických uhlovodíků </w:t>
      </w:r>
      <w:r w:rsidR="00FE3D0F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je </w:t>
      </w:r>
      <w:r w:rsidR="004910A5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benzo[</w:t>
      </w:r>
      <w:r w:rsidR="004910A5" w:rsidRPr="000E4A2F">
        <w:rPr>
          <w:rFonts w:ascii="Arial" w:hAnsi="Arial" w:cs="Arial"/>
          <w:i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</w:t>
      </w:r>
      <w:r w:rsidR="004910A5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]pyren </w:t>
      </w:r>
      <w:r w:rsidR="00FE3D0F"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považován za indikátor karcinogenního potenciálu hodnocené směsi</w:t>
      </w:r>
      <w:r w:rsidRPr="000E4A2F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</w:t>
      </w:r>
    </w:p>
    <w:p w:rsidR="00AE632A" w:rsidRPr="001306F8" w:rsidRDefault="00AE632A" w:rsidP="0040562A">
      <w:pPr>
        <w:pStyle w:val="DefaultText1"/>
        <w:rPr>
          <w:b/>
          <w:bCs/>
          <w:color w:val="FF0000"/>
        </w:rPr>
      </w:pPr>
    </w:p>
    <w:p w:rsidR="0040562A" w:rsidRPr="000E4A2F" w:rsidRDefault="00AA1CF9" w:rsidP="005E44FA">
      <w:pPr>
        <w:pStyle w:val="Nadpis2"/>
        <w:numPr>
          <w:ilvl w:val="0"/>
          <w:numId w:val="13"/>
        </w:numPr>
        <w:jc w:val="left"/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0E4A2F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t xml:space="preserve">Stručný souhrn informací o </w:t>
      </w:r>
      <w:r w:rsidR="00E635BC" w:rsidRPr="000E4A2F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t xml:space="preserve">účinku </w:t>
      </w:r>
      <w:r w:rsidRPr="000E4A2F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t>hodnocených lát</w:t>
      </w:r>
      <w:r w:rsidR="00E635BC" w:rsidRPr="000E4A2F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t>e</w:t>
      </w:r>
      <w:r w:rsidRPr="000E4A2F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t>k</w:t>
      </w:r>
    </w:p>
    <w:p w:rsidR="00027317" w:rsidRPr="001306F8" w:rsidRDefault="00027317" w:rsidP="00027317">
      <w:pPr>
        <w:pStyle w:val="DefaultText1"/>
        <w:jc w:val="both"/>
        <w:rPr>
          <w:b/>
          <w:bCs/>
          <w:color w:val="FF0000"/>
        </w:rPr>
      </w:pPr>
    </w:p>
    <w:p w:rsidR="00027317" w:rsidRPr="000E4A2F" w:rsidRDefault="00AA1CF9" w:rsidP="009B459E">
      <w:pPr>
        <w:pStyle w:val="DefaultText1"/>
        <w:jc w:val="both"/>
        <w:rPr>
          <w:rFonts w:ascii="Arial" w:hAnsi="Arial" w:cs="Arial"/>
          <w:sz w:val="22"/>
          <w:szCs w:val="22"/>
        </w:rPr>
      </w:pPr>
      <w:r w:rsidRPr="000E4A2F">
        <w:rPr>
          <w:rFonts w:ascii="Arial" w:hAnsi="Arial" w:cs="Arial"/>
          <w:b/>
          <w:bCs/>
          <w:sz w:val="22"/>
          <w:szCs w:val="22"/>
        </w:rPr>
        <w:t>Oxid dusičitý (NO</w:t>
      </w:r>
      <w:r w:rsidRPr="000E4A2F">
        <w:rPr>
          <w:rFonts w:ascii="Arial" w:hAnsi="Arial" w:cs="Arial"/>
          <w:b/>
          <w:bCs/>
          <w:sz w:val="22"/>
          <w:szCs w:val="22"/>
          <w:vertAlign w:val="subscript"/>
        </w:rPr>
        <w:t>2</w:t>
      </w:r>
      <w:r w:rsidRPr="000E4A2F">
        <w:rPr>
          <w:rFonts w:ascii="Arial" w:hAnsi="Arial" w:cs="Arial"/>
          <w:b/>
          <w:bCs/>
          <w:sz w:val="22"/>
          <w:szCs w:val="22"/>
        </w:rPr>
        <w:t>)</w:t>
      </w:r>
    </w:p>
    <w:p w:rsidR="00916E12" w:rsidRPr="000E4A2F" w:rsidRDefault="00AA1CF9" w:rsidP="000E4A2F">
      <w:pPr>
        <w:pStyle w:val="DefaultText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E4A2F">
        <w:rPr>
          <w:rFonts w:ascii="Arial" w:hAnsi="Arial" w:cs="Arial"/>
          <w:sz w:val="22"/>
          <w:szCs w:val="22"/>
        </w:rPr>
        <w:t>V roce 201</w:t>
      </w:r>
      <w:r w:rsidR="003D066C" w:rsidRPr="000E4A2F">
        <w:rPr>
          <w:rFonts w:ascii="Arial" w:hAnsi="Arial" w:cs="Arial"/>
          <w:sz w:val="22"/>
          <w:szCs w:val="22"/>
        </w:rPr>
        <w:t>8</w:t>
      </w:r>
      <w:r w:rsidRPr="000E4A2F">
        <w:rPr>
          <w:rFonts w:ascii="Arial" w:hAnsi="Arial" w:cs="Arial"/>
          <w:sz w:val="22"/>
          <w:szCs w:val="22"/>
        </w:rPr>
        <w:t xml:space="preserve"> se hodnoty </w:t>
      </w:r>
      <w:r w:rsidR="001A406C" w:rsidRPr="000E4A2F">
        <w:rPr>
          <w:rFonts w:ascii="Arial" w:hAnsi="Arial" w:cs="Arial"/>
          <w:sz w:val="22"/>
          <w:szCs w:val="22"/>
        </w:rPr>
        <w:t xml:space="preserve">průměrných ročních koncentrací </w:t>
      </w:r>
      <w:r w:rsidRPr="000E4A2F">
        <w:rPr>
          <w:rFonts w:ascii="Arial" w:hAnsi="Arial" w:cs="Arial"/>
          <w:sz w:val="22"/>
          <w:szCs w:val="22"/>
        </w:rPr>
        <w:t>p</w:t>
      </w:r>
      <w:r w:rsidR="00027317" w:rsidRPr="000E4A2F">
        <w:rPr>
          <w:rFonts w:ascii="Arial" w:hAnsi="Arial" w:cs="Arial"/>
          <w:sz w:val="22"/>
          <w:szCs w:val="22"/>
        </w:rPr>
        <w:t>řírodní</w:t>
      </w:r>
      <w:r w:rsidRPr="000E4A2F">
        <w:rPr>
          <w:rFonts w:ascii="Arial" w:hAnsi="Arial" w:cs="Arial"/>
          <w:sz w:val="22"/>
          <w:szCs w:val="22"/>
        </w:rPr>
        <w:t>ho</w:t>
      </w:r>
      <w:r w:rsidR="00027317" w:rsidRPr="000E4A2F">
        <w:rPr>
          <w:rFonts w:ascii="Arial" w:hAnsi="Arial" w:cs="Arial"/>
          <w:sz w:val="22"/>
          <w:szCs w:val="22"/>
        </w:rPr>
        <w:t xml:space="preserve"> pozadí </w:t>
      </w:r>
      <w:r w:rsidR="00712355" w:rsidRPr="000E4A2F">
        <w:rPr>
          <w:rFonts w:ascii="Arial" w:hAnsi="Arial" w:cs="Arial"/>
          <w:sz w:val="22"/>
          <w:szCs w:val="22"/>
        </w:rPr>
        <w:t xml:space="preserve">v ČR </w:t>
      </w:r>
      <w:r w:rsidRPr="000E4A2F">
        <w:rPr>
          <w:rFonts w:ascii="Arial" w:hAnsi="Arial" w:cs="Arial"/>
          <w:sz w:val="22"/>
          <w:szCs w:val="22"/>
        </w:rPr>
        <w:t xml:space="preserve">pohybovaly </w:t>
      </w:r>
      <w:r w:rsidR="00027317" w:rsidRPr="000E4A2F">
        <w:rPr>
          <w:rFonts w:ascii="Arial" w:hAnsi="Arial" w:cs="Arial"/>
          <w:sz w:val="22"/>
          <w:szCs w:val="22"/>
        </w:rPr>
        <w:t xml:space="preserve">od </w:t>
      </w:r>
      <w:r w:rsidR="003D066C" w:rsidRPr="000E4A2F">
        <w:rPr>
          <w:rFonts w:ascii="Arial" w:hAnsi="Arial" w:cs="Arial"/>
          <w:sz w:val="22"/>
          <w:szCs w:val="22"/>
        </w:rPr>
        <w:t>2</w:t>
      </w:r>
      <w:r w:rsidR="00D91739" w:rsidRPr="000E4A2F">
        <w:rPr>
          <w:rFonts w:ascii="Arial" w:hAnsi="Arial" w:cs="Arial"/>
          <w:sz w:val="22"/>
          <w:szCs w:val="22"/>
        </w:rPr>
        <w:t>,</w:t>
      </w:r>
      <w:r w:rsidR="001A406C" w:rsidRPr="000E4A2F">
        <w:rPr>
          <w:rFonts w:ascii="Arial" w:hAnsi="Arial" w:cs="Arial"/>
          <w:sz w:val="22"/>
          <w:szCs w:val="22"/>
        </w:rPr>
        <w:t>5</w:t>
      </w:r>
      <w:r w:rsidR="00027317" w:rsidRPr="000E4A2F">
        <w:rPr>
          <w:rFonts w:ascii="Arial" w:hAnsi="Arial" w:cs="Arial"/>
          <w:sz w:val="22"/>
          <w:szCs w:val="22"/>
        </w:rPr>
        <w:t xml:space="preserve"> do </w:t>
      </w:r>
      <w:r w:rsidR="003D066C" w:rsidRPr="000E4A2F">
        <w:rPr>
          <w:rFonts w:ascii="Arial" w:hAnsi="Arial" w:cs="Arial"/>
          <w:sz w:val="22"/>
          <w:szCs w:val="22"/>
        </w:rPr>
        <w:t>6</w:t>
      </w:r>
      <w:r w:rsidR="00027317" w:rsidRPr="000E4A2F">
        <w:rPr>
          <w:rFonts w:ascii="Arial" w:hAnsi="Arial" w:cs="Arial"/>
          <w:sz w:val="22"/>
          <w:szCs w:val="22"/>
        </w:rPr>
        <w:t xml:space="preserve"> µg/m</w:t>
      </w:r>
      <w:r w:rsidR="00027317" w:rsidRPr="000E4A2F">
        <w:rPr>
          <w:rFonts w:ascii="Arial" w:hAnsi="Arial" w:cs="Arial"/>
          <w:sz w:val="22"/>
          <w:szCs w:val="22"/>
          <w:vertAlign w:val="superscript"/>
        </w:rPr>
        <w:t>3</w:t>
      </w:r>
      <w:r w:rsidR="00027317" w:rsidRPr="000E4A2F">
        <w:rPr>
          <w:rFonts w:ascii="Arial" w:hAnsi="Arial" w:cs="Arial"/>
          <w:sz w:val="22"/>
          <w:szCs w:val="22"/>
        </w:rPr>
        <w:t xml:space="preserve">. Roční koncentrace ve městech, resp. </w:t>
      </w:r>
      <w:r w:rsidR="003521F6" w:rsidRPr="000E4A2F">
        <w:rPr>
          <w:rFonts w:ascii="Arial" w:hAnsi="Arial" w:cs="Arial"/>
          <w:sz w:val="22"/>
          <w:szCs w:val="22"/>
        </w:rPr>
        <w:t xml:space="preserve">V </w:t>
      </w:r>
      <w:r w:rsidR="00027317" w:rsidRPr="000E4A2F">
        <w:rPr>
          <w:rFonts w:ascii="Arial" w:hAnsi="Arial" w:cs="Arial"/>
          <w:sz w:val="22"/>
          <w:szCs w:val="22"/>
        </w:rPr>
        <w:t>obydlených oblastech kolísa</w:t>
      </w:r>
      <w:r w:rsidRPr="000E4A2F">
        <w:rPr>
          <w:rFonts w:ascii="Arial" w:hAnsi="Arial" w:cs="Arial"/>
          <w:sz w:val="22"/>
          <w:szCs w:val="22"/>
        </w:rPr>
        <w:t>ly</w:t>
      </w:r>
      <w:r w:rsidR="00027317" w:rsidRPr="000E4A2F">
        <w:rPr>
          <w:rFonts w:ascii="Arial" w:hAnsi="Arial" w:cs="Arial"/>
          <w:sz w:val="22"/>
          <w:szCs w:val="22"/>
        </w:rPr>
        <w:t xml:space="preserve"> mezi </w:t>
      </w:r>
      <w:r w:rsidR="003D066C" w:rsidRPr="000E4A2F">
        <w:rPr>
          <w:rFonts w:ascii="Arial" w:hAnsi="Arial" w:cs="Arial"/>
          <w:sz w:val="22"/>
          <w:szCs w:val="22"/>
        </w:rPr>
        <w:t>9</w:t>
      </w:r>
      <w:r w:rsidR="00027317" w:rsidRPr="000E4A2F">
        <w:rPr>
          <w:rFonts w:ascii="Arial" w:hAnsi="Arial" w:cs="Arial"/>
          <w:sz w:val="22"/>
          <w:szCs w:val="22"/>
        </w:rPr>
        <w:t xml:space="preserve"> a</w:t>
      </w:r>
      <w:r w:rsidRPr="000E4A2F">
        <w:rPr>
          <w:rFonts w:ascii="Arial" w:hAnsi="Arial" w:cs="Arial"/>
          <w:sz w:val="22"/>
          <w:szCs w:val="22"/>
        </w:rPr>
        <w:t>ž</w:t>
      </w:r>
      <w:r w:rsidR="00027317" w:rsidRPr="000E4A2F">
        <w:rPr>
          <w:rFonts w:ascii="Arial" w:hAnsi="Arial" w:cs="Arial"/>
          <w:sz w:val="22"/>
          <w:szCs w:val="22"/>
        </w:rPr>
        <w:t xml:space="preserve"> </w:t>
      </w:r>
      <w:r w:rsidR="003D066C" w:rsidRPr="000E4A2F">
        <w:rPr>
          <w:rFonts w:ascii="Arial" w:hAnsi="Arial" w:cs="Arial"/>
          <w:sz w:val="22"/>
          <w:szCs w:val="22"/>
        </w:rPr>
        <w:t>54</w:t>
      </w:r>
      <w:r w:rsidR="00027317" w:rsidRPr="000E4A2F">
        <w:rPr>
          <w:rFonts w:ascii="Arial" w:hAnsi="Arial" w:cs="Arial"/>
          <w:sz w:val="22"/>
          <w:szCs w:val="22"/>
        </w:rPr>
        <w:t xml:space="preserve"> µg/m</w:t>
      </w:r>
      <w:r w:rsidR="002E34D3" w:rsidRPr="000E4A2F">
        <w:rPr>
          <w:rFonts w:ascii="Arial" w:hAnsi="Arial" w:cs="Arial"/>
          <w:sz w:val="22"/>
          <w:szCs w:val="22"/>
          <w:vertAlign w:val="superscript"/>
        </w:rPr>
        <w:t>3</w:t>
      </w:r>
      <w:r w:rsidR="002E34D3" w:rsidRPr="000E4A2F">
        <w:rPr>
          <w:rFonts w:ascii="Arial" w:hAnsi="Arial" w:cs="Arial"/>
          <w:sz w:val="22"/>
          <w:szCs w:val="22"/>
        </w:rPr>
        <w:t xml:space="preserve">, </w:t>
      </w:r>
      <w:r w:rsidRPr="000E4A2F">
        <w:rPr>
          <w:rFonts w:ascii="Arial" w:hAnsi="Arial" w:cs="Arial"/>
          <w:sz w:val="22"/>
          <w:szCs w:val="22"/>
        </w:rPr>
        <w:t xml:space="preserve">maximální </w:t>
      </w:r>
      <w:r w:rsidR="00027317" w:rsidRPr="000E4A2F">
        <w:rPr>
          <w:rFonts w:ascii="Arial" w:hAnsi="Arial" w:cs="Arial"/>
          <w:sz w:val="22"/>
          <w:szCs w:val="22"/>
        </w:rPr>
        <w:t xml:space="preserve">1hodinové koncentrace </w:t>
      </w:r>
      <w:r w:rsidR="003D066C" w:rsidRPr="000E4A2F">
        <w:rPr>
          <w:rFonts w:ascii="Arial" w:hAnsi="Arial" w:cs="Arial"/>
          <w:sz w:val="22"/>
          <w:szCs w:val="22"/>
        </w:rPr>
        <w:t xml:space="preserve">ani </w:t>
      </w:r>
      <w:r w:rsidRPr="000E4A2F">
        <w:rPr>
          <w:rFonts w:ascii="Arial" w:hAnsi="Arial" w:cs="Arial"/>
          <w:sz w:val="22"/>
          <w:szCs w:val="22"/>
        </w:rPr>
        <w:t xml:space="preserve">v extrémně zatížených </w:t>
      </w:r>
      <w:r w:rsidR="00D91739" w:rsidRPr="000E4A2F">
        <w:rPr>
          <w:rFonts w:ascii="Arial" w:hAnsi="Arial" w:cs="Arial"/>
          <w:sz w:val="22"/>
          <w:szCs w:val="22"/>
        </w:rPr>
        <w:t>l</w:t>
      </w:r>
      <w:r w:rsidRPr="000E4A2F">
        <w:rPr>
          <w:rFonts w:ascii="Arial" w:hAnsi="Arial" w:cs="Arial"/>
          <w:sz w:val="22"/>
          <w:szCs w:val="22"/>
        </w:rPr>
        <w:t xml:space="preserve">okalitách </w:t>
      </w:r>
      <w:r w:rsidR="003D066C" w:rsidRPr="000E4A2F">
        <w:rPr>
          <w:rFonts w:ascii="Arial" w:hAnsi="Arial" w:cs="Arial"/>
          <w:sz w:val="22"/>
          <w:szCs w:val="22"/>
        </w:rPr>
        <w:t>nepřekročily</w:t>
      </w:r>
      <w:r w:rsidRPr="000E4A2F">
        <w:rPr>
          <w:rFonts w:ascii="Arial" w:hAnsi="Arial" w:cs="Arial"/>
          <w:sz w:val="22"/>
          <w:szCs w:val="22"/>
        </w:rPr>
        <w:t xml:space="preserve"> </w:t>
      </w:r>
      <w:r w:rsidR="001A406C" w:rsidRPr="000E4A2F">
        <w:rPr>
          <w:rFonts w:ascii="Arial" w:hAnsi="Arial" w:cs="Arial"/>
          <w:sz w:val="22"/>
          <w:szCs w:val="22"/>
        </w:rPr>
        <w:t>2</w:t>
      </w:r>
      <w:r w:rsidRPr="000E4A2F">
        <w:rPr>
          <w:rFonts w:ascii="Arial" w:hAnsi="Arial" w:cs="Arial"/>
          <w:sz w:val="22"/>
          <w:szCs w:val="22"/>
        </w:rPr>
        <w:t>00</w:t>
      </w:r>
      <w:r w:rsidR="00027317" w:rsidRPr="000E4A2F">
        <w:rPr>
          <w:rFonts w:ascii="Arial" w:hAnsi="Arial" w:cs="Arial"/>
          <w:sz w:val="22"/>
          <w:szCs w:val="22"/>
        </w:rPr>
        <w:t xml:space="preserve"> µg/m</w:t>
      </w:r>
      <w:r w:rsidR="00027317" w:rsidRPr="000E4A2F">
        <w:rPr>
          <w:rFonts w:ascii="Arial" w:hAnsi="Arial" w:cs="Arial"/>
          <w:sz w:val="22"/>
          <w:szCs w:val="22"/>
          <w:vertAlign w:val="superscript"/>
        </w:rPr>
        <w:t>3</w:t>
      </w:r>
      <w:r w:rsidR="00027317" w:rsidRPr="000E4A2F">
        <w:rPr>
          <w:rFonts w:ascii="Arial" w:hAnsi="Arial" w:cs="Arial"/>
          <w:sz w:val="22"/>
          <w:szCs w:val="22"/>
        </w:rPr>
        <w:t xml:space="preserve">. </w:t>
      </w:r>
      <w:r w:rsidR="003D066C" w:rsidRPr="000E4A2F">
        <w:rPr>
          <w:rFonts w:ascii="Arial" w:hAnsi="Arial" w:cs="Arial"/>
          <w:sz w:val="22"/>
          <w:szCs w:val="22"/>
        </w:rPr>
        <w:t>Roční imisní limit byl překročen na třech stanicích, situace se, zvláště ve velkých městských aglomeracích mírně zhoršila.</w:t>
      </w:r>
    </w:p>
    <w:p w:rsidR="003D066C" w:rsidRPr="000E4A2F" w:rsidRDefault="00AA1CF9" w:rsidP="000E4A2F">
      <w:pPr>
        <w:pStyle w:val="DefaultText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E4A2F">
        <w:rPr>
          <w:rFonts w:ascii="Arial" w:hAnsi="Arial" w:cs="Arial"/>
          <w:sz w:val="22"/>
          <w:szCs w:val="22"/>
        </w:rPr>
        <w:t>Působení oxidu dusičitého (NO</w:t>
      </w:r>
      <w:r w:rsidRPr="000E4A2F">
        <w:rPr>
          <w:rFonts w:ascii="Arial" w:hAnsi="Arial" w:cs="Arial"/>
          <w:sz w:val="22"/>
          <w:szCs w:val="22"/>
          <w:vertAlign w:val="subscript"/>
        </w:rPr>
        <w:t>2</w:t>
      </w:r>
      <w:r w:rsidRPr="000E4A2F">
        <w:rPr>
          <w:rFonts w:ascii="Arial" w:hAnsi="Arial" w:cs="Arial"/>
          <w:sz w:val="22"/>
          <w:szCs w:val="22"/>
        </w:rPr>
        <w:t xml:space="preserve">) je spojováno se zvýšením celkové, kardiovaskulární </w:t>
      </w:r>
      <w:r w:rsidR="00BA5378" w:rsidRPr="000E4A2F">
        <w:rPr>
          <w:rFonts w:ascii="Arial" w:hAnsi="Arial" w:cs="Arial"/>
          <w:sz w:val="22"/>
          <w:szCs w:val="22"/>
        </w:rPr>
        <w:br/>
      </w:r>
      <w:r w:rsidRPr="000E4A2F">
        <w:rPr>
          <w:rFonts w:ascii="Arial" w:hAnsi="Arial" w:cs="Arial"/>
          <w:sz w:val="22"/>
          <w:szCs w:val="22"/>
        </w:rPr>
        <w:t xml:space="preserve">a respirační úmrtnosti. Je majoritně </w:t>
      </w:r>
      <w:r w:rsidRPr="000E4A2F">
        <w:rPr>
          <w:rFonts w:ascii="Arial" w:hAnsi="Arial" w:cs="Arial"/>
          <w:sz w:val="22"/>
          <w:szCs w:val="22"/>
        </w:rPr>
        <w:t xml:space="preserve">emitován při spalování, nejvyšší měřené hodnoty nalézáme v oblastech zatížených intenzivní dopravou a vytápěním. Jeho koncentrace vysoce korelují s ostatními primárními i sekundárními zplodinami. Nelze proto jasně stanovit, zda pozorované zdravotní účinky </w:t>
      </w:r>
      <w:r w:rsidRPr="000E4A2F">
        <w:rPr>
          <w:rFonts w:ascii="Arial" w:hAnsi="Arial" w:cs="Arial"/>
          <w:sz w:val="22"/>
          <w:szCs w:val="22"/>
        </w:rPr>
        <w:t>jsou důsledkem nezávislého vlivu NO</w:t>
      </w:r>
      <w:r w:rsidRPr="000E4A2F">
        <w:rPr>
          <w:rFonts w:ascii="Arial" w:hAnsi="Arial" w:cs="Arial"/>
          <w:sz w:val="22"/>
          <w:szCs w:val="22"/>
          <w:vertAlign w:val="subscript"/>
        </w:rPr>
        <w:t>2</w:t>
      </w:r>
      <w:r w:rsidRPr="000E4A2F">
        <w:rPr>
          <w:rFonts w:ascii="Arial" w:hAnsi="Arial" w:cs="Arial"/>
          <w:sz w:val="22"/>
          <w:szCs w:val="22"/>
        </w:rPr>
        <w:t xml:space="preserve"> nebo spíše působením celé směsi látek, zejména aerosolu, uhlovodíků, ozónu a dalších látek. Hlavním účinkem krátkodobého působení vysokých koncentrací NO</w:t>
      </w:r>
      <w:r w:rsidRPr="000E4A2F">
        <w:rPr>
          <w:rFonts w:ascii="Arial" w:hAnsi="Arial" w:cs="Arial"/>
          <w:sz w:val="22"/>
          <w:szCs w:val="22"/>
          <w:vertAlign w:val="subscript"/>
        </w:rPr>
        <w:t>2</w:t>
      </w:r>
      <w:r w:rsidRPr="000E4A2F">
        <w:rPr>
          <w:rFonts w:ascii="Arial" w:hAnsi="Arial" w:cs="Arial"/>
          <w:sz w:val="22"/>
          <w:szCs w:val="22"/>
        </w:rPr>
        <w:t xml:space="preserve"> je nárůst reaktivity dýchacích cest. </w:t>
      </w:r>
      <w:r w:rsidR="00BA5378" w:rsidRPr="000E4A2F">
        <w:rPr>
          <w:rFonts w:ascii="Arial" w:hAnsi="Arial" w:cs="Arial"/>
          <w:sz w:val="22"/>
          <w:szCs w:val="22"/>
        </w:rPr>
        <w:br/>
      </w:r>
      <w:r w:rsidRPr="000E4A2F">
        <w:rPr>
          <w:rFonts w:ascii="Arial" w:hAnsi="Arial" w:cs="Arial"/>
          <w:sz w:val="22"/>
          <w:szCs w:val="22"/>
        </w:rPr>
        <w:t>Na základě působení na změ</w:t>
      </w:r>
      <w:r w:rsidRPr="000E4A2F">
        <w:rPr>
          <w:rFonts w:ascii="Arial" w:hAnsi="Arial" w:cs="Arial"/>
          <w:sz w:val="22"/>
          <w:szCs w:val="22"/>
        </w:rPr>
        <w:t>ny reaktivity u nejcitlivějších astmatiků je také odvozena doporučená hodnota WHO pro 1hodinovou koncentraci NO</w:t>
      </w:r>
      <w:r w:rsidRPr="000E4A2F">
        <w:rPr>
          <w:rFonts w:ascii="Arial" w:hAnsi="Arial" w:cs="Arial"/>
          <w:sz w:val="22"/>
          <w:szCs w:val="22"/>
          <w:vertAlign w:val="subscript"/>
        </w:rPr>
        <w:t>2</w:t>
      </w:r>
      <w:r w:rsidRPr="000E4A2F">
        <w:rPr>
          <w:rFonts w:ascii="Arial" w:hAnsi="Arial" w:cs="Arial"/>
          <w:sz w:val="22"/>
          <w:szCs w:val="22"/>
        </w:rPr>
        <w:t xml:space="preserve"> (200 µg/m</w:t>
      </w:r>
      <w:r w:rsidRPr="000E4A2F">
        <w:rPr>
          <w:rFonts w:ascii="Arial" w:hAnsi="Arial" w:cs="Arial"/>
          <w:sz w:val="22"/>
          <w:szCs w:val="22"/>
          <w:vertAlign w:val="superscript"/>
        </w:rPr>
        <w:t>3</w:t>
      </w:r>
      <w:r w:rsidRPr="000E4A2F">
        <w:rPr>
          <w:rFonts w:ascii="Arial" w:hAnsi="Arial" w:cs="Arial"/>
          <w:sz w:val="22"/>
          <w:szCs w:val="22"/>
        </w:rPr>
        <w:t>). Nejvíce jsou oxidu dusičitému vystaveni obyvatelé velkých městských aglomerací významně ovlivněných dopravou. Pro děti znamená exp</w:t>
      </w:r>
      <w:r w:rsidRPr="000E4A2F">
        <w:rPr>
          <w:rFonts w:ascii="Arial" w:hAnsi="Arial" w:cs="Arial"/>
          <w:sz w:val="22"/>
          <w:szCs w:val="22"/>
        </w:rPr>
        <w:t>ozice vyšším hodnotám NO</w:t>
      </w:r>
      <w:r w:rsidRPr="000E4A2F">
        <w:rPr>
          <w:rFonts w:ascii="Arial" w:hAnsi="Arial" w:cs="Arial"/>
          <w:sz w:val="22"/>
          <w:szCs w:val="22"/>
          <w:vertAlign w:val="subscript"/>
        </w:rPr>
        <w:t>2</w:t>
      </w:r>
      <w:r w:rsidRPr="000E4A2F">
        <w:rPr>
          <w:rFonts w:ascii="Arial" w:hAnsi="Arial" w:cs="Arial"/>
          <w:sz w:val="22"/>
          <w:szCs w:val="22"/>
        </w:rPr>
        <w:t xml:space="preserve"> zvýšené riziko respiračních onemocnění v důsledku snížené obranyschopnosti vůči infekci a snížení plicních funkcí. </w:t>
      </w:r>
      <w:r w:rsidR="00BA5378" w:rsidRPr="000E4A2F">
        <w:rPr>
          <w:rFonts w:ascii="Arial" w:hAnsi="Arial" w:cs="Arial"/>
          <w:sz w:val="22"/>
          <w:szCs w:val="22"/>
        </w:rPr>
        <w:br/>
      </w:r>
      <w:r w:rsidRPr="000E4A2F">
        <w:rPr>
          <w:rFonts w:ascii="Arial" w:hAnsi="Arial" w:cs="Arial"/>
          <w:sz w:val="22"/>
          <w:szCs w:val="22"/>
        </w:rPr>
        <w:lastRenderedPageBreak/>
        <w:t>Z hodnot zjištěných ročních průměrů vyplývá, že u obyvatel v dopravou zatížených oblastech, např. v pražské nebo b</w:t>
      </w:r>
      <w:r w:rsidRPr="000E4A2F">
        <w:rPr>
          <w:rFonts w:ascii="Arial" w:hAnsi="Arial" w:cs="Arial"/>
          <w:sz w:val="22"/>
          <w:szCs w:val="22"/>
        </w:rPr>
        <w:t xml:space="preserve">rněnské aglomeraci, lze očekávat snížení plicních funkcí, zvýšení výskytu respiračních onemocnění, zvýšený výskyt astmatických obtíží a alergií, a to u dětí </w:t>
      </w:r>
      <w:r w:rsidR="00BA5378" w:rsidRPr="000E4A2F">
        <w:rPr>
          <w:rFonts w:ascii="Arial" w:hAnsi="Arial" w:cs="Arial"/>
          <w:sz w:val="22"/>
          <w:szCs w:val="22"/>
        </w:rPr>
        <w:br/>
      </w:r>
      <w:r w:rsidRPr="000E4A2F">
        <w:rPr>
          <w:rFonts w:ascii="Arial" w:hAnsi="Arial" w:cs="Arial"/>
          <w:sz w:val="22"/>
          <w:szCs w:val="22"/>
        </w:rPr>
        <w:t>i dospělých. Přestože některé kvantitativní vztahy expozice a zdravotních účinků NO</w:t>
      </w:r>
      <w:r w:rsidRPr="000E4A2F">
        <w:rPr>
          <w:rFonts w:ascii="Arial" w:hAnsi="Arial" w:cs="Arial"/>
          <w:sz w:val="22"/>
          <w:szCs w:val="22"/>
          <w:vertAlign w:val="subscript"/>
        </w:rPr>
        <w:t>2</w:t>
      </w:r>
      <w:r w:rsidRPr="000E4A2F">
        <w:rPr>
          <w:rFonts w:ascii="Arial" w:hAnsi="Arial" w:cs="Arial"/>
          <w:sz w:val="22"/>
          <w:szCs w:val="22"/>
        </w:rPr>
        <w:t xml:space="preserve"> (např. na cel</w:t>
      </w:r>
      <w:r w:rsidRPr="000E4A2F">
        <w:rPr>
          <w:rFonts w:ascii="Arial" w:hAnsi="Arial" w:cs="Arial"/>
          <w:sz w:val="22"/>
          <w:szCs w:val="22"/>
        </w:rPr>
        <w:t xml:space="preserve">kovou, kardiovaskulární a respirační úmrtnost) již byly specifikovány, nelze jednoznačně stanovit míru překrývání těchto účinků s působením ostatních znečišťujících látek v ovzduší. </w:t>
      </w:r>
      <w:r w:rsidRPr="000E4A2F">
        <w:rPr>
          <w:rFonts w:ascii="Arial" w:hAnsi="Arial" w:cs="Arial"/>
          <w:sz w:val="22"/>
          <w:szCs w:val="22"/>
          <w:u w:val="single"/>
        </w:rPr>
        <w:t>Proto WHO doporučuje hodnotit zdravotní dopady znečištění ovzduší na zákla</w:t>
      </w:r>
      <w:r w:rsidRPr="000E4A2F">
        <w:rPr>
          <w:rFonts w:ascii="Arial" w:hAnsi="Arial" w:cs="Arial"/>
          <w:sz w:val="22"/>
          <w:szCs w:val="22"/>
          <w:u w:val="single"/>
        </w:rPr>
        <w:t>dě vztahů pro aerosolové částice, ve kterých je vliv NO</w:t>
      </w:r>
      <w:r w:rsidRPr="000E4A2F">
        <w:rPr>
          <w:rFonts w:ascii="Arial" w:hAnsi="Arial" w:cs="Arial"/>
          <w:sz w:val="22"/>
          <w:szCs w:val="22"/>
          <w:u w:val="single"/>
          <w:vertAlign w:val="subscript"/>
        </w:rPr>
        <w:t>2</w:t>
      </w:r>
      <w:r w:rsidRPr="000E4A2F">
        <w:rPr>
          <w:rFonts w:ascii="Arial" w:hAnsi="Arial" w:cs="Arial"/>
          <w:sz w:val="22"/>
          <w:szCs w:val="22"/>
          <w:u w:val="single"/>
        </w:rPr>
        <w:t xml:space="preserve"> i dalších znečišťujících látek zahrnut.</w:t>
      </w:r>
    </w:p>
    <w:p w:rsidR="00A459EB" w:rsidRPr="000E4A2F" w:rsidRDefault="00AA1CF9" w:rsidP="000E4A2F">
      <w:pPr>
        <w:pStyle w:val="DefaultText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E4A2F">
        <w:rPr>
          <w:rFonts w:ascii="Arial" w:hAnsi="Arial" w:cs="Arial"/>
          <w:sz w:val="22"/>
          <w:szCs w:val="22"/>
        </w:rPr>
        <w:t xml:space="preserve">Pro roční průměrnou koncentraci je v doplňku směrnice WHO 2005 pro kvalitu ovzduší </w:t>
      </w:r>
      <w:r w:rsidR="00713F1A" w:rsidRPr="000E4A2F">
        <w:rPr>
          <w:rFonts w:ascii="Arial" w:hAnsi="Arial" w:cs="Arial"/>
          <w:sz w:val="22"/>
          <w:szCs w:val="22"/>
        </w:rPr>
        <w:br/>
      </w:r>
      <w:r w:rsidRPr="000E4A2F">
        <w:rPr>
          <w:rFonts w:ascii="Arial" w:hAnsi="Arial" w:cs="Arial"/>
          <w:sz w:val="22"/>
          <w:szCs w:val="22"/>
        </w:rPr>
        <w:t>v Evropě uvedena doporučená hodnota 40 µg/m</w:t>
      </w:r>
      <w:r w:rsidRPr="000E4A2F">
        <w:rPr>
          <w:rFonts w:ascii="Arial" w:hAnsi="Arial" w:cs="Arial"/>
          <w:sz w:val="22"/>
          <w:szCs w:val="22"/>
          <w:vertAlign w:val="superscript"/>
        </w:rPr>
        <w:t>3</w:t>
      </w:r>
      <w:r w:rsidRPr="000E4A2F">
        <w:rPr>
          <w:rFonts w:ascii="Arial" w:hAnsi="Arial" w:cs="Arial"/>
          <w:sz w:val="22"/>
          <w:szCs w:val="22"/>
        </w:rPr>
        <w:t>. Z</w:t>
      </w:r>
      <w:r w:rsidR="00A320E2" w:rsidRPr="000E4A2F">
        <w:rPr>
          <w:rFonts w:ascii="Arial" w:hAnsi="Arial" w:cs="Arial"/>
          <w:sz w:val="22"/>
          <w:szCs w:val="22"/>
        </w:rPr>
        <w:t xml:space="preserve"> některých nedávných</w:t>
      </w:r>
      <w:r w:rsidRPr="000E4A2F">
        <w:rPr>
          <w:rFonts w:ascii="Arial" w:hAnsi="Arial" w:cs="Arial"/>
          <w:sz w:val="22"/>
          <w:szCs w:val="22"/>
        </w:rPr>
        <w:t xml:space="preserve"> studií</w:t>
      </w:r>
      <w:r w:rsidR="00A320E2" w:rsidRPr="000E4A2F">
        <w:rPr>
          <w:rFonts w:ascii="Arial" w:hAnsi="Arial" w:cs="Arial"/>
          <w:sz w:val="22"/>
          <w:szCs w:val="22"/>
        </w:rPr>
        <w:t>,</w:t>
      </w:r>
      <w:r w:rsidRPr="000E4A2F">
        <w:rPr>
          <w:rFonts w:ascii="Arial" w:hAnsi="Arial" w:cs="Arial"/>
          <w:sz w:val="22"/>
          <w:szCs w:val="22"/>
        </w:rPr>
        <w:t xml:space="preserve"> zabývajících se vlivem NO</w:t>
      </w:r>
      <w:r w:rsidRPr="000E4A2F">
        <w:rPr>
          <w:rFonts w:ascii="Arial" w:hAnsi="Arial" w:cs="Arial"/>
          <w:sz w:val="22"/>
          <w:szCs w:val="22"/>
          <w:vertAlign w:val="subscript"/>
        </w:rPr>
        <w:t>2</w:t>
      </w:r>
      <w:r w:rsidRPr="000E4A2F">
        <w:rPr>
          <w:rFonts w:ascii="Arial" w:hAnsi="Arial" w:cs="Arial"/>
          <w:sz w:val="22"/>
          <w:szCs w:val="22"/>
        </w:rPr>
        <w:t xml:space="preserve"> ve vnitřním prostředí na zdraví dětí a zejména astmatických osob vyplývá, že pro dlouhodobou zátěž by měla být tato doporučená koncentrace </w:t>
      </w:r>
      <w:r w:rsidR="00A320E2" w:rsidRPr="000E4A2F">
        <w:rPr>
          <w:rFonts w:ascii="Arial" w:hAnsi="Arial" w:cs="Arial"/>
          <w:sz w:val="22"/>
          <w:szCs w:val="22"/>
        </w:rPr>
        <w:t xml:space="preserve">patrně </w:t>
      </w:r>
      <w:r w:rsidRPr="000E4A2F">
        <w:rPr>
          <w:rFonts w:ascii="Arial" w:hAnsi="Arial" w:cs="Arial"/>
          <w:sz w:val="22"/>
          <w:szCs w:val="22"/>
        </w:rPr>
        <w:t>ještě snížena, ale podle WHO pro takový krok zatím není k dispozici dostatek důkaz</w:t>
      </w:r>
      <w:r w:rsidRPr="000E4A2F">
        <w:rPr>
          <w:rFonts w:ascii="Arial" w:hAnsi="Arial" w:cs="Arial"/>
          <w:sz w:val="22"/>
          <w:szCs w:val="22"/>
        </w:rPr>
        <w:t>ů.</w:t>
      </w:r>
    </w:p>
    <w:p w:rsidR="00393913" w:rsidRPr="001306F8" w:rsidRDefault="00393913" w:rsidP="00393913">
      <w:pPr>
        <w:pStyle w:val="DefaultText1"/>
        <w:jc w:val="both"/>
        <w:rPr>
          <w:bCs/>
          <w:color w:val="FF0000"/>
        </w:rPr>
      </w:pPr>
    </w:p>
    <w:p w:rsidR="0040562A" w:rsidRPr="00454751" w:rsidRDefault="00AA1CF9" w:rsidP="00A459EB">
      <w:pPr>
        <w:pStyle w:val="DefaultText1"/>
        <w:jc w:val="both"/>
        <w:rPr>
          <w:rFonts w:ascii="Arial" w:hAnsi="Arial" w:cs="Arial"/>
          <w:b/>
          <w:bCs/>
          <w:sz w:val="22"/>
          <w:szCs w:val="22"/>
        </w:rPr>
      </w:pPr>
      <w:r w:rsidRPr="00454751">
        <w:rPr>
          <w:rFonts w:ascii="Arial" w:hAnsi="Arial" w:cs="Arial"/>
          <w:b/>
          <w:bCs/>
          <w:sz w:val="22"/>
          <w:szCs w:val="22"/>
        </w:rPr>
        <w:t>Aerosol</w:t>
      </w:r>
      <w:r w:rsidR="0069253C" w:rsidRPr="00454751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E365C" w:rsidRPr="00454751" w:rsidRDefault="00AA1CF9" w:rsidP="00454751">
      <w:pPr>
        <w:pStyle w:val="DefaultText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54751">
        <w:rPr>
          <w:rFonts w:ascii="Arial" w:hAnsi="Arial" w:cs="Arial"/>
          <w:noProof/>
          <w:sz w:val="22"/>
          <w:szCs w:val="22"/>
        </w:rPr>
        <w:t xml:space="preserve">Odhad hodnoty lineárního trendu </w:t>
      </w:r>
      <w:r w:rsidR="00907AAC" w:rsidRPr="00454751">
        <w:rPr>
          <w:rFonts w:ascii="Arial" w:hAnsi="Arial" w:cs="Arial"/>
          <w:noProof/>
          <w:sz w:val="22"/>
          <w:szCs w:val="22"/>
        </w:rPr>
        <w:t xml:space="preserve">(příloha č. 1) </w:t>
      </w:r>
      <w:r w:rsidRPr="00454751">
        <w:rPr>
          <w:rFonts w:ascii="Arial" w:hAnsi="Arial" w:cs="Arial"/>
          <w:noProof/>
          <w:sz w:val="22"/>
          <w:szCs w:val="22"/>
        </w:rPr>
        <w:t xml:space="preserve">dokládá, přes mírný </w:t>
      </w:r>
      <w:r w:rsidR="001A406C" w:rsidRPr="00454751">
        <w:rPr>
          <w:rFonts w:ascii="Arial" w:hAnsi="Arial" w:cs="Arial"/>
          <w:noProof/>
          <w:sz w:val="22"/>
          <w:szCs w:val="22"/>
        </w:rPr>
        <w:t>nárůst</w:t>
      </w:r>
      <w:r w:rsidRPr="00454751">
        <w:rPr>
          <w:rFonts w:ascii="Arial" w:hAnsi="Arial" w:cs="Arial"/>
          <w:noProof/>
          <w:sz w:val="22"/>
          <w:szCs w:val="22"/>
        </w:rPr>
        <w:t xml:space="preserve"> v období 201</w:t>
      </w:r>
      <w:r w:rsidR="001A406C" w:rsidRPr="00454751">
        <w:rPr>
          <w:rFonts w:ascii="Arial" w:hAnsi="Arial" w:cs="Arial"/>
          <w:noProof/>
          <w:sz w:val="22"/>
          <w:szCs w:val="22"/>
        </w:rPr>
        <w:t>7</w:t>
      </w:r>
      <w:r w:rsidR="00B13D2B" w:rsidRPr="00454751">
        <w:rPr>
          <w:rFonts w:ascii="Arial" w:hAnsi="Arial" w:cs="Arial"/>
          <w:noProof/>
          <w:sz w:val="22"/>
          <w:szCs w:val="22"/>
        </w:rPr>
        <w:t xml:space="preserve"> </w:t>
      </w:r>
      <w:r w:rsidRPr="00454751">
        <w:rPr>
          <w:rFonts w:ascii="Arial" w:hAnsi="Arial" w:cs="Arial"/>
          <w:noProof/>
          <w:sz w:val="22"/>
          <w:szCs w:val="22"/>
        </w:rPr>
        <w:t xml:space="preserve">až 2018 </w:t>
      </w:r>
      <w:r w:rsidR="00B13D2B" w:rsidRPr="00454751">
        <w:rPr>
          <w:rFonts w:ascii="Arial" w:hAnsi="Arial" w:cs="Arial"/>
          <w:noProof/>
          <w:sz w:val="22"/>
          <w:szCs w:val="22"/>
        </w:rPr>
        <w:t xml:space="preserve">na </w:t>
      </w:r>
      <w:r w:rsidRPr="00454751">
        <w:rPr>
          <w:rFonts w:ascii="Arial" w:hAnsi="Arial" w:cs="Arial"/>
          <w:noProof/>
          <w:sz w:val="22"/>
          <w:szCs w:val="22"/>
        </w:rPr>
        <w:t>24</w:t>
      </w:r>
      <w:r w:rsidR="00B13D2B" w:rsidRPr="00454751">
        <w:rPr>
          <w:rFonts w:ascii="Arial" w:hAnsi="Arial" w:cs="Arial"/>
          <w:noProof/>
          <w:sz w:val="22"/>
          <w:szCs w:val="22"/>
        </w:rPr>
        <w:t xml:space="preserve"> µg/m</w:t>
      </w:r>
      <w:r w:rsidR="00B13D2B" w:rsidRPr="00454751">
        <w:rPr>
          <w:rFonts w:ascii="Arial" w:hAnsi="Arial" w:cs="Arial"/>
          <w:noProof/>
          <w:sz w:val="22"/>
          <w:szCs w:val="22"/>
          <w:vertAlign w:val="superscript"/>
        </w:rPr>
        <w:t>3</w:t>
      </w:r>
      <w:r w:rsidRPr="00454751">
        <w:rPr>
          <w:rFonts w:ascii="Arial" w:hAnsi="Arial" w:cs="Arial"/>
          <w:noProof/>
          <w:sz w:val="22"/>
          <w:szCs w:val="22"/>
        </w:rPr>
        <w:t>,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 přetrváv</w:t>
      </w:r>
      <w:r w:rsidRPr="00454751">
        <w:rPr>
          <w:rFonts w:ascii="Arial" w:hAnsi="Arial" w:cs="Arial"/>
          <w:noProof/>
          <w:sz w:val="22"/>
          <w:szCs w:val="22"/>
        </w:rPr>
        <w:t>ající</w:t>
      </w:r>
      <w:r w:rsidR="00A320E2" w:rsidRPr="00454751">
        <w:rPr>
          <w:rFonts w:ascii="Arial" w:hAnsi="Arial" w:cs="Arial"/>
          <w:noProof/>
          <w:sz w:val="22"/>
          <w:szCs w:val="22"/>
        </w:rPr>
        <w:t>,</w:t>
      </w:r>
      <w:r w:rsidRPr="00454751">
        <w:rPr>
          <w:rFonts w:ascii="Arial" w:hAnsi="Arial" w:cs="Arial"/>
          <w:noProof/>
          <w:sz w:val="22"/>
          <w:szCs w:val="22"/>
        </w:rPr>
        <w:t xml:space="preserve"> </w:t>
      </w:r>
      <w:r w:rsidR="00BA5378" w:rsidRPr="00454751">
        <w:rPr>
          <w:rFonts w:ascii="Arial" w:hAnsi="Arial" w:cs="Arial"/>
          <w:noProof/>
          <w:sz w:val="22"/>
          <w:szCs w:val="22"/>
        </w:rPr>
        <w:t>víceméně</w:t>
      </w:r>
      <w:r w:rsidRPr="00454751">
        <w:rPr>
          <w:rFonts w:ascii="Arial" w:hAnsi="Arial" w:cs="Arial"/>
          <w:noProof/>
          <w:sz w:val="22"/>
          <w:szCs w:val="22"/>
        </w:rPr>
        <w:t xml:space="preserve"> neměnný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 </w:t>
      </w:r>
      <w:r w:rsidRPr="00454751">
        <w:rPr>
          <w:rFonts w:ascii="Arial" w:hAnsi="Arial" w:cs="Arial"/>
          <w:noProof/>
          <w:sz w:val="22"/>
          <w:szCs w:val="22"/>
        </w:rPr>
        <w:t>stav</w:t>
      </w:r>
      <w:r w:rsidR="001C64E1" w:rsidRPr="00454751">
        <w:rPr>
          <w:rFonts w:ascii="Arial" w:hAnsi="Arial" w:cs="Arial"/>
          <w:noProof/>
          <w:sz w:val="22"/>
          <w:szCs w:val="22"/>
        </w:rPr>
        <w:t>. Kvalita ovzduší v monitorovaných sídlech je významněji ovlivňována meteorologickými podmínkami</w:t>
      </w:r>
      <w:r w:rsidR="003521F6" w:rsidRPr="00454751">
        <w:rPr>
          <w:rFonts w:ascii="Arial" w:hAnsi="Arial" w:cs="Arial"/>
          <w:noProof/>
          <w:sz w:val="22"/>
          <w:szCs w:val="22"/>
        </w:rPr>
        <w:t>. Ty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 lze charakterizovat vyšší četností excesů a rychlých změn počasí zahrnujících dlouhodobější suchá období vysokých teplot, krátká období intenzivních srážek či zimní inverzní situace až plošného charakteru.</w:t>
      </w:r>
      <w:r w:rsidR="007E29D3" w:rsidRPr="00454751">
        <w:rPr>
          <w:rFonts w:ascii="Arial" w:hAnsi="Arial" w:cs="Arial"/>
          <w:noProof/>
          <w:sz w:val="22"/>
          <w:szCs w:val="22"/>
        </w:rPr>
        <w:t xml:space="preserve"> Z</w:t>
      </w:r>
      <w:r w:rsidR="00B13D2B" w:rsidRPr="00454751">
        <w:rPr>
          <w:rFonts w:ascii="Arial" w:hAnsi="Arial" w:cs="Arial"/>
          <w:noProof/>
          <w:sz w:val="22"/>
          <w:szCs w:val="22"/>
        </w:rPr>
        <w:t xml:space="preserve">imní období </w:t>
      </w:r>
      <w:r w:rsidR="001C64E1" w:rsidRPr="00454751">
        <w:rPr>
          <w:rFonts w:ascii="Arial" w:hAnsi="Arial" w:cs="Arial"/>
          <w:noProof/>
          <w:sz w:val="22"/>
          <w:szCs w:val="22"/>
        </w:rPr>
        <w:t>(topn</w:t>
      </w:r>
      <w:r w:rsidRPr="00454751">
        <w:rPr>
          <w:rFonts w:ascii="Arial" w:hAnsi="Arial" w:cs="Arial"/>
          <w:noProof/>
          <w:sz w:val="22"/>
          <w:szCs w:val="22"/>
        </w:rPr>
        <w:t>é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 sezón</w:t>
      </w:r>
      <w:r w:rsidRPr="00454751">
        <w:rPr>
          <w:rFonts w:ascii="Arial" w:hAnsi="Arial" w:cs="Arial"/>
          <w:noProof/>
          <w:sz w:val="22"/>
          <w:szCs w:val="22"/>
        </w:rPr>
        <w:t>y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) 2013 </w:t>
      </w:r>
      <w:r w:rsidRPr="00454751">
        <w:rPr>
          <w:rFonts w:ascii="Arial" w:hAnsi="Arial" w:cs="Arial"/>
          <w:noProof/>
          <w:sz w:val="22"/>
          <w:szCs w:val="22"/>
        </w:rPr>
        <w:t>–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 </w:t>
      </w:r>
      <w:r w:rsidR="00A22BE8" w:rsidRPr="00454751">
        <w:rPr>
          <w:rFonts w:ascii="Arial" w:hAnsi="Arial" w:cs="Arial"/>
          <w:noProof/>
          <w:sz w:val="22"/>
          <w:szCs w:val="22"/>
        </w:rPr>
        <w:t xml:space="preserve"> </w:t>
      </w:r>
      <w:r w:rsidRPr="00454751">
        <w:rPr>
          <w:rFonts w:ascii="Arial" w:hAnsi="Arial" w:cs="Arial"/>
          <w:noProof/>
          <w:sz w:val="22"/>
          <w:szCs w:val="22"/>
        </w:rPr>
        <w:t>2018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 </w:t>
      </w:r>
      <w:r w:rsidR="007E29D3" w:rsidRPr="00454751">
        <w:rPr>
          <w:rFonts w:ascii="Arial" w:hAnsi="Arial" w:cs="Arial"/>
          <w:noProof/>
          <w:sz w:val="22"/>
          <w:szCs w:val="22"/>
        </w:rPr>
        <w:t xml:space="preserve">lze stále </w:t>
      </w:r>
      <w:r w:rsidR="001C64E1" w:rsidRPr="00454751">
        <w:rPr>
          <w:rFonts w:ascii="Arial" w:hAnsi="Arial" w:cs="Arial"/>
          <w:noProof/>
          <w:sz w:val="22"/>
          <w:szCs w:val="22"/>
        </w:rPr>
        <w:t>považovat v kontextu dlouhodobého vývoje za velmi mírn</w:t>
      </w:r>
      <w:r w:rsidR="00B13D2B" w:rsidRPr="00454751">
        <w:rPr>
          <w:rFonts w:ascii="Arial" w:hAnsi="Arial" w:cs="Arial"/>
          <w:noProof/>
          <w:sz w:val="22"/>
          <w:szCs w:val="22"/>
        </w:rPr>
        <w:t>á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. Znečištění ovzduší měst a městských aglomerací ovlivňuje zejména doprava, která je zde dominantním a v podstatě plošně působícím zdrojem znečištění ovzduší. Další spolupůsobící zdroje (teplárny, domácí vytápění, </w:t>
      </w:r>
      <w:r w:rsidRPr="00454751">
        <w:rPr>
          <w:rFonts w:ascii="Arial" w:hAnsi="Arial" w:cs="Arial"/>
          <w:noProof/>
          <w:sz w:val="22"/>
          <w:szCs w:val="22"/>
        </w:rPr>
        <w:t xml:space="preserve">malé a střední </w:t>
      </w:r>
      <w:r w:rsidR="001C64E1" w:rsidRPr="00454751">
        <w:rPr>
          <w:rFonts w:ascii="Arial" w:hAnsi="Arial" w:cs="Arial"/>
          <w:noProof/>
          <w:sz w:val="22"/>
          <w:szCs w:val="22"/>
        </w:rPr>
        <w:t>průmysl</w:t>
      </w:r>
      <w:r w:rsidRPr="00454751">
        <w:rPr>
          <w:rFonts w:ascii="Arial" w:hAnsi="Arial" w:cs="Arial"/>
          <w:noProof/>
          <w:sz w:val="22"/>
          <w:szCs w:val="22"/>
        </w:rPr>
        <w:t>ové podniky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) mají více lokální význam. Specifickou oblastí </w:t>
      </w:r>
      <w:r w:rsidR="003521F6" w:rsidRPr="00454751">
        <w:rPr>
          <w:rFonts w:ascii="Arial" w:hAnsi="Arial" w:cs="Arial"/>
          <w:noProof/>
          <w:sz w:val="22"/>
          <w:szCs w:val="22"/>
        </w:rPr>
        <w:t xml:space="preserve">ČR </w:t>
      </w:r>
      <w:r w:rsidR="001C64E1" w:rsidRPr="00454751">
        <w:rPr>
          <w:rFonts w:ascii="Arial" w:hAnsi="Arial" w:cs="Arial"/>
          <w:noProof/>
          <w:sz w:val="22"/>
          <w:szCs w:val="22"/>
        </w:rPr>
        <w:t>je Moravskoslezský kraj (MSK) s dlouhodobě zvýšenými hodnotami škodlivin ve venkovním ovzduší</w:t>
      </w:r>
      <w:r w:rsidR="003521F6" w:rsidRPr="00454751">
        <w:rPr>
          <w:rFonts w:ascii="Arial" w:hAnsi="Arial" w:cs="Arial"/>
          <w:noProof/>
          <w:sz w:val="22"/>
          <w:szCs w:val="22"/>
        </w:rPr>
        <w:t>.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 </w:t>
      </w:r>
      <w:r w:rsidR="003521F6" w:rsidRPr="00454751">
        <w:rPr>
          <w:rFonts w:ascii="Arial" w:hAnsi="Arial" w:cs="Arial"/>
          <w:noProof/>
          <w:sz w:val="22"/>
          <w:szCs w:val="22"/>
        </w:rPr>
        <w:t>Zde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 mají zásadní význam emise z</w:t>
      </w:r>
      <w:r w:rsidR="00454751">
        <w:rPr>
          <w:rFonts w:ascii="Arial" w:hAnsi="Arial" w:cs="Arial"/>
          <w:noProof/>
          <w:sz w:val="22"/>
          <w:szCs w:val="22"/>
        </w:rPr>
        <w:t> </w:t>
      </w:r>
      <w:r w:rsidR="001C64E1" w:rsidRPr="00454751">
        <w:rPr>
          <w:rFonts w:ascii="Arial" w:hAnsi="Arial" w:cs="Arial"/>
          <w:noProof/>
          <w:sz w:val="22"/>
          <w:szCs w:val="22"/>
        </w:rPr>
        <w:t>velkých průmyslových zdrojů a dálkový transport škodlivin.</w:t>
      </w:r>
      <w:r w:rsidR="00454751">
        <w:rPr>
          <w:rFonts w:ascii="Arial" w:hAnsi="Arial" w:cs="Arial"/>
          <w:noProof/>
          <w:sz w:val="22"/>
          <w:szCs w:val="22"/>
        </w:rPr>
        <w:t xml:space="preserve"> </w:t>
      </w:r>
      <w:r w:rsidR="001C64E1" w:rsidRPr="00454751">
        <w:rPr>
          <w:rFonts w:ascii="Arial" w:hAnsi="Arial" w:cs="Arial"/>
          <w:noProof/>
          <w:sz w:val="22"/>
          <w:szCs w:val="22"/>
        </w:rPr>
        <w:t>To potvrzují roční imisní charakteristiky suspendovaných částic frakce PM</w:t>
      </w:r>
      <w:r w:rsidR="001C64E1" w:rsidRPr="00454751">
        <w:rPr>
          <w:rFonts w:ascii="Arial" w:hAnsi="Arial" w:cs="Arial"/>
          <w:noProof/>
          <w:sz w:val="22"/>
          <w:szCs w:val="22"/>
          <w:vertAlign w:val="subscript"/>
        </w:rPr>
        <w:t>10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 a PM</w:t>
      </w:r>
      <w:r w:rsidR="001C64E1" w:rsidRPr="00454751">
        <w:rPr>
          <w:rFonts w:ascii="Arial" w:hAnsi="Arial" w:cs="Arial"/>
          <w:noProof/>
          <w:sz w:val="22"/>
          <w:szCs w:val="22"/>
          <w:vertAlign w:val="subscript"/>
        </w:rPr>
        <w:t>2,5</w:t>
      </w:r>
      <w:r w:rsidR="001C64E1" w:rsidRPr="00454751">
        <w:rPr>
          <w:rFonts w:ascii="Arial" w:hAnsi="Arial" w:cs="Arial"/>
          <w:noProof/>
          <w:sz w:val="22"/>
          <w:szCs w:val="22"/>
        </w:rPr>
        <w:t xml:space="preserve">, které nejenom </w:t>
      </w:r>
      <w:r w:rsidRPr="00454751">
        <w:rPr>
          <w:rFonts w:ascii="Arial" w:hAnsi="Arial" w:cs="Arial"/>
          <w:noProof/>
          <w:sz w:val="22"/>
          <w:szCs w:val="22"/>
        </w:rPr>
        <w:t xml:space="preserve">průmyslem zatížených oblastech ale i v </w:t>
      </w:r>
      <w:r w:rsidR="001C64E1" w:rsidRPr="00454751">
        <w:rPr>
          <w:rFonts w:ascii="Arial" w:hAnsi="Arial" w:cs="Arial"/>
          <w:noProof/>
          <w:sz w:val="22"/>
          <w:szCs w:val="22"/>
        </w:rPr>
        <w:t>městských dopravně exponovaných lokalitách MSK překračují jak doporučené hodnoty Světové zdravotnické organizace (WHO), tak i imisní limity.</w:t>
      </w:r>
      <w:r w:rsidR="00414047" w:rsidRPr="00454751">
        <w:rPr>
          <w:rFonts w:ascii="Arial" w:hAnsi="Arial" w:cs="Arial"/>
          <w:noProof/>
          <w:sz w:val="22"/>
          <w:szCs w:val="22"/>
        </w:rPr>
        <w:t xml:space="preserve"> </w:t>
      </w:r>
      <w:r w:rsidR="00414047" w:rsidRPr="00454751">
        <w:rPr>
          <w:rFonts w:ascii="Arial" w:hAnsi="Arial" w:cs="Arial"/>
          <w:sz w:val="22"/>
          <w:szCs w:val="22"/>
        </w:rPr>
        <w:t>V roce 201</w:t>
      </w:r>
      <w:r w:rsidRPr="00454751">
        <w:rPr>
          <w:rFonts w:ascii="Arial" w:hAnsi="Arial" w:cs="Arial"/>
          <w:sz w:val="22"/>
          <w:szCs w:val="22"/>
        </w:rPr>
        <w:t>8</w:t>
      </w:r>
      <w:r w:rsidR="00414047" w:rsidRPr="00454751">
        <w:rPr>
          <w:rFonts w:ascii="Arial" w:hAnsi="Arial" w:cs="Arial"/>
          <w:sz w:val="22"/>
          <w:szCs w:val="22"/>
        </w:rPr>
        <w:t xml:space="preserve"> se hodnoty přírodního pozadí průměrných ročních koncentrací </w:t>
      </w:r>
      <w:r w:rsidR="003521F6" w:rsidRPr="00454751">
        <w:rPr>
          <w:rFonts w:ascii="Arial" w:hAnsi="Arial" w:cs="Arial"/>
          <w:sz w:val="22"/>
          <w:szCs w:val="22"/>
        </w:rPr>
        <w:t>frakce PM</w:t>
      </w:r>
      <w:r w:rsidR="003521F6" w:rsidRPr="00454751">
        <w:rPr>
          <w:rFonts w:ascii="Arial" w:hAnsi="Arial" w:cs="Arial"/>
          <w:sz w:val="22"/>
          <w:szCs w:val="22"/>
          <w:vertAlign w:val="subscript"/>
        </w:rPr>
        <w:t>10</w:t>
      </w:r>
      <w:r w:rsidR="003521F6" w:rsidRPr="00454751">
        <w:rPr>
          <w:rFonts w:ascii="Arial" w:hAnsi="Arial" w:cs="Arial"/>
          <w:sz w:val="22"/>
          <w:szCs w:val="22"/>
        </w:rPr>
        <w:t xml:space="preserve"> </w:t>
      </w:r>
      <w:r w:rsidR="00414047" w:rsidRPr="00454751">
        <w:rPr>
          <w:rFonts w:ascii="Arial" w:hAnsi="Arial" w:cs="Arial"/>
          <w:sz w:val="22"/>
          <w:szCs w:val="22"/>
        </w:rPr>
        <w:t xml:space="preserve">v ČR pohybovaly od </w:t>
      </w:r>
      <w:r w:rsidRPr="00454751">
        <w:rPr>
          <w:rFonts w:ascii="Arial" w:hAnsi="Arial" w:cs="Arial"/>
          <w:sz w:val="22"/>
          <w:szCs w:val="22"/>
        </w:rPr>
        <w:t>10</w:t>
      </w:r>
      <w:r w:rsidR="00582D26" w:rsidRPr="00454751">
        <w:rPr>
          <w:rFonts w:ascii="Arial" w:hAnsi="Arial" w:cs="Arial"/>
          <w:sz w:val="22"/>
          <w:szCs w:val="22"/>
        </w:rPr>
        <w:t xml:space="preserve"> </w:t>
      </w:r>
      <w:r w:rsidR="00414047" w:rsidRPr="00454751">
        <w:rPr>
          <w:rFonts w:ascii="Arial" w:hAnsi="Arial" w:cs="Arial"/>
          <w:sz w:val="22"/>
          <w:szCs w:val="22"/>
        </w:rPr>
        <w:t>do 1</w:t>
      </w:r>
      <w:r w:rsidRPr="00454751">
        <w:rPr>
          <w:rFonts w:ascii="Arial" w:hAnsi="Arial" w:cs="Arial"/>
          <w:sz w:val="22"/>
          <w:szCs w:val="22"/>
        </w:rPr>
        <w:t>7</w:t>
      </w:r>
      <w:r w:rsidR="00414047" w:rsidRPr="00454751">
        <w:rPr>
          <w:rFonts w:ascii="Arial" w:hAnsi="Arial" w:cs="Arial"/>
          <w:sz w:val="22"/>
          <w:szCs w:val="22"/>
        </w:rPr>
        <w:t xml:space="preserve"> µg/m</w:t>
      </w:r>
      <w:r w:rsidR="00414047" w:rsidRPr="00454751">
        <w:rPr>
          <w:rFonts w:ascii="Arial" w:hAnsi="Arial" w:cs="Arial"/>
          <w:sz w:val="22"/>
          <w:szCs w:val="22"/>
          <w:vertAlign w:val="superscript"/>
        </w:rPr>
        <w:t>3</w:t>
      </w:r>
      <w:r w:rsidR="00414047" w:rsidRPr="00454751">
        <w:rPr>
          <w:rFonts w:ascii="Arial" w:hAnsi="Arial" w:cs="Arial"/>
          <w:sz w:val="22"/>
          <w:szCs w:val="22"/>
        </w:rPr>
        <w:t>. Roční koncentrace</w:t>
      </w:r>
      <w:r w:rsidR="00582D26" w:rsidRPr="00454751">
        <w:rPr>
          <w:rFonts w:ascii="Arial" w:hAnsi="Arial" w:cs="Arial"/>
          <w:sz w:val="22"/>
          <w:szCs w:val="22"/>
        </w:rPr>
        <w:t xml:space="preserve"> </w:t>
      </w:r>
      <w:r w:rsidR="00B13D2B" w:rsidRPr="00454751">
        <w:rPr>
          <w:rFonts w:ascii="Arial" w:hAnsi="Arial" w:cs="Arial"/>
          <w:sz w:val="22"/>
          <w:szCs w:val="22"/>
        </w:rPr>
        <w:t xml:space="preserve">na stanicích </w:t>
      </w:r>
      <w:r w:rsidR="00414047" w:rsidRPr="00454751">
        <w:rPr>
          <w:rFonts w:ascii="Arial" w:hAnsi="Arial" w:cs="Arial"/>
          <w:sz w:val="22"/>
          <w:szCs w:val="22"/>
        </w:rPr>
        <w:t xml:space="preserve">ve městech, resp. obydlených oblastech </w:t>
      </w:r>
      <w:r w:rsidR="004E573D" w:rsidRPr="00454751">
        <w:rPr>
          <w:rFonts w:ascii="Arial" w:hAnsi="Arial" w:cs="Arial"/>
          <w:sz w:val="22"/>
          <w:szCs w:val="22"/>
        </w:rPr>
        <w:t>byly</w:t>
      </w:r>
      <w:r w:rsidR="00414047" w:rsidRPr="00454751">
        <w:rPr>
          <w:rFonts w:ascii="Arial" w:hAnsi="Arial" w:cs="Arial"/>
          <w:sz w:val="22"/>
          <w:szCs w:val="22"/>
        </w:rPr>
        <w:t xml:space="preserve"> mezi 1</w:t>
      </w:r>
      <w:r w:rsidRPr="00454751">
        <w:rPr>
          <w:rFonts w:ascii="Arial" w:hAnsi="Arial" w:cs="Arial"/>
          <w:sz w:val="22"/>
          <w:szCs w:val="22"/>
        </w:rPr>
        <w:t>7,5</w:t>
      </w:r>
      <w:r w:rsidR="00414047" w:rsidRPr="00454751">
        <w:rPr>
          <w:rFonts w:ascii="Arial" w:hAnsi="Arial" w:cs="Arial"/>
          <w:sz w:val="22"/>
          <w:szCs w:val="22"/>
        </w:rPr>
        <w:t xml:space="preserve"> až </w:t>
      </w:r>
      <w:r w:rsidRPr="00454751">
        <w:rPr>
          <w:rFonts w:ascii="Arial" w:hAnsi="Arial" w:cs="Arial"/>
          <w:sz w:val="22"/>
          <w:szCs w:val="22"/>
        </w:rPr>
        <w:t>4</w:t>
      </w:r>
      <w:r w:rsidR="007E29D3" w:rsidRPr="00454751">
        <w:rPr>
          <w:rFonts w:ascii="Arial" w:hAnsi="Arial" w:cs="Arial"/>
          <w:sz w:val="22"/>
          <w:szCs w:val="22"/>
        </w:rPr>
        <w:t>4</w:t>
      </w:r>
      <w:r w:rsidR="00414047" w:rsidRPr="00454751">
        <w:rPr>
          <w:rFonts w:ascii="Arial" w:hAnsi="Arial" w:cs="Arial"/>
          <w:sz w:val="22"/>
          <w:szCs w:val="22"/>
        </w:rPr>
        <w:t xml:space="preserve"> µg/m</w:t>
      </w:r>
      <w:r w:rsidR="00414047" w:rsidRPr="00454751">
        <w:rPr>
          <w:rFonts w:ascii="Arial" w:hAnsi="Arial" w:cs="Arial"/>
          <w:sz w:val="22"/>
          <w:szCs w:val="22"/>
          <w:vertAlign w:val="superscript"/>
        </w:rPr>
        <w:t>3</w:t>
      </w:r>
      <w:r w:rsidRPr="00454751">
        <w:rPr>
          <w:rFonts w:ascii="Arial" w:hAnsi="Arial" w:cs="Arial"/>
          <w:sz w:val="22"/>
          <w:szCs w:val="22"/>
        </w:rPr>
        <w:t>;</w:t>
      </w:r>
      <w:r w:rsidR="00414047" w:rsidRPr="00454751">
        <w:rPr>
          <w:rFonts w:ascii="Arial" w:hAnsi="Arial" w:cs="Arial"/>
          <w:sz w:val="22"/>
          <w:szCs w:val="22"/>
        </w:rPr>
        <w:t xml:space="preserve"> maximální 1hodinové koncentrace ale moh</w:t>
      </w:r>
      <w:r w:rsidR="00A22BE8" w:rsidRPr="00454751">
        <w:rPr>
          <w:rFonts w:ascii="Arial" w:hAnsi="Arial" w:cs="Arial"/>
          <w:sz w:val="22"/>
          <w:szCs w:val="22"/>
        </w:rPr>
        <w:t>ly</w:t>
      </w:r>
      <w:r w:rsidR="00414047" w:rsidRPr="00454751">
        <w:rPr>
          <w:rFonts w:ascii="Arial" w:hAnsi="Arial" w:cs="Arial"/>
          <w:sz w:val="22"/>
          <w:szCs w:val="22"/>
        </w:rPr>
        <w:t xml:space="preserve"> v extrémně zatížených lokalitách </w:t>
      </w:r>
      <w:r w:rsidRPr="00454751">
        <w:rPr>
          <w:rFonts w:ascii="Arial" w:hAnsi="Arial" w:cs="Arial"/>
          <w:sz w:val="22"/>
          <w:szCs w:val="22"/>
        </w:rPr>
        <w:t xml:space="preserve">v období nepříznivých rozptylových podmínek </w:t>
      </w:r>
      <w:r w:rsidR="00414047" w:rsidRPr="00454751">
        <w:rPr>
          <w:rFonts w:ascii="Arial" w:hAnsi="Arial" w:cs="Arial"/>
          <w:sz w:val="22"/>
          <w:szCs w:val="22"/>
        </w:rPr>
        <w:t xml:space="preserve">dosáhnout </w:t>
      </w:r>
      <w:r w:rsidR="004E573D" w:rsidRPr="00454751">
        <w:rPr>
          <w:rFonts w:ascii="Arial" w:hAnsi="Arial" w:cs="Arial"/>
          <w:sz w:val="22"/>
          <w:szCs w:val="22"/>
        </w:rPr>
        <w:t xml:space="preserve">až </w:t>
      </w:r>
      <w:r w:rsidRPr="00454751">
        <w:rPr>
          <w:rFonts w:ascii="Arial" w:hAnsi="Arial" w:cs="Arial"/>
          <w:sz w:val="22"/>
          <w:szCs w:val="22"/>
        </w:rPr>
        <w:t>řádu sta</w:t>
      </w:r>
      <w:r w:rsidR="00414047" w:rsidRPr="00454751">
        <w:rPr>
          <w:rFonts w:ascii="Arial" w:hAnsi="Arial" w:cs="Arial"/>
          <w:sz w:val="22"/>
          <w:szCs w:val="22"/>
        </w:rPr>
        <w:t xml:space="preserve"> µg/m</w:t>
      </w:r>
      <w:r w:rsidR="00414047" w:rsidRPr="00454751">
        <w:rPr>
          <w:rFonts w:ascii="Arial" w:hAnsi="Arial" w:cs="Arial"/>
          <w:sz w:val="22"/>
          <w:szCs w:val="22"/>
          <w:vertAlign w:val="superscript"/>
        </w:rPr>
        <w:t>3</w:t>
      </w:r>
      <w:r w:rsidR="00414047" w:rsidRPr="00454751">
        <w:rPr>
          <w:rFonts w:ascii="Arial" w:hAnsi="Arial" w:cs="Arial"/>
          <w:sz w:val="22"/>
          <w:szCs w:val="22"/>
        </w:rPr>
        <w:t>.</w:t>
      </w:r>
      <w:r w:rsidRPr="00454751">
        <w:rPr>
          <w:rFonts w:ascii="Arial" w:hAnsi="Arial" w:cs="Arial"/>
          <w:sz w:val="22"/>
          <w:szCs w:val="22"/>
        </w:rPr>
        <w:t xml:space="preserve"> Roční imisní limit byl překročen na třech stanicích, situace se, zvláště ve velkých </w:t>
      </w:r>
      <w:r w:rsidRPr="00454751">
        <w:rPr>
          <w:rFonts w:ascii="Arial" w:hAnsi="Arial" w:cs="Arial"/>
          <w:sz w:val="22"/>
          <w:szCs w:val="22"/>
        </w:rPr>
        <w:t>městských aglomeracích mírně zhoršila.</w:t>
      </w:r>
    </w:p>
    <w:p w:rsidR="006915C0" w:rsidRPr="00454751" w:rsidRDefault="00AA1CF9" w:rsidP="00454751">
      <w:pPr>
        <w:pStyle w:val="DefaultText1"/>
        <w:spacing w:before="12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454751">
        <w:rPr>
          <w:rFonts w:ascii="Arial" w:hAnsi="Arial" w:cs="Arial"/>
          <w:noProof/>
          <w:sz w:val="22"/>
          <w:szCs w:val="22"/>
        </w:rPr>
        <w:t>Účinek částic závisí na jejich velikosti, tvaru a chemickém složení. Velikost částic je rozhodující pro průnik a ukládání v dýchacím traktu. Větší částice jsou zachyceny v horních partiích dýchacího ústrojí. Částice f</w:t>
      </w:r>
      <w:r w:rsidRPr="00454751">
        <w:rPr>
          <w:rFonts w:ascii="Arial" w:hAnsi="Arial" w:cs="Arial"/>
          <w:noProof/>
          <w:sz w:val="22"/>
          <w:szCs w:val="22"/>
        </w:rPr>
        <w:t>rakce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10</w:t>
      </w:r>
      <w:r w:rsidRPr="00454751">
        <w:rPr>
          <w:rFonts w:ascii="Arial" w:hAnsi="Arial" w:cs="Arial"/>
          <w:noProof/>
          <w:sz w:val="22"/>
          <w:szCs w:val="22"/>
        </w:rPr>
        <w:t xml:space="preserve"> (se střední hodnotou aerodynamického průmě</w:t>
      </w:r>
      <w:r w:rsidR="00B962E7">
        <w:rPr>
          <w:rFonts w:ascii="Arial" w:hAnsi="Arial" w:cs="Arial"/>
          <w:noProof/>
          <w:sz w:val="22"/>
          <w:szCs w:val="22"/>
        </w:rPr>
        <w:t>ru 10 </w:t>
      </w:r>
      <w:r w:rsidRPr="00454751">
        <w:rPr>
          <w:rFonts w:ascii="Arial" w:hAnsi="Arial" w:cs="Arial"/>
          <w:noProof/>
          <w:sz w:val="22"/>
          <w:szCs w:val="22"/>
        </w:rPr>
        <w:t xml:space="preserve">µm) se dostávají do dolních cest dýchacích. </w:t>
      </w:r>
      <w:r w:rsidR="00DA3F51" w:rsidRPr="00454751">
        <w:rPr>
          <w:rFonts w:ascii="Arial" w:hAnsi="Arial" w:cs="Arial"/>
          <w:noProof/>
          <w:sz w:val="22"/>
          <w:szCs w:val="22"/>
        </w:rPr>
        <w:t>Č</w:t>
      </w:r>
      <w:r w:rsidRPr="00454751">
        <w:rPr>
          <w:rFonts w:ascii="Arial" w:hAnsi="Arial" w:cs="Arial"/>
          <w:noProof/>
          <w:sz w:val="22"/>
          <w:szCs w:val="22"/>
        </w:rPr>
        <w:t>ástice označené jako frakce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2,5</w:t>
      </w:r>
      <w:r w:rsidRPr="00454751">
        <w:rPr>
          <w:rFonts w:ascii="Arial" w:hAnsi="Arial" w:cs="Arial"/>
          <w:noProof/>
          <w:sz w:val="22"/>
          <w:szCs w:val="22"/>
        </w:rPr>
        <w:t xml:space="preserve"> pronikají do p</w:t>
      </w:r>
      <w:r w:rsidR="00DA3F51" w:rsidRPr="00454751">
        <w:rPr>
          <w:rFonts w:ascii="Arial" w:hAnsi="Arial" w:cs="Arial"/>
          <w:noProof/>
          <w:sz w:val="22"/>
          <w:szCs w:val="22"/>
        </w:rPr>
        <w:t>růdušinek, nejjemnější submikrometrická frakce až do p</w:t>
      </w:r>
      <w:r w:rsidRPr="00454751">
        <w:rPr>
          <w:rFonts w:ascii="Arial" w:hAnsi="Arial" w:cs="Arial"/>
          <w:noProof/>
          <w:sz w:val="22"/>
          <w:szCs w:val="22"/>
        </w:rPr>
        <w:t>licních sklípků. Účinky suspendovaných částic jsou</w:t>
      </w:r>
      <w:r w:rsidRPr="00454751">
        <w:rPr>
          <w:rFonts w:ascii="Arial" w:hAnsi="Arial" w:cs="Arial"/>
          <w:noProof/>
          <w:sz w:val="22"/>
          <w:szCs w:val="22"/>
        </w:rPr>
        <w:t xml:space="preserve"> ovlivněny také adsorpcí dalších znečišťujících látek na jejich povrchu.</w:t>
      </w:r>
      <w:r w:rsidR="00A820E8" w:rsidRPr="00454751">
        <w:rPr>
          <w:rFonts w:ascii="Arial" w:hAnsi="Arial" w:cs="Arial"/>
          <w:noProof/>
          <w:sz w:val="22"/>
          <w:szCs w:val="22"/>
        </w:rPr>
        <w:t xml:space="preserve"> </w:t>
      </w:r>
    </w:p>
    <w:p w:rsidR="00AE365C" w:rsidRPr="00454751" w:rsidRDefault="00AA1CF9" w:rsidP="00454751">
      <w:pPr>
        <w:pStyle w:val="DefaultText1"/>
        <w:spacing w:before="12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454751">
        <w:rPr>
          <w:rFonts w:ascii="Arial" w:hAnsi="Arial" w:cs="Arial"/>
          <w:noProof/>
          <w:sz w:val="22"/>
          <w:szCs w:val="22"/>
        </w:rPr>
        <w:lastRenderedPageBreak/>
        <w:t>Aerosolové částice obsažené ve vdechovaném vzduchu mají široké spektrum účinků na srdečně-cévní a respirační ústrojí. Dráždí sliznici dýchacích cest, mohou způsobit změnu struktury i</w:t>
      </w:r>
      <w:r w:rsidRPr="00454751">
        <w:rPr>
          <w:rFonts w:ascii="Arial" w:hAnsi="Arial" w:cs="Arial"/>
          <w:noProof/>
          <w:sz w:val="22"/>
          <w:szCs w:val="22"/>
        </w:rPr>
        <w:t xml:space="preserve"> funkce řasinkové tkáně, zvýšit produkci hlenu a snížit samočisticí schopnosti dýchacího ústrojí. Tyto změny omezují přirozené obranné mechanismy a usnadňují vznik infekce. Recidivující akutní zánětlivá onemocnění mohou vést ke vzniku chronického zánětu pr</w:t>
      </w:r>
      <w:r w:rsidRPr="00454751">
        <w:rPr>
          <w:rFonts w:ascii="Arial" w:hAnsi="Arial" w:cs="Arial"/>
          <w:noProof/>
          <w:sz w:val="22"/>
          <w:szCs w:val="22"/>
        </w:rPr>
        <w:t xml:space="preserve">ůdušek a chronické obstrukční nemoci plic s následným přetížením pravé srdeční komory </w:t>
      </w:r>
      <w:r w:rsidR="00BA5378" w:rsidRPr="00454751">
        <w:rPr>
          <w:rFonts w:ascii="Arial" w:hAnsi="Arial" w:cs="Arial"/>
          <w:noProof/>
          <w:sz w:val="22"/>
          <w:szCs w:val="22"/>
        </w:rPr>
        <w:br/>
      </w:r>
      <w:r w:rsidRPr="00454751">
        <w:rPr>
          <w:rFonts w:ascii="Arial" w:hAnsi="Arial" w:cs="Arial"/>
          <w:noProof/>
          <w:sz w:val="22"/>
          <w:szCs w:val="22"/>
        </w:rPr>
        <w:t>a oběhovým selháváním. Spolupodílí se vliv mnoha dalších individuálních faktorů, jako je stav imunitního systému organismu, alergická dispozice, expozice látkám v pracov</w:t>
      </w:r>
      <w:r w:rsidRPr="00454751">
        <w:rPr>
          <w:rFonts w:ascii="Arial" w:hAnsi="Arial" w:cs="Arial"/>
          <w:noProof/>
          <w:sz w:val="22"/>
          <w:szCs w:val="22"/>
        </w:rPr>
        <w:t>ním prostředí, kouření apod. Jednou z obranných funkcí dýchacích cest je pohlcování vdechnutých částic specializovanými buňkami, tzv. makrofágy. Při tom dochází k uvolňování látek, které navozují zánětlivou reakci v plicní tkáni a mohou přestupovat do krev</w:t>
      </w:r>
      <w:r w:rsidRPr="00454751">
        <w:rPr>
          <w:rFonts w:ascii="Arial" w:hAnsi="Arial" w:cs="Arial"/>
          <w:noProof/>
          <w:sz w:val="22"/>
          <w:szCs w:val="22"/>
        </w:rPr>
        <w:t>ního oběhu. Uvolňované regulační molekuly imunitního systému podporují tvorbu agresivních volných radikálů v bílých krvinkách a tím přispívají k tzv. oxidačnímu stresu. Ten ovlivňuje metabolismus tuků, vede k poškození stěn v tepnách a přispívá k rozvoji a</w:t>
      </w:r>
      <w:r w:rsidRPr="00454751">
        <w:rPr>
          <w:rFonts w:ascii="Arial" w:hAnsi="Arial" w:cs="Arial"/>
          <w:noProof/>
          <w:sz w:val="22"/>
          <w:szCs w:val="22"/>
        </w:rPr>
        <w:t>terosklerózy. Dalším z mechanismů, které se podílí na rozvoji srdečních onemocnění, je ovlivnění elektrické aktivity srdce. Některé studie naznačují, že riziko akutní srdeční pří</w:t>
      </w:r>
      <w:r w:rsidR="00454751" w:rsidRPr="00454751">
        <w:rPr>
          <w:rFonts w:ascii="Arial" w:hAnsi="Arial" w:cs="Arial"/>
          <w:noProof/>
          <w:sz w:val="22"/>
          <w:szCs w:val="22"/>
        </w:rPr>
        <w:t xml:space="preserve">hody je vyšší </w:t>
      </w:r>
      <w:r w:rsidRPr="00454751">
        <w:rPr>
          <w:rFonts w:ascii="Arial" w:hAnsi="Arial" w:cs="Arial"/>
          <w:noProof/>
          <w:sz w:val="22"/>
          <w:szCs w:val="22"/>
        </w:rPr>
        <w:t>u diabetiků. Vzhledem k tomuto širokému</w:t>
      </w:r>
      <w:r w:rsidR="00454751" w:rsidRPr="00454751">
        <w:rPr>
          <w:rFonts w:ascii="Arial" w:hAnsi="Arial" w:cs="Arial"/>
          <w:noProof/>
          <w:sz w:val="22"/>
          <w:szCs w:val="22"/>
        </w:rPr>
        <w:t xml:space="preserve"> </w:t>
      </w:r>
      <w:r w:rsidRPr="00454751">
        <w:rPr>
          <w:rFonts w:ascii="Arial" w:hAnsi="Arial" w:cs="Arial"/>
          <w:noProof/>
          <w:sz w:val="22"/>
          <w:szCs w:val="22"/>
        </w:rPr>
        <w:t>spektru mechanismů systé</w:t>
      </w:r>
      <w:r w:rsidRPr="00454751">
        <w:rPr>
          <w:rFonts w:ascii="Arial" w:hAnsi="Arial" w:cs="Arial"/>
          <w:noProof/>
          <w:sz w:val="22"/>
          <w:szCs w:val="22"/>
        </w:rPr>
        <w:t>mového působení</w:t>
      </w:r>
      <w:r w:rsidR="00454751" w:rsidRPr="00454751">
        <w:rPr>
          <w:rFonts w:ascii="Arial" w:hAnsi="Arial" w:cs="Arial"/>
          <w:noProof/>
          <w:sz w:val="22"/>
          <w:szCs w:val="22"/>
        </w:rPr>
        <w:t xml:space="preserve"> </w:t>
      </w:r>
      <w:r w:rsidRPr="00454751">
        <w:rPr>
          <w:rFonts w:ascii="Arial" w:hAnsi="Arial" w:cs="Arial"/>
          <w:noProof/>
          <w:sz w:val="22"/>
          <w:szCs w:val="22"/>
        </w:rPr>
        <w:t>a i dalším účinkům jsou aerosolové částice považovány za nejvýznamnější environmentální faktor ovlivňující úmrtnost.</w:t>
      </w:r>
    </w:p>
    <w:p w:rsidR="002C1DA9" w:rsidRPr="00454751" w:rsidRDefault="00AA1CF9" w:rsidP="00454751">
      <w:pPr>
        <w:pStyle w:val="DefaultText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54751">
        <w:rPr>
          <w:rFonts w:ascii="Arial" w:hAnsi="Arial" w:cs="Arial"/>
          <w:noProof/>
          <w:sz w:val="22"/>
          <w:szCs w:val="22"/>
        </w:rPr>
        <w:t>Aerosolové částice PM samostatně, stejně jako celá směs látek působících znečištění venkovního ovzduší, jsou zařazeny od ro</w:t>
      </w:r>
      <w:r w:rsidRPr="00454751">
        <w:rPr>
          <w:rFonts w:ascii="Arial" w:hAnsi="Arial" w:cs="Arial"/>
          <w:noProof/>
          <w:sz w:val="22"/>
          <w:szCs w:val="22"/>
        </w:rPr>
        <w:t xml:space="preserve">ku 2013 Mezinárodní Agenturou pro výzkum rakoviny (IARC) Světové zdravotnické organizace (WHO), mezi prokázané lidské karcinogeny skupiny 1, přispívající ke vzniku rakoviny plic. Tento fakt se prozatím nijak neodrazil v doporučeních pro kvantitativní </w:t>
      </w:r>
      <w:r w:rsidR="00B7316A" w:rsidRPr="00454751">
        <w:rPr>
          <w:rFonts w:ascii="Arial" w:hAnsi="Arial" w:cs="Arial"/>
          <w:noProof/>
          <w:sz w:val="22"/>
          <w:szCs w:val="22"/>
        </w:rPr>
        <w:t xml:space="preserve">komplexní </w:t>
      </w:r>
      <w:r w:rsidRPr="00454751">
        <w:rPr>
          <w:rFonts w:ascii="Arial" w:hAnsi="Arial" w:cs="Arial"/>
          <w:noProof/>
          <w:sz w:val="22"/>
          <w:szCs w:val="22"/>
        </w:rPr>
        <w:t>hodnocení</w:t>
      </w:r>
      <w:r w:rsidR="00B7316A" w:rsidRPr="00454751">
        <w:rPr>
          <w:rFonts w:ascii="Arial" w:hAnsi="Arial" w:cs="Arial"/>
          <w:noProof/>
          <w:sz w:val="22"/>
          <w:szCs w:val="22"/>
        </w:rPr>
        <w:t xml:space="preserve"> vlivu znečištěného ovzduší</w:t>
      </w:r>
      <w:r w:rsidRPr="00454751">
        <w:rPr>
          <w:rFonts w:ascii="Arial" w:hAnsi="Arial" w:cs="Arial"/>
          <w:noProof/>
          <w:sz w:val="22"/>
          <w:szCs w:val="22"/>
        </w:rPr>
        <w:t>.</w:t>
      </w:r>
    </w:p>
    <w:p w:rsidR="00BA5378" w:rsidRPr="00454751" w:rsidRDefault="00AA1CF9" w:rsidP="00454751">
      <w:pPr>
        <w:pStyle w:val="DefaultText1"/>
        <w:numPr>
          <w:ilvl w:val="0"/>
          <w:numId w:val="26"/>
        </w:numPr>
        <w:spacing w:before="120" w:line="276" w:lineRule="auto"/>
        <w:jc w:val="both"/>
        <w:rPr>
          <w:rFonts w:ascii="Arial" w:hAnsi="Arial" w:cs="Arial"/>
          <w:sz w:val="20"/>
          <w:szCs w:val="22"/>
        </w:rPr>
      </w:pPr>
      <w:r w:rsidRPr="00454751">
        <w:rPr>
          <w:rFonts w:ascii="Arial" w:hAnsi="Arial" w:cs="Arial"/>
          <w:sz w:val="20"/>
          <w:szCs w:val="22"/>
        </w:rPr>
        <w:t>Krátkodobá expozice zvýšeným koncentracím aerosolových částic se podílí na nárůstu celkové nemocnosti i úmrtnosti, zejména na onemocnění srdečně-cévní a dýchací a na zvýšení počtu osob hospitalizovaných pro tato o</w:t>
      </w:r>
      <w:r w:rsidRPr="00454751">
        <w:rPr>
          <w:rFonts w:ascii="Arial" w:hAnsi="Arial" w:cs="Arial"/>
          <w:sz w:val="20"/>
          <w:szCs w:val="22"/>
        </w:rPr>
        <w:t>nemocnění, zvýšení kojenecké úmrtnosti, zvýšení výskytu respiračních symptomů jako je kaše</w:t>
      </w:r>
      <w:r w:rsidR="00454751" w:rsidRPr="00454751">
        <w:rPr>
          <w:rFonts w:ascii="Arial" w:hAnsi="Arial" w:cs="Arial"/>
          <w:sz w:val="20"/>
          <w:szCs w:val="22"/>
        </w:rPr>
        <w:t>l a ztížené dýchání – zejména u </w:t>
      </w:r>
      <w:r w:rsidRPr="00454751">
        <w:rPr>
          <w:rFonts w:ascii="Arial" w:hAnsi="Arial" w:cs="Arial"/>
          <w:sz w:val="20"/>
          <w:szCs w:val="22"/>
        </w:rPr>
        <w:t>astmatiků a na změnách plicních funkcí při spirometrickém vyšetření.</w:t>
      </w:r>
    </w:p>
    <w:p w:rsidR="00BA5378" w:rsidRPr="00454751" w:rsidRDefault="00AA1CF9" w:rsidP="00454751">
      <w:pPr>
        <w:pStyle w:val="DefaultText1"/>
        <w:numPr>
          <w:ilvl w:val="0"/>
          <w:numId w:val="26"/>
        </w:numPr>
        <w:spacing w:before="120" w:line="276" w:lineRule="auto"/>
        <w:jc w:val="both"/>
        <w:rPr>
          <w:rFonts w:ascii="Arial" w:hAnsi="Arial" w:cs="Arial"/>
          <w:sz w:val="20"/>
          <w:szCs w:val="22"/>
        </w:rPr>
      </w:pPr>
      <w:r w:rsidRPr="00454751">
        <w:rPr>
          <w:rFonts w:ascii="Arial" w:hAnsi="Arial" w:cs="Arial"/>
          <w:sz w:val="20"/>
          <w:szCs w:val="22"/>
        </w:rPr>
        <w:t>Dlouhodobá expozice ovzduší znečištěnému aerosolem má za následek</w:t>
      </w:r>
      <w:r w:rsidRPr="00454751">
        <w:rPr>
          <w:rFonts w:ascii="Arial" w:hAnsi="Arial" w:cs="Arial"/>
          <w:sz w:val="20"/>
          <w:szCs w:val="22"/>
        </w:rPr>
        <w:t xml:space="preserve"> vyšší úmrtnost na choroby srdečně-cévní a respirační, včetně rakoviny plic a s tím související zkrácení délky života, zvýšení nemocnosti na onemocnění dýchacího ústrojí a výskytu symptomů chronického zánětu průdušek</w:t>
      </w:r>
      <w:r w:rsidR="00454751" w:rsidRPr="00454751">
        <w:rPr>
          <w:rFonts w:ascii="Arial" w:hAnsi="Arial" w:cs="Arial"/>
          <w:sz w:val="20"/>
          <w:szCs w:val="22"/>
        </w:rPr>
        <w:t xml:space="preserve"> </w:t>
      </w:r>
      <w:r w:rsidR="00B962E7">
        <w:rPr>
          <w:rFonts w:ascii="Arial" w:hAnsi="Arial" w:cs="Arial"/>
          <w:sz w:val="20"/>
          <w:szCs w:val="22"/>
        </w:rPr>
        <w:t>a </w:t>
      </w:r>
      <w:r w:rsidRPr="00454751">
        <w:rPr>
          <w:rFonts w:ascii="Arial" w:hAnsi="Arial" w:cs="Arial"/>
          <w:sz w:val="20"/>
          <w:szCs w:val="22"/>
        </w:rPr>
        <w:t>snížení plicních funkcí u dětí i dosp</w:t>
      </w:r>
      <w:r w:rsidRPr="00454751">
        <w:rPr>
          <w:rFonts w:ascii="Arial" w:hAnsi="Arial" w:cs="Arial"/>
          <w:sz w:val="20"/>
          <w:szCs w:val="22"/>
        </w:rPr>
        <w:t>ělých.  Přibývá důkazů o vlivu expozice částicím na vznik diabetu II. typu, na neurologický vývoj u dě</w:t>
      </w:r>
      <w:r w:rsidR="00454751" w:rsidRPr="00454751">
        <w:rPr>
          <w:rFonts w:ascii="Arial" w:hAnsi="Arial" w:cs="Arial"/>
          <w:sz w:val="20"/>
          <w:szCs w:val="22"/>
        </w:rPr>
        <w:t>tí a </w:t>
      </w:r>
      <w:r w:rsidRPr="00454751">
        <w:rPr>
          <w:rFonts w:ascii="Arial" w:hAnsi="Arial" w:cs="Arial"/>
          <w:sz w:val="20"/>
          <w:szCs w:val="22"/>
        </w:rPr>
        <w:t>neurologické poruchy u dospělých.</w:t>
      </w:r>
    </w:p>
    <w:p w:rsidR="00BA5378" w:rsidRPr="00454751" w:rsidRDefault="00AA1CF9" w:rsidP="00454751">
      <w:pPr>
        <w:pStyle w:val="DefaultText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54751">
        <w:rPr>
          <w:rFonts w:ascii="Arial" w:hAnsi="Arial" w:cs="Arial"/>
          <w:sz w:val="22"/>
          <w:szCs w:val="22"/>
        </w:rPr>
        <w:t>Pro působení aerosolových částic v ovzduší nebyla zatím zjištěna bezpečná prahová koncentrace. Podle nedávného hodn</w:t>
      </w:r>
      <w:r w:rsidRPr="00454751">
        <w:rPr>
          <w:rFonts w:ascii="Arial" w:hAnsi="Arial" w:cs="Arial"/>
          <w:sz w:val="22"/>
          <w:szCs w:val="22"/>
        </w:rPr>
        <w:t>ocení epidemiologických studií nebylo možné nalézt žádnou takovou mez a zvýšená úmrtnost byla spojena i s velmi nízkými koncentracemi PM</w:t>
      </w:r>
      <w:r w:rsidRPr="00454751">
        <w:rPr>
          <w:rFonts w:ascii="Arial" w:hAnsi="Arial" w:cs="Arial"/>
          <w:sz w:val="22"/>
          <w:szCs w:val="22"/>
          <w:vertAlign w:val="subscript"/>
        </w:rPr>
        <w:t>2,5</w:t>
      </w:r>
      <w:r w:rsidRPr="00454751">
        <w:rPr>
          <w:rFonts w:ascii="Arial" w:hAnsi="Arial" w:cs="Arial"/>
          <w:sz w:val="22"/>
          <w:szCs w:val="22"/>
        </w:rPr>
        <w:t>, např. 8,5 µg/m</w:t>
      </w:r>
      <w:r w:rsidRPr="00454751">
        <w:rPr>
          <w:rFonts w:ascii="Arial" w:hAnsi="Arial" w:cs="Arial"/>
          <w:sz w:val="22"/>
          <w:szCs w:val="22"/>
          <w:vertAlign w:val="superscript"/>
        </w:rPr>
        <w:t>3</w:t>
      </w:r>
      <w:r w:rsidRPr="00454751">
        <w:rPr>
          <w:rFonts w:ascii="Arial" w:hAnsi="Arial" w:cs="Arial"/>
          <w:sz w:val="22"/>
          <w:szCs w:val="22"/>
        </w:rPr>
        <w:t>. Předpokládá se, že citlivost jedinců v populaci má tak velkou variabilitu, že ti nejcitlivější jso</w:t>
      </w:r>
      <w:r w:rsidRPr="00454751">
        <w:rPr>
          <w:rFonts w:ascii="Arial" w:hAnsi="Arial" w:cs="Arial"/>
          <w:sz w:val="22"/>
          <w:szCs w:val="22"/>
        </w:rPr>
        <w:t>u v riziku účinků i při velmi nízkých koncentracích. Při chronické expozici suspendovaným částicím frakce PM</w:t>
      </w:r>
      <w:r w:rsidRPr="00454751">
        <w:rPr>
          <w:rFonts w:ascii="Arial" w:hAnsi="Arial" w:cs="Arial"/>
          <w:sz w:val="22"/>
          <w:szCs w:val="22"/>
          <w:vertAlign w:val="subscript"/>
        </w:rPr>
        <w:t>2,5</w:t>
      </w:r>
      <w:r w:rsidRPr="00454751">
        <w:rPr>
          <w:rFonts w:ascii="Arial" w:hAnsi="Arial" w:cs="Arial"/>
          <w:sz w:val="22"/>
          <w:szCs w:val="22"/>
        </w:rPr>
        <w:t xml:space="preserve"> se redukce očekávané délky života začíná projevovat již od průměrných ročních koncentrací 5 µg/m</w:t>
      </w:r>
      <w:r w:rsidRPr="00454751">
        <w:rPr>
          <w:rFonts w:ascii="Arial" w:hAnsi="Arial" w:cs="Arial"/>
          <w:sz w:val="22"/>
          <w:szCs w:val="22"/>
          <w:vertAlign w:val="superscript"/>
        </w:rPr>
        <w:t>3</w:t>
      </w:r>
      <w:r w:rsidRPr="00454751">
        <w:rPr>
          <w:rFonts w:ascii="Arial" w:hAnsi="Arial" w:cs="Arial"/>
          <w:sz w:val="22"/>
          <w:szCs w:val="22"/>
        </w:rPr>
        <w:t xml:space="preserve">. </w:t>
      </w:r>
    </w:p>
    <w:p w:rsidR="006915C0" w:rsidRPr="00454751" w:rsidRDefault="00AA1CF9" w:rsidP="00454751">
      <w:pPr>
        <w:pStyle w:val="DefaultText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54751">
        <w:rPr>
          <w:rFonts w:ascii="Arial" w:hAnsi="Arial" w:cs="Arial"/>
          <w:sz w:val="22"/>
          <w:szCs w:val="22"/>
        </w:rPr>
        <w:t>Zásadním ukazatelem zdravotních dopadů dlouh</w:t>
      </w:r>
      <w:r w:rsidRPr="00454751">
        <w:rPr>
          <w:rFonts w:ascii="Arial" w:hAnsi="Arial" w:cs="Arial"/>
          <w:sz w:val="22"/>
          <w:szCs w:val="22"/>
        </w:rPr>
        <w:t xml:space="preserve">odobé expozice je </w:t>
      </w:r>
      <w:r w:rsidRPr="00454751">
        <w:rPr>
          <w:rFonts w:ascii="Arial" w:hAnsi="Arial" w:cs="Arial"/>
          <w:sz w:val="22"/>
          <w:szCs w:val="22"/>
          <w:u w:val="single"/>
        </w:rPr>
        <w:t>odhad počtu předčasně zemřelých pro dospělou populaci nad 30 let věku s vyloučením vnějších příčin úmrtí</w:t>
      </w:r>
      <w:r w:rsidRPr="00454751">
        <w:rPr>
          <w:rFonts w:ascii="Arial" w:hAnsi="Arial" w:cs="Arial"/>
          <w:sz w:val="22"/>
          <w:szCs w:val="22"/>
        </w:rPr>
        <w:t xml:space="preserve"> (úrazy sebevraždy apod.). Tento ukazatel zahrnuje jak předčasnou úmrtnost pro jednotlivé příčiny úmrtí (kardiovaskulární nebo respira</w:t>
      </w:r>
      <w:r w:rsidRPr="00454751">
        <w:rPr>
          <w:rFonts w:ascii="Arial" w:hAnsi="Arial" w:cs="Arial"/>
          <w:sz w:val="22"/>
          <w:szCs w:val="22"/>
        </w:rPr>
        <w:t xml:space="preserve">ční onemocnění, rakoviny plic atd.), tak i úmrtí v důsledku krátkodobé expozice </w:t>
      </w:r>
      <w:r w:rsidR="007B512E" w:rsidRPr="00454751">
        <w:rPr>
          <w:rFonts w:ascii="Arial" w:hAnsi="Arial" w:cs="Arial"/>
          <w:sz w:val="22"/>
          <w:szCs w:val="22"/>
        </w:rPr>
        <w:t>aerosolu</w:t>
      </w:r>
      <w:r w:rsidRPr="00454751">
        <w:rPr>
          <w:rFonts w:ascii="Arial" w:hAnsi="Arial" w:cs="Arial"/>
          <w:sz w:val="22"/>
          <w:szCs w:val="22"/>
        </w:rPr>
        <w:t xml:space="preserve">. </w:t>
      </w:r>
    </w:p>
    <w:p w:rsidR="00916E12" w:rsidRPr="00454751" w:rsidRDefault="00AA1CF9" w:rsidP="00454751">
      <w:pPr>
        <w:pStyle w:val="DefaultText1"/>
        <w:spacing w:before="12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454751">
        <w:rPr>
          <w:rFonts w:ascii="Arial" w:hAnsi="Arial" w:cs="Arial"/>
          <w:noProof/>
          <w:sz w:val="22"/>
          <w:szCs w:val="22"/>
        </w:rPr>
        <w:lastRenderedPageBreak/>
        <w:t>Pro kvantitativní odhad zdravotních dopadů v důsledku dlouhodobé expozice suspendovaným částicím byla použita funkce koncentrace-účinek doporučená v závěrečné zprávě</w:t>
      </w:r>
      <w:r w:rsidRPr="00454751">
        <w:rPr>
          <w:rFonts w:ascii="Arial" w:hAnsi="Arial" w:cs="Arial"/>
          <w:noProof/>
          <w:sz w:val="22"/>
          <w:szCs w:val="22"/>
        </w:rPr>
        <w:t xml:space="preserve"> projektu Světové zdravotnické organizace HRAPIE. Doporučení pro hodnocení dlouhodobých účinků suspendovaných částic frakce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2,5</w:t>
      </w:r>
      <w:r w:rsidRPr="00454751">
        <w:rPr>
          <w:rFonts w:ascii="Arial" w:hAnsi="Arial" w:cs="Arial"/>
          <w:noProof/>
          <w:sz w:val="22"/>
          <w:szCs w:val="22"/>
        </w:rPr>
        <w:t xml:space="preserve"> vychází ze závěrů metaanalýzy třinácti různých kohortových studií provedených na dospělé populaci v Evropě a Severní Americe. </w:t>
      </w:r>
      <w:r w:rsidRPr="00454751">
        <w:rPr>
          <w:rFonts w:ascii="Arial" w:hAnsi="Arial" w:cs="Arial"/>
          <w:noProof/>
          <w:sz w:val="22"/>
          <w:szCs w:val="22"/>
        </w:rPr>
        <w:t>Podle autorů nárůst průměrné roční koncentrace jemné frakce suspendovaných částic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2,5</w:t>
      </w:r>
      <w:r w:rsidRPr="00454751">
        <w:rPr>
          <w:rFonts w:ascii="Arial" w:hAnsi="Arial" w:cs="Arial"/>
          <w:noProof/>
          <w:sz w:val="22"/>
          <w:szCs w:val="22"/>
        </w:rPr>
        <w:t xml:space="preserve"> </w:t>
      </w:r>
      <w:r w:rsidR="004E573D" w:rsidRPr="00454751">
        <w:rPr>
          <w:rFonts w:ascii="Arial" w:hAnsi="Arial" w:cs="Arial"/>
          <w:noProof/>
          <w:sz w:val="22"/>
          <w:szCs w:val="22"/>
        </w:rPr>
        <w:br/>
      </w:r>
      <w:r w:rsidRPr="00454751">
        <w:rPr>
          <w:rFonts w:ascii="Arial" w:hAnsi="Arial" w:cs="Arial"/>
          <w:noProof/>
          <w:sz w:val="22"/>
          <w:szCs w:val="22"/>
        </w:rPr>
        <w:t>o 10 µg/m</w:t>
      </w:r>
      <w:r w:rsidRPr="00454751">
        <w:rPr>
          <w:rFonts w:ascii="Arial" w:hAnsi="Arial" w:cs="Arial"/>
          <w:noProof/>
          <w:sz w:val="22"/>
          <w:szCs w:val="22"/>
          <w:vertAlign w:val="superscript"/>
        </w:rPr>
        <w:t>3</w:t>
      </w:r>
      <w:r w:rsidRPr="00454751">
        <w:rPr>
          <w:rFonts w:ascii="Arial" w:hAnsi="Arial" w:cs="Arial"/>
          <w:noProof/>
          <w:sz w:val="22"/>
          <w:szCs w:val="22"/>
        </w:rPr>
        <w:t xml:space="preserve"> zvyšuje celkovou úmrtnost exponované populace nad 30 let o 6,2 %. Relativní riziko (RR) je 1,062 (95 % CI 1,040, 1,083) na 10 µg/m</w:t>
      </w:r>
      <w:r w:rsidRPr="00454751">
        <w:rPr>
          <w:rFonts w:ascii="Arial" w:hAnsi="Arial" w:cs="Arial"/>
          <w:noProof/>
          <w:sz w:val="22"/>
          <w:szCs w:val="22"/>
          <w:vertAlign w:val="superscript"/>
        </w:rPr>
        <w:t>3</w:t>
      </w:r>
      <w:r w:rsidRPr="00454751">
        <w:rPr>
          <w:rFonts w:ascii="Arial" w:hAnsi="Arial" w:cs="Arial"/>
          <w:noProof/>
          <w:sz w:val="22"/>
          <w:szCs w:val="22"/>
        </w:rPr>
        <w:t>.</w:t>
      </w:r>
    </w:p>
    <w:p w:rsidR="005E721C" w:rsidRPr="00454751" w:rsidRDefault="00AA1CF9" w:rsidP="00454751">
      <w:pPr>
        <w:pStyle w:val="DefaultText1"/>
        <w:spacing w:before="12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454751">
        <w:rPr>
          <w:rFonts w:ascii="Arial" w:hAnsi="Arial" w:cs="Arial"/>
          <w:noProof/>
          <w:sz w:val="22"/>
          <w:szCs w:val="22"/>
        </w:rPr>
        <w:t>Pro hodnocení byly konc</w:t>
      </w:r>
      <w:r w:rsidRPr="00454751">
        <w:rPr>
          <w:rFonts w:ascii="Arial" w:hAnsi="Arial" w:cs="Arial"/>
          <w:noProof/>
          <w:sz w:val="22"/>
          <w:szCs w:val="22"/>
        </w:rPr>
        <w:t>entrace frakce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10</w:t>
      </w:r>
      <w:r w:rsidRPr="00454751">
        <w:rPr>
          <w:rFonts w:ascii="Arial" w:hAnsi="Arial" w:cs="Arial"/>
          <w:noProof/>
          <w:sz w:val="22"/>
          <w:szCs w:val="22"/>
        </w:rPr>
        <w:t xml:space="preserve"> přepočítány na základě odhadu průměrného zastoupení frakce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2,5</w:t>
      </w:r>
      <w:r w:rsidRPr="00454751">
        <w:rPr>
          <w:rFonts w:ascii="Arial" w:hAnsi="Arial" w:cs="Arial"/>
          <w:noProof/>
          <w:sz w:val="22"/>
          <w:szCs w:val="22"/>
        </w:rPr>
        <w:t xml:space="preserve"> ve frakci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10</w:t>
      </w:r>
      <w:r w:rsidRPr="00454751">
        <w:rPr>
          <w:rFonts w:ascii="Arial" w:hAnsi="Arial" w:cs="Arial"/>
          <w:noProof/>
          <w:sz w:val="22"/>
          <w:szCs w:val="22"/>
        </w:rPr>
        <w:t>. Průměrný roční podíl suspendovaných částic frakce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2,5</w:t>
      </w:r>
      <w:r w:rsidRPr="00454751">
        <w:rPr>
          <w:rFonts w:ascii="Arial" w:hAnsi="Arial" w:cs="Arial"/>
          <w:noProof/>
          <w:sz w:val="22"/>
          <w:szCs w:val="22"/>
        </w:rPr>
        <w:t xml:space="preserve"> ve frakci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10</w:t>
      </w:r>
      <w:r w:rsidRPr="00454751">
        <w:rPr>
          <w:rFonts w:ascii="Arial" w:hAnsi="Arial" w:cs="Arial"/>
          <w:noProof/>
          <w:sz w:val="22"/>
          <w:szCs w:val="22"/>
        </w:rPr>
        <w:t xml:space="preserve">, vypočítaný z hodnot souběžně měřených na </w:t>
      </w:r>
      <w:r w:rsidR="00B13D2B" w:rsidRPr="00454751">
        <w:rPr>
          <w:rFonts w:ascii="Arial" w:hAnsi="Arial" w:cs="Arial"/>
          <w:noProof/>
          <w:sz w:val="22"/>
          <w:szCs w:val="22"/>
        </w:rPr>
        <w:t>5</w:t>
      </w:r>
      <w:r w:rsidR="00BA5378" w:rsidRPr="00454751">
        <w:rPr>
          <w:rFonts w:ascii="Arial" w:hAnsi="Arial" w:cs="Arial"/>
          <w:noProof/>
          <w:sz w:val="22"/>
          <w:szCs w:val="22"/>
        </w:rPr>
        <w:t>7</w:t>
      </w:r>
      <w:r w:rsidRPr="00454751">
        <w:rPr>
          <w:rFonts w:ascii="Arial" w:hAnsi="Arial" w:cs="Arial"/>
          <w:noProof/>
          <w:sz w:val="22"/>
          <w:szCs w:val="22"/>
        </w:rPr>
        <w:t xml:space="preserve"> stanicích, se pohyboval od </w:t>
      </w:r>
      <w:r w:rsidR="00BA5378" w:rsidRPr="00454751">
        <w:rPr>
          <w:rFonts w:ascii="Arial" w:hAnsi="Arial" w:cs="Arial"/>
          <w:noProof/>
          <w:sz w:val="22"/>
          <w:szCs w:val="22"/>
        </w:rPr>
        <w:t>57</w:t>
      </w:r>
      <w:r w:rsidRPr="00454751">
        <w:rPr>
          <w:rFonts w:ascii="Arial" w:hAnsi="Arial" w:cs="Arial"/>
          <w:noProof/>
          <w:sz w:val="22"/>
          <w:szCs w:val="22"/>
        </w:rPr>
        <w:t xml:space="preserve"> % do 8</w:t>
      </w:r>
      <w:r w:rsidR="007E29D3" w:rsidRPr="00454751">
        <w:rPr>
          <w:rFonts w:ascii="Arial" w:hAnsi="Arial" w:cs="Arial"/>
          <w:noProof/>
          <w:sz w:val="22"/>
          <w:szCs w:val="22"/>
        </w:rPr>
        <w:t>6</w:t>
      </w:r>
      <w:r w:rsidRPr="00454751">
        <w:rPr>
          <w:rFonts w:ascii="Arial" w:hAnsi="Arial" w:cs="Arial"/>
          <w:noProof/>
          <w:sz w:val="22"/>
          <w:szCs w:val="22"/>
        </w:rPr>
        <w:t xml:space="preserve"> %</w:t>
      </w:r>
      <w:r w:rsidRPr="00454751">
        <w:rPr>
          <w:rFonts w:ascii="Arial" w:hAnsi="Arial" w:cs="Arial"/>
          <w:noProof/>
          <w:sz w:val="22"/>
          <w:szCs w:val="22"/>
        </w:rPr>
        <w:t xml:space="preserve"> se střední hodnotou 7</w:t>
      </w:r>
      <w:r w:rsidR="00BA5378" w:rsidRPr="00454751">
        <w:rPr>
          <w:rFonts w:ascii="Arial" w:hAnsi="Arial" w:cs="Arial"/>
          <w:noProof/>
          <w:sz w:val="22"/>
          <w:szCs w:val="22"/>
        </w:rPr>
        <w:t>6</w:t>
      </w:r>
      <w:r w:rsidRPr="00454751">
        <w:rPr>
          <w:rFonts w:ascii="Arial" w:hAnsi="Arial" w:cs="Arial"/>
          <w:noProof/>
          <w:sz w:val="22"/>
          <w:szCs w:val="22"/>
        </w:rPr>
        <w:t xml:space="preserve"> % v roce 201</w:t>
      </w:r>
      <w:r w:rsidR="004E573D" w:rsidRPr="00454751">
        <w:rPr>
          <w:rFonts w:ascii="Arial" w:hAnsi="Arial" w:cs="Arial"/>
          <w:noProof/>
          <w:sz w:val="22"/>
          <w:szCs w:val="22"/>
        </w:rPr>
        <w:t>8</w:t>
      </w:r>
      <w:r w:rsidRPr="00454751">
        <w:rPr>
          <w:rFonts w:ascii="Arial" w:hAnsi="Arial" w:cs="Arial"/>
          <w:noProof/>
          <w:sz w:val="22"/>
          <w:szCs w:val="22"/>
        </w:rPr>
        <w:t>. V tomto zpracování byla použita hodnota 75 % podílu frakce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2,5</w:t>
      </w:r>
      <w:r w:rsidRPr="00454751">
        <w:rPr>
          <w:rFonts w:ascii="Arial" w:hAnsi="Arial" w:cs="Arial"/>
          <w:noProof/>
          <w:sz w:val="22"/>
          <w:szCs w:val="22"/>
        </w:rPr>
        <w:t xml:space="preserve"> ve frakci PM</w:t>
      </w:r>
      <w:r w:rsidRPr="00454751">
        <w:rPr>
          <w:rFonts w:ascii="Arial" w:hAnsi="Arial" w:cs="Arial"/>
          <w:noProof/>
          <w:sz w:val="22"/>
          <w:szCs w:val="22"/>
          <w:vertAlign w:val="subscript"/>
        </w:rPr>
        <w:t>10</w:t>
      </w:r>
      <w:r w:rsidRPr="00454751">
        <w:rPr>
          <w:rFonts w:ascii="Arial" w:hAnsi="Arial" w:cs="Arial"/>
          <w:noProof/>
          <w:sz w:val="22"/>
          <w:szCs w:val="22"/>
        </w:rPr>
        <w:t xml:space="preserve">, která odpovídá </w:t>
      </w:r>
      <w:r w:rsidR="007F15CA" w:rsidRPr="00454751">
        <w:rPr>
          <w:rFonts w:ascii="Arial" w:hAnsi="Arial" w:cs="Arial"/>
          <w:noProof/>
          <w:sz w:val="22"/>
          <w:szCs w:val="22"/>
        </w:rPr>
        <w:t xml:space="preserve">i </w:t>
      </w:r>
      <w:r w:rsidRPr="00454751">
        <w:rPr>
          <w:rFonts w:ascii="Arial" w:hAnsi="Arial" w:cs="Arial"/>
          <w:noProof/>
          <w:sz w:val="22"/>
          <w:szCs w:val="22"/>
        </w:rPr>
        <w:t xml:space="preserve">dlouhodobému vývoji </w:t>
      </w:r>
      <w:r w:rsidR="004E573D" w:rsidRPr="00454751">
        <w:rPr>
          <w:rFonts w:ascii="Arial" w:hAnsi="Arial" w:cs="Arial"/>
          <w:noProof/>
          <w:sz w:val="22"/>
          <w:szCs w:val="22"/>
        </w:rPr>
        <w:br/>
      </w:r>
      <w:r w:rsidRPr="00454751">
        <w:rPr>
          <w:rFonts w:ascii="Arial" w:hAnsi="Arial" w:cs="Arial"/>
          <w:noProof/>
          <w:sz w:val="22"/>
          <w:szCs w:val="22"/>
        </w:rPr>
        <w:t>v České republice.</w:t>
      </w:r>
    </w:p>
    <w:p w:rsidR="00916E12" w:rsidRPr="001306F8" w:rsidRDefault="00916E12" w:rsidP="00916E12">
      <w:pPr>
        <w:pStyle w:val="DefaultText1"/>
        <w:jc w:val="both"/>
        <w:rPr>
          <w:b/>
          <w:bCs/>
          <w:color w:val="FF0000"/>
        </w:rPr>
      </w:pPr>
    </w:p>
    <w:p w:rsidR="0040562A" w:rsidRPr="00454751" w:rsidRDefault="00AA1CF9" w:rsidP="000D318A">
      <w:pPr>
        <w:pStyle w:val="DefaultText1"/>
        <w:jc w:val="both"/>
        <w:rPr>
          <w:rFonts w:ascii="Arial" w:hAnsi="Arial" w:cs="Arial"/>
          <w:b/>
          <w:bCs/>
          <w:sz w:val="22"/>
          <w:szCs w:val="22"/>
        </w:rPr>
      </w:pPr>
      <w:r w:rsidRPr="00454751">
        <w:rPr>
          <w:rFonts w:ascii="Arial" w:hAnsi="Arial" w:cs="Arial"/>
          <w:b/>
          <w:bCs/>
          <w:sz w:val="22"/>
          <w:szCs w:val="22"/>
        </w:rPr>
        <w:t>Arsen (As)</w:t>
      </w:r>
    </w:p>
    <w:p w:rsidR="00777AF8" w:rsidRPr="00454751" w:rsidRDefault="00AA1CF9" w:rsidP="00454751">
      <w:pPr>
        <w:pStyle w:val="DefaultText1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54751">
        <w:rPr>
          <w:rFonts w:ascii="Arial" w:hAnsi="Arial" w:cs="Arial"/>
          <w:bCs/>
          <w:sz w:val="22"/>
          <w:szCs w:val="22"/>
        </w:rPr>
        <w:t>Hlavní cestou expozice arsenu je vdechování a příjem potravou a vodou. Arsen vstřebaný do organismu se ukládá zejména v kůži a jejích derivátech, jako jsou nehty a vlasy. Proniká placentární bariérou. Vylučován je převážně močí. Chronická otrava nejčastěji</w:t>
      </w:r>
      <w:r w:rsidRPr="00454751">
        <w:rPr>
          <w:rFonts w:ascii="Arial" w:hAnsi="Arial" w:cs="Arial"/>
          <w:bCs/>
          <w:sz w:val="22"/>
          <w:szCs w:val="22"/>
        </w:rPr>
        <w:t xml:space="preserve"> zahrnuje kontaktní alergické dermatitidy a ekzémy. Časté je postižení nervového systému (degenerace optického nervu, poškození vestibulárního ústrojí), trávicího ústrojí, cévního systému </w:t>
      </w:r>
      <w:r w:rsidRPr="00454751">
        <w:rPr>
          <w:rFonts w:ascii="Arial" w:hAnsi="Arial" w:cs="Arial"/>
          <w:bCs/>
          <w:sz w:val="22"/>
          <w:szCs w:val="22"/>
        </w:rPr>
        <w:br/>
        <w:t xml:space="preserve">i krvetvorby. V epidemiologických studiích byla pozorována zvýšená </w:t>
      </w:r>
      <w:r w:rsidRPr="00454751">
        <w:rPr>
          <w:rFonts w:ascii="Arial" w:hAnsi="Arial" w:cs="Arial"/>
          <w:bCs/>
          <w:sz w:val="22"/>
          <w:szCs w:val="22"/>
        </w:rPr>
        <w:t xml:space="preserve">úmrtnost na kardiovaskulární choroby. U exponovaných osob byly zjištěny chromosomální aberace periferních lymfocytů. Arseničnan sodný inhibuje reparaci DNA v buňkách lidské kůže </w:t>
      </w:r>
      <w:r w:rsidRPr="00454751">
        <w:rPr>
          <w:rFonts w:ascii="Arial" w:hAnsi="Arial" w:cs="Arial"/>
          <w:bCs/>
          <w:sz w:val="22"/>
          <w:szCs w:val="22"/>
        </w:rPr>
        <w:br/>
        <w:t>a v lymfocytech. Anorganické sloučeniny arsenu jsou klasifikovány jako lidský</w:t>
      </w:r>
      <w:r w:rsidRPr="00454751">
        <w:rPr>
          <w:rFonts w:ascii="Arial" w:hAnsi="Arial" w:cs="Arial"/>
          <w:bCs/>
          <w:sz w:val="22"/>
          <w:szCs w:val="22"/>
        </w:rPr>
        <w:t xml:space="preserve"> karcinogen. Kritickým účinkem po expozici vdechováním je rakovina plic. Pro riziko jejího vzniku je odhadována jednotka rizika ze studií profesionálně exponovaných populací ve Švédsku </w:t>
      </w:r>
      <w:r w:rsidRPr="00454751">
        <w:rPr>
          <w:rFonts w:ascii="Arial" w:hAnsi="Arial" w:cs="Arial"/>
          <w:bCs/>
          <w:sz w:val="22"/>
          <w:szCs w:val="22"/>
        </w:rPr>
        <w:br/>
        <w:t xml:space="preserve">a USA. Hodnota jednotkového rizika </w:t>
      </w:r>
      <w:r w:rsidR="004E573D" w:rsidRPr="00454751">
        <w:rPr>
          <w:rFonts w:ascii="Arial" w:hAnsi="Arial" w:cs="Arial"/>
          <w:bCs/>
          <w:sz w:val="22"/>
          <w:szCs w:val="22"/>
        </w:rPr>
        <w:t xml:space="preserve">(riziko pro </w:t>
      </w:r>
      <w:r w:rsidR="004E573D" w:rsidRPr="00454751">
        <w:rPr>
          <w:rFonts w:ascii="Arial" w:hAnsi="Arial" w:cs="Arial"/>
          <w:bCs/>
          <w:noProof/>
          <w:sz w:val="22"/>
          <w:szCs w:val="22"/>
        </w:rPr>
        <w:t xml:space="preserve">celoživotní expozici </w:t>
      </w:r>
      <w:r w:rsidR="004E573D" w:rsidRPr="00454751">
        <w:rPr>
          <w:rFonts w:ascii="Arial" w:hAnsi="Arial" w:cs="Arial"/>
          <w:bCs/>
          <w:sz w:val="22"/>
          <w:szCs w:val="22"/>
        </w:rPr>
        <w:t>koncentraci 1 µg/m</w:t>
      </w:r>
      <w:r w:rsidR="004E573D" w:rsidRPr="00454751">
        <w:rPr>
          <w:rFonts w:ascii="Arial" w:hAnsi="Arial" w:cs="Arial"/>
          <w:bCs/>
          <w:sz w:val="22"/>
          <w:szCs w:val="22"/>
          <w:vertAlign w:val="superscript"/>
        </w:rPr>
        <w:t>3</w:t>
      </w:r>
      <w:r w:rsidR="004E573D" w:rsidRPr="00454751">
        <w:rPr>
          <w:rFonts w:ascii="Arial" w:hAnsi="Arial" w:cs="Arial"/>
          <w:bCs/>
          <w:sz w:val="22"/>
          <w:szCs w:val="22"/>
        </w:rPr>
        <w:t xml:space="preserve">) </w:t>
      </w:r>
      <w:r w:rsidRPr="00454751">
        <w:rPr>
          <w:rFonts w:ascii="Arial" w:hAnsi="Arial" w:cs="Arial"/>
          <w:bCs/>
          <w:sz w:val="22"/>
          <w:szCs w:val="22"/>
        </w:rPr>
        <w:t xml:space="preserve">převzatá od Světové zdravotnické organizace je pro arzen odhadována </w:t>
      </w:r>
      <w:r w:rsidR="004E573D" w:rsidRPr="00454751">
        <w:rPr>
          <w:rFonts w:ascii="Arial" w:hAnsi="Arial" w:cs="Arial"/>
          <w:bCs/>
          <w:sz w:val="22"/>
          <w:szCs w:val="22"/>
        </w:rPr>
        <w:t xml:space="preserve">na </w:t>
      </w:r>
      <w:r w:rsidRPr="00454751">
        <w:rPr>
          <w:rFonts w:ascii="Arial" w:hAnsi="Arial" w:cs="Arial"/>
          <w:bCs/>
          <w:sz w:val="22"/>
          <w:szCs w:val="22"/>
        </w:rPr>
        <w:t>1,50 × 10</w:t>
      </w:r>
      <w:r w:rsidRPr="00454751">
        <w:rPr>
          <w:rFonts w:ascii="Arial" w:hAnsi="Arial" w:cs="Arial"/>
          <w:bCs/>
          <w:sz w:val="22"/>
          <w:szCs w:val="22"/>
          <w:vertAlign w:val="superscript"/>
        </w:rPr>
        <w:t>-3</w:t>
      </w:r>
      <w:r w:rsidRPr="00454751">
        <w:rPr>
          <w:rFonts w:ascii="Arial" w:hAnsi="Arial" w:cs="Arial"/>
          <w:bCs/>
          <w:sz w:val="22"/>
          <w:szCs w:val="22"/>
        </w:rPr>
        <w:t>.</w:t>
      </w:r>
    </w:p>
    <w:p w:rsidR="00BA5378" w:rsidRPr="00454751" w:rsidRDefault="00BA5378" w:rsidP="00D24A88">
      <w:pPr>
        <w:pStyle w:val="DefaultText1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40562A" w:rsidRPr="00454751" w:rsidRDefault="00AA1CF9" w:rsidP="00D24A88">
      <w:pPr>
        <w:pStyle w:val="DefaultText1"/>
        <w:jc w:val="both"/>
        <w:rPr>
          <w:rFonts w:ascii="Arial" w:hAnsi="Arial" w:cs="Arial"/>
          <w:b/>
          <w:bCs/>
          <w:sz w:val="22"/>
          <w:szCs w:val="22"/>
        </w:rPr>
      </w:pPr>
      <w:r w:rsidRPr="00454751">
        <w:rPr>
          <w:rFonts w:ascii="Arial" w:hAnsi="Arial" w:cs="Arial"/>
          <w:b/>
          <w:bCs/>
          <w:sz w:val="22"/>
          <w:szCs w:val="22"/>
        </w:rPr>
        <w:t>Nikl (Ni)</w:t>
      </w:r>
    </w:p>
    <w:p w:rsidR="00BA5378" w:rsidRPr="00454751" w:rsidRDefault="00AA1CF9" w:rsidP="00454751">
      <w:pPr>
        <w:pStyle w:val="DefaultText1"/>
        <w:spacing w:line="276" w:lineRule="auto"/>
        <w:jc w:val="both"/>
        <w:rPr>
          <w:rFonts w:ascii="Arial" w:hAnsi="Arial" w:cs="Arial"/>
          <w:bCs/>
          <w:noProof/>
          <w:sz w:val="22"/>
          <w:szCs w:val="22"/>
        </w:rPr>
      </w:pPr>
      <w:r w:rsidRPr="00454751">
        <w:rPr>
          <w:rFonts w:ascii="Arial" w:hAnsi="Arial" w:cs="Arial"/>
          <w:bCs/>
          <w:sz w:val="22"/>
          <w:szCs w:val="22"/>
        </w:rPr>
        <w:t xml:space="preserve">Vdechování </w:t>
      </w:r>
      <w:r w:rsidRPr="00454751">
        <w:rPr>
          <w:rFonts w:ascii="Arial" w:hAnsi="Arial" w:cs="Arial"/>
          <w:bCs/>
          <w:noProof/>
          <w:sz w:val="22"/>
          <w:szCs w:val="22"/>
        </w:rPr>
        <w:t xml:space="preserve">všech typů sloučenin niklu vyvolává podráždění a poškození dýchacích cest, různé imunologické odezvy včetně zvýšení počtu alveolárních mikrofágů a imunosupresi. Nikl proniká placentární bariérou, takže je schopen ovlivnit prenatální vývoj přímým působením </w:t>
      </w:r>
      <w:r w:rsidRPr="00454751">
        <w:rPr>
          <w:rFonts w:ascii="Arial" w:hAnsi="Arial" w:cs="Arial"/>
          <w:bCs/>
          <w:noProof/>
          <w:sz w:val="22"/>
          <w:szCs w:val="22"/>
        </w:rPr>
        <w:t>na embryo. Studie na pokusných zvířatech svědčí o tom, že některé sloučeniny niklu vykazují široký rozsah karcinogenní potence. Nejsilnějším karcinogenem v těchto experimentech byl sulfid niklitý a sulfid nikelnatý. U člověka byla popsána akutní otrava tet</w:t>
      </w:r>
      <w:r w:rsidRPr="00454751">
        <w:rPr>
          <w:rFonts w:ascii="Arial" w:hAnsi="Arial" w:cs="Arial"/>
          <w:bCs/>
          <w:noProof/>
          <w:sz w:val="22"/>
          <w:szCs w:val="22"/>
        </w:rPr>
        <w:t xml:space="preserve">rakarbonylniklem, alergická kožní reakce, astma (u zaměstnanců pracujících s niklem) </w:t>
      </w:r>
      <w:r w:rsidRPr="00454751">
        <w:rPr>
          <w:rFonts w:ascii="Arial" w:hAnsi="Arial" w:cs="Arial"/>
          <w:bCs/>
          <w:noProof/>
          <w:sz w:val="22"/>
          <w:szCs w:val="22"/>
        </w:rPr>
        <w:br/>
        <w:t>a podráždění sliznic. Karcinogenní účinky byly prokázány epidemiologickými studiemi po inhalační expozici vysokým koncentracím niklu, neboť respirační trakt je cílovým or</w:t>
      </w:r>
      <w:r w:rsidRPr="00454751">
        <w:rPr>
          <w:rFonts w:ascii="Arial" w:hAnsi="Arial" w:cs="Arial"/>
          <w:bCs/>
          <w:noProof/>
          <w:sz w:val="22"/>
          <w:szCs w:val="22"/>
        </w:rPr>
        <w:t>gánem, ve kterém dochází k retenci niklu s následným rizikem vzniku rakoviny dýchacího traktu. Sloučeniny niklu jsou na základě takových studií klasifikovány IARC jako prokázaný lidský karcinogen ve skupině 1, kovový nikl jako možný karcinogen ve skupině 2</w:t>
      </w:r>
      <w:r w:rsidRPr="00454751">
        <w:rPr>
          <w:rFonts w:ascii="Arial" w:hAnsi="Arial" w:cs="Arial"/>
          <w:bCs/>
          <w:noProof/>
          <w:sz w:val="22"/>
          <w:szCs w:val="22"/>
        </w:rPr>
        <w:t>B. Hodnota jednotkového rizika převzatá od Světové zdravotnické organizace pro nikl je odhadována WHO na 3,8 × 10</w:t>
      </w:r>
      <w:r w:rsidRPr="00454751">
        <w:rPr>
          <w:rFonts w:ascii="Arial" w:hAnsi="Arial" w:cs="Arial"/>
          <w:bCs/>
          <w:noProof/>
          <w:sz w:val="22"/>
          <w:szCs w:val="22"/>
          <w:vertAlign w:val="superscript"/>
        </w:rPr>
        <w:t>-4</w:t>
      </w:r>
      <w:r w:rsidRPr="00454751">
        <w:rPr>
          <w:rFonts w:ascii="Arial" w:hAnsi="Arial" w:cs="Arial"/>
          <w:bCs/>
          <w:noProof/>
          <w:sz w:val="22"/>
          <w:szCs w:val="22"/>
        </w:rPr>
        <w:t>.</w:t>
      </w:r>
    </w:p>
    <w:p w:rsidR="008749C9" w:rsidRPr="00454751" w:rsidRDefault="008749C9" w:rsidP="00BA5378">
      <w:pPr>
        <w:pStyle w:val="DefaultText1"/>
        <w:jc w:val="both"/>
        <w:rPr>
          <w:rFonts w:ascii="Arial" w:hAnsi="Arial" w:cs="Arial"/>
          <w:color w:val="FF0000"/>
          <w:sz w:val="22"/>
          <w:szCs w:val="22"/>
        </w:rPr>
      </w:pPr>
    </w:p>
    <w:p w:rsidR="008749C9" w:rsidRPr="00454751" w:rsidRDefault="00AA1CF9" w:rsidP="00BA5378">
      <w:pPr>
        <w:pStyle w:val="DefaultText1"/>
        <w:jc w:val="both"/>
        <w:rPr>
          <w:rFonts w:ascii="Arial" w:hAnsi="Arial" w:cs="Arial"/>
          <w:b/>
          <w:bCs/>
          <w:sz w:val="22"/>
          <w:szCs w:val="22"/>
        </w:rPr>
      </w:pPr>
      <w:r w:rsidRPr="00454751">
        <w:rPr>
          <w:rFonts w:ascii="Arial" w:hAnsi="Arial" w:cs="Arial"/>
          <w:b/>
          <w:bCs/>
          <w:sz w:val="22"/>
          <w:szCs w:val="22"/>
        </w:rPr>
        <w:lastRenderedPageBreak/>
        <w:t>Kadmium (Cd)</w:t>
      </w:r>
    </w:p>
    <w:p w:rsidR="00E615D2" w:rsidRPr="00454751" w:rsidRDefault="00AA1CF9" w:rsidP="00454751">
      <w:pPr>
        <w:pStyle w:val="DefaultText1"/>
        <w:spacing w:line="276" w:lineRule="auto"/>
        <w:jc w:val="both"/>
        <w:rPr>
          <w:rFonts w:ascii="Arial" w:hAnsi="Arial" w:cs="Arial"/>
          <w:bCs/>
          <w:noProof/>
          <w:sz w:val="22"/>
          <w:szCs w:val="22"/>
        </w:rPr>
      </w:pPr>
      <w:r w:rsidRPr="00454751">
        <w:rPr>
          <w:rFonts w:ascii="Arial" w:hAnsi="Arial" w:cs="Arial"/>
          <w:bCs/>
          <w:noProof/>
          <w:sz w:val="22"/>
          <w:szCs w:val="22"/>
        </w:rPr>
        <w:t xml:space="preserve">je kov, jehož hlavním metabolickým rysem je mimořádně dlouhý biologický poločas, který má za následek prakticky nevratnou akumulaci kadmia v organizmu, zejména v ledvinách </w:t>
      </w:r>
      <w:r w:rsidRPr="00454751">
        <w:rPr>
          <w:rFonts w:ascii="Arial" w:hAnsi="Arial" w:cs="Arial"/>
          <w:bCs/>
          <w:noProof/>
          <w:sz w:val="22"/>
          <w:szCs w:val="22"/>
        </w:rPr>
        <w:br/>
        <w:t>a játrech. Ledviny jsou kritickým orgánem po chronickou expozici kadmiu, která vede</w:t>
      </w:r>
      <w:r w:rsidRPr="00454751">
        <w:rPr>
          <w:rFonts w:ascii="Arial" w:hAnsi="Arial" w:cs="Arial"/>
          <w:bCs/>
          <w:noProof/>
          <w:sz w:val="22"/>
          <w:szCs w:val="22"/>
        </w:rPr>
        <w:t xml:space="preserve"> k jejich poškození a ohrožení funkcí.  Kadmium způsobuje inhibici sulfhydrylových enzymů (vazbou na SH-skupinu), váže se v játrech na metaloproteiny, zasahuje do metabolismu sacharidů </w:t>
      </w:r>
      <w:r w:rsidRPr="00454751">
        <w:rPr>
          <w:rFonts w:ascii="Arial" w:hAnsi="Arial" w:cs="Arial"/>
          <w:bCs/>
          <w:noProof/>
          <w:sz w:val="22"/>
          <w:szCs w:val="22"/>
        </w:rPr>
        <w:br/>
        <w:t>a inhibuje sekreci inzulínu. Kadmiové ionty jsou také účinnými blokáto</w:t>
      </w:r>
      <w:r w:rsidRPr="00454751">
        <w:rPr>
          <w:rFonts w:ascii="Arial" w:hAnsi="Arial" w:cs="Arial"/>
          <w:bCs/>
          <w:noProof/>
          <w:sz w:val="22"/>
          <w:szCs w:val="22"/>
        </w:rPr>
        <w:t>ry kalciových kanálů, čímž dochází k přerušení šíření nervového vzruchu. Kadmium je toxické pro reprodukci (ohrožuje funkčnost a kvalitu spermií a poškozuje zárodečný epitel varlat), narušuje metabolismus ostatních kovů, kostní tkáň, imunitní i kardiovasku</w:t>
      </w:r>
      <w:r w:rsidRPr="00454751">
        <w:rPr>
          <w:rFonts w:ascii="Arial" w:hAnsi="Arial" w:cs="Arial"/>
          <w:bCs/>
          <w:noProof/>
          <w:sz w:val="22"/>
          <w:szCs w:val="22"/>
        </w:rPr>
        <w:t>lární systém. Inhalační expozice kadmiu může způsobovat rakovinu plic u lidí a zvířat a poškození plodu. IARC klasifikovala kadmium a sloučeniny kadmia jako lidské karcinogeny skupiny 1. Hodnota jednotkového rizika převzatá od Světové zdravotnické organiza</w:t>
      </w:r>
      <w:r w:rsidRPr="00454751">
        <w:rPr>
          <w:rFonts w:ascii="Arial" w:hAnsi="Arial" w:cs="Arial"/>
          <w:bCs/>
          <w:noProof/>
          <w:sz w:val="22"/>
          <w:szCs w:val="22"/>
        </w:rPr>
        <w:t xml:space="preserve">ce pro kadmium je odhadována </w:t>
      </w:r>
      <w:r w:rsidR="004E573D" w:rsidRPr="00454751">
        <w:rPr>
          <w:rFonts w:ascii="Arial" w:hAnsi="Arial" w:cs="Arial"/>
          <w:bCs/>
          <w:noProof/>
          <w:sz w:val="22"/>
          <w:szCs w:val="22"/>
        </w:rPr>
        <w:t xml:space="preserve">na </w:t>
      </w:r>
      <w:r w:rsidRPr="00454751">
        <w:rPr>
          <w:rFonts w:ascii="Arial" w:hAnsi="Arial" w:cs="Arial"/>
          <w:bCs/>
          <w:noProof/>
          <w:sz w:val="22"/>
          <w:szCs w:val="22"/>
        </w:rPr>
        <w:t>4,9 × 10</w:t>
      </w:r>
      <w:r w:rsidRPr="00454751">
        <w:rPr>
          <w:rFonts w:ascii="Arial" w:hAnsi="Arial" w:cs="Arial"/>
          <w:bCs/>
          <w:noProof/>
          <w:sz w:val="22"/>
          <w:szCs w:val="22"/>
          <w:vertAlign w:val="superscript"/>
        </w:rPr>
        <w:t>-4</w:t>
      </w:r>
      <w:r w:rsidRPr="00454751">
        <w:rPr>
          <w:rFonts w:ascii="Arial" w:hAnsi="Arial" w:cs="Arial"/>
          <w:bCs/>
          <w:noProof/>
          <w:sz w:val="22"/>
          <w:szCs w:val="22"/>
        </w:rPr>
        <w:t>.</w:t>
      </w:r>
    </w:p>
    <w:p w:rsidR="00BA5378" w:rsidRPr="001306F8" w:rsidRDefault="00BA5378" w:rsidP="00D24A88">
      <w:pPr>
        <w:pStyle w:val="DefaultText1"/>
        <w:jc w:val="both"/>
        <w:rPr>
          <w:color w:val="FF0000"/>
        </w:rPr>
      </w:pPr>
    </w:p>
    <w:p w:rsidR="00171D6A" w:rsidRPr="00454751" w:rsidRDefault="00AA1CF9" w:rsidP="00C64ACE">
      <w:pPr>
        <w:pStyle w:val="DefaultText1"/>
        <w:jc w:val="both"/>
        <w:rPr>
          <w:rFonts w:ascii="Arial" w:hAnsi="Arial" w:cs="Arial"/>
          <w:b/>
          <w:bCs/>
          <w:sz w:val="22"/>
        </w:rPr>
      </w:pPr>
      <w:r>
        <w:rPr>
          <w:b/>
          <w:bCs/>
        </w:rPr>
        <w:br/>
      </w:r>
      <w:r w:rsidR="005E721C" w:rsidRPr="00454751">
        <w:rPr>
          <w:rFonts w:ascii="Arial" w:hAnsi="Arial" w:cs="Arial"/>
          <w:b/>
          <w:bCs/>
          <w:sz w:val="22"/>
        </w:rPr>
        <w:t>Polycyklické aromatické uhlovodíky (PAU) - b</w:t>
      </w:r>
      <w:r w:rsidR="0040562A" w:rsidRPr="00454751">
        <w:rPr>
          <w:rFonts w:ascii="Arial" w:hAnsi="Arial" w:cs="Arial"/>
          <w:b/>
          <w:bCs/>
          <w:sz w:val="22"/>
        </w:rPr>
        <w:t>enzo</w:t>
      </w:r>
      <w:r w:rsidR="00D24A88" w:rsidRPr="00454751">
        <w:rPr>
          <w:rFonts w:ascii="Arial" w:hAnsi="Arial" w:cs="Arial"/>
          <w:b/>
          <w:bCs/>
          <w:sz w:val="22"/>
        </w:rPr>
        <w:t>[</w:t>
      </w:r>
      <w:r w:rsidR="0040562A" w:rsidRPr="00454751">
        <w:rPr>
          <w:rFonts w:ascii="Arial" w:hAnsi="Arial" w:cs="Arial"/>
          <w:b/>
          <w:bCs/>
          <w:i/>
          <w:sz w:val="22"/>
        </w:rPr>
        <w:t>a</w:t>
      </w:r>
      <w:r w:rsidR="00D24A88" w:rsidRPr="00454751">
        <w:rPr>
          <w:rFonts w:ascii="Arial" w:hAnsi="Arial" w:cs="Arial"/>
          <w:b/>
          <w:bCs/>
          <w:sz w:val="22"/>
        </w:rPr>
        <w:t>]</w:t>
      </w:r>
      <w:r w:rsidR="0040562A" w:rsidRPr="00454751">
        <w:rPr>
          <w:rFonts w:ascii="Arial" w:hAnsi="Arial" w:cs="Arial"/>
          <w:b/>
          <w:bCs/>
          <w:sz w:val="22"/>
        </w:rPr>
        <w:t>pyren (BaP)</w:t>
      </w:r>
    </w:p>
    <w:p w:rsidR="004F79D6" w:rsidRPr="00454751" w:rsidRDefault="00AA1CF9" w:rsidP="00454751">
      <w:pPr>
        <w:pStyle w:val="DefaultText1"/>
        <w:spacing w:after="120" w:line="276" w:lineRule="auto"/>
        <w:jc w:val="both"/>
        <w:rPr>
          <w:rFonts w:ascii="Arial" w:hAnsi="Arial" w:cs="Arial"/>
          <w:color w:val="FF0000"/>
          <w:sz w:val="22"/>
        </w:rPr>
      </w:pPr>
      <w:r w:rsidRPr="00454751">
        <w:rPr>
          <w:rFonts w:ascii="Arial" w:hAnsi="Arial" w:cs="Arial"/>
          <w:sz w:val="22"/>
        </w:rPr>
        <w:t xml:space="preserve">PAU </w:t>
      </w:r>
      <w:r w:rsidR="00C64ACE" w:rsidRPr="00454751">
        <w:rPr>
          <w:rFonts w:ascii="Arial" w:hAnsi="Arial" w:cs="Arial"/>
          <w:bCs/>
          <w:noProof/>
          <w:sz w:val="22"/>
        </w:rPr>
        <w:t>mají schopnost přetrvávat v prostředí, kumulují se v jeho složkách a v živých organismech, jsou lipofilní a řada z nich má toxické, mutagenní či karcinogenní vlastnosti. Patří mezi endokrinní disruptory, ovlivňují porodní váhu a růst plodu. Působí imunosupresivně, snížením hladin IgG a IgA.Ve vysokých koncentracích (převyšujících koncentrace nejen ve venkovním ovzduší, ale i v pracovním prostředí) mohou mít dráždivé účinky. PAU patří mezi nepřímo působící genotoxické sloučeniny. Vlivem biotransformačního systému organismu vznikají post</w:t>
      </w:r>
      <w:r w:rsidR="00454751">
        <w:rPr>
          <w:rFonts w:ascii="Arial" w:hAnsi="Arial" w:cs="Arial"/>
          <w:bCs/>
          <w:noProof/>
          <w:sz w:val="22"/>
        </w:rPr>
        <w:t xml:space="preserve">upně metabolity s karcinogenním </w:t>
      </w:r>
      <w:r w:rsidR="00C64ACE" w:rsidRPr="00454751">
        <w:rPr>
          <w:rFonts w:ascii="Arial" w:hAnsi="Arial" w:cs="Arial"/>
          <w:bCs/>
          <w:noProof/>
          <w:sz w:val="22"/>
        </w:rPr>
        <w:t>a mutagenním účinkem. Elektrofilní metabolity kovalentně vázané na DNA představují poté základ karcinogenního potenciálu PAU. V praxi je nejvíce používaným zástupcem PAU při posuzování karcinogenity benzo[</w:t>
      </w:r>
      <w:r w:rsidR="00C64ACE" w:rsidRPr="00454751">
        <w:rPr>
          <w:rFonts w:ascii="Arial" w:hAnsi="Arial" w:cs="Arial"/>
          <w:bCs/>
          <w:i/>
          <w:noProof/>
          <w:sz w:val="22"/>
        </w:rPr>
        <w:t>a</w:t>
      </w:r>
      <w:r w:rsidR="00C64ACE" w:rsidRPr="00454751">
        <w:rPr>
          <w:rFonts w:ascii="Arial" w:hAnsi="Arial" w:cs="Arial"/>
          <w:bCs/>
          <w:noProof/>
          <w:sz w:val="22"/>
        </w:rPr>
        <w:t>]pyren (BaP). BaP je z hlediska klasifikace karcinogenity od roku 2010 zařazen IARC do skupiny 1 – prokázaný karcinogen. Hodnota jednotkového rizika převzatá od Světové zdravotnické organizace je pro BaP 8,7 × 10</w:t>
      </w:r>
      <w:r w:rsidR="00C64ACE" w:rsidRPr="00454751">
        <w:rPr>
          <w:rFonts w:ascii="Arial" w:hAnsi="Arial" w:cs="Arial"/>
          <w:bCs/>
          <w:noProof/>
          <w:sz w:val="22"/>
          <w:vertAlign w:val="superscript"/>
        </w:rPr>
        <w:t>-2</w:t>
      </w:r>
      <w:r w:rsidR="00C64ACE" w:rsidRPr="00454751">
        <w:rPr>
          <w:rFonts w:ascii="Arial" w:hAnsi="Arial" w:cs="Arial"/>
          <w:bCs/>
          <w:noProof/>
          <w:sz w:val="22"/>
        </w:rPr>
        <w:t>.</w:t>
      </w:r>
    </w:p>
    <w:p w:rsidR="0040562A" w:rsidRPr="00454751" w:rsidRDefault="00AA1CF9" w:rsidP="00D24A88">
      <w:pPr>
        <w:pStyle w:val="DefaultText1"/>
        <w:jc w:val="both"/>
        <w:rPr>
          <w:rFonts w:ascii="Arial" w:hAnsi="Arial" w:cs="Arial"/>
          <w:b/>
          <w:bCs/>
          <w:sz w:val="22"/>
        </w:rPr>
      </w:pPr>
      <w:r w:rsidRPr="00454751">
        <w:rPr>
          <w:rFonts w:ascii="Arial" w:hAnsi="Arial" w:cs="Arial"/>
          <w:b/>
          <w:bCs/>
          <w:sz w:val="22"/>
        </w:rPr>
        <w:t>Benzen (C</w:t>
      </w:r>
      <w:r w:rsidRPr="00454751">
        <w:rPr>
          <w:rFonts w:ascii="Arial" w:hAnsi="Arial" w:cs="Arial"/>
          <w:b/>
          <w:bCs/>
          <w:sz w:val="22"/>
          <w:vertAlign w:val="subscript"/>
        </w:rPr>
        <w:t>6</w:t>
      </w:r>
      <w:r w:rsidRPr="00454751">
        <w:rPr>
          <w:rFonts w:ascii="Arial" w:hAnsi="Arial" w:cs="Arial"/>
          <w:b/>
          <w:bCs/>
          <w:sz w:val="22"/>
        </w:rPr>
        <w:t>H</w:t>
      </w:r>
      <w:r w:rsidRPr="00454751">
        <w:rPr>
          <w:rFonts w:ascii="Arial" w:hAnsi="Arial" w:cs="Arial"/>
          <w:b/>
          <w:bCs/>
          <w:sz w:val="22"/>
          <w:vertAlign w:val="subscript"/>
        </w:rPr>
        <w:t>6</w:t>
      </w:r>
      <w:r w:rsidRPr="00454751">
        <w:rPr>
          <w:rFonts w:ascii="Arial" w:hAnsi="Arial" w:cs="Arial"/>
          <w:b/>
          <w:bCs/>
          <w:sz w:val="22"/>
        </w:rPr>
        <w:t>)</w:t>
      </w:r>
    </w:p>
    <w:p w:rsidR="009E7AEA" w:rsidRPr="00454751" w:rsidRDefault="00AA1CF9" w:rsidP="00454751">
      <w:pPr>
        <w:pStyle w:val="DefaultText1"/>
        <w:spacing w:line="276" w:lineRule="auto"/>
        <w:jc w:val="both"/>
        <w:rPr>
          <w:rFonts w:ascii="Arial" w:hAnsi="Arial" w:cs="Arial"/>
          <w:bCs/>
          <w:noProof/>
          <w:sz w:val="22"/>
        </w:rPr>
      </w:pPr>
      <w:r w:rsidRPr="00454751">
        <w:rPr>
          <w:rFonts w:ascii="Arial" w:hAnsi="Arial" w:cs="Arial"/>
          <w:bCs/>
          <w:noProof/>
          <w:sz w:val="22"/>
        </w:rPr>
        <w:t>Benzen má nízkou akutní toxicitu, při dlouhodobé expozici má účinky hematotoxické, genotoxické, imunotoxické a karcinogenní. Nejzávažnějším účinkem benzenu j</w:t>
      </w:r>
      <w:r w:rsidRPr="00454751">
        <w:rPr>
          <w:rFonts w:ascii="Arial" w:hAnsi="Arial" w:cs="Arial"/>
          <w:bCs/>
          <w:noProof/>
          <w:sz w:val="22"/>
        </w:rPr>
        <w:t xml:space="preserve">e jeho karcinogenní působení. Benzen je z hlediska klasifikace karcinogenity zařazen do skupiny 1 – prokázaný karcinogen (IARC 1987). Byly popsány nádory jater, prsu, nosní dutiny </w:t>
      </w:r>
      <w:r w:rsidR="004E573D" w:rsidRPr="00454751">
        <w:rPr>
          <w:rFonts w:ascii="Arial" w:hAnsi="Arial" w:cs="Arial"/>
          <w:bCs/>
          <w:noProof/>
          <w:sz w:val="22"/>
        </w:rPr>
        <w:br/>
      </w:r>
      <w:r w:rsidRPr="00454751">
        <w:rPr>
          <w:rFonts w:ascii="Arial" w:hAnsi="Arial" w:cs="Arial"/>
          <w:bCs/>
          <w:noProof/>
          <w:sz w:val="22"/>
        </w:rPr>
        <w:t>a leukémie. Přibývá studií, které uvádějí důkazy o vztahu mezi expozicí ben</w:t>
      </w:r>
      <w:r w:rsidRPr="00454751">
        <w:rPr>
          <w:rFonts w:ascii="Arial" w:hAnsi="Arial" w:cs="Arial"/>
          <w:bCs/>
          <w:noProof/>
          <w:sz w:val="22"/>
        </w:rPr>
        <w:t>zenu ze znečištěného ovzduší a vznikem akutní leukemie u dětí (IARC, 2010). Některé studie dokonce naznačují, že toto riziko by mohlo nastat již při nižších koncentracích než je současný imisní limit 5 μg/m</w:t>
      </w:r>
      <w:r w:rsidRPr="00454751">
        <w:rPr>
          <w:rFonts w:ascii="Arial" w:hAnsi="Arial" w:cs="Arial"/>
          <w:bCs/>
          <w:noProof/>
          <w:sz w:val="22"/>
          <w:vertAlign w:val="superscript"/>
        </w:rPr>
        <w:t>3</w:t>
      </w:r>
      <w:r w:rsidRPr="00454751">
        <w:rPr>
          <w:rFonts w:ascii="Arial" w:hAnsi="Arial" w:cs="Arial"/>
          <w:bCs/>
          <w:noProof/>
          <w:sz w:val="22"/>
        </w:rPr>
        <w:t xml:space="preserve"> pro benzen ve venkovním ovzduší, ale tyto studie zatím nejsou využitelné pro kvantitativní hodnocení. WHO definovalo pro benzen, na základě zhodnocení řady studií, jednotku karcinogenního rizika pro celoživotní expozici koncentraci 1 µg/m</w:t>
      </w:r>
      <w:r w:rsidRPr="00454751">
        <w:rPr>
          <w:rFonts w:ascii="Arial" w:hAnsi="Arial" w:cs="Arial"/>
          <w:bCs/>
          <w:noProof/>
          <w:sz w:val="22"/>
          <w:vertAlign w:val="superscript"/>
        </w:rPr>
        <w:t>3</w:t>
      </w:r>
      <w:r w:rsidRPr="00454751">
        <w:rPr>
          <w:rFonts w:ascii="Arial" w:hAnsi="Arial" w:cs="Arial"/>
          <w:bCs/>
          <w:noProof/>
          <w:sz w:val="22"/>
        </w:rPr>
        <w:t xml:space="preserve"> </w:t>
      </w:r>
      <w:r w:rsidR="004E573D" w:rsidRPr="00454751">
        <w:rPr>
          <w:rFonts w:ascii="Arial" w:hAnsi="Arial" w:cs="Arial"/>
          <w:bCs/>
          <w:noProof/>
          <w:sz w:val="22"/>
        </w:rPr>
        <w:br/>
      </w:r>
      <w:r w:rsidRPr="00454751">
        <w:rPr>
          <w:rFonts w:ascii="Arial" w:hAnsi="Arial" w:cs="Arial"/>
          <w:bCs/>
          <w:noProof/>
          <w:sz w:val="22"/>
        </w:rPr>
        <w:t xml:space="preserve">v rozmezí 4,4 </w:t>
      </w:r>
      <w:r w:rsidRPr="00454751">
        <w:rPr>
          <w:rFonts w:ascii="Arial" w:hAnsi="Arial" w:cs="Arial"/>
          <w:bCs/>
          <w:noProof/>
          <w:sz w:val="22"/>
        </w:rPr>
        <w:t>- 7,5 × 10</w:t>
      </w:r>
      <w:r w:rsidRPr="00454751">
        <w:rPr>
          <w:rFonts w:ascii="Arial" w:hAnsi="Arial" w:cs="Arial"/>
          <w:bCs/>
          <w:noProof/>
          <w:sz w:val="22"/>
          <w:vertAlign w:val="superscript"/>
        </w:rPr>
        <w:t>-6</w:t>
      </w:r>
      <w:r w:rsidRPr="00454751">
        <w:rPr>
          <w:rFonts w:ascii="Arial" w:hAnsi="Arial" w:cs="Arial"/>
          <w:bCs/>
          <w:noProof/>
          <w:sz w:val="22"/>
        </w:rPr>
        <w:t xml:space="preserve"> (střední hodnota 6 × 10</w:t>
      </w:r>
      <w:r w:rsidRPr="00454751">
        <w:rPr>
          <w:rFonts w:ascii="Arial" w:hAnsi="Arial" w:cs="Arial"/>
          <w:bCs/>
          <w:noProof/>
          <w:sz w:val="22"/>
          <w:vertAlign w:val="superscript"/>
        </w:rPr>
        <w:t>-6</w:t>
      </w:r>
      <w:r w:rsidRPr="00454751">
        <w:rPr>
          <w:rFonts w:ascii="Arial" w:hAnsi="Arial" w:cs="Arial"/>
          <w:bCs/>
          <w:noProof/>
          <w:sz w:val="22"/>
        </w:rPr>
        <w:t xml:space="preserve">). V těchto studiích byly osoby exponovány koncentracím o několik řádů vyšším, než se mohou vyskytnout ve venkovním ovzduší. </w:t>
      </w:r>
      <w:r w:rsidR="004E573D" w:rsidRPr="00454751">
        <w:rPr>
          <w:rFonts w:ascii="Arial" w:hAnsi="Arial" w:cs="Arial"/>
          <w:bCs/>
          <w:noProof/>
          <w:sz w:val="22"/>
        </w:rPr>
        <w:br/>
      </w:r>
      <w:r w:rsidRPr="00454751">
        <w:rPr>
          <w:rFonts w:ascii="Arial" w:hAnsi="Arial" w:cs="Arial"/>
          <w:bCs/>
          <w:noProof/>
          <w:sz w:val="22"/>
        </w:rPr>
        <w:t>Je proto možné, že extrapolace do oblasti nižších koncentrací neodpovídá reálné křivce účinn</w:t>
      </w:r>
      <w:r w:rsidRPr="00454751">
        <w:rPr>
          <w:rFonts w:ascii="Arial" w:hAnsi="Arial" w:cs="Arial"/>
          <w:bCs/>
          <w:noProof/>
          <w:sz w:val="22"/>
        </w:rPr>
        <w:t>osti. Hodnota UCR doporučená WHO je experty EU považována za horní mez odhadu rizika, dolní mez hodnoty jednotky karcinogenního rizika byla s použitím sublineární křivky extrapolace odhadnuta na 5 × 10</w:t>
      </w:r>
      <w:r w:rsidRPr="00454751">
        <w:rPr>
          <w:rFonts w:ascii="Arial" w:hAnsi="Arial" w:cs="Arial"/>
          <w:bCs/>
          <w:noProof/>
          <w:sz w:val="22"/>
          <w:vertAlign w:val="superscript"/>
        </w:rPr>
        <w:t>-8</w:t>
      </w:r>
      <w:r w:rsidRPr="00454751">
        <w:rPr>
          <w:rFonts w:ascii="Arial" w:hAnsi="Arial" w:cs="Arial"/>
          <w:bCs/>
          <w:noProof/>
          <w:sz w:val="22"/>
        </w:rPr>
        <w:t>. Tento rozsah hodnot UCR znamená, že riziko leukémie</w:t>
      </w:r>
      <w:r w:rsidRPr="00454751">
        <w:rPr>
          <w:rFonts w:ascii="Arial" w:hAnsi="Arial" w:cs="Arial"/>
          <w:bCs/>
          <w:noProof/>
          <w:sz w:val="22"/>
        </w:rPr>
        <w:t xml:space="preserve"> </w:t>
      </w:r>
      <w:r w:rsidR="004E573D" w:rsidRPr="00454751">
        <w:rPr>
          <w:rFonts w:ascii="Arial" w:hAnsi="Arial" w:cs="Arial"/>
          <w:bCs/>
          <w:noProof/>
          <w:sz w:val="22"/>
        </w:rPr>
        <w:br/>
      </w:r>
      <w:r w:rsidRPr="00454751">
        <w:rPr>
          <w:rFonts w:ascii="Arial" w:hAnsi="Arial" w:cs="Arial"/>
          <w:bCs/>
          <w:noProof/>
          <w:sz w:val="22"/>
        </w:rPr>
        <w:t>1 x 10</w:t>
      </w:r>
      <w:r w:rsidRPr="00454751">
        <w:rPr>
          <w:rFonts w:ascii="Arial" w:hAnsi="Arial" w:cs="Arial"/>
          <w:bCs/>
          <w:noProof/>
          <w:sz w:val="22"/>
          <w:vertAlign w:val="superscript"/>
        </w:rPr>
        <w:t>-6</w:t>
      </w:r>
      <w:r w:rsidRPr="00454751">
        <w:rPr>
          <w:rFonts w:ascii="Arial" w:hAnsi="Arial" w:cs="Arial"/>
          <w:bCs/>
          <w:noProof/>
          <w:sz w:val="22"/>
        </w:rPr>
        <w:t xml:space="preserve"> by se mělo pohybovat v rozmezí roční průměrné koncentrace benzenu v ovzduší cca </w:t>
      </w:r>
      <w:r w:rsidRPr="00454751">
        <w:rPr>
          <w:rFonts w:ascii="Arial" w:hAnsi="Arial" w:cs="Arial"/>
          <w:bCs/>
          <w:noProof/>
          <w:sz w:val="22"/>
        </w:rPr>
        <w:lastRenderedPageBreak/>
        <w:t>0,2 – 20 µg/m</w:t>
      </w:r>
      <w:r w:rsidRPr="00454751">
        <w:rPr>
          <w:rFonts w:ascii="Arial" w:hAnsi="Arial" w:cs="Arial"/>
          <w:bCs/>
          <w:noProof/>
          <w:sz w:val="22"/>
          <w:vertAlign w:val="superscript"/>
        </w:rPr>
        <w:t>3</w:t>
      </w:r>
      <w:r w:rsidRPr="00454751">
        <w:rPr>
          <w:rFonts w:ascii="Arial" w:hAnsi="Arial" w:cs="Arial"/>
          <w:bCs/>
          <w:noProof/>
          <w:sz w:val="22"/>
        </w:rPr>
        <w:t>. V tomto zpracování byla použita jednotka karcinogenního rizika 6 × 10</w:t>
      </w:r>
      <w:r w:rsidRPr="00454751">
        <w:rPr>
          <w:rFonts w:ascii="Arial" w:hAnsi="Arial" w:cs="Arial"/>
          <w:bCs/>
          <w:noProof/>
          <w:sz w:val="22"/>
          <w:vertAlign w:val="superscript"/>
        </w:rPr>
        <w:t>-6</w:t>
      </w:r>
      <w:r w:rsidRPr="00454751">
        <w:rPr>
          <w:rFonts w:ascii="Arial" w:hAnsi="Arial" w:cs="Arial"/>
          <w:bCs/>
          <w:noProof/>
          <w:sz w:val="22"/>
        </w:rPr>
        <w:t xml:space="preserve"> uváděná WHO. Při aplikaci této UCR vychází koncentrace benzenu ve vnějším ovz</w:t>
      </w:r>
      <w:r w:rsidRPr="00454751">
        <w:rPr>
          <w:rFonts w:ascii="Arial" w:hAnsi="Arial" w:cs="Arial"/>
          <w:bCs/>
          <w:noProof/>
          <w:sz w:val="22"/>
        </w:rPr>
        <w:t>duší, odpovídající akceptovatelné úrovni karcinogenního rizika pro populaci 1 × 10</w:t>
      </w:r>
      <w:r w:rsidRPr="00454751">
        <w:rPr>
          <w:rFonts w:ascii="Arial" w:hAnsi="Arial" w:cs="Arial"/>
          <w:bCs/>
          <w:noProof/>
          <w:sz w:val="22"/>
          <w:vertAlign w:val="superscript"/>
        </w:rPr>
        <w:t>-6</w:t>
      </w:r>
      <w:r w:rsidRPr="00454751">
        <w:rPr>
          <w:rFonts w:ascii="Arial" w:hAnsi="Arial" w:cs="Arial"/>
          <w:bCs/>
          <w:noProof/>
          <w:sz w:val="22"/>
        </w:rPr>
        <w:t xml:space="preserve"> v úrovni koncentrace 0,17 µg/m</w:t>
      </w:r>
      <w:r w:rsidRPr="00454751">
        <w:rPr>
          <w:rFonts w:ascii="Arial" w:hAnsi="Arial" w:cs="Arial"/>
          <w:bCs/>
          <w:noProof/>
          <w:sz w:val="22"/>
          <w:vertAlign w:val="superscript"/>
        </w:rPr>
        <w:t>3</w:t>
      </w:r>
      <w:r w:rsidRPr="00454751">
        <w:rPr>
          <w:rFonts w:ascii="Arial" w:hAnsi="Arial" w:cs="Arial"/>
          <w:bCs/>
          <w:noProof/>
          <w:sz w:val="22"/>
        </w:rPr>
        <w:t>/rok.</w:t>
      </w:r>
    </w:p>
    <w:p w:rsidR="003B316B" w:rsidRPr="00454751" w:rsidRDefault="00AA1CF9" w:rsidP="00454751">
      <w:pPr>
        <w:spacing w:before="120" w:after="120" w:line="276" w:lineRule="auto"/>
        <w:jc w:val="both"/>
        <w:rPr>
          <w:rFonts w:ascii="Arial" w:hAnsi="Arial" w:cs="Arial"/>
          <w:i/>
          <w:noProof w:val="0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54751">
        <w:rPr>
          <w:rFonts w:ascii="Arial" w:hAnsi="Arial" w:cs="Arial"/>
          <w:i/>
          <w:noProof w:val="0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Pozn: Hodnoty jednotkového rizika byly převzaty z internetových s</w:t>
      </w:r>
      <w:r w:rsidRPr="00454751">
        <w:rPr>
          <w:rFonts w:ascii="Arial" w:hAnsi="Arial" w:cs="Arial"/>
          <w:i/>
          <w:noProof w:val="0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tránek WHO a z dalších zdrojů (US EPA, HEAST). </w:t>
      </w:r>
    </w:p>
    <w:p w:rsidR="003B316B" w:rsidRPr="003B316B" w:rsidRDefault="003B316B" w:rsidP="003B316B">
      <w:pPr>
        <w:pStyle w:val="DefaultText1"/>
        <w:jc w:val="both"/>
        <w:rPr>
          <w:color w:val="FF0000"/>
        </w:rPr>
      </w:pPr>
    </w:p>
    <w:p w:rsidR="002C0E2A" w:rsidRPr="00454751" w:rsidRDefault="00AA1CF9" w:rsidP="005E44FA">
      <w:pPr>
        <w:pStyle w:val="Nadpis2"/>
        <w:numPr>
          <w:ilvl w:val="0"/>
          <w:numId w:val="13"/>
        </w:numPr>
        <w:jc w:val="left"/>
        <w:rPr>
          <w:rFonts w:cs="Arial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454751">
        <w:rPr>
          <w:rFonts w:cs="Arial"/>
          <w:szCs w:val="28"/>
          <w14:shadow w14:blurRad="0" w14:dist="0" w14:dir="0" w14:sx="0" w14:sy="0" w14:kx="0" w14:ky="0" w14:algn="none">
            <w14:srgbClr w14:val="000000"/>
          </w14:shadow>
        </w:rPr>
        <w:t>Expozice</w:t>
      </w:r>
    </w:p>
    <w:p w:rsidR="00D423D5" w:rsidRPr="00454751" w:rsidRDefault="00AA1CF9" w:rsidP="00454751">
      <w:pPr>
        <w:spacing w:before="120" w:line="276" w:lineRule="auto"/>
        <w:jc w:val="both"/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</w:pPr>
      <w:r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Pro odhad </w:t>
      </w:r>
      <w:r w:rsidR="007B7571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expozice </w:t>
      </w:r>
      <w:r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>byl použit přístup, který uvažuje celoživotní expozici 24 hodin denně pro dospělého člověka o hmotnosti 70</w:t>
      </w:r>
      <w:r w:rsidR="00D24A88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kg, </w:t>
      </w:r>
      <w:r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>který vdechne 20 m</w:t>
      </w:r>
      <w:r w:rsidRPr="00454751">
        <w:rPr>
          <w:rFonts w:ascii="Arial" w:hAnsi="Arial" w:cs="Arial"/>
          <w:noProof w:val="0"/>
          <w:sz w:val="22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 vzduchu za den. </w:t>
      </w:r>
      <w:r w:rsidR="007B7571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Jde </w:t>
      </w:r>
      <w:r w:rsidR="006915C0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br/>
      </w:r>
      <w:r w:rsidR="007B7571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>o screeningový přístup odpovídající hodnocení populace v obecné rovině.</w:t>
      </w:r>
      <w:r w:rsidR="00920565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 Hodnocení městské </w:t>
      </w:r>
      <w:r w:rsidR="005D62D2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populace </w:t>
      </w:r>
      <w:r w:rsidR="00414047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>(</w:t>
      </w:r>
      <w:r w:rsidR="004E573D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>města</w:t>
      </w:r>
      <w:r w:rsidR="00414047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 &gt; </w:t>
      </w:r>
      <w:r w:rsidR="0065412B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>5</w:t>
      </w:r>
      <w:r w:rsidR="00713F1A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414047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000 obyvatel) </w:t>
      </w:r>
      <w:r w:rsidR="00920565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zahrnuje zhruba polovinu </w:t>
      </w:r>
      <w:r w:rsidR="00E46107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>obyv</w:t>
      </w:r>
      <w:r w:rsidR="00920565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>atel ČR, tedy cca 5 mil</w:t>
      </w:r>
      <w:r w:rsidR="006915C0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>.</w:t>
      </w:r>
      <w:r w:rsidR="00920565" w:rsidRPr="00454751">
        <w:rPr>
          <w:rFonts w:ascii="Arial" w:hAnsi="Arial" w:cs="Arial"/>
          <w:noProof w:val="0"/>
          <w:sz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</w:p>
    <w:p w:rsidR="00D423D5" w:rsidRPr="001306F8" w:rsidRDefault="00D423D5" w:rsidP="00263794">
      <w:pPr>
        <w:spacing w:before="120"/>
        <w:jc w:val="both"/>
        <w:rPr>
          <w:rFonts w:ascii="Times New Roman" w:hAnsi="Times New Roman"/>
          <w:noProof w:val="0"/>
          <w:color w:val="FF0000"/>
          <w:sz w:val="24"/>
          <w14:shadow w14:blurRad="0" w14:dist="0" w14:dir="0" w14:sx="0" w14:sy="0" w14:kx="0" w14:ky="0" w14:algn="none">
            <w14:srgbClr w14:val="000000"/>
          </w14:shadow>
        </w:rPr>
      </w:pPr>
    </w:p>
    <w:p w:rsidR="007B7571" w:rsidRPr="00454751" w:rsidRDefault="00AA1CF9" w:rsidP="005E44FA">
      <w:pPr>
        <w:pStyle w:val="Nadpis2"/>
        <w:numPr>
          <w:ilvl w:val="0"/>
          <w:numId w:val="13"/>
        </w:numPr>
        <w:jc w:val="left"/>
        <w:rPr>
          <w:rFonts w:cs="Arial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454751">
        <w:rPr>
          <w:rFonts w:cs="Arial"/>
          <w:szCs w:val="28"/>
          <w14:shadow w14:blurRad="0" w14:dist="0" w14:dir="0" w14:sx="0" w14:sy="0" w14:kx="0" w14:ky="0" w14:algn="none">
            <w14:srgbClr w14:val="000000"/>
          </w14:shadow>
        </w:rPr>
        <w:t>Charakterizace rizik</w:t>
      </w:r>
    </w:p>
    <w:bookmarkEnd w:id="2"/>
    <w:p w:rsidR="005D4FD8" w:rsidRPr="00454751" w:rsidRDefault="00AA1CF9" w:rsidP="00454751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V zásadě se při hodnocení </w:t>
      </w:r>
      <w:r w:rsidR="007B7571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rizik 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rozlišují dva typy účinků chemických látek. U látek, které nejsou podezřelé z účasti na karcinogenním působení se předpokládá tzv. </w:t>
      </w:r>
      <w:r w:rsidRPr="00454751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prahový účinek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Toxické účinky těchto látek se projeví až po překročení kapacity fyziologických detoxikačních a reparačních obranných mechanismů organismu. Lze tedy identifikovat dávku škodlivé látky, která je pro organismus člověka ještě bezpečná a za nor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málních okolností nevyvolá nepříznivý efekt.</w:t>
      </w:r>
    </w:p>
    <w:p w:rsidR="00920565" w:rsidRPr="00454751" w:rsidRDefault="00AA1CF9" w:rsidP="00454751">
      <w:pPr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Ke kvantitativnímu vyjádření míry zdravotního rizika toxického nekarcinogenního účinku škodlivin </w:t>
      </w:r>
      <w:r w:rsidR="007B7571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je možno použít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koeficient nebezpečnosti HQ (Hazard Quotient). Kvocient nebezpečnosti vyjadřuje poměr mezi zjištěnou nebo předpokládanou  expozicí či dávkou </w:t>
      </w:r>
      <w:r w:rsidR="00713F1A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 referenční dávkou, nebo mezi koncentrací v ovzduší a referenční koncentrací v případě standardního expozičního scénáře. Pokud se současně vyskytují látky s podobným systémovým toxickým účinkem je možno součtem kvocientů získat index nebezpečnosti (Hazard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Index – HI). Kvocient nebezpečnosti vyšší než 1 je považován za reálné riziko toxického účinku. </w:t>
      </w:r>
      <w:r w:rsidR="007B7571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Druhým způsobem hodnocení je použití vztahů odvozených z epidemiologických studií</w:t>
      </w:r>
      <w:r w:rsidR="007C7FCF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které </w:t>
      </w:r>
      <w:r w:rsidR="009E7AEA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zkoumají</w:t>
      </w:r>
      <w:r w:rsidR="007C7FCF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vztah mezi dávkou (expozicí) a účinkem </w:t>
      </w:r>
      <w:r w:rsidR="002F480C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="007C7FCF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u člověka. </w:t>
      </w:r>
      <w:r w:rsidR="00A560BA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Tento přístup je používán např. u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suspendovaných částic PM</w:t>
      </w:r>
      <w:r w:rsidRPr="00454751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</w:t>
      </w:r>
      <w:r w:rsidR="00A560BA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kde 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současné znalosti neumožňují odvodit prahovou dávku či expozici a k vyjádření míry rizika se používá předpověď výskytu zdravotních účinků</w:t>
      </w:r>
      <w:r w:rsidR="00553AD9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u exponovaných </w:t>
      </w:r>
      <w:r w:rsidR="00A560BA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osob.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 </w:t>
      </w:r>
    </w:p>
    <w:p w:rsidR="00263794" w:rsidRPr="00454751" w:rsidRDefault="00AA1CF9" w:rsidP="00454751">
      <w:pPr>
        <w:spacing w:before="120" w:line="276" w:lineRule="auto"/>
        <w:jc w:val="both"/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5475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Při hodnocení karcinogenů se vychází z teorie </w:t>
      </w:r>
      <w:r w:rsidRPr="00454751">
        <w:rPr>
          <w:rFonts w:ascii="Arial" w:hAnsi="Arial" w:cs="Arial"/>
          <w:b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bezprahového působení</w:t>
      </w:r>
      <w:r w:rsidRPr="0045475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Ta předpokládá, že neexistuje žádná koncentrace, pod kterou by působení dané látky bylo nulové, jakákoliv expozice znamená určité riziko a velikost tohoto rizika se zvyšuje se zvyšující se expozicí. Míru karcinogenního potenciálu dané látky vyjadřuje smě</w:t>
      </w:r>
      <w:r w:rsidRPr="00454751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rnice rakovinového rizika. 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Metody rizikové analýzy používají pro oblast velmi nízkých dávek extrapolace a předpokládají vztah lineární regrese mezi zvyšující se expozicí a celoživotním rizikem vzniku rakoviny. Proto je východiskem pro hodnocení celoživotní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průměrná denní dávka a faktor směrnice rizika daný vztahem mezi dávkou a účinkem. Výsledkem je pak </w:t>
      </w:r>
      <w:r w:rsidR="007C7FCF"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individuální celoživotní riziko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Reálné riziko je pravděpodobně nižší, protože směrnice rizika vychází z lineárního vícefázového modelu a je považována za h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orní hranici odhadu. Pokud předpokládáme celoživotní působení a odhadujeme navýšení rizika, můžeme karcinogenní riziko vypočítat také z koncentrace látky a jednotky rakovinného rizika. Dostaneme teoretické navýšení 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lastRenderedPageBreak/>
        <w:t>pravděpodobnosti vzniku nádorového onemoc</w:t>
      </w:r>
      <w:r w:rsidRPr="00454751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nění pro jednotlivce, které může způsobit daná úroveň expozice hodnocené látce nad výskyt v neovlivněné populaci.  </w:t>
      </w:r>
    </w:p>
    <w:p w:rsidR="00A560BA" w:rsidRPr="001306F8" w:rsidRDefault="00A560BA" w:rsidP="00263794">
      <w:pPr>
        <w:pStyle w:val="DefaultText1"/>
        <w:jc w:val="both"/>
        <w:rPr>
          <w:color w:val="FF0000"/>
        </w:rPr>
      </w:pPr>
    </w:p>
    <w:p w:rsidR="00A560BA" w:rsidRPr="00454751" w:rsidRDefault="00AA1CF9" w:rsidP="00263794">
      <w:pPr>
        <w:pStyle w:val="DefaultText1"/>
        <w:jc w:val="both"/>
        <w:rPr>
          <w:rFonts w:ascii="Arial" w:hAnsi="Arial" w:cs="Arial"/>
          <w:b/>
          <w:sz w:val="22"/>
        </w:rPr>
      </w:pPr>
      <w:r w:rsidRPr="00454751">
        <w:rPr>
          <w:rFonts w:ascii="Arial" w:hAnsi="Arial" w:cs="Arial"/>
          <w:b/>
          <w:sz w:val="22"/>
        </w:rPr>
        <w:t>Oxid dusičitý NO</w:t>
      </w:r>
      <w:r w:rsidRPr="00454751">
        <w:rPr>
          <w:rFonts w:ascii="Arial" w:hAnsi="Arial" w:cs="Arial"/>
          <w:b/>
          <w:sz w:val="22"/>
          <w:vertAlign w:val="subscript"/>
        </w:rPr>
        <w:t>2</w:t>
      </w:r>
    </w:p>
    <w:p w:rsidR="00CF02E1" w:rsidRPr="00454751" w:rsidRDefault="00AA1CF9" w:rsidP="00454751">
      <w:pPr>
        <w:pStyle w:val="DefaultText1"/>
        <w:spacing w:before="120" w:line="276" w:lineRule="auto"/>
        <w:jc w:val="both"/>
        <w:rPr>
          <w:rFonts w:ascii="Arial" w:hAnsi="Arial" w:cs="Arial"/>
          <w:i/>
          <w:sz w:val="22"/>
        </w:rPr>
      </w:pPr>
      <w:r w:rsidRPr="00454751">
        <w:rPr>
          <w:rFonts w:ascii="Arial" w:hAnsi="Arial" w:cs="Arial"/>
          <w:sz w:val="22"/>
        </w:rPr>
        <w:t xml:space="preserve">Hodnocení vlivu oxidu dusičitého je zahrnuto v komplexním hodnocení suspendovaných částic. Grafické znázornění rozpětí ročních koncentrací </w:t>
      </w:r>
      <w:r w:rsidR="00D24A88" w:rsidRPr="00454751">
        <w:rPr>
          <w:rFonts w:ascii="Arial" w:hAnsi="Arial" w:cs="Arial"/>
          <w:sz w:val="22"/>
        </w:rPr>
        <w:t xml:space="preserve">(graf č. </w:t>
      </w:r>
      <w:r w:rsidR="003D3EB3" w:rsidRPr="00454751">
        <w:rPr>
          <w:rFonts w:ascii="Arial" w:hAnsi="Arial" w:cs="Arial"/>
          <w:sz w:val="22"/>
        </w:rPr>
        <w:t>1</w:t>
      </w:r>
      <w:r w:rsidR="00D24A88" w:rsidRPr="00454751">
        <w:rPr>
          <w:rFonts w:ascii="Arial" w:hAnsi="Arial" w:cs="Arial"/>
          <w:sz w:val="22"/>
        </w:rPr>
        <w:t xml:space="preserve">) </w:t>
      </w:r>
      <w:r w:rsidRPr="00454751">
        <w:rPr>
          <w:rFonts w:ascii="Arial" w:hAnsi="Arial" w:cs="Arial"/>
          <w:sz w:val="22"/>
        </w:rPr>
        <w:t>ukazuje, že nejvíce jsou expozici NO</w:t>
      </w:r>
      <w:r w:rsidRPr="00454751">
        <w:rPr>
          <w:rFonts w:ascii="Arial" w:hAnsi="Arial" w:cs="Arial"/>
          <w:sz w:val="22"/>
          <w:vertAlign w:val="subscript"/>
        </w:rPr>
        <w:t>2</w:t>
      </w:r>
      <w:r w:rsidRPr="00454751">
        <w:rPr>
          <w:rFonts w:ascii="Arial" w:hAnsi="Arial" w:cs="Arial"/>
          <w:sz w:val="22"/>
        </w:rPr>
        <w:t xml:space="preserve"> vystaveni obyvatelé městských lokalit významně ovlivněných dopravou</w:t>
      </w:r>
      <w:r w:rsidRPr="00454751">
        <w:rPr>
          <w:rFonts w:ascii="Arial" w:hAnsi="Arial" w:cs="Arial"/>
          <w:sz w:val="22"/>
        </w:rPr>
        <w:t>, méně v průmyslových lokalitách.</w:t>
      </w:r>
      <w:r w:rsidRPr="00454751">
        <w:rPr>
          <w:rFonts w:ascii="Arial" w:hAnsi="Arial" w:cs="Arial"/>
          <w:i/>
          <w:sz w:val="22"/>
        </w:rPr>
        <w:t xml:space="preserve"> </w:t>
      </w:r>
    </w:p>
    <w:p w:rsidR="007F1CA4" w:rsidRPr="00454751" w:rsidRDefault="00AA1CF9" w:rsidP="00454751">
      <w:pPr>
        <w:pStyle w:val="DefaultText1"/>
        <w:spacing w:before="120" w:line="276" w:lineRule="auto"/>
        <w:jc w:val="both"/>
        <w:rPr>
          <w:rFonts w:ascii="Arial" w:hAnsi="Arial" w:cs="Arial"/>
          <w:sz w:val="22"/>
        </w:rPr>
      </w:pPr>
      <w:r w:rsidRPr="00454751">
        <w:rPr>
          <w:rFonts w:ascii="Arial" w:hAnsi="Arial" w:cs="Arial"/>
          <w:sz w:val="22"/>
        </w:rPr>
        <w:t xml:space="preserve">Z hodnot ročních </w:t>
      </w:r>
      <w:r w:rsidR="008F28CA" w:rsidRPr="00454751">
        <w:rPr>
          <w:rFonts w:ascii="Arial" w:hAnsi="Arial" w:cs="Arial"/>
          <w:sz w:val="22"/>
        </w:rPr>
        <w:t xml:space="preserve">aritmetických </w:t>
      </w:r>
      <w:r w:rsidRPr="00454751">
        <w:rPr>
          <w:rFonts w:ascii="Arial" w:hAnsi="Arial" w:cs="Arial"/>
          <w:sz w:val="22"/>
        </w:rPr>
        <w:t xml:space="preserve">průměrů (tab. č. </w:t>
      </w:r>
      <w:r w:rsidR="00A02A0E" w:rsidRPr="00454751">
        <w:rPr>
          <w:rFonts w:ascii="Arial" w:hAnsi="Arial" w:cs="Arial"/>
          <w:sz w:val="22"/>
        </w:rPr>
        <w:t>2</w:t>
      </w:r>
      <w:r w:rsidRPr="00454751">
        <w:rPr>
          <w:rFonts w:ascii="Arial" w:hAnsi="Arial" w:cs="Arial"/>
          <w:sz w:val="22"/>
        </w:rPr>
        <w:t>) vyplývá, že v</w:t>
      </w:r>
      <w:r w:rsidR="00A14919" w:rsidRPr="00454751">
        <w:rPr>
          <w:rFonts w:ascii="Arial" w:hAnsi="Arial" w:cs="Arial"/>
          <w:sz w:val="22"/>
        </w:rPr>
        <w:t xml:space="preserve"> místech </w:t>
      </w:r>
      <w:r w:rsidR="00E40AA4" w:rsidRPr="00454751">
        <w:rPr>
          <w:rFonts w:ascii="Arial" w:hAnsi="Arial" w:cs="Arial"/>
          <w:sz w:val="22"/>
        </w:rPr>
        <w:t>bezprostředního ovlivnění</w:t>
      </w:r>
      <w:r w:rsidR="00A14919" w:rsidRPr="00454751">
        <w:rPr>
          <w:rFonts w:ascii="Arial" w:hAnsi="Arial" w:cs="Arial"/>
          <w:sz w:val="22"/>
        </w:rPr>
        <w:t> intenzivní d</w:t>
      </w:r>
      <w:r w:rsidR="00BD7D21" w:rsidRPr="00454751">
        <w:rPr>
          <w:rFonts w:ascii="Arial" w:hAnsi="Arial" w:cs="Arial"/>
          <w:sz w:val="22"/>
        </w:rPr>
        <w:t>o</w:t>
      </w:r>
      <w:r w:rsidR="00A14919" w:rsidRPr="00454751">
        <w:rPr>
          <w:rFonts w:ascii="Arial" w:hAnsi="Arial" w:cs="Arial"/>
          <w:sz w:val="22"/>
        </w:rPr>
        <w:t xml:space="preserve">pravou </w:t>
      </w:r>
      <w:r w:rsidR="00CB3EF8" w:rsidRPr="00454751">
        <w:rPr>
          <w:rFonts w:ascii="Arial" w:hAnsi="Arial" w:cs="Arial"/>
          <w:sz w:val="22"/>
        </w:rPr>
        <w:t>(</w:t>
      </w:r>
      <w:r w:rsidR="00A14919" w:rsidRPr="00454751">
        <w:rPr>
          <w:rFonts w:ascii="Arial" w:hAnsi="Arial" w:cs="Arial"/>
          <w:sz w:val="22"/>
        </w:rPr>
        <w:t xml:space="preserve">nad </w:t>
      </w:r>
      <w:r w:rsidR="00CB3EF8" w:rsidRPr="00454751">
        <w:rPr>
          <w:rFonts w:ascii="Arial" w:hAnsi="Arial" w:cs="Arial"/>
          <w:sz w:val="22"/>
        </w:rPr>
        <w:t>1</w:t>
      </w:r>
      <w:r w:rsidR="00A14919" w:rsidRPr="00454751">
        <w:rPr>
          <w:rFonts w:ascii="Arial" w:hAnsi="Arial" w:cs="Arial"/>
          <w:sz w:val="22"/>
        </w:rPr>
        <w:t xml:space="preserve">0 000 vozidel) lze </w:t>
      </w:r>
      <w:r w:rsidR="00C4573F" w:rsidRPr="00454751">
        <w:rPr>
          <w:rFonts w:ascii="Arial" w:hAnsi="Arial" w:cs="Arial"/>
          <w:sz w:val="22"/>
        </w:rPr>
        <w:t xml:space="preserve">v důsledku expozice </w:t>
      </w:r>
      <w:r w:rsidR="005E361C" w:rsidRPr="00454751">
        <w:rPr>
          <w:rFonts w:ascii="Arial" w:hAnsi="Arial" w:cs="Arial"/>
          <w:sz w:val="22"/>
        </w:rPr>
        <w:t xml:space="preserve">zvýšeným okamžitým koncentracím </w:t>
      </w:r>
      <w:r w:rsidR="00BC130B" w:rsidRPr="00454751">
        <w:rPr>
          <w:rFonts w:ascii="Arial" w:hAnsi="Arial" w:cs="Arial"/>
          <w:sz w:val="22"/>
        </w:rPr>
        <w:t xml:space="preserve">oxidu dusičitého </w:t>
      </w:r>
      <w:r w:rsidR="00A14919" w:rsidRPr="00454751">
        <w:rPr>
          <w:rFonts w:ascii="Arial" w:hAnsi="Arial" w:cs="Arial"/>
          <w:sz w:val="22"/>
        </w:rPr>
        <w:t xml:space="preserve">očekávat </w:t>
      </w:r>
      <w:r w:rsidR="00BD7D21" w:rsidRPr="00454751">
        <w:rPr>
          <w:rFonts w:ascii="Arial" w:hAnsi="Arial" w:cs="Arial"/>
          <w:sz w:val="22"/>
        </w:rPr>
        <w:t xml:space="preserve">snížení plicních funkcí, zvýšený výskyt astmatických obtíží a alergií u dětské i dospělé populace. </w:t>
      </w:r>
      <w:r w:rsidR="00A14919" w:rsidRPr="00454751">
        <w:rPr>
          <w:rFonts w:ascii="Arial" w:hAnsi="Arial" w:cs="Arial"/>
          <w:sz w:val="22"/>
        </w:rPr>
        <w:t>Ve městských lokalitách bez přímého vlivu dopravy</w:t>
      </w:r>
      <w:r w:rsidR="00395B92" w:rsidRPr="00454751">
        <w:rPr>
          <w:rFonts w:ascii="Arial" w:hAnsi="Arial" w:cs="Arial"/>
          <w:sz w:val="22"/>
        </w:rPr>
        <w:t>,</w:t>
      </w:r>
      <w:r w:rsidR="00A14919" w:rsidRPr="00454751">
        <w:rPr>
          <w:rFonts w:ascii="Arial" w:hAnsi="Arial" w:cs="Arial"/>
          <w:sz w:val="22"/>
        </w:rPr>
        <w:t xml:space="preserve"> </w:t>
      </w:r>
      <w:r w:rsidR="00395B92" w:rsidRPr="00454751">
        <w:rPr>
          <w:rFonts w:ascii="Arial" w:hAnsi="Arial" w:cs="Arial"/>
          <w:sz w:val="22"/>
        </w:rPr>
        <w:t xml:space="preserve">průmyslu nebo velkých energetických zdrojů </w:t>
      </w:r>
      <w:r w:rsidR="00A14919" w:rsidRPr="00454751">
        <w:rPr>
          <w:rFonts w:ascii="Arial" w:hAnsi="Arial" w:cs="Arial"/>
          <w:sz w:val="22"/>
        </w:rPr>
        <w:t xml:space="preserve">není oxid dusičitý zdrojem zdravotních rizik. </w:t>
      </w:r>
    </w:p>
    <w:p w:rsidR="00AE333D" w:rsidRPr="00454751" w:rsidRDefault="00AA1CF9" w:rsidP="00BA77D5">
      <w:pPr>
        <w:pStyle w:val="DefaultText1"/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</w:rPr>
        <w:t>Tab</w:t>
      </w:r>
      <w:r w:rsidR="00C96773">
        <w:rPr>
          <w:rFonts w:ascii="Arial" w:hAnsi="Arial" w:cs="Arial"/>
          <w:b/>
          <w:sz w:val="20"/>
        </w:rPr>
        <w:t>ulka</w:t>
      </w:r>
      <w:r w:rsidRPr="00454751">
        <w:rPr>
          <w:rFonts w:ascii="Arial" w:hAnsi="Arial" w:cs="Arial"/>
          <w:b/>
          <w:sz w:val="20"/>
        </w:rPr>
        <w:t xml:space="preserve"> č. </w:t>
      </w:r>
      <w:r w:rsidR="00CC1C51" w:rsidRPr="00454751">
        <w:rPr>
          <w:rFonts w:ascii="Arial" w:hAnsi="Arial" w:cs="Arial"/>
          <w:b/>
          <w:noProof/>
          <w:sz w:val="20"/>
        </w:rPr>
        <w:fldChar w:fldCharType="begin"/>
      </w:r>
      <w:r w:rsidR="00CC1C51" w:rsidRPr="00454751">
        <w:rPr>
          <w:rFonts w:ascii="Arial" w:hAnsi="Arial" w:cs="Arial"/>
          <w:b/>
          <w:noProof/>
          <w:sz w:val="20"/>
        </w:rPr>
        <w:instrText xml:space="preserve"> SEQ Tabulka_č._ \* ARABIC </w:instrText>
      </w:r>
      <w:r w:rsidR="00CC1C51" w:rsidRPr="00454751">
        <w:rPr>
          <w:rFonts w:ascii="Arial" w:hAnsi="Arial" w:cs="Arial"/>
          <w:b/>
          <w:noProof/>
          <w:sz w:val="20"/>
        </w:rPr>
        <w:fldChar w:fldCharType="separate"/>
      </w:r>
      <w:r w:rsidR="00CC1C51" w:rsidRPr="00454751">
        <w:rPr>
          <w:rFonts w:ascii="Arial" w:hAnsi="Arial" w:cs="Arial"/>
          <w:b/>
          <w:noProof/>
          <w:sz w:val="20"/>
        </w:rPr>
        <w:t>1</w:t>
      </w:r>
      <w:r w:rsidR="00CC1C51" w:rsidRPr="00454751">
        <w:rPr>
          <w:rFonts w:ascii="Arial" w:hAnsi="Arial" w:cs="Arial"/>
          <w:b/>
          <w:noProof/>
          <w:sz w:val="20"/>
        </w:rPr>
        <w:fldChar w:fldCharType="end"/>
      </w:r>
      <w:r w:rsidR="009C71E5" w:rsidRPr="00454751">
        <w:rPr>
          <w:rFonts w:ascii="Arial" w:hAnsi="Arial" w:cs="Arial"/>
          <w:b/>
          <w:sz w:val="20"/>
        </w:rPr>
        <w:t>.</w:t>
      </w:r>
      <w:r w:rsidRPr="00454751">
        <w:rPr>
          <w:rFonts w:ascii="Arial" w:hAnsi="Arial" w:cs="Arial"/>
          <w:b/>
          <w:sz w:val="20"/>
        </w:rPr>
        <w:t xml:space="preserve"> </w:t>
      </w:r>
      <w:r w:rsidR="00732DAC" w:rsidRPr="00454751">
        <w:rPr>
          <w:rFonts w:ascii="Arial" w:hAnsi="Arial" w:cs="Arial"/>
          <w:b/>
          <w:sz w:val="20"/>
        </w:rPr>
        <w:t xml:space="preserve">Rozpětí hodnot </w:t>
      </w:r>
      <w:r w:rsidRPr="00454751">
        <w:rPr>
          <w:rFonts w:ascii="Arial" w:hAnsi="Arial" w:cs="Arial"/>
          <w:b/>
          <w:sz w:val="20"/>
        </w:rPr>
        <w:t>ročních průměrů NO</w:t>
      </w:r>
      <w:r w:rsidRPr="00454751">
        <w:rPr>
          <w:rFonts w:ascii="Arial" w:hAnsi="Arial" w:cs="Arial"/>
          <w:b/>
          <w:sz w:val="20"/>
          <w:vertAlign w:val="subscript"/>
        </w:rPr>
        <w:t>2</w:t>
      </w:r>
      <w:r w:rsidRPr="00454751">
        <w:rPr>
          <w:rFonts w:ascii="Arial" w:hAnsi="Arial" w:cs="Arial"/>
          <w:b/>
          <w:sz w:val="20"/>
        </w:rPr>
        <w:t xml:space="preserve"> v roce 20</w:t>
      </w:r>
      <w:r w:rsidR="00C54B13" w:rsidRPr="00454751">
        <w:rPr>
          <w:rFonts w:ascii="Arial" w:hAnsi="Arial" w:cs="Arial"/>
          <w:b/>
          <w:sz w:val="20"/>
        </w:rPr>
        <w:t>1</w:t>
      </w:r>
      <w:r w:rsidR="00CF02E1" w:rsidRPr="00454751">
        <w:rPr>
          <w:rFonts w:ascii="Arial" w:hAnsi="Arial" w:cs="Arial"/>
          <w:b/>
          <w:sz w:val="20"/>
        </w:rPr>
        <w:t>8</w:t>
      </w:r>
    </w:p>
    <w:tbl>
      <w:tblPr>
        <w:tblW w:w="6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3"/>
        <w:gridCol w:w="1117"/>
        <w:gridCol w:w="1134"/>
      </w:tblGrid>
      <w:tr w:rsidR="00554EEE" w:rsidTr="00713F1A">
        <w:trPr>
          <w:trHeight w:val="330"/>
          <w:jc w:val="center"/>
        </w:trPr>
        <w:tc>
          <w:tcPr>
            <w:tcW w:w="4123" w:type="dxa"/>
            <w:vMerge w:val="restart"/>
            <w:shd w:val="clear" w:color="auto" w:fill="CCFFFF"/>
            <w:noWrap/>
            <w:vAlign w:val="bottom"/>
          </w:tcPr>
          <w:p w:rsidR="00732DAC" w:rsidRPr="00C96773" w:rsidRDefault="00AA1CF9" w:rsidP="00C96773">
            <w:pPr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roční průměry</w:t>
            </w:r>
            <w:r w:rsid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rok 201</w:t>
            </w:r>
            <w:r w:rsidR="00CF02E1"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2251" w:type="dxa"/>
            <w:gridSpan w:val="2"/>
            <w:shd w:val="clear" w:color="auto" w:fill="CCFFFF"/>
            <w:noWrap/>
            <w:vAlign w:val="bottom"/>
          </w:tcPr>
          <w:p w:rsidR="00732DAC" w:rsidRPr="00C96773" w:rsidRDefault="00AA1CF9" w:rsidP="00AE333D">
            <w:pPr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NO</w:t>
            </w:r>
            <w:r w:rsidRPr="00C96773">
              <w:rPr>
                <w:rFonts w:ascii="Arial" w:hAnsi="Arial" w:cs="Arial"/>
                <w:noProof w:val="0"/>
                <w:sz w:val="18"/>
                <w:vertAlign w:val="subscript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(µg/m</w:t>
            </w:r>
            <w:r w:rsidRPr="00C96773">
              <w:rPr>
                <w:rFonts w:ascii="Arial" w:hAnsi="Arial" w:cs="Arial"/>
                <w:noProof w:val="0"/>
                <w:sz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</w:p>
        </w:tc>
      </w:tr>
      <w:tr w:rsidR="00554EEE" w:rsidTr="00713F1A">
        <w:trPr>
          <w:trHeight w:val="270"/>
          <w:jc w:val="center"/>
        </w:trPr>
        <w:tc>
          <w:tcPr>
            <w:tcW w:w="4123" w:type="dxa"/>
            <w:vMerge/>
            <w:shd w:val="clear" w:color="auto" w:fill="CCFFFF"/>
            <w:noWrap/>
            <w:vAlign w:val="bottom"/>
          </w:tcPr>
          <w:p w:rsidR="00732DAC" w:rsidRPr="00C96773" w:rsidRDefault="00732DAC" w:rsidP="00C54B13">
            <w:pPr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1117" w:type="dxa"/>
            <w:shd w:val="clear" w:color="auto" w:fill="CCFFFF"/>
            <w:noWrap/>
            <w:vAlign w:val="bottom"/>
          </w:tcPr>
          <w:p w:rsidR="00732DAC" w:rsidRPr="00C96773" w:rsidRDefault="00AA1CF9" w:rsidP="00AE333D">
            <w:pPr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1134" w:type="dxa"/>
            <w:shd w:val="clear" w:color="auto" w:fill="CCFFFF"/>
            <w:noWrap/>
            <w:vAlign w:val="bottom"/>
          </w:tcPr>
          <w:p w:rsidR="00732DAC" w:rsidRPr="00C96773" w:rsidRDefault="00AA1CF9" w:rsidP="00AE333D">
            <w:pPr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</w:tr>
      <w:tr w:rsidR="00554EEE" w:rsidTr="00713F1A">
        <w:trPr>
          <w:trHeight w:val="300"/>
          <w:jc w:val="center"/>
        </w:trPr>
        <w:tc>
          <w:tcPr>
            <w:tcW w:w="4123" w:type="dxa"/>
            <w:shd w:val="clear" w:color="auto" w:fill="CCFFFF"/>
            <w:noWrap/>
            <w:vAlign w:val="bottom"/>
          </w:tcPr>
          <w:p w:rsidR="002B06A6" w:rsidRPr="00C96773" w:rsidRDefault="00AA1CF9" w:rsidP="00AE333D">
            <w:pPr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Č</w:t>
            </w: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R</w:t>
            </w:r>
          </w:p>
        </w:tc>
        <w:tc>
          <w:tcPr>
            <w:tcW w:w="1117" w:type="dxa"/>
            <w:shd w:val="clear" w:color="auto" w:fill="auto"/>
            <w:noWrap/>
            <w:vAlign w:val="center"/>
          </w:tcPr>
          <w:p w:rsidR="002B06A6" w:rsidRPr="00C96773" w:rsidRDefault="00AA1CF9" w:rsidP="00CF02E1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B06A6" w:rsidRPr="00C96773" w:rsidRDefault="00AA1CF9" w:rsidP="00CF02E1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54</w:t>
            </w:r>
            <w:r w:rsidR="0011359D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</w:tr>
      <w:tr w:rsidR="00554EEE" w:rsidTr="00713F1A">
        <w:trPr>
          <w:trHeight w:val="300"/>
          <w:jc w:val="center"/>
        </w:trPr>
        <w:tc>
          <w:tcPr>
            <w:tcW w:w="4123" w:type="dxa"/>
            <w:shd w:val="clear" w:color="auto" w:fill="CCFFFF"/>
            <w:noWrap/>
            <w:vAlign w:val="bottom"/>
          </w:tcPr>
          <w:p w:rsidR="002B06A6" w:rsidRPr="00C96773" w:rsidRDefault="00AA1CF9" w:rsidP="00AE333D">
            <w:pPr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města celkem</w:t>
            </w:r>
          </w:p>
        </w:tc>
        <w:tc>
          <w:tcPr>
            <w:tcW w:w="1117" w:type="dxa"/>
            <w:shd w:val="clear" w:color="auto" w:fill="auto"/>
            <w:noWrap/>
            <w:vAlign w:val="center"/>
          </w:tcPr>
          <w:p w:rsidR="002B06A6" w:rsidRPr="00C96773" w:rsidRDefault="00AA1CF9" w:rsidP="00CF02E1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B06A6" w:rsidRPr="00C96773" w:rsidRDefault="00AA1CF9" w:rsidP="00CF02E1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54,4</w:t>
            </w:r>
          </w:p>
        </w:tc>
      </w:tr>
      <w:tr w:rsidR="00554EEE" w:rsidTr="00713F1A">
        <w:trPr>
          <w:trHeight w:val="300"/>
          <w:jc w:val="center"/>
        </w:trPr>
        <w:tc>
          <w:tcPr>
            <w:tcW w:w="4123" w:type="dxa"/>
            <w:shd w:val="clear" w:color="auto" w:fill="CCFFFF"/>
            <w:noWrap/>
            <w:vAlign w:val="bottom"/>
          </w:tcPr>
          <w:p w:rsidR="002B06A6" w:rsidRPr="00C96773" w:rsidRDefault="00AA1CF9" w:rsidP="00AE333D">
            <w:pPr>
              <w:jc w:val="right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lokality bez dopravní zátěže</w:t>
            </w:r>
          </w:p>
        </w:tc>
        <w:tc>
          <w:tcPr>
            <w:tcW w:w="1117" w:type="dxa"/>
            <w:shd w:val="clear" w:color="auto" w:fill="auto"/>
            <w:noWrap/>
            <w:vAlign w:val="center"/>
          </w:tcPr>
          <w:p w:rsidR="002B06A6" w:rsidRPr="00C96773" w:rsidRDefault="00AA1CF9" w:rsidP="00CF02E1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CF02E1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B06A6" w:rsidRPr="00C96773" w:rsidRDefault="00AA1CF9" w:rsidP="00CF02E1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AD789A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11359D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CF02E1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</w:p>
        </w:tc>
      </w:tr>
      <w:tr w:rsidR="00554EEE" w:rsidTr="00713F1A">
        <w:trPr>
          <w:trHeight w:val="300"/>
          <w:jc w:val="center"/>
        </w:trPr>
        <w:tc>
          <w:tcPr>
            <w:tcW w:w="4123" w:type="dxa"/>
            <w:shd w:val="clear" w:color="auto" w:fill="CCFFFF"/>
            <w:noWrap/>
            <w:vAlign w:val="bottom"/>
          </w:tcPr>
          <w:p w:rsidR="002B06A6" w:rsidRPr="00C96773" w:rsidRDefault="00AA1CF9" w:rsidP="00AE333D">
            <w:pPr>
              <w:jc w:val="right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lokality s dopravní zátěží</w:t>
            </w:r>
          </w:p>
        </w:tc>
        <w:tc>
          <w:tcPr>
            <w:tcW w:w="1117" w:type="dxa"/>
            <w:shd w:val="clear" w:color="auto" w:fill="auto"/>
            <w:noWrap/>
            <w:vAlign w:val="center"/>
          </w:tcPr>
          <w:p w:rsidR="002B06A6" w:rsidRPr="00C96773" w:rsidRDefault="00AA1CF9" w:rsidP="00CF02E1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CF02E1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B06A6" w:rsidRPr="00C96773" w:rsidRDefault="00AA1CF9" w:rsidP="00CF02E1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54,4</w:t>
            </w:r>
          </w:p>
        </w:tc>
      </w:tr>
      <w:tr w:rsidR="00554EEE" w:rsidTr="00713F1A">
        <w:trPr>
          <w:trHeight w:val="300"/>
          <w:jc w:val="center"/>
        </w:trPr>
        <w:tc>
          <w:tcPr>
            <w:tcW w:w="4123" w:type="dxa"/>
            <w:shd w:val="clear" w:color="auto" w:fill="CCFFFF"/>
            <w:noWrap/>
            <w:vAlign w:val="bottom"/>
          </w:tcPr>
          <w:p w:rsidR="002B06A6" w:rsidRPr="00C96773" w:rsidRDefault="00AA1CF9" w:rsidP="00AE333D">
            <w:pPr>
              <w:jc w:val="right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průmyslové lokality</w:t>
            </w:r>
          </w:p>
        </w:tc>
        <w:tc>
          <w:tcPr>
            <w:tcW w:w="1117" w:type="dxa"/>
            <w:shd w:val="clear" w:color="auto" w:fill="auto"/>
            <w:noWrap/>
            <w:vAlign w:val="center"/>
          </w:tcPr>
          <w:p w:rsidR="002B06A6" w:rsidRPr="00C96773" w:rsidRDefault="00AA1CF9" w:rsidP="00CF02E1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12,8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B06A6" w:rsidRPr="00C96773" w:rsidRDefault="00AA1CF9" w:rsidP="00CF02E1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CF02E1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6,8</w:t>
            </w:r>
          </w:p>
        </w:tc>
      </w:tr>
    </w:tbl>
    <w:p w:rsidR="00454751" w:rsidRDefault="00AA1CF9" w:rsidP="00BA77D5">
      <w:pPr>
        <w:pStyle w:val="DefaultText1"/>
        <w:spacing w:before="120"/>
        <w:jc w:val="both"/>
        <w:rPr>
          <w:rFonts w:ascii="Arial" w:hAnsi="Arial" w:cs="Arial"/>
          <w:b/>
          <w:sz w:val="20"/>
        </w:rPr>
      </w:pPr>
      <w:r w:rsidRPr="00454751">
        <w:rPr>
          <w:rFonts w:ascii="Arial" w:hAnsi="Arial" w:cs="Arial"/>
          <w:b/>
          <w:noProof/>
          <w:sz w:val="20"/>
        </w:rPr>
        <w:drawing>
          <wp:anchor distT="0" distB="0" distL="114300" distR="114300" simplePos="0" relativeHeight="251658240" behindDoc="0" locked="0" layoutInCell="0" allowOverlap="0">
            <wp:simplePos x="0" y="0"/>
            <wp:positionH relativeFrom="margin">
              <wp:posOffset>2221</wp:posOffset>
            </wp:positionH>
            <wp:positionV relativeFrom="margin">
              <wp:posOffset>3188970</wp:posOffset>
            </wp:positionV>
            <wp:extent cx="5760000" cy="2091600"/>
            <wp:effectExtent l="0" t="0" r="0" b="4445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238891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09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0FD0" w:rsidRPr="00454751" w:rsidRDefault="00AA1CF9" w:rsidP="00BA77D5">
      <w:pPr>
        <w:pStyle w:val="DefaultText1"/>
        <w:spacing w:before="120"/>
        <w:jc w:val="both"/>
        <w:rPr>
          <w:rFonts w:ascii="Arial" w:hAnsi="Arial" w:cs="Arial"/>
          <w:b/>
          <w:sz w:val="20"/>
        </w:rPr>
      </w:pPr>
      <w:r w:rsidRPr="00454751">
        <w:rPr>
          <w:rFonts w:ascii="Arial" w:hAnsi="Arial" w:cs="Arial"/>
          <w:b/>
          <w:sz w:val="20"/>
        </w:rPr>
        <w:t xml:space="preserve">Graf č. </w:t>
      </w:r>
      <w:r w:rsidR="003D3EB3" w:rsidRPr="00454751">
        <w:rPr>
          <w:rFonts w:ascii="Arial" w:hAnsi="Arial" w:cs="Arial"/>
          <w:b/>
          <w:sz w:val="20"/>
        </w:rPr>
        <w:t>1</w:t>
      </w:r>
      <w:r w:rsidR="009C71E5" w:rsidRPr="00454751">
        <w:rPr>
          <w:rFonts w:ascii="Arial" w:hAnsi="Arial" w:cs="Arial"/>
          <w:b/>
          <w:sz w:val="20"/>
        </w:rPr>
        <w:t>.</w:t>
      </w:r>
      <w:r w:rsidRPr="00454751">
        <w:rPr>
          <w:rFonts w:ascii="Arial" w:hAnsi="Arial" w:cs="Arial"/>
          <w:b/>
          <w:sz w:val="20"/>
        </w:rPr>
        <w:t xml:space="preserve"> </w:t>
      </w:r>
      <w:r w:rsidR="00AE333D" w:rsidRPr="00454751">
        <w:rPr>
          <w:rFonts w:ascii="Arial" w:hAnsi="Arial" w:cs="Arial"/>
          <w:b/>
          <w:sz w:val="20"/>
        </w:rPr>
        <w:t>Rozpětí ročních průměrů NO</w:t>
      </w:r>
      <w:r w:rsidR="00AE333D" w:rsidRPr="00454751">
        <w:rPr>
          <w:rFonts w:ascii="Arial" w:hAnsi="Arial" w:cs="Arial"/>
          <w:b/>
          <w:sz w:val="20"/>
          <w:vertAlign w:val="subscript"/>
        </w:rPr>
        <w:t>2</w:t>
      </w:r>
      <w:r w:rsidR="00AE333D" w:rsidRPr="00454751">
        <w:rPr>
          <w:rFonts w:ascii="Arial" w:hAnsi="Arial" w:cs="Arial"/>
          <w:b/>
          <w:sz w:val="20"/>
        </w:rPr>
        <w:t xml:space="preserve"> v roce 20</w:t>
      </w:r>
      <w:r w:rsidR="00966334" w:rsidRPr="00454751">
        <w:rPr>
          <w:rFonts w:ascii="Arial" w:hAnsi="Arial" w:cs="Arial"/>
          <w:b/>
          <w:sz w:val="20"/>
        </w:rPr>
        <w:t>1</w:t>
      </w:r>
      <w:r w:rsidR="00CF02E1" w:rsidRPr="00454751">
        <w:rPr>
          <w:rFonts w:ascii="Arial" w:hAnsi="Arial" w:cs="Arial"/>
          <w:b/>
          <w:sz w:val="20"/>
        </w:rPr>
        <w:t>8</w:t>
      </w:r>
      <w:r w:rsidR="00AE333D" w:rsidRPr="00454751">
        <w:rPr>
          <w:rFonts w:ascii="Arial" w:hAnsi="Arial" w:cs="Arial"/>
          <w:b/>
          <w:sz w:val="20"/>
        </w:rPr>
        <w:t xml:space="preserve"> v ČR a v jednotlivých typech městských lokalit</w:t>
      </w:r>
      <w:r w:rsidR="00DE0574" w:rsidRPr="00454751">
        <w:rPr>
          <w:rFonts w:ascii="Arial" w:hAnsi="Arial" w:cs="Arial"/>
          <w:b/>
          <w:sz w:val="20"/>
        </w:rPr>
        <w:t xml:space="preserve"> </w:t>
      </w:r>
    </w:p>
    <w:p w:rsidR="00995960" w:rsidRPr="001306F8" w:rsidRDefault="00AA1CF9" w:rsidP="00C96773">
      <w:pPr>
        <w:pStyle w:val="DefaultText1"/>
        <w:spacing w:before="120"/>
        <w:jc w:val="both"/>
        <w:rPr>
          <w:b/>
          <w:color w:val="FF0000"/>
        </w:rPr>
      </w:pPr>
      <w:r w:rsidRPr="00454751">
        <w:rPr>
          <w:rFonts w:ascii="Arial" w:hAnsi="Arial" w:cs="Arial"/>
          <w:i/>
          <w:sz w:val="18"/>
          <w:szCs w:val="20"/>
        </w:rPr>
        <w:t xml:space="preserve">Pozn.: </w:t>
      </w:r>
      <w:r w:rsidR="004E573D" w:rsidRPr="00454751">
        <w:rPr>
          <w:rFonts w:ascii="Arial" w:hAnsi="Arial" w:cs="Arial"/>
          <w:i/>
          <w:sz w:val="18"/>
          <w:szCs w:val="20"/>
        </w:rPr>
        <w:t>S</w:t>
      </w:r>
      <w:r w:rsidR="00DE0574" w:rsidRPr="00454751">
        <w:rPr>
          <w:rFonts w:ascii="Arial" w:hAnsi="Arial" w:cs="Arial"/>
          <w:i/>
          <w:noProof/>
          <w:sz w:val="18"/>
          <w:szCs w:val="20"/>
        </w:rPr>
        <w:t xml:space="preserve">tanice s maximální hodnotou ročního průměru </w:t>
      </w:r>
      <w:r w:rsidR="004E573D" w:rsidRPr="00454751">
        <w:rPr>
          <w:rFonts w:ascii="Arial" w:hAnsi="Arial" w:cs="Arial"/>
          <w:i/>
          <w:noProof/>
          <w:sz w:val="18"/>
          <w:szCs w:val="20"/>
        </w:rPr>
        <w:t xml:space="preserve">je </w:t>
      </w:r>
      <w:r w:rsidR="00DE0574" w:rsidRPr="00454751">
        <w:rPr>
          <w:rFonts w:ascii="Arial" w:hAnsi="Arial" w:cs="Arial"/>
          <w:i/>
          <w:noProof/>
          <w:sz w:val="18"/>
          <w:szCs w:val="20"/>
        </w:rPr>
        <w:t xml:space="preserve">ALEG </w:t>
      </w:r>
      <w:r w:rsidRPr="00454751">
        <w:rPr>
          <w:rFonts w:ascii="Arial" w:hAnsi="Arial" w:cs="Arial"/>
          <w:i/>
          <w:noProof/>
          <w:sz w:val="18"/>
          <w:szCs w:val="20"/>
        </w:rPr>
        <w:t>(</w:t>
      </w:r>
      <w:r w:rsidR="00DE0574" w:rsidRPr="00454751">
        <w:rPr>
          <w:rFonts w:ascii="Arial" w:hAnsi="Arial" w:cs="Arial"/>
          <w:i/>
          <w:noProof/>
          <w:sz w:val="18"/>
          <w:szCs w:val="20"/>
        </w:rPr>
        <w:t>Legerova v Praze 2</w:t>
      </w:r>
      <w:r w:rsidR="00007AFC" w:rsidRPr="00454751">
        <w:rPr>
          <w:rFonts w:ascii="Arial" w:hAnsi="Arial" w:cs="Arial"/>
          <w:i/>
          <w:noProof/>
          <w:sz w:val="18"/>
          <w:szCs w:val="20"/>
        </w:rPr>
        <w:t xml:space="preserve"> – </w:t>
      </w:r>
      <w:r w:rsidR="00CF02E1" w:rsidRPr="00454751">
        <w:rPr>
          <w:rFonts w:ascii="Arial" w:hAnsi="Arial" w:cs="Arial"/>
          <w:i/>
          <w:noProof/>
          <w:sz w:val="18"/>
          <w:szCs w:val="20"/>
        </w:rPr>
        <w:t>54,4</w:t>
      </w:r>
      <w:r w:rsidR="00007AFC" w:rsidRPr="00454751">
        <w:rPr>
          <w:rFonts w:ascii="Arial" w:hAnsi="Arial" w:cs="Arial"/>
          <w:i/>
          <w:noProof/>
          <w:sz w:val="18"/>
          <w:szCs w:val="20"/>
        </w:rPr>
        <w:t xml:space="preserve"> </w:t>
      </w:r>
      <w:r w:rsidR="001B66A2" w:rsidRPr="00454751">
        <w:rPr>
          <w:rFonts w:ascii="Arial" w:hAnsi="Arial" w:cs="Arial"/>
          <w:i/>
          <w:sz w:val="18"/>
          <w:szCs w:val="20"/>
        </w:rPr>
        <w:t>µg/m</w:t>
      </w:r>
      <w:r w:rsidR="001B66A2" w:rsidRPr="00454751">
        <w:rPr>
          <w:rFonts w:ascii="Arial" w:hAnsi="Arial" w:cs="Arial"/>
          <w:i/>
          <w:sz w:val="18"/>
          <w:szCs w:val="20"/>
          <w:vertAlign w:val="superscript"/>
        </w:rPr>
        <w:t>3</w:t>
      </w:r>
      <w:r w:rsidR="001B66A2" w:rsidRPr="00454751">
        <w:rPr>
          <w:rFonts w:ascii="Arial" w:hAnsi="Arial" w:cs="Arial"/>
          <w:i/>
          <w:sz w:val="18"/>
          <w:szCs w:val="20"/>
        </w:rPr>
        <w:t>/rok</w:t>
      </w:r>
      <w:r w:rsidR="00DE0574" w:rsidRPr="00454751">
        <w:rPr>
          <w:rFonts w:ascii="Arial" w:hAnsi="Arial" w:cs="Arial"/>
          <w:i/>
          <w:noProof/>
          <w:sz w:val="18"/>
          <w:szCs w:val="20"/>
        </w:rPr>
        <w:t>)</w:t>
      </w:r>
    </w:p>
    <w:p w:rsidR="00C96773" w:rsidRDefault="00C96773" w:rsidP="00AE333D">
      <w:pPr>
        <w:pStyle w:val="DefaultText1"/>
        <w:jc w:val="both"/>
        <w:rPr>
          <w:rFonts w:ascii="Arial" w:hAnsi="Arial" w:cs="Arial"/>
          <w:b/>
          <w:sz w:val="22"/>
        </w:rPr>
      </w:pPr>
    </w:p>
    <w:p w:rsidR="00C96773" w:rsidRDefault="00C96773" w:rsidP="00AE333D">
      <w:pPr>
        <w:pStyle w:val="DefaultText1"/>
        <w:jc w:val="both"/>
        <w:rPr>
          <w:rFonts w:ascii="Arial" w:hAnsi="Arial" w:cs="Arial"/>
          <w:b/>
          <w:sz w:val="22"/>
        </w:rPr>
      </w:pPr>
    </w:p>
    <w:p w:rsidR="00DB0C43" w:rsidRPr="00454751" w:rsidRDefault="00AA1CF9" w:rsidP="00AE333D">
      <w:pPr>
        <w:pStyle w:val="DefaultText1"/>
        <w:jc w:val="both"/>
        <w:rPr>
          <w:rFonts w:ascii="Arial" w:hAnsi="Arial" w:cs="Arial"/>
          <w:b/>
          <w:sz w:val="22"/>
        </w:rPr>
      </w:pPr>
      <w:r w:rsidRPr="00454751">
        <w:rPr>
          <w:rFonts w:ascii="Arial" w:hAnsi="Arial" w:cs="Arial"/>
          <w:b/>
          <w:sz w:val="22"/>
        </w:rPr>
        <w:t>Suspendované částice</w:t>
      </w:r>
    </w:p>
    <w:p w:rsidR="00C96773" w:rsidRDefault="00AA1CF9" w:rsidP="00C96773">
      <w:pPr>
        <w:spacing w:before="120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Dlouhodobě zvýšené koncentrace suspendovaných částic se </w:t>
      </w:r>
      <w:r w:rsidR="00097CAB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podílí na výskytu různých  symptomů zhoršení stavu dýchacích cest, zvýšení nemocnosti i úmrtnosti. Právě úmrtnost bývá nejčastěji používána pro ilustrování negativních vlivů částic. </w:t>
      </w:r>
    </w:p>
    <w:p w:rsidR="00BF0C53" w:rsidRPr="00C96773" w:rsidRDefault="00AA1CF9" w:rsidP="00BF0C53">
      <w:pPr>
        <w:widowControl w:val="0"/>
        <w:spacing w:before="120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Tabulka č. </w:t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begin"/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instrText xml:space="preserve"> SEQ Tabulka_č._ \* ARABIC </w:instrText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separate"/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2</w:t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end"/>
      </w: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. Rozpětí ročních průměrů PM</w:t>
      </w:r>
      <w:r w:rsidRPr="00C96773">
        <w:rPr>
          <w:rFonts w:ascii="Arial" w:hAnsi="Arial" w:cs="Arial"/>
          <w:b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roce 201</w:t>
      </w:r>
      <w:r w:rsidR="00CF02E1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ČR a v jednotlivých typech městských lokalit a odhad </w:t>
      </w:r>
      <w:r w:rsidR="00414047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navýšení předčasné úmrtnosti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50"/>
        <w:gridCol w:w="841"/>
        <w:gridCol w:w="2278"/>
        <w:gridCol w:w="2409"/>
      </w:tblGrid>
      <w:tr w:rsidR="00554EEE" w:rsidTr="00C96773">
        <w:trPr>
          <w:trHeight w:val="510"/>
        </w:trPr>
        <w:tc>
          <w:tcPr>
            <w:tcW w:w="2694" w:type="dxa"/>
            <w:vMerge w:val="restart"/>
            <w:shd w:val="clear" w:color="auto" w:fill="CCFFFF"/>
            <w:vAlign w:val="center"/>
          </w:tcPr>
          <w:p w:rsidR="000E76AC" w:rsidRPr="00C96773" w:rsidRDefault="00AA1CF9" w:rsidP="000E76AC">
            <w:pPr>
              <w:widowControl w:val="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lastRenderedPageBreak/>
              <w:t>roční průměry</w:t>
            </w:r>
          </w:p>
          <w:p w:rsidR="000E76AC" w:rsidRPr="00C96773" w:rsidRDefault="00AA1CF9" w:rsidP="00CF02E1">
            <w:pPr>
              <w:widowControl w:val="0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rok 201</w:t>
            </w:r>
            <w:r w:rsidR="00CF02E1"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1691" w:type="dxa"/>
            <w:gridSpan w:val="2"/>
            <w:shd w:val="clear" w:color="auto" w:fill="CCFFFF"/>
            <w:vAlign w:val="center"/>
          </w:tcPr>
          <w:p w:rsidR="000E76AC" w:rsidRPr="00C96773" w:rsidRDefault="00AA1CF9" w:rsidP="000E76AC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PM</w:t>
            </w:r>
            <w:r w:rsidRPr="00C96773">
              <w:rPr>
                <w:rFonts w:ascii="Arial" w:hAnsi="Arial" w:cs="Arial"/>
                <w:noProof w:val="0"/>
                <w:sz w:val="18"/>
                <w:vertAlign w:val="subscript"/>
                <w14:shadow w14:blurRad="0" w14:dist="0" w14:dir="0" w14:sx="0" w14:sy="0" w14:kx="0" w14:ky="0" w14:algn="none">
                  <w14:srgbClr w14:val="000000"/>
                </w14:shadow>
              </w:rPr>
              <w:t>10</w:t>
            </w: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(µg/m</w:t>
            </w:r>
            <w:r w:rsidRPr="00C96773">
              <w:rPr>
                <w:rFonts w:ascii="Arial" w:hAnsi="Arial" w:cs="Arial"/>
                <w:noProof w:val="0"/>
                <w:sz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</w:p>
        </w:tc>
        <w:tc>
          <w:tcPr>
            <w:tcW w:w="4687" w:type="dxa"/>
            <w:gridSpan w:val="2"/>
            <w:shd w:val="clear" w:color="auto" w:fill="CCFFFF"/>
            <w:vAlign w:val="center"/>
          </w:tcPr>
          <w:p w:rsidR="000E76AC" w:rsidRPr="00C96773" w:rsidRDefault="00AA1CF9" w:rsidP="000E76AC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Odhad navýšení předčasné </w:t>
            </w:r>
            <w:r w:rsidR="00963C52"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úmrtnosti (%) pro</w:t>
            </w: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75 % zastoupení frakce PM</w:t>
            </w:r>
            <w:r w:rsidRPr="00C96773">
              <w:rPr>
                <w:rFonts w:ascii="Arial" w:hAnsi="Arial" w:cs="Arial"/>
                <w:noProof w:val="0"/>
                <w:sz w:val="18"/>
                <w:vertAlign w:val="subscript"/>
                <w14:shadow w14:blurRad="0" w14:dist="0" w14:dir="0" w14:sx="0" w14:sy="0" w14:kx="0" w14:ky="0" w14:algn="none">
                  <w14:srgbClr w14:val="000000"/>
                </w14:shadow>
              </w:rPr>
              <w:t>2,5</w:t>
            </w: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ve frakci PM</w:t>
            </w:r>
            <w:r w:rsidRPr="00C96773">
              <w:rPr>
                <w:rFonts w:ascii="Arial" w:hAnsi="Arial" w:cs="Arial"/>
                <w:noProof w:val="0"/>
                <w:sz w:val="18"/>
                <w:vertAlign w:val="subscript"/>
                <w14:shadow w14:blurRad="0" w14:dist="0" w14:dir="0" w14:sx="0" w14:sy="0" w14:kx="0" w14:ky="0" w14:algn="none">
                  <w14:srgbClr w14:val="000000"/>
                </w14:shadow>
              </w:rPr>
              <w:t>10</w:t>
            </w:r>
          </w:p>
        </w:tc>
      </w:tr>
      <w:tr w:rsidR="00554EEE" w:rsidTr="00C96773">
        <w:trPr>
          <w:trHeight w:val="283"/>
        </w:trPr>
        <w:tc>
          <w:tcPr>
            <w:tcW w:w="2694" w:type="dxa"/>
            <w:vMerge/>
            <w:shd w:val="clear" w:color="auto" w:fill="CCFFFF"/>
            <w:vAlign w:val="center"/>
          </w:tcPr>
          <w:p w:rsidR="000E76AC" w:rsidRPr="00C96773" w:rsidRDefault="000E76AC" w:rsidP="000E76AC">
            <w:pPr>
              <w:widowControl w:val="0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850" w:type="dxa"/>
            <w:shd w:val="clear" w:color="auto" w:fill="CCFFFF"/>
            <w:vAlign w:val="center"/>
          </w:tcPr>
          <w:p w:rsidR="000E76AC" w:rsidRPr="00C96773" w:rsidRDefault="00AA1CF9" w:rsidP="000E76AC">
            <w:pPr>
              <w:widowControl w:val="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841" w:type="dxa"/>
            <w:shd w:val="clear" w:color="auto" w:fill="CCFFFF"/>
            <w:vAlign w:val="center"/>
          </w:tcPr>
          <w:p w:rsidR="000E76AC" w:rsidRPr="00C96773" w:rsidRDefault="00AA1CF9" w:rsidP="000E76AC">
            <w:pPr>
              <w:widowControl w:val="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2278" w:type="dxa"/>
            <w:shd w:val="clear" w:color="auto" w:fill="CCFFFF"/>
            <w:vAlign w:val="center"/>
          </w:tcPr>
          <w:p w:rsidR="000E76AC" w:rsidRPr="00C96773" w:rsidRDefault="00AA1CF9" w:rsidP="000E76AC">
            <w:pPr>
              <w:widowControl w:val="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2409" w:type="dxa"/>
            <w:shd w:val="clear" w:color="auto" w:fill="CCFFFF"/>
            <w:vAlign w:val="center"/>
          </w:tcPr>
          <w:p w:rsidR="000E76AC" w:rsidRPr="00C96773" w:rsidRDefault="00AA1CF9" w:rsidP="000E76AC">
            <w:pPr>
              <w:widowControl w:val="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</w:tr>
      <w:tr w:rsidR="00554EEE" w:rsidTr="00C96773">
        <w:trPr>
          <w:trHeight w:val="283"/>
        </w:trPr>
        <w:tc>
          <w:tcPr>
            <w:tcW w:w="2694" w:type="dxa"/>
            <w:shd w:val="clear" w:color="auto" w:fill="CCFFFF"/>
            <w:vAlign w:val="center"/>
          </w:tcPr>
          <w:p w:rsidR="000E76AC" w:rsidRPr="00C96773" w:rsidRDefault="00AA1CF9" w:rsidP="000E76AC">
            <w:pPr>
              <w:widowControl w:val="0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ČR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9,9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E76AC" w:rsidRPr="00C96773" w:rsidRDefault="00AA1CF9" w:rsidP="00313C9B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395B9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313C9B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,0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E76AC" w:rsidRPr="00C96773" w:rsidRDefault="00AA1CF9" w:rsidP="007548E9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4,3</w:t>
            </w:r>
          </w:p>
        </w:tc>
      </w:tr>
      <w:tr w:rsidR="00554EEE" w:rsidTr="00C96773">
        <w:trPr>
          <w:trHeight w:val="283"/>
        </w:trPr>
        <w:tc>
          <w:tcPr>
            <w:tcW w:w="2694" w:type="dxa"/>
            <w:shd w:val="clear" w:color="auto" w:fill="CCFFFF"/>
            <w:vAlign w:val="center"/>
          </w:tcPr>
          <w:p w:rsidR="000E76AC" w:rsidRPr="00C96773" w:rsidRDefault="00AA1CF9" w:rsidP="000E76AC">
            <w:pPr>
              <w:widowControl w:val="0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Města celkem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5,1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E76AC" w:rsidRPr="00C96773" w:rsidRDefault="00AA1CF9" w:rsidP="00313C9B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395B9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313C9B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,0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E76AC" w:rsidRPr="00C96773" w:rsidRDefault="00AA1CF9" w:rsidP="00395B9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4,3</w:t>
            </w:r>
          </w:p>
        </w:tc>
      </w:tr>
      <w:tr w:rsidR="00554EEE" w:rsidTr="00C96773">
        <w:trPr>
          <w:trHeight w:val="283"/>
        </w:trPr>
        <w:tc>
          <w:tcPr>
            <w:tcW w:w="2694" w:type="dxa"/>
            <w:shd w:val="clear" w:color="auto" w:fill="CCFFFF"/>
            <w:vAlign w:val="center"/>
          </w:tcPr>
          <w:p w:rsidR="000E76AC" w:rsidRPr="00C96773" w:rsidRDefault="00AA1CF9" w:rsidP="002476C6">
            <w:pPr>
              <w:widowControl w:val="0"/>
              <w:jc w:val="right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Lokality bez dopravní zátěže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8,0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8,5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E76AC" w:rsidRPr="00C96773" w:rsidRDefault="00AA1CF9" w:rsidP="003C4C3B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2,2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E76AC" w:rsidRPr="00C96773" w:rsidRDefault="00AA1CF9" w:rsidP="00C45AF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11,7</w:t>
            </w:r>
          </w:p>
        </w:tc>
      </w:tr>
      <w:tr w:rsidR="00554EEE" w:rsidTr="00C96773">
        <w:trPr>
          <w:trHeight w:val="283"/>
        </w:trPr>
        <w:tc>
          <w:tcPr>
            <w:tcW w:w="2694" w:type="dxa"/>
            <w:shd w:val="clear" w:color="auto" w:fill="CCFFFF"/>
            <w:vAlign w:val="center"/>
          </w:tcPr>
          <w:p w:rsidR="000E76AC" w:rsidRPr="00C96773" w:rsidRDefault="00AA1CF9" w:rsidP="002476C6">
            <w:pPr>
              <w:widowControl w:val="0"/>
              <w:jc w:val="right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Lokality s dopravní zátěží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6AC" w:rsidRPr="00C96773" w:rsidRDefault="00AA1CF9" w:rsidP="00395B9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20,0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9,7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3,1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,3</w:t>
            </w:r>
          </w:p>
        </w:tc>
      </w:tr>
      <w:tr w:rsidR="00554EEE" w:rsidTr="00C96773">
        <w:trPr>
          <w:trHeight w:val="283"/>
        </w:trPr>
        <w:tc>
          <w:tcPr>
            <w:tcW w:w="2694" w:type="dxa"/>
            <w:shd w:val="clear" w:color="auto" w:fill="CCFFFF"/>
            <w:vAlign w:val="center"/>
          </w:tcPr>
          <w:p w:rsidR="000E76AC" w:rsidRPr="00C96773" w:rsidRDefault="00AA1CF9" w:rsidP="002476C6">
            <w:pPr>
              <w:widowControl w:val="0"/>
              <w:jc w:val="right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Průmyslové lokality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395B9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3,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E76AC" w:rsidRPr="00C96773" w:rsidRDefault="00AA1CF9" w:rsidP="00313C9B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395B9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313C9B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4,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E76AC" w:rsidRPr="00C96773" w:rsidRDefault="00AA1CF9" w:rsidP="009B102E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9B102E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4,3</w:t>
            </w:r>
          </w:p>
        </w:tc>
      </w:tr>
    </w:tbl>
    <w:p w:rsidR="00CF02E1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bookmarkStart w:id="3" w:name="OLE_LINK1"/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V tabulce č. </w:t>
      </w:r>
      <w:r w:rsidR="00A02A0E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. je uveden přehled rozmezí ročních koncentrací PM</w:t>
      </w:r>
      <w:r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 xml:space="preserve">10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 odhadu zvýšení celkové úmrtnosti. Za základ je vzata koncentrace PM</w:t>
      </w:r>
      <w:r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doporučovaná WHO – 20 </w:t>
      </w:r>
      <w:r w:rsidRPr="00C96773">
        <w:rPr>
          <w:rFonts w:ascii="Symbol" w:hAnsi="Symbo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sym w:font="Symbol" w:char="F06D"/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g/m</w:t>
      </w:r>
      <w:r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(respektive 13,3 µg/m</w:t>
      </w:r>
      <w:r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pro 75 % zastoupení frakce PM</w:t>
      </w:r>
      <w:r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) při které by se s 95 % pravděpodobností úmrtnost neměla zvyšovat. </w:t>
      </w:r>
    </w:p>
    <w:p w:rsidR="008539DC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Navýšení celkové předčasné úmrtnosti (počítáno pro 75 % podíl frakce PM</w:t>
      </w:r>
      <w:r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), ke kterému přispěla expozice suspendovaným částicím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frakce PM</w:t>
      </w:r>
      <w:r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, </w:t>
      </w:r>
      <w:r w:rsidR="002E34D3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se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podle míry zatěže konkrétní lokality pohybuje od </w:t>
      </w:r>
      <w:r w:rsidR="00313C9B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cca</w:t>
      </w:r>
      <w:r w:rsidR="007548E9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1 % v čistých městských lokalitách po až </w:t>
      </w:r>
      <w:r w:rsidRPr="00C96773">
        <w:rPr>
          <w:rFonts w:ascii="Symbol" w:hAnsi="Symbo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sym w:font="Symbol" w:char="F0BB"/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1</w:t>
      </w:r>
      <w:r w:rsidR="00313C9B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4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% v oblastech zvláště intenzivně zatížených dopravou a průmyslem.</w:t>
      </w:r>
    </w:p>
    <w:p w:rsidR="00296758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Na základě odhadu průměrné koncentrace suspendovaných částic frakce PM</w:t>
      </w:r>
      <w:r w:rsidRPr="00C96773">
        <w:rPr>
          <w:rFonts w:ascii="Arial" w:hAnsi="Arial" w:cs="Arial"/>
          <w:sz w:val="22"/>
          <w:szCs w:val="24"/>
          <w:u w:val="single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, v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roce 201</w:t>
      </w:r>
      <w:r w:rsidR="009B102E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8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D17A37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br/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v městském </w:t>
      </w:r>
      <w:r w:rsidR="00313C9B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extenzivně nez</w:t>
      </w:r>
      <w:r w:rsidR="00455FF8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a</w:t>
      </w:r>
      <w:r w:rsidR="00313C9B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tíženém 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prostředí </w:t>
      </w:r>
      <w:r w:rsidR="009B102E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mimo MSK 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(2</w:t>
      </w:r>
      <w:r w:rsidR="009B102E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4,0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µg/m</w:t>
      </w:r>
      <w:r w:rsidRPr="00C96773">
        <w:rPr>
          <w:rFonts w:ascii="Arial" w:hAnsi="Arial" w:cs="Arial"/>
          <w:sz w:val="22"/>
          <w:szCs w:val="24"/>
          <w:u w:val="single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), lze zhruba odhadnout, že v důsledku znečištění ovzduší touto škodlivinou byla celková úmrtnost navýšena </w:t>
      </w:r>
      <w:r w:rsidR="00455FF8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o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313C9B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přibližně</w:t>
      </w:r>
      <w:r w:rsidR="00104A49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313C9B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5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% (při zohlednění průměrného 75 % zastoupení frakce PM</w:t>
      </w:r>
      <w:r w:rsidRPr="00C96773">
        <w:rPr>
          <w:rFonts w:ascii="Arial" w:hAnsi="Arial" w:cs="Arial"/>
          <w:sz w:val="22"/>
          <w:szCs w:val="24"/>
          <w:u w:val="single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ve frakci PM</w:t>
      </w:r>
      <w:r w:rsidRPr="00C96773">
        <w:rPr>
          <w:rFonts w:ascii="Arial" w:hAnsi="Arial" w:cs="Arial"/>
          <w:sz w:val="22"/>
          <w:szCs w:val="24"/>
          <w:u w:val="single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)</w:t>
      </w:r>
      <w:r w:rsidR="00CA024B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tj. přibližně o 5 </w:t>
      </w:r>
      <w:r w:rsidR="009B102E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6</w:t>
      </w:r>
      <w:r w:rsidR="00CA024B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00 osob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. V pozaďových lokalitách ČR bylo znečištění ovzduší aerosolem na úrovni hraničních hodnot</w:t>
      </w:r>
      <w:r w:rsidR="009B102E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(12 až 20 µg/m</w:t>
      </w:r>
      <w:r w:rsidR="009B102E" w:rsidRPr="00C96773">
        <w:rPr>
          <w:rFonts w:ascii="Arial" w:hAnsi="Arial" w:cs="Arial"/>
          <w:sz w:val="22"/>
          <w:szCs w:val="24"/>
          <w:u w:val="single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="009B102E"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>)</w:t>
      </w:r>
      <w:r w:rsidRPr="00C96773">
        <w:rPr>
          <w:rFonts w:ascii="Arial" w:hAnsi="Arial" w:cs="Arial"/>
          <w:sz w:val="22"/>
          <w:szCs w:val="24"/>
          <w:u w:val="single"/>
          <w14:shadow w14:blurRad="0" w14:dist="0" w14:dir="0" w14:sx="0" w14:sy="0" w14:kx="0" w14:ky="0" w14:algn="none">
            <w14:srgbClr w14:val="000000"/>
          </w14:shadow>
        </w:rPr>
        <w:t xml:space="preserve">.   </w:t>
      </w:r>
    </w:p>
    <w:p w:rsidR="00313C9B" w:rsidRPr="00C96773" w:rsidRDefault="00AA1CF9" w:rsidP="00C96773">
      <w:pPr>
        <w:widowControl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drawing>
          <wp:anchor distT="0" distB="0" distL="114300" distR="114300" simplePos="0" relativeHeight="251662336" behindDoc="0" locked="0" layoutInCell="0" allowOverlap="0">
            <wp:simplePos x="0" y="0"/>
            <wp:positionH relativeFrom="margin">
              <wp:posOffset>1270</wp:posOffset>
            </wp:positionH>
            <wp:positionV relativeFrom="page">
              <wp:posOffset>3875405</wp:posOffset>
            </wp:positionV>
            <wp:extent cx="5760000" cy="2152800"/>
            <wp:effectExtent l="0" t="0" r="0" b="0"/>
            <wp:wrapTopAndBottom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290193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15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Rozpětí koncentrací charakterizující míru znečištění suspendovanými částicemi frakce PM</w:t>
      </w:r>
      <w:r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v různých typech </w:t>
      </w:r>
      <w:r w:rsidR="00E66FF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městských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lokalit popisuje graf č. 2. </w:t>
      </w:r>
    </w:p>
    <w:p w:rsidR="00BE0F80" w:rsidRPr="00C96773" w:rsidRDefault="00AA1CF9" w:rsidP="0054776E">
      <w:pPr>
        <w:widowControl w:val="0"/>
        <w:spacing w:before="120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Graf č. </w:t>
      </w:r>
      <w:r w:rsidR="003D3EB3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2</w:t>
      </w: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99399D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Rozpětí ročních průměrů PM</w:t>
      </w:r>
      <w:r w:rsidR="0099399D" w:rsidRPr="00C96773">
        <w:rPr>
          <w:rFonts w:ascii="Arial" w:hAnsi="Arial" w:cs="Arial"/>
          <w:b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="0099399D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roce 201</w:t>
      </w:r>
      <w:r w:rsidR="00CF02E1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="0099399D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ČR a v typech městských lokalit</w:t>
      </w: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</w:p>
    <w:bookmarkEnd w:id="3"/>
    <w:p w:rsidR="00BE0F80" w:rsidRPr="00C96773" w:rsidRDefault="00AA1CF9" w:rsidP="0054776E">
      <w:pPr>
        <w:widowControl w:val="0"/>
        <w:jc w:val="both"/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Pozn: </w:t>
      </w:r>
      <w:r w:rsidR="004E573D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M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aximální hodnota ročního průměru frakce PM</w:t>
      </w:r>
      <w:r w:rsidRPr="00C96773">
        <w:rPr>
          <w:rFonts w:ascii="Arial" w:hAnsi="Arial" w:cs="Arial"/>
          <w:i/>
          <w:sz w:val="18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byl</w:t>
      </w:r>
      <w:r w:rsidR="004E573D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a n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aměřen</w:t>
      </w:r>
      <w:r w:rsidR="004E573D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a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na stanici </w:t>
      </w:r>
      <w:r w:rsidR="001F7C32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TORE </w:t>
      </w:r>
      <w:r w:rsidR="004E573D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(</w:t>
      </w:r>
      <w:r w:rsidR="001F7C32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Ostrav</w:t>
      </w:r>
      <w:r w:rsidR="004E573D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a</w:t>
      </w:r>
      <w:r w:rsidR="001F7C32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Radvanice</w:t>
      </w:r>
      <w:r w:rsidR="004E573D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- </w:t>
      </w:r>
      <w:r w:rsidR="00296758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4</w:t>
      </w:r>
      <w:r w:rsidR="00313C9B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4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1B66A2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µg/m</w:t>
      </w:r>
      <w:r w:rsidR="001B66A2" w:rsidRPr="00C96773">
        <w:rPr>
          <w:rFonts w:ascii="Arial" w:hAnsi="Arial" w:cs="Arial"/>
          <w:i/>
          <w:sz w:val="18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="001B66A2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/rok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).</w:t>
      </w:r>
    </w:p>
    <w:p w:rsidR="00FE6CA2" w:rsidRPr="00C96773" w:rsidRDefault="00AA1CF9" w:rsidP="00455D35">
      <w:pPr>
        <w:spacing w:before="120"/>
        <w:jc w:val="both"/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Doplněním výše uvedeného může být odhad počtu ztracených let života (tzv. Y</w:t>
      </w:r>
      <w:r w:rsidR="00923E19" w:rsidRPr="00C96773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</w:t>
      </w:r>
      <w:r w:rsidRPr="00C96773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LLs, Years of Life Lost) v důsledku znečištění ovzduší aerosolovými částicemi. </w:t>
      </w:r>
    </w:p>
    <w:p w:rsidR="00923E19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Vzhledem k dostupnosti demografických údajů ho lze provést pouze pro předcházející rok </w:t>
      </w:r>
      <w:r w:rsidR="002F480C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tj. 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rok 201</w:t>
      </w:r>
      <w:r w:rsidR="009B102E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7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Výpočet vychází z odhadu střední roční koncentrace PM</w:t>
      </w:r>
      <w:r w:rsidRPr="00C96773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v městských dopravou </w:t>
      </w:r>
      <w:r w:rsidR="00D17A37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 průmyslem nezatížených oblastech, který v roce 201</w:t>
      </w:r>
      <w:r w:rsidR="009B102E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7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činil 2</w:t>
      </w:r>
      <w:r w:rsidR="009B102E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3,2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µg/m</w:t>
      </w:r>
      <w:r w:rsidRPr="00C96773">
        <w:rPr>
          <w:rFonts w:ascii="Arial" w:hAnsi="Arial" w:cs="Arial"/>
          <w:sz w:val="22"/>
          <w:szCs w:val="22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Jako referenční hladina průměrné roční koncentrace bylo zvoleno 5 µg/m</w:t>
      </w:r>
      <w:r w:rsidRPr="00C96773">
        <w:rPr>
          <w:rFonts w:ascii="Arial" w:hAnsi="Arial" w:cs="Arial"/>
          <w:sz w:val="22"/>
          <w:szCs w:val="22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částic PM</w:t>
      </w:r>
      <w:r w:rsidRPr="00C96773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což podle 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WHO 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představuje dolní interval koncentrací, ve kterém byly prokázány negativní zdravotní účinky jemných částic. </w:t>
      </w:r>
    </w:p>
    <w:p w:rsidR="00FE6CA2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>Podle provedeného odhadu činil v roce 201</w:t>
      </w:r>
      <w:r w:rsidR="009B102E"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>7</w:t>
      </w:r>
      <w:r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pro obyvatele ČR starší 30 let počet ztracených let života předčasným úmrtím následkem expozice znečištěnému ovzduší aerosolovými částicemi </w:t>
      </w:r>
      <w:r w:rsidR="00EC6352"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>106</w:t>
      </w:r>
      <w:r w:rsidR="00C45AF2"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EC6352"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>6</w:t>
      </w:r>
      <w:r w:rsidR="00C45AF2"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>00</w:t>
      </w:r>
      <w:r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let (tj. </w:t>
      </w:r>
      <w:r w:rsidR="00EC6352"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1 421 </w:t>
      </w:r>
      <w:r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>let/100 000 obyvatel).</w:t>
      </w:r>
      <w:r w:rsidR="00A01AD9" w:rsidRPr="00C96773">
        <w:rPr>
          <w:rFonts w:ascii="Arial" w:hAnsi="Arial" w:cs="Arial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</w:t>
      </w:r>
    </w:p>
    <w:p w:rsidR="00C96773" w:rsidRDefault="00AA1CF9" w:rsidP="00C96773">
      <w:pPr>
        <w:spacing w:before="120" w:line="276" w:lineRule="auto"/>
        <w:jc w:val="both"/>
        <w:rPr>
          <w:rFonts w:ascii="Times New Roman" w:hAnsi="Times New Roman"/>
          <w:noProof w:val="0"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Při akceptování značné míry zjednodušení lze výsledek interpretovat 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i tak, že každý obyvatel ČR starší 30 let v roce 201</w:t>
      </w:r>
      <w:r w:rsidR="004E573D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7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ztratil v průměru </w:t>
      </w:r>
      <w:r w:rsidR="005A78AF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5</w:t>
      </w:r>
      <w:r w:rsidR="00D94661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2F480C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dnů života </w:t>
      </w:r>
      <w:r w:rsidR="00D94661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(</w:t>
      </w:r>
      <w:r w:rsidR="00EC6352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3,5 v roce 2016, </w:t>
      </w:r>
      <w:r w:rsidR="005A78AF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3,3 v roce 2015</w:t>
      </w:r>
      <w:r w:rsidR="00EC6352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5,6 v roce 2014, </w:t>
      </w:r>
      <w:r w:rsidR="00D94661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5,3 v roce 201</w:t>
      </w:r>
      <w:r w:rsidR="00EC6352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3 a </w:t>
      </w:r>
      <w:r w:rsidR="00D94661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5,7 v roce 201</w:t>
      </w:r>
      <w:r w:rsidR="00EC6352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2</w:t>
      </w:r>
      <w:r w:rsidR="00D94661"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) </w:t>
      </w:r>
      <w:r w:rsidRPr="00C96773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v důsledku předčasné úmrtnosti.</w:t>
      </w:r>
      <w:bookmarkStart w:id="4" w:name="_Toc430084076"/>
      <w:r>
        <w:rPr>
          <w:rFonts w:ascii="Times New Roman" w:hAnsi="Times New Roman"/>
          <w:noProof w:val="0"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br w:type="page"/>
      </w:r>
    </w:p>
    <w:p w:rsidR="00BC11E0" w:rsidRPr="00C96773" w:rsidRDefault="00AA1CF9" w:rsidP="00BC11E0">
      <w:pPr>
        <w:spacing w:before="120"/>
        <w:jc w:val="both"/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Tabulka č. </w:t>
      </w:r>
      <w:r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begin"/>
      </w:r>
      <w:r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instrText xml:space="preserve"> SEQ Tabulka_č._ \* ARABIC </w:instrText>
      </w:r>
      <w:r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separate"/>
      </w:r>
      <w:r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end"/>
      </w:r>
      <w:r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 xml:space="preserve"> – počet roků ztráty života (zaokrouhlen na cel</w:t>
      </w:r>
      <w:r w:rsidR="005A78AF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á</w:t>
      </w:r>
      <w:r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 xml:space="preserve"> st</w:t>
      </w:r>
      <w:r w:rsidR="005A78AF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a</w:t>
      </w:r>
      <w:r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)</w:t>
      </w:r>
      <w:bookmarkEnd w:id="4"/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955"/>
        <w:gridCol w:w="2618"/>
        <w:gridCol w:w="1843"/>
        <w:gridCol w:w="2409"/>
      </w:tblGrid>
      <w:tr w:rsidR="00554EEE" w:rsidTr="00D17A37">
        <w:tc>
          <w:tcPr>
            <w:tcW w:w="992" w:type="dxa"/>
            <w:shd w:val="clear" w:color="auto" w:fill="CCFFFF"/>
            <w:vAlign w:val="center"/>
          </w:tcPr>
          <w:p w:rsidR="00BC11E0" w:rsidRPr="00C96773" w:rsidRDefault="00AA1CF9" w:rsidP="003C4C3B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rok</w:t>
            </w:r>
          </w:p>
        </w:tc>
        <w:tc>
          <w:tcPr>
            <w:tcW w:w="955" w:type="dxa"/>
            <w:shd w:val="clear" w:color="auto" w:fill="CCFFFF"/>
            <w:vAlign w:val="center"/>
          </w:tcPr>
          <w:p w:rsidR="00BC11E0" w:rsidRPr="00C96773" w:rsidRDefault="00AA1CF9" w:rsidP="003C4C3B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rozsah</w:t>
            </w:r>
          </w:p>
        </w:tc>
        <w:tc>
          <w:tcPr>
            <w:tcW w:w="2618" w:type="dxa"/>
            <w:shd w:val="clear" w:color="auto" w:fill="CCFFFF"/>
            <w:vAlign w:val="center"/>
          </w:tcPr>
          <w:p w:rsidR="00BC11E0" w:rsidRPr="00C96773" w:rsidRDefault="00AA1CF9" w:rsidP="00D17A37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spodní hranice odhadu</w:t>
            </w:r>
          </w:p>
        </w:tc>
        <w:tc>
          <w:tcPr>
            <w:tcW w:w="1843" w:type="dxa"/>
            <w:shd w:val="clear" w:color="auto" w:fill="CCFFFF"/>
            <w:vAlign w:val="center"/>
          </w:tcPr>
          <w:p w:rsidR="00BC11E0" w:rsidRPr="00C96773" w:rsidRDefault="00AA1CF9" w:rsidP="003C4C3B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střed</w:t>
            </w:r>
          </w:p>
        </w:tc>
        <w:tc>
          <w:tcPr>
            <w:tcW w:w="2409" w:type="dxa"/>
            <w:shd w:val="clear" w:color="auto" w:fill="CCFFFF"/>
            <w:vAlign w:val="center"/>
          </w:tcPr>
          <w:p w:rsidR="00BC11E0" w:rsidRPr="00C96773" w:rsidRDefault="00AA1CF9" w:rsidP="003C4C3B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horní hranice odhadu</w:t>
            </w:r>
          </w:p>
        </w:tc>
      </w:tr>
      <w:tr w:rsidR="00554EEE" w:rsidTr="00EC6352">
        <w:tc>
          <w:tcPr>
            <w:tcW w:w="992" w:type="dxa"/>
            <w:shd w:val="clear" w:color="auto" w:fill="CCFFFF"/>
            <w:vAlign w:val="center"/>
          </w:tcPr>
          <w:p w:rsidR="00BC11E0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2012</w:t>
            </w:r>
          </w:p>
        </w:tc>
        <w:tc>
          <w:tcPr>
            <w:tcW w:w="955" w:type="dxa"/>
            <w:shd w:val="clear" w:color="auto" w:fill="CCFFFF"/>
            <w:vAlign w:val="center"/>
          </w:tcPr>
          <w:p w:rsidR="00BC11E0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ČR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BC11E0" w:rsidRPr="00C96773" w:rsidRDefault="00AA1CF9" w:rsidP="003C4C3B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73 600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11E0" w:rsidRPr="00C96773" w:rsidRDefault="00AA1CF9" w:rsidP="003C4C3B">
            <w:pPr>
              <w:spacing w:before="120"/>
              <w:jc w:val="center"/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111 200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C11E0" w:rsidRPr="00C96773" w:rsidRDefault="00AA1CF9" w:rsidP="003C4C3B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145 300</w:t>
            </w:r>
          </w:p>
        </w:tc>
      </w:tr>
      <w:tr w:rsidR="00554EEE" w:rsidTr="00EC6352">
        <w:tc>
          <w:tcPr>
            <w:tcW w:w="992" w:type="dxa"/>
            <w:shd w:val="clear" w:color="auto" w:fill="CCFFFF"/>
            <w:vAlign w:val="center"/>
          </w:tcPr>
          <w:p w:rsidR="00BC11E0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2013</w:t>
            </w:r>
          </w:p>
        </w:tc>
        <w:tc>
          <w:tcPr>
            <w:tcW w:w="955" w:type="dxa"/>
            <w:shd w:val="clear" w:color="auto" w:fill="CCFFFF"/>
            <w:vAlign w:val="center"/>
          </w:tcPr>
          <w:p w:rsidR="00BC11E0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ČR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BC11E0" w:rsidRPr="00C96773" w:rsidRDefault="00AA1CF9" w:rsidP="003C4C3B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78 300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11E0" w:rsidRPr="00C96773" w:rsidRDefault="00AA1CF9" w:rsidP="003C4C3B">
            <w:pPr>
              <w:spacing w:before="120"/>
              <w:jc w:val="center"/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118 200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C11E0" w:rsidRPr="00C96773" w:rsidRDefault="00AA1CF9" w:rsidP="003C4C3B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154 400</w:t>
            </w:r>
          </w:p>
        </w:tc>
      </w:tr>
      <w:tr w:rsidR="00554EEE" w:rsidTr="00EC6352">
        <w:tc>
          <w:tcPr>
            <w:tcW w:w="992" w:type="dxa"/>
            <w:shd w:val="clear" w:color="auto" w:fill="CCFFFF"/>
            <w:vAlign w:val="center"/>
          </w:tcPr>
          <w:p w:rsidR="000E1114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2014</w:t>
            </w:r>
          </w:p>
        </w:tc>
        <w:tc>
          <w:tcPr>
            <w:tcW w:w="955" w:type="dxa"/>
            <w:shd w:val="clear" w:color="auto" w:fill="CCFFFF"/>
            <w:vAlign w:val="center"/>
          </w:tcPr>
          <w:p w:rsidR="000E1114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ČR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0E1114" w:rsidRPr="00C96773" w:rsidRDefault="00AA1CF9" w:rsidP="000E1114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35 800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1114" w:rsidRPr="00C96773" w:rsidRDefault="00AA1CF9" w:rsidP="000E1114">
            <w:pPr>
              <w:spacing w:before="120"/>
              <w:jc w:val="center"/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102 500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E1114" w:rsidRPr="00C96773" w:rsidRDefault="00AA1CF9" w:rsidP="000E1114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177 900</w:t>
            </w:r>
          </w:p>
        </w:tc>
      </w:tr>
      <w:tr w:rsidR="00554EEE" w:rsidTr="00EC6352">
        <w:tc>
          <w:tcPr>
            <w:tcW w:w="992" w:type="dxa"/>
            <w:shd w:val="clear" w:color="auto" w:fill="CCFFFF"/>
            <w:vAlign w:val="center"/>
          </w:tcPr>
          <w:p w:rsidR="00C45AF2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2015</w:t>
            </w:r>
          </w:p>
        </w:tc>
        <w:tc>
          <w:tcPr>
            <w:tcW w:w="955" w:type="dxa"/>
            <w:shd w:val="clear" w:color="auto" w:fill="CCFFFF"/>
            <w:vAlign w:val="center"/>
          </w:tcPr>
          <w:p w:rsidR="00C45AF2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ČR</w:t>
            </w:r>
          </w:p>
        </w:tc>
        <w:tc>
          <w:tcPr>
            <w:tcW w:w="2618" w:type="dxa"/>
            <w:shd w:val="clear" w:color="auto" w:fill="auto"/>
          </w:tcPr>
          <w:p w:rsidR="00C45AF2" w:rsidRPr="00C96773" w:rsidRDefault="00AA1CF9" w:rsidP="00C45AF2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33 300</w:t>
            </w:r>
          </w:p>
        </w:tc>
        <w:tc>
          <w:tcPr>
            <w:tcW w:w="1843" w:type="dxa"/>
            <w:shd w:val="clear" w:color="auto" w:fill="auto"/>
          </w:tcPr>
          <w:p w:rsidR="00C45AF2" w:rsidRPr="00C96773" w:rsidRDefault="00AA1CF9" w:rsidP="00C45AF2">
            <w:pPr>
              <w:spacing w:before="120"/>
              <w:jc w:val="center"/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95 600</w:t>
            </w:r>
          </w:p>
        </w:tc>
        <w:tc>
          <w:tcPr>
            <w:tcW w:w="2409" w:type="dxa"/>
            <w:shd w:val="clear" w:color="auto" w:fill="auto"/>
          </w:tcPr>
          <w:p w:rsidR="00C45AF2" w:rsidRPr="00C96773" w:rsidRDefault="00AA1CF9" w:rsidP="00C45AF2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166 200</w:t>
            </w:r>
          </w:p>
        </w:tc>
      </w:tr>
      <w:tr w:rsidR="00554EEE" w:rsidTr="00EC6352">
        <w:tc>
          <w:tcPr>
            <w:tcW w:w="992" w:type="dxa"/>
            <w:shd w:val="clear" w:color="auto" w:fill="CCFFFF"/>
            <w:vAlign w:val="center"/>
          </w:tcPr>
          <w:p w:rsidR="00E66FF0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2016</w:t>
            </w:r>
          </w:p>
        </w:tc>
        <w:tc>
          <w:tcPr>
            <w:tcW w:w="955" w:type="dxa"/>
            <w:shd w:val="clear" w:color="auto" w:fill="CCFFFF"/>
            <w:vAlign w:val="center"/>
          </w:tcPr>
          <w:p w:rsidR="00E66FF0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ČR</w:t>
            </w:r>
          </w:p>
        </w:tc>
        <w:tc>
          <w:tcPr>
            <w:tcW w:w="2618" w:type="dxa"/>
            <w:shd w:val="clear" w:color="auto" w:fill="auto"/>
          </w:tcPr>
          <w:p w:rsidR="00E66FF0" w:rsidRPr="00C96773" w:rsidRDefault="00AA1CF9" w:rsidP="00C45AF2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33 400</w:t>
            </w:r>
          </w:p>
        </w:tc>
        <w:tc>
          <w:tcPr>
            <w:tcW w:w="1843" w:type="dxa"/>
            <w:shd w:val="clear" w:color="auto" w:fill="auto"/>
          </w:tcPr>
          <w:p w:rsidR="00E66FF0" w:rsidRPr="00C96773" w:rsidRDefault="00AA1CF9" w:rsidP="00C45AF2">
            <w:pPr>
              <w:spacing w:before="120"/>
              <w:jc w:val="center"/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99 200</w:t>
            </w:r>
          </w:p>
        </w:tc>
        <w:tc>
          <w:tcPr>
            <w:tcW w:w="2409" w:type="dxa"/>
            <w:shd w:val="clear" w:color="auto" w:fill="auto"/>
          </w:tcPr>
          <w:p w:rsidR="00E66FF0" w:rsidRPr="00C96773" w:rsidRDefault="00AA1CF9" w:rsidP="00C45AF2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167 000</w:t>
            </w:r>
          </w:p>
        </w:tc>
      </w:tr>
      <w:tr w:rsidR="00554EEE" w:rsidTr="00EC6352">
        <w:tc>
          <w:tcPr>
            <w:tcW w:w="992" w:type="dxa"/>
            <w:shd w:val="clear" w:color="auto" w:fill="CCFFFF"/>
            <w:vAlign w:val="center"/>
          </w:tcPr>
          <w:p w:rsidR="00EC6352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2017</w:t>
            </w:r>
          </w:p>
        </w:tc>
        <w:tc>
          <w:tcPr>
            <w:tcW w:w="955" w:type="dxa"/>
            <w:shd w:val="clear" w:color="auto" w:fill="CCFFFF"/>
            <w:vAlign w:val="center"/>
          </w:tcPr>
          <w:p w:rsidR="00EC6352" w:rsidRPr="00C96773" w:rsidRDefault="00AA1CF9" w:rsidP="00EC6352">
            <w:pPr>
              <w:spacing w:before="12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ČR</w:t>
            </w:r>
          </w:p>
        </w:tc>
        <w:tc>
          <w:tcPr>
            <w:tcW w:w="2618" w:type="dxa"/>
            <w:shd w:val="clear" w:color="auto" w:fill="auto"/>
          </w:tcPr>
          <w:p w:rsidR="00EC6352" w:rsidRPr="00C96773" w:rsidRDefault="00AA1CF9" w:rsidP="00C45AF2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37 200</w:t>
            </w:r>
          </w:p>
        </w:tc>
        <w:tc>
          <w:tcPr>
            <w:tcW w:w="1843" w:type="dxa"/>
            <w:shd w:val="clear" w:color="auto" w:fill="auto"/>
          </w:tcPr>
          <w:p w:rsidR="00EC6352" w:rsidRPr="00C96773" w:rsidRDefault="00AA1CF9" w:rsidP="00C45AF2">
            <w:pPr>
              <w:spacing w:before="120"/>
              <w:jc w:val="center"/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106 600</w:t>
            </w:r>
          </w:p>
        </w:tc>
        <w:tc>
          <w:tcPr>
            <w:tcW w:w="2409" w:type="dxa"/>
            <w:shd w:val="clear" w:color="auto" w:fill="auto"/>
          </w:tcPr>
          <w:p w:rsidR="00EC6352" w:rsidRPr="00C96773" w:rsidRDefault="00AA1CF9" w:rsidP="00C45AF2">
            <w:pPr>
              <w:spacing w:before="12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185 000</w:t>
            </w:r>
          </w:p>
        </w:tc>
      </w:tr>
    </w:tbl>
    <w:p w:rsidR="00BC11E0" w:rsidRPr="00C96773" w:rsidRDefault="00AA1CF9" w:rsidP="00BC11E0">
      <w:pPr>
        <w:spacing w:before="120"/>
        <w:jc w:val="both"/>
        <w:rPr>
          <w:rFonts w:ascii="Arial" w:hAnsi="Arial" w:cs="Arial"/>
          <w:i/>
          <w:noProof w:val="0"/>
          <w:sz w:val="18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i/>
          <w:noProof w:val="0"/>
          <w:sz w:val="18"/>
          <w14:shadow w14:blurRad="0" w14:dist="0" w14:dir="0" w14:sx="0" w14:sy="0" w14:kx="0" w14:ky="0" w14:algn="none">
            <w14:srgbClr w14:val="000000"/>
          </w14:shadow>
        </w:rPr>
        <w:t xml:space="preserve">Poznámka: Počítáno pro městské </w:t>
      </w:r>
      <w:r w:rsidR="00963C52" w:rsidRPr="00C96773">
        <w:rPr>
          <w:rFonts w:ascii="Arial" w:hAnsi="Arial" w:cs="Arial"/>
          <w:i/>
          <w:noProof w:val="0"/>
          <w:sz w:val="18"/>
          <w14:shadow w14:blurRad="0" w14:dist="0" w14:dir="0" w14:sx="0" w14:sy="0" w14:kx="0" w14:ky="0" w14:algn="none">
            <w14:srgbClr w14:val="000000"/>
          </w14:shadow>
        </w:rPr>
        <w:t xml:space="preserve">oblasti nezatížené </w:t>
      </w:r>
      <w:r w:rsidR="00EC6352" w:rsidRPr="00C96773">
        <w:rPr>
          <w:rFonts w:ascii="Arial" w:hAnsi="Arial" w:cs="Arial"/>
          <w:i/>
          <w:noProof w:val="0"/>
          <w:sz w:val="18"/>
          <w14:shadow w14:blurRad="0" w14:dist="0" w14:dir="0" w14:sx="0" w14:sy="0" w14:kx="0" w14:ky="0" w14:algn="none">
            <w14:srgbClr w14:val="000000"/>
          </w14:shadow>
        </w:rPr>
        <w:t>dopravou a průmyslem</w:t>
      </w:r>
      <w:r w:rsidR="00A01AD9" w:rsidRPr="00C96773">
        <w:rPr>
          <w:rFonts w:ascii="Arial" w:hAnsi="Arial" w:cs="Arial"/>
          <w:i/>
          <w:noProof w:val="0"/>
          <w:sz w:val="18"/>
          <w14:shadow w14:blurRad="0" w14:dist="0" w14:dir="0" w14:sx="0" w14:sy="0" w14:kx="0" w14:ky="0" w14:algn="none">
            <w14:srgbClr w14:val="000000"/>
          </w14:shadow>
        </w:rPr>
        <w:t>, odhad horní a spo</w:t>
      </w:r>
      <w:r w:rsidR="002E34D3" w:rsidRPr="00C96773">
        <w:rPr>
          <w:rFonts w:ascii="Arial" w:hAnsi="Arial" w:cs="Arial"/>
          <w:i/>
          <w:noProof w:val="0"/>
          <w:sz w:val="18"/>
          <w14:shadow w14:blurRad="0" w14:dist="0" w14:dir="0" w14:sx="0" w14:sy="0" w14:kx="0" w14:ky="0" w14:algn="none">
            <w14:srgbClr w14:val="000000"/>
          </w14:shadow>
        </w:rPr>
        <w:t>d</w:t>
      </w:r>
      <w:r w:rsidR="00A01AD9" w:rsidRPr="00C96773">
        <w:rPr>
          <w:rFonts w:ascii="Arial" w:hAnsi="Arial" w:cs="Arial"/>
          <w:i/>
          <w:noProof w:val="0"/>
          <w:sz w:val="18"/>
          <w14:shadow w14:blurRad="0" w14:dist="0" w14:dir="0" w14:sx="0" w14:sy="0" w14:kx="0" w14:ky="0" w14:algn="none">
            <w14:srgbClr w14:val="000000"/>
          </w14:shadow>
        </w:rPr>
        <w:t>ní hranice vychází z funkce koncentrace-účinek doporučené v projektu Světové zdravotnické organizace HRAPIE RR= 1,062 (CI 95% 1,40 - 1,083).</w:t>
      </w:r>
    </w:p>
    <w:p w:rsidR="00A9174A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V  tabulce č. </w:t>
      </w:r>
      <w:r w:rsidR="00DC385A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4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. je přehled rozmezí ročních koncentrací </w:t>
      </w:r>
      <w:r w:rsidR="00036E5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PM</w:t>
      </w:r>
      <w:r w:rsidR="00036E50"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 xml:space="preserve">2,5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 odhadu zvýšení celkové úmrtnosti.</w:t>
      </w:r>
      <w:r w:rsidR="00D94661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Základní koncentrace, při které by se s 95 % pravděpodobností úmrtnost neměla zvyšovat</w:t>
      </w:r>
      <w:r w:rsidR="00596C3E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,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je v tomto případě podle  WHO </w:t>
      </w:r>
      <w:r w:rsidR="00596C3E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průměrná roční koncentrace</w:t>
      </w:r>
      <w:r w:rsid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10 </w:t>
      </w:r>
      <w:r w:rsidRPr="00C96773">
        <w:rPr>
          <w:rFonts w:ascii="Symbol" w:hAnsi="Symbo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sym w:font="Symbol" w:char="F06D"/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g/m</w:t>
      </w:r>
      <w:r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="00596C3E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.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</w:p>
    <w:p w:rsidR="0031231F" w:rsidRPr="00C96773" w:rsidRDefault="00AA1CF9" w:rsidP="0031231F">
      <w:pPr>
        <w:spacing w:before="120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Tabulka č. </w:t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begin"/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instrText xml:space="preserve"> SEQ Tabulka_č._ \* ARABIC </w:instrText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separate"/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4</w:t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end"/>
      </w: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. Rozpětí ročních průměrů PM</w:t>
      </w:r>
      <w:r w:rsidRPr="00C96773">
        <w:rPr>
          <w:rFonts w:ascii="Arial" w:hAnsi="Arial" w:cs="Arial"/>
          <w:b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roce 201</w:t>
      </w:r>
      <w:r w:rsidR="00EC6352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ČR a v jednotlivých typech městských lokalit a odhad účinků</w:t>
      </w:r>
    </w:p>
    <w:tbl>
      <w:tblPr>
        <w:tblW w:w="6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927"/>
        <w:gridCol w:w="993"/>
        <w:gridCol w:w="1134"/>
        <w:gridCol w:w="1134"/>
      </w:tblGrid>
      <w:tr w:rsidR="00554EEE">
        <w:trPr>
          <w:trHeight w:val="300"/>
          <w:jc w:val="center"/>
        </w:trPr>
        <w:tc>
          <w:tcPr>
            <w:tcW w:w="2700" w:type="dxa"/>
            <w:vMerge w:val="restart"/>
            <w:shd w:val="clear" w:color="auto" w:fill="CCFFFF"/>
            <w:noWrap/>
            <w:vAlign w:val="center"/>
          </w:tcPr>
          <w:p w:rsidR="0054776E" w:rsidRPr="00C96773" w:rsidRDefault="00AA1CF9" w:rsidP="007243A5">
            <w:pPr>
              <w:widowControl w:val="0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roční průměry</w:t>
            </w:r>
          </w:p>
          <w:p w:rsidR="0054776E" w:rsidRPr="00C96773" w:rsidRDefault="00AA1CF9" w:rsidP="00EC6352">
            <w:pPr>
              <w:widowControl w:val="0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rok 201</w:t>
            </w:r>
            <w:r w:rsidR="00EC6352"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1920" w:type="dxa"/>
            <w:gridSpan w:val="2"/>
            <w:shd w:val="clear" w:color="auto" w:fill="CCFFFF"/>
            <w:noWrap/>
            <w:vAlign w:val="center"/>
          </w:tcPr>
          <w:p w:rsidR="0054776E" w:rsidRPr="00C96773" w:rsidRDefault="00AA1CF9" w:rsidP="007243A5">
            <w:pPr>
              <w:widowControl w:val="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PM</w:t>
            </w:r>
            <w:r w:rsidRPr="00C96773">
              <w:rPr>
                <w:rFonts w:ascii="Arial" w:hAnsi="Arial" w:cs="Arial"/>
                <w:noProof w:val="0"/>
                <w:sz w:val="18"/>
                <w:vertAlign w:val="subscript"/>
                <w14:shadow w14:blurRad="0" w14:dist="0" w14:dir="0" w14:sx="0" w14:sy="0" w14:kx="0" w14:ky="0" w14:algn="none">
                  <w14:srgbClr w14:val="000000"/>
                </w14:shadow>
              </w:rPr>
              <w:t>2,5</w:t>
            </w: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(µg/m</w:t>
            </w:r>
            <w:r w:rsidRPr="00C96773">
              <w:rPr>
                <w:rFonts w:ascii="Arial" w:hAnsi="Arial" w:cs="Arial"/>
                <w:noProof w:val="0"/>
                <w:sz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</w:p>
        </w:tc>
        <w:tc>
          <w:tcPr>
            <w:tcW w:w="2268" w:type="dxa"/>
            <w:gridSpan w:val="2"/>
            <w:shd w:val="clear" w:color="auto" w:fill="CCFFFF"/>
            <w:vAlign w:val="center"/>
          </w:tcPr>
          <w:p w:rsidR="0054776E" w:rsidRPr="00C96773" w:rsidRDefault="00AA1CF9" w:rsidP="007243A5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odhad </w:t>
            </w:r>
            <w:r w:rsidR="007A5AFF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navýšení celkové</w:t>
            </w: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úmrtnosti v %</w:t>
            </w:r>
          </w:p>
        </w:tc>
      </w:tr>
      <w:tr w:rsidR="00554EEE">
        <w:trPr>
          <w:trHeight w:val="300"/>
          <w:jc w:val="center"/>
        </w:trPr>
        <w:tc>
          <w:tcPr>
            <w:tcW w:w="2700" w:type="dxa"/>
            <w:vMerge/>
            <w:shd w:val="clear" w:color="auto" w:fill="CCFFFF"/>
            <w:noWrap/>
            <w:vAlign w:val="center"/>
          </w:tcPr>
          <w:p w:rsidR="0054776E" w:rsidRPr="00C96773" w:rsidRDefault="0054776E" w:rsidP="007243A5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927" w:type="dxa"/>
            <w:shd w:val="clear" w:color="auto" w:fill="CCFFFF"/>
            <w:noWrap/>
            <w:vAlign w:val="center"/>
          </w:tcPr>
          <w:p w:rsidR="0054776E" w:rsidRPr="00C96773" w:rsidRDefault="00AA1CF9" w:rsidP="007243A5">
            <w:pPr>
              <w:widowControl w:val="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993" w:type="dxa"/>
            <w:shd w:val="clear" w:color="auto" w:fill="CCFFFF"/>
            <w:noWrap/>
            <w:vAlign w:val="center"/>
          </w:tcPr>
          <w:p w:rsidR="0054776E" w:rsidRPr="00C96773" w:rsidRDefault="00AA1CF9" w:rsidP="007243A5">
            <w:pPr>
              <w:widowControl w:val="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54776E" w:rsidRPr="00C96773" w:rsidRDefault="00AA1CF9" w:rsidP="007243A5">
            <w:pPr>
              <w:widowControl w:val="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54776E" w:rsidRPr="00C96773" w:rsidRDefault="00AA1CF9" w:rsidP="007243A5">
            <w:pPr>
              <w:widowControl w:val="0"/>
              <w:jc w:val="center"/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</w:tr>
      <w:tr w:rsidR="00554EEE">
        <w:trPr>
          <w:trHeight w:val="300"/>
          <w:jc w:val="center"/>
        </w:trPr>
        <w:tc>
          <w:tcPr>
            <w:tcW w:w="2700" w:type="dxa"/>
            <w:shd w:val="clear" w:color="auto" w:fill="CCFFFF"/>
            <w:noWrap/>
            <w:vAlign w:val="bottom"/>
          </w:tcPr>
          <w:p w:rsidR="0054776E" w:rsidRPr="00C96773" w:rsidRDefault="00AA1CF9" w:rsidP="007243A5">
            <w:pPr>
              <w:widowControl w:val="0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ČR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54776E" w:rsidRPr="00C96773" w:rsidRDefault="00AA1CF9" w:rsidP="00EC635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EC635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3,3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4776E" w:rsidRPr="00C96773" w:rsidRDefault="00AA1CF9" w:rsidP="00EC635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EC635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  <w:r w:rsidR="005A78AF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,0</w:t>
            </w:r>
          </w:p>
        </w:tc>
        <w:tc>
          <w:tcPr>
            <w:tcW w:w="1134" w:type="dxa"/>
            <w:vAlign w:val="center"/>
          </w:tcPr>
          <w:p w:rsidR="0054776E" w:rsidRPr="00C96773" w:rsidRDefault="00AA1CF9" w:rsidP="00AF15A4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2,0</w:t>
            </w:r>
          </w:p>
        </w:tc>
        <w:tc>
          <w:tcPr>
            <w:tcW w:w="1134" w:type="dxa"/>
            <w:vAlign w:val="center"/>
          </w:tcPr>
          <w:p w:rsidR="0054776E" w:rsidRPr="00C96773" w:rsidRDefault="00AA1CF9" w:rsidP="00F12674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F12674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6,7</w:t>
            </w:r>
          </w:p>
        </w:tc>
      </w:tr>
      <w:tr w:rsidR="00554EEE">
        <w:trPr>
          <w:trHeight w:val="300"/>
          <w:jc w:val="center"/>
        </w:trPr>
        <w:tc>
          <w:tcPr>
            <w:tcW w:w="2700" w:type="dxa"/>
            <w:shd w:val="clear" w:color="auto" w:fill="CCFFFF"/>
            <w:noWrap/>
            <w:vAlign w:val="bottom"/>
          </w:tcPr>
          <w:p w:rsidR="0054776E" w:rsidRPr="00C96773" w:rsidRDefault="00AA1CF9" w:rsidP="007243A5">
            <w:pPr>
              <w:widowControl w:val="0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města celkem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54776E" w:rsidRPr="00C96773" w:rsidRDefault="00AA1CF9" w:rsidP="00EC635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5A78AF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3,</w:t>
            </w:r>
            <w:r w:rsidR="00EC635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4776E" w:rsidRPr="00C96773" w:rsidRDefault="00AA1CF9" w:rsidP="00EC635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EC635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  <w:r w:rsidR="005A78AF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,0</w:t>
            </w:r>
          </w:p>
        </w:tc>
        <w:tc>
          <w:tcPr>
            <w:tcW w:w="1134" w:type="dxa"/>
            <w:vAlign w:val="center"/>
          </w:tcPr>
          <w:p w:rsidR="0054776E" w:rsidRPr="00C96773" w:rsidRDefault="00AA1CF9" w:rsidP="00350447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2,0</w:t>
            </w:r>
          </w:p>
        </w:tc>
        <w:tc>
          <w:tcPr>
            <w:tcW w:w="1134" w:type="dxa"/>
            <w:vAlign w:val="center"/>
          </w:tcPr>
          <w:p w:rsidR="0054776E" w:rsidRPr="00C96773" w:rsidRDefault="00AA1CF9" w:rsidP="00F12674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F12674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6,7</w:t>
            </w:r>
          </w:p>
        </w:tc>
      </w:tr>
      <w:tr w:rsidR="00554EEE">
        <w:trPr>
          <w:trHeight w:val="300"/>
          <w:jc w:val="center"/>
        </w:trPr>
        <w:tc>
          <w:tcPr>
            <w:tcW w:w="2700" w:type="dxa"/>
            <w:shd w:val="clear" w:color="auto" w:fill="CCFFFF"/>
            <w:noWrap/>
            <w:vAlign w:val="bottom"/>
          </w:tcPr>
          <w:p w:rsidR="0054776E" w:rsidRPr="00C96773" w:rsidRDefault="00AA1CF9" w:rsidP="007243A5">
            <w:pPr>
              <w:widowControl w:val="0"/>
              <w:jc w:val="right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lokality bez dopravní zátěže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54776E" w:rsidRPr="00C96773" w:rsidRDefault="00AA1CF9" w:rsidP="00EC635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EC635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4776E" w:rsidRPr="00C96773" w:rsidRDefault="00AA1CF9" w:rsidP="00EC635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EC635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9,7</w:t>
            </w:r>
          </w:p>
        </w:tc>
        <w:tc>
          <w:tcPr>
            <w:tcW w:w="1134" w:type="dxa"/>
            <w:vAlign w:val="center"/>
          </w:tcPr>
          <w:p w:rsidR="0054776E" w:rsidRPr="00C96773" w:rsidRDefault="00AA1CF9" w:rsidP="00350447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3,1</w:t>
            </w:r>
          </w:p>
        </w:tc>
        <w:tc>
          <w:tcPr>
            <w:tcW w:w="1134" w:type="dxa"/>
            <w:vAlign w:val="center"/>
          </w:tcPr>
          <w:p w:rsidR="0054776E" w:rsidRPr="00C96773" w:rsidRDefault="00AA1CF9" w:rsidP="002F480C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2F480C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2,2</w:t>
            </w:r>
          </w:p>
        </w:tc>
      </w:tr>
      <w:tr w:rsidR="00554EEE">
        <w:trPr>
          <w:trHeight w:val="300"/>
          <w:jc w:val="center"/>
        </w:trPr>
        <w:tc>
          <w:tcPr>
            <w:tcW w:w="2700" w:type="dxa"/>
            <w:shd w:val="clear" w:color="auto" w:fill="CCFFFF"/>
            <w:noWrap/>
            <w:vAlign w:val="bottom"/>
          </w:tcPr>
          <w:p w:rsidR="00066C98" w:rsidRPr="00C96773" w:rsidRDefault="00AA1CF9" w:rsidP="00066C98">
            <w:pPr>
              <w:widowControl w:val="0"/>
              <w:jc w:val="right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lokality s dopravní zátěží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066C98" w:rsidRPr="00C96773" w:rsidRDefault="00AA1CF9" w:rsidP="00EC635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EC635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4,7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66C98" w:rsidRPr="00C96773" w:rsidRDefault="00AA1CF9" w:rsidP="00EC635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31,4</w:t>
            </w:r>
          </w:p>
        </w:tc>
        <w:tc>
          <w:tcPr>
            <w:tcW w:w="1134" w:type="dxa"/>
            <w:vAlign w:val="center"/>
          </w:tcPr>
          <w:p w:rsidR="00066C98" w:rsidRPr="00C96773" w:rsidRDefault="00AA1CF9" w:rsidP="002F480C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565031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2F480C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9</w:t>
            </w:r>
          </w:p>
        </w:tc>
        <w:tc>
          <w:tcPr>
            <w:tcW w:w="1134" w:type="dxa"/>
            <w:vAlign w:val="center"/>
          </w:tcPr>
          <w:p w:rsidR="00066C98" w:rsidRPr="00C96773" w:rsidRDefault="00AA1CF9" w:rsidP="002F480C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color w:val="FF000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2F480C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3,3</w:t>
            </w:r>
          </w:p>
        </w:tc>
      </w:tr>
      <w:tr w:rsidR="00554EEE" w:rsidTr="00023823">
        <w:trPr>
          <w:trHeight w:val="300"/>
          <w:jc w:val="center"/>
        </w:trPr>
        <w:tc>
          <w:tcPr>
            <w:tcW w:w="2700" w:type="dxa"/>
            <w:shd w:val="clear" w:color="auto" w:fill="CCFFFF"/>
            <w:noWrap/>
            <w:vAlign w:val="center"/>
          </w:tcPr>
          <w:p w:rsidR="0054776E" w:rsidRPr="00C96773" w:rsidRDefault="00AA1CF9" w:rsidP="00023823">
            <w:pPr>
              <w:widowControl w:val="0"/>
              <w:jc w:val="right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průmyslové lokality</w:t>
            </w:r>
          </w:p>
        </w:tc>
        <w:tc>
          <w:tcPr>
            <w:tcW w:w="927" w:type="dxa"/>
            <w:shd w:val="clear" w:color="auto" w:fill="auto"/>
            <w:noWrap/>
            <w:vAlign w:val="center"/>
          </w:tcPr>
          <w:p w:rsidR="0054776E" w:rsidRPr="00C96773" w:rsidRDefault="00AA1CF9" w:rsidP="00EC635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5A78AF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EC635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4776E" w:rsidRPr="00C96773" w:rsidRDefault="00AA1CF9" w:rsidP="00EC6352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EC6352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  <w:r w:rsidR="005A78AF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,0</w:t>
            </w:r>
          </w:p>
        </w:tc>
        <w:tc>
          <w:tcPr>
            <w:tcW w:w="1134" w:type="dxa"/>
            <w:vAlign w:val="center"/>
          </w:tcPr>
          <w:p w:rsidR="0054776E" w:rsidRPr="00C96773" w:rsidRDefault="00AA1CF9" w:rsidP="002F480C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5,</w:t>
            </w:r>
            <w:r w:rsidR="002F480C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1134" w:type="dxa"/>
            <w:vAlign w:val="center"/>
          </w:tcPr>
          <w:p w:rsidR="0054776E" w:rsidRPr="00C96773" w:rsidRDefault="00AA1CF9" w:rsidP="00F12674">
            <w:pPr>
              <w:widowControl w:val="0"/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F12674"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6,7</w:t>
            </w:r>
          </w:p>
        </w:tc>
      </w:tr>
    </w:tbl>
    <w:p w:rsidR="00AC7617" w:rsidRPr="001306F8" w:rsidRDefault="00AC7617" w:rsidP="00AC7617">
      <w:pPr>
        <w:widowControl w:val="0"/>
        <w:jc w:val="both"/>
        <w:rPr>
          <w:rFonts w:ascii="Times New Roman" w:hAnsi="Times New Roman"/>
          <w:color w:val="FF0000"/>
          <w14:shadow w14:blurRad="0" w14:dist="0" w14:dir="0" w14:sx="0" w14:sy="0" w14:kx="0" w14:ky="0" w14:algn="none">
            <w14:srgbClr w14:val="000000"/>
          </w14:shadow>
        </w:rPr>
      </w:pPr>
    </w:p>
    <w:p w:rsidR="00902DA0" w:rsidRPr="00C96773" w:rsidRDefault="00AA1CF9" w:rsidP="00C96773">
      <w:pPr>
        <w:widowControl w:val="0"/>
        <w:spacing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Rozpětí koncentrací charakterizující míru znečištění suspendovanými částicemi frakce PM</w:t>
      </w:r>
      <w:r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 xml:space="preserve">2,5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v různých typech lokalit popisuje graf č. </w:t>
      </w:r>
      <w:r w:rsidR="003D3EB3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.</w:t>
      </w:r>
    </w:p>
    <w:p w:rsidR="00D068E0" w:rsidRPr="001306F8" w:rsidRDefault="00AA1CF9" w:rsidP="00AC7617">
      <w:pPr>
        <w:widowControl w:val="0"/>
        <w:jc w:val="both"/>
        <w:rPr>
          <w:rFonts w:ascii="Times New Roman" w:hAnsi="Times New Roman"/>
          <w:color w:val="FF0000"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>
        <w:rPr>
          <w:rFonts w:ascii="Times New Roman" w:hAnsi="Times New Roman"/>
          <w:color w:val="FF0000"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drawing>
          <wp:anchor distT="0" distB="0" distL="114300" distR="114300" simplePos="0" relativeHeight="251661312" behindDoc="0" locked="0" layoutInCell="0" allowOverlap="0">
            <wp:simplePos x="0" y="0"/>
            <wp:positionH relativeFrom="margin">
              <wp:align>right</wp:align>
            </wp:positionH>
            <wp:positionV relativeFrom="page">
              <wp:posOffset>6134100</wp:posOffset>
            </wp:positionV>
            <wp:extent cx="5760000" cy="2174400"/>
            <wp:effectExtent l="0" t="0" r="0" b="0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1449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17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0526" w:rsidRPr="00C96773" w:rsidRDefault="00AA1CF9" w:rsidP="00AC7617">
      <w:pPr>
        <w:widowControl w:val="0"/>
        <w:jc w:val="both"/>
        <w:rPr>
          <w:rFonts w:ascii="Arial" w:hAnsi="Arial" w:cs="Arial"/>
          <w:b/>
          <w:sz w:val="18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Graf č. </w:t>
      </w:r>
      <w:r w:rsidR="003D3EB3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3</w:t>
      </w:r>
      <w:r w:rsidR="006A5D59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. </w:t>
      </w:r>
      <w:r w:rsidR="00BA712D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201</w:t>
      </w:r>
      <w:r w:rsidR="00EC6352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="00BA712D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- </w:t>
      </w:r>
      <w:r w:rsidR="0099399D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Rozpětí ročních průměrů PM</w:t>
      </w:r>
      <w:r w:rsidR="0099399D" w:rsidRPr="00C96773">
        <w:rPr>
          <w:rFonts w:ascii="Arial" w:hAnsi="Arial" w:cs="Arial"/>
          <w:b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="0099399D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ČR a v jednotlivých typech městských lokalit</w:t>
      </w:r>
    </w:p>
    <w:p w:rsidR="00DC385A" w:rsidRPr="00C96773" w:rsidRDefault="00AA1CF9" w:rsidP="00DC385A">
      <w:pPr>
        <w:widowControl w:val="0"/>
        <w:jc w:val="both"/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Pozn: Maximální městská hodnota ročního průměru frakce PM</w:t>
      </w:r>
      <w:r w:rsidRPr="00C96773">
        <w:rPr>
          <w:rFonts w:ascii="Arial" w:hAnsi="Arial" w:cs="Arial"/>
          <w:i/>
          <w:sz w:val="18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byla naměřena na stanici TORE (Ostrava Radvanice  - 37 </w:t>
      </w:r>
      <w:r w:rsidR="001B66A2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µg/m</w:t>
      </w:r>
      <w:r w:rsidR="001B66A2" w:rsidRPr="00C96773">
        <w:rPr>
          <w:rFonts w:ascii="Arial" w:hAnsi="Arial" w:cs="Arial"/>
          <w:i/>
          <w:sz w:val="18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="001B66A2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/rok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).</w:t>
      </w:r>
    </w:p>
    <w:p w:rsidR="00DC385A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Navýšení celkové předčasné úmrtnosti, ke kterému přispěla expozice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suspendovaným částicím frakce PM</w:t>
      </w:r>
      <w:r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se v roce 2018, podle míry zatěže konkrétní lokality, pohybovalo od přibližně 2 % v čistých městských lokalitách až po 16,7 % v oblastech zvláště intenzivně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zatížených dopravou a průmyslem. V roce 2018 ani v pozaďových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lokalitách ČR (14,5 µg/m</w:t>
      </w:r>
      <w:r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) nebyly měřeny zdravotně nevýznamné koncentrace suspendovaných částic frakce PM</w:t>
      </w:r>
      <w:r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.</w:t>
      </w:r>
    </w:p>
    <w:p w:rsidR="00622565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Přes mírn</w:t>
      </w:r>
      <w:r w:rsidR="00FE6CA2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é meziroční kolísání v letech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2012 </w:t>
      </w:r>
      <w:r w:rsidR="00FE6CA2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až 201</w:t>
      </w:r>
      <w:r w:rsidR="002F480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="00FE6CA2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DC385A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 mírný nárůst v letech 2017</w:t>
      </w:r>
      <w:r w:rsidR="00DC385A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/>
        <w:t xml:space="preserve">a 2018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lze trend </w:t>
      </w:r>
      <w:r w:rsidR="002F480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ročních hodnot suspendovaných částic frakce PM</w:t>
      </w:r>
      <w:r w:rsidR="002F480C"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="002F480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FE6CA2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za posledních pět let</w:t>
      </w:r>
      <w:r w:rsidR="002F480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, stále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interpretovat </w:t>
      </w:r>
      <w:r w:rsidR="00FE6CA2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jako neklesající</w:t>
      </w:r>
      <w:r w:rsidR="00D458F2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.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Viz v</w:t>
      </w:r>
      <w:r w:rsidR="00B1221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ývoj za období </w:t>
      </w:r>
      <w:r w:rsidR="002F480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1997</w:t>
      </w:r>
      <w:r w:rsidR="00B1221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až 201</w:t>
      </w:r>
      <w:r w:rsidR="002F480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="00B1221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FE6CA2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na grafu č. 1</w:t>
      </w:r>
      <w:r w:rsidR="00B1221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. </w:t>
      </w:r>
      <w:r w:rsidR="00D17A37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v příloze č. </w:t>
      </w:r>
      <w:r w:rsidR="00E51DC3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1 této zprávy</w:t>
      </w:r>
      <w:r w:rsidR="00D17A37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. </w:t>
      </w:r>
      <w:r w:rsidR="00DA333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Městské prostředí</w:t>
      </w:r>
      <w:r w:rsidR="000A50D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tak </w:t>
      </w:r>
      <w:r w:rsidR="000A50D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jednoznačně</w:t>
      </w:r>
      <w:r w:rsidR="00E226D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, již </w:t>
      </w:r>
      <w:r w:rsidR="002F480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o</w:t>
      </w:r>
      <w:r w:rsidR="00E226D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d mírné zátěže dopravou spolu </w:t>
      </w:r>
      <w:r w:rsidR="00DC385A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/>
      </w:r>
      <w:r w:rsidR="00E226D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s lokalitami ovlivněnými průmyslem, představuje pro obyvatele </w:t>
      </w:r>
      <w:r w:rsidR="00036E5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zdravotní riziko. </w:t>
      </w:r>
      <w:r w:rsidR="002F480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/>
      </w:r>
      <w:r w:rsidR="00036E5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V </w:t>
      </w:r>
      <w:r w:rsidR="00DA333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případě </w:t>
      </w:r>
      <w:r w:rsidR="00900E93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hmotnostních koncentrací </w:t>
      </w:r>
      <w:r w:rsidR="00DA333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aerosolu frakce PM</w:t>
      </w:r>
      <w:r w:rsidR="00DA3330" w:rsidRPr="00C96773">
        <w:rPr>
          <w:rFonts w:ascii="Arial" w:hAnsi="Arial" w:cs="Arial"/>
          <w:sz w:val="22"/>
          <w:szCs w:val="24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="00DA333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vychází hodnocení</w:t>
      </w:r>
      <w:r w:rsidR="00036E5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na základě teoretického výpočtu</w:t>
      </w:r>
      <w:r w:rsidR="00DA333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přísněji a lze říct, že </w:t>
      </w:r>
      <w:r w:rsidR="00A3632B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v</w:t>
      </w:r>
      <w:r w:rsidR="00E226DC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městském prostředí </w:t>
      </w:r>
      <w:r w:rsidR="00DA333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nebyly zjištěny </w:t>
      </w:r>
      <w:r w:rsidR="00900E93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průměrné </w:t>
      </w:r>
      <w:r w:rsidR="00DA333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roční koncentrace, kterým není připisován </w:t>
      </w:r>
      <w:r w:rsidR="00036E5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určitý </w:t>
      </w:r>
      <w:r w:rsidR="00DA3330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negativní vliv. </w:t>
      </w:r>
    </w:p>
    <w:p w:rsidR="00AC7617" w:rsidRPr="001306F8" w:rsidRDefault="00AC7617" w:rsidP="001637A8">
      <w:pPr>
        <w:pStyle w:val="DefaultText1"/>
        <w:jc w:val="both"/>
        <w:rPr>
          <w:b/>
          <w:color w:val="FF0000"/>
        </w:rPr>
      </w:pPr>
    </w:p>
    <w:p w:rsidR="00182E2E" w:rsidRPr="00C96773" w:rsidRDefault="00AA1CF9" w:rsidP="00C96773">
      <w:pPr>
        <w:pStyle w:val="DefaultText1"/>
        <w:spacing w:line="276" w:lineRule="auto"/>
        <w:jc w:val="both"/>
        <w:rPr>
          <w:rFonts w:ascii="Arial" w:hAnsi="Arial" w:cs="Arial"/>
          <w:b/>
          <w:sz w:val="22"/>
        </w:rPr>
      </w:pPr>
      <w:r w:rsidRPr="00C96773">
        <w:rPr>
          <w:rFonts w:ascii="Arial" w:hAnsi="Arial" w:cs="Arial"/>
          <w:b/>
          <w:sz w:val="22"/>
        </w:rPr>
        <w:t>Ozón</w:t>
      </w:r>
      <w:r w:rsidR="003822FA" w:rsidRPr="00C96773">
        <w:rPr>
          <w:rFonts w:ascii="Arial" w:hAnsi="Arial" w:cs="Arial"/>
          <w:b/>
          <w:sz w:val="22"/>
        </w:rPr>
        <w:t xml:space="preserve"> </w:t>
      </w:r>
    </w:p>
    <w:p w:rsidR="00182E2E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Přízemní ozón není do atmosféry emitován, ale vzniká fotochemickými reakcemi oxidů dusíku a těkavých organických látek. Znečištění ovzduší ozónem, které je typickou součástí tzv. letního smogu, může v teplém období roku dosahovat míry ovlivňující zdraví. O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zón má silně dráždivé účinky na oční spojivky a dýchací cesty a ve vyšších koncentracích způsobuje ztížené dýchání a zánětlivou reakci sliznic v dýchacích cestách. Zvýšeně citlivé vůči expozici ozonu jsou osoby s chronickými obstrukčními onemocněními plic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a astmatem. Krátkodobá </w:t>
      </w:r>
      <w:r w:rsidR="00D37465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/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i dlouhodobá expozice ozónu ovlivňuje respirační nemocnost i úmrtnost. Chronická expozice ozónu zvyšuje četnost hospitalizací pro zhoršení astmatu u dětí a pro akutní zhoršení kardiovaskulárních a respiračních onemocnění u starších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osob. Zvýšení denní maximální 8hodinové koncentrace o každých 10 µg/m</w:t>
      </w:r>
      <w:r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nad hladinu 70 µg/m</w:t>
      </w:r>
      <w:r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vede k</w:t>
      </w:r>
      <w:r w:rsidR="002E34D3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e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zvýšení celkové </w:t>
      </w:r>
      <w:r w:rsidR="007548E9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denní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úmrtnosti o 0,3 %. Dopad na respirační úmrtnost u populace nad 30 let je odhadován na 1,4 % na každých 10 µg/m</w:t>
      </w:r>
      <w:r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maximální denní průměrné 8hodinové koncentrace ozónu během období duben-září.</w:t>
      </w:r>
    </w:p>
    <w:p w:rsidR="00182E2E" w:rsidRPr="00C96773" w:rsidRDefault="00182E2E" w:rsidP="00C96773">
      <w:pPr>
        <w:spacing w:before="120" w:line="276" w:lineRule="auto"/>
        <w:jc w:val="both"/>
        <w:rPr>
          <w:rFonts w:ascii="Arial" w:hAnsi="Arial" w:cs="Arial"/>
          <w:color w:val="FF0000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</w:p>
    <w:p w:rsidR="00182E2E" w:rsidRPr="00C96773" w:rsidRDefault="00AA1CF9" w:rsidP="00C96773">
      <w:pPr>
        <w:pStyle w:val="DefaultText1"/>
        <w:spacing w:line="276" w:lineRule="auto"/>
        <w:jc w:val="both"/>
        <w:rPr>
          <w:rFonts w:ascii="Arial" w:hAnsi="Arial" w:cs="Arial"/>
          <w:b/>
          <w:sz w:val="22"/>
        </w:rPr>
      </w:pPr>
      <w:r w:rsidRPr="00C96773">
        <w:rPr>
          <w:rFonts w:ascii="Arial" w:hAnsi="Arial" w:cs="Arial"/>
          <w:b/>
          <w:sz w:val="22"/>
        </w:rPr>
        <w:t>Oxid uhelnatý a oxid siřičitý</w:t>
      </w:r>
    </w:p>
    <w:p w:rsidR="00AC7617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Znečištění ovzduší oxidem uhelnatým a oxidem siřičitým nepředstavovalo v roce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201</w:t>
      </w:r>
      <w:r w:rsidR="00057FBF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D17A37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/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v měřených sídlech významné zdravotní riziko, i když v případě oxidu siřičitého práh účinku pro 24hod. koncentraci nebyl epidemiologickými studiemi dosud zjištěn. Jen nárazově </w:t>
      </w:r>
      <w:r w:rsidR="00E8133D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(celkem </w:t>
      </w:r>
      <w:r w:rsidR="00057FBF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46</w:t>
      </w:r>
      <w:r w:rsidR="00E8133D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dnů</w:t>
      </w:r>
      <w:r w:rsidR="00057FBF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v roce 2018; z toho 31 na dvou stanicích v Ostravě zachycujících vliv sanace lagun tj. Fifejdy - TOFF a Poruba - TOPO</w:t>
      </w:r>
      <w:r w:rsidR="00E8133D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)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se vyskyt</w:t>
      </w:r>
      <w:r w:rsidR="00342B76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ly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342B76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24hodinové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koncentrace oxidu siřičitého vyšší než </w:t>
      </w:r>
      <w:r w:rsidR="00057FBF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4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0 µg/m</w:t>
      </w:r>
      <w:r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="00057FBF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.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057FBF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C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ož představuje dvojnásobek cílové hodnoty doporučené WHO s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vysokou mírou předběžné opatrnosti.</w:t>
      </w:r>
    </w:p>
    <w:p w:rsidR="00182E2E" w:rsidRPr="00C96773" w:rsidRDefault="00182E2E" w:rsidP="00C96773">
      <w:pPr>
        <w:pStyle w:val="DefaultText1"/>
        <w:spacing w:line="276" w:lineRule="auto"/>
        <w:jc w:val="both"/>
        <w:rPr>
          <w:rFonts w:ascii="Arial" w:hAnsi="Arial" w:cs="Arial"/>
          <w:b/>
          <w:color w:val="FF0000"/>
          <w:sz w:val="22"/>
        </w:rPr>
      </w:pPr>
    </w:p>
    <w:p w:rsidR="00685FCA" w:rsidRPr="00C96773" w:rsidRDefault="00AA1CF9" w:rsidP="00C96773">
      <w:pPr>
        <w:pStyle w:val="DefaultText1"/>
        <w:spacing w:line="276" w:lineRule="auto"/>
        <w:jc w:val="both"/>
        <w:rPr>
          <w:rFonts w:ascii="Arial" w:hAnsi="Arial" w:cs="Arial"/>
          <w:b/>
          <w:sz w:val="22"/>
        </w:rPr>
      </w:pPr>
      <w:r w:rsidRPr="00C96773">
        <w:rPr>
          <w:rFonts w:ascii="Arial" w:hAnsi="Arial" w:cs="Arial"/>
          <w:b/>
          <w:sz w:val="22"/>
        </w:rPr>
        <w:t xml:space="preserve">Bezprahově působící látky - </w:t>
      </w:r>
      <w:r w:rsidR="002E34D3" w:rsidRPr="00C96773">
        <w:rPr>
          <w:rFonts w:ascii="Arial" w:hAnsi="Arial" w:cs="Arial"/>
          <w:b/>
          <w:sz w:val="22"/>
        </w:rPr>
        <w:t>a</w:t>
      </w:r>
      <w:r w:rsidRPr="00C96773">
        <w:rPr>
          <w:rFonts w:ascii="Arial" w:hAnsi="Arial" w:cs="Arial"/>
          <w:b/>
          <w:sz w:val="22"/>
        </w:rPr>
        <w:t>rsen, nikl</w:t>
      </w:r>
      <w:r w:rsidR="00E8133D" w:rsidRPr="00C96773">
        <w:rPr>
          <w:rFonts w:ascii="Arial" w:hAnsi="Arial" w:cs="Arial"/>
          <w:b/>
          <w:sz w:val="22"/>
        </w:rPr>
        <w:t>, kadmium</w:t>
      </w:r>
      <w:r w:rsidRPr="00C96773">
        <w:rPr>
          <w:rFonts w:ascii="Arial" w:hAnsi="Arial" w:cs="Arial"/>
          <w:b/>
          <w:sz w:val="22"/>
        </w:rPr>
        <w:t xml:space="preserve"> a PAU</w:t>
      </w:r>
      <w:r w:rsidR="004910A5" w:rsidRPr="00C96773">
        <w:rPr>
          <w:rFonts w:ascii="Arial" w:hAnsi="Arial" w:cs="Arial"/>
          <w:b/>
          <w:sz w:val="22"/>
        </w:rPr>
        <w:t xml:space="preserve"> (BaP)</w:t>
      </w:r>
    </w:p>
    <w:p w:rsidR="00182E2E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Při hodnocení látek s karcinogenními účinky se vychází z teorie bezprahového působení. </w:t>
      </w:r>
      <w:r w:rsidR="00DC385A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/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Ta předpokládá, že neexistuje žádná koncentrace, pod kterou by působení dané látky bylo nulové. </w:t>
      </w:r>
      <w:r w:rsidR="00685FCA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Nelze zde tedy stanovit neúčinnou dávku a závislost dávky a účinku se vyjadřuje ukazatelem, vyjadřujícím míru karcinogenního potenciálu dané látky. Jde </w:t>
      </w:r>
      <w:r w:rsidR="00D37465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/>
      </w:r>
      <w:r w:rsidR="00685FCA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o pravděpodobnostní princip, kdy vyšší expozice neznamená závažnější poškození zdraví, ale vyšší pravděpodobnost jeho vzniku. </w:t>
      </w:r>
    </w:p>
    <w:p w:rsidR="00182E2E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Ukazatel karcinogenního potenciálu se nazývá směrnice rakovinového rizika (Cancer Slope Factor – CSF, nebo Cancer Potency Sloup – CPS). Jde o směrnici lineární závislosti vztahu mezi dávkou a účinkem, získanou matematickou extrapolací z vysokých dávek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>expe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rimentálních, nebo vyskytujících se v pracovním prostředí, na nízké dávky reálné v životním prostředí. </w:t>
      </w:r>
    </w:p>
    <w:p w:rsidR="00685FCA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Při hodnocení rizik z ovzduší se pro zjednodušení používá jednotka karcinogenního rizika (UCR), která je vztažená přímo ke koncentraci látky v</w:t>
      </w:r>
      <w:r w:rsidR="00A02A0E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 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ovzduší</w:t>
      </w:r>
      <w:r w:rsidR="00A02A0E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– viz. tabulka č. 1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. V případě možného karcinogenního účinku je míra rizika vyjadřovaná jako celoživotní vzestup pravděpodobnosti vzniku nádorového onemocnění (Individual Lifetime Cancer Risk – ILCR) u jedince z exponované populace, tedy teoretický počet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statisticky předpokládaných případů nádorového onemocnění na počet exponovaných osob nad výskyt v neovlivněné populaci. </w:t>
      </w:r>
      <w:r w:rsidR="00D37465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/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Za tzv. společensky únosnou míru karcinogenního rizika je v USA a zemích Evropské Unie obvykle považována hodnota 1 </w:t>
      </w:r>
      <w:r w:rsidR="009C71E5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×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10</w:t>
      </w:r>
      <w:r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-6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, což znamená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zvýšení individuálního celoživotního rizika onemocněním rakovinou o 1 případ na 1 000 000 exponovaných osob. Vzhledem k nejistotám ve výpočtu lze však považovat za akceptovatelnou řádovou úroveň rizika 10</w:t>
      </w:r>
      <w:r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-6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.</w:t>
      </w:r>
      <w:r w:rsidR="004E59A2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Z individuálního rizika a počtu osob v hodnocené populaci je možno odvodit populační riziko, které je vyjadřováno pro 1 rok. Hodnoty jednotkového rizika pro výpočet byly převzaty </w:t>
      </w:r>
      <w:r w:rsidR="00305848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Air Quality Guidelines for Europe</w:t>
      </w:r>
      <w:r w:rsidR="005068D3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,</w:t>
      </w:r>
      <w:r w:rsidR="00305848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2</w:t>
      </w:r>
      <w:r w:rsidR="00305848" w:rsidRPr="00C96773">
        <w:rPr>
          <w:rFonts w:ascii="Arial" w:hAnsi="Arial" w:cs="Arial"/>
          <w:sz w:val="22"/>
          <w:szCs w:val="24"/>
          <w:vertAlign w:val="superscript"/>
          <w14:shadow w14:blurRad="0" w14:dist="0" w14:dir="0" w14:sx="0" w14:sy="0" w14:kx="0" w14:ky="0" w14:algn="none">
            <w14:srgbClr w14:val="000000"/>
          </w14:shadow>
        </w:rPr>
        <w:t>th</w:t>
      </w:r>
      <w:r w:rsidR="00305848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edition, 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z internetových stránek WHO </w:t>
      </w:r>
      <w:r w:rsidR="00D37465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/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 z dalších zdrojů (US EPA, HEAST</w:t>
      </w:r>
      <w:r w:rsidR="00BA712D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….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). </w:t>
      </w:r>
      <w:bookmarkStart w:id="5" w:name="_Toc171750325"/>
    </w:p>
    <w:p w:rsidR="00DC385A" w:rsidRDefault="00DC385A" w:rsidP="00DC385A">
      <w:pPr>
        <w:pStyle w:val="Titulek"/>
        <w:rPr>
          <w:rFonts w:ascii="Times New Roman" w:hAnsi="Times New Roman"/>
          <w:color w:val="auto"/>
          <w:szCs w:val="24"/>
        </w:rPr>
      </w:pPr>
      <w:bookmarkStart w:id="6" w:name="_Toc264440430"/>
      <w:bookmarkStart w:id="7" w:name="_Toc366838905"/>
      <w:bookmarkStart w:id="8" w:name="_Toc395266823"/>
      <w:bookmarkStart w:id="9" w:name="_Toc22215927"/>
      <w:bookmarkEnd w:id="5"/>
    </w:p>
    <w:p w:rsidR="00DC385A" w:rsidRPr="00C96773" w:rsidRDefault="00AA1CF9" w:rsidP="00DC385A">
      <w:pPr>
        <w:pStyle w:val="Titulek"/>
        <w:rPr>
          <w:rFonts w:ascii="Arial" w:hAnsi="Arial" w:cs="Arial"/>
          <w:b/>
          <w:color w:val="auto"/>
          <w:sz w:val="20"/>
          <w:szCs w:val="24"/>
        </w:rPr>
      </w:pPr>
      <w:r w:rsidRPr="00C96773">
        <w:rPr>
          <w:rFonts w:ascii="Arial" w:hAnsi="Arial" w:cs="Arial"/>
          <w:b/>
          <w:color w:val="auto"/>
          <w:sz w:val="20"/>
          <w:szCs w:val="24"/>
        </w:rPr>
        <w:t xml:space="preserve">Tabulka č. </w:t>
      </w:r>
      <w:r w:rsidRPr="00C96773">
        <w:rPr>
          <w:rFonts w:ascii="Arial" w:hAnsi="Arial" w:cs="Arial"/>
          <w:b/>
          <w:color w:val="auto"/>
          <w:sz w:val="20"/>
        </w:rPr>
        <w:fldChar w:fldCharType="begin"/>
      </w:r>
      <w:r w:rsidRPr="00C96773">
        <w:rPr>
          <w:rFonts w:ascii="Arial" w:hAnsi="Arial" w:cs="Arial"/>
          <w:b/>
          <w:color w:val="auto"/>
          <w:sz w:val="20"/>
        </w:rPr>
        <w:instrText xml:space="preserve"> SEQ Tabulka_č._ \* ARABIC </w:instrText>
      </w:r>
      <w:r w:rsidRPr="00C96773">
        <w:rPr>
          <w:rFonts w:ascii="Arial" w:hAnsi="Arial" w:cs="Arial"/>
          <w:b/>
          <w:color w:val="auto"/>
          <w:sz w:val="20"/>
        </w:rPr>
        <w:fldChar w:fldCharType="separate"/>
      </w:r>
      <w:r w:rsidRPr="00C96773">
        <w:rPr>
          <w:rFonts w:ascii="Arial" w:hAnsi="Arial" w:cs="Arial"/>
          <w:b/>
          <w:color w:val="auto"/>
          <w:sz w:val="20"/>
        </w:rPr>
        <w:t>5</w:t>
      </w:r>
      <w:r w:rsidRPr="00C96773">
        <w:rPr>
          <w:rFonts w:ascii="Arial" w:hAnsi="Arial" w:cs="Arial"/>
          <w:b/>
          <w:noProof/>
          <w:color w:val="auto"/>
          <w:sz w:val="20"/>
        </w:rPr>
        <w:fldChar w:fldCharType="end"/>
      </w:r>
      <w:r w:rsidRPr="00C96773">
        <w:rPr>
          <w:rFonts w:ascii="Arial" w:hAnsi="Arial" w:cs="Arial"/>
          <w:b/>
          <w:color w:val="auto"/>
          <w:sz w:val="20"/>
          <w:szCs w:val="24"/>
        </w:rPr>
        <w:t xml:space="preserve"> - Vybrané škodliviny - použité hodnoty jednotkového rizika</w:t>
      </w:r>
      <w:bookmarkEnd w:id="6"/>
      <w:bookmarkEnd w:id="7"/>
      <w:bookmarkEnd w:id="8"/>
      <w:bookmarkEnd w:id="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5"/>
        <w:gridCol w:w="1146"/>
        <w:gridCol w:w="1076"/>
        <w:gridCol w:w="1076"/>
        <w:gridCol w:w="1418"/>
      </w:tblGrid>
      <w:tr w:rsidR="00554EEE" w:rsidTr="00DC385A">
        <w:trPr>
          <w:trHeight w:hRule="exact" w:val="340"/>
          <w:jc w:val="center"/>
        </w:trPr>
        <w:tc>
          <w:tcPr>
            <w:tcW w:w="4325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Škodlivina</w:t>
            </w:r>
          </w:p>
        </w:tc>
        <w:tc>
          <w:tcPr>
            <w:tcW w:w="1146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As</w:t>
            </w:r>
          </w:p>
        </w:tc>
        <w:tc>
          <w:tcPr>
            <w:tcW w:w="1076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Ni</w:t>
            </w:r>
          </w:p>
        </w:tc>
        <w:tc>
          <w:tcPr>
            <w:tcW w:w="1076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Cd</w:t>
            </w:r>
          </w:p>
        </w:tc>
        <w:tc>
          <w:tcPr>
            <w:tcW w:w="1418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BENZ</w:t>
            </w:r>
          </w:p>
        </w:tc>
      </w:tr>
      <w:tr w:rsidR="00554EEE" w:rsidTr="00DC385A">
        <w:trPr>
          <w:trHeight w:hRule="exact" w:val="340"/>
          <w:jc w:val="center"/>
        </w:trPr>
        <w:tc>
          <w:tcPr>
            <w:tcW w:w="4325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Jednotka rizika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1,50E-03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3,80E-04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4,90E-04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6,00E-6</w:t>
            </w:r>
          </w:p>
        </w:tc>
      </w:tr>
      <w:tr w:rsidR="00554EEE" w:rsidTr="00DC385A">
        <w:trPr>
          <w:trHeight w:hRule="exact" w:val="340"/>
          <w:jc w:val="center"/>
        </w:trPr>
        <w:tc>
          <w:tcPr>
            <w:tcW w:w="4325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Škodlivina</w:t>
            </w:r>
          </w:p>
        </w:tc>
        <w:tc>
          <w:tcPr>
            <w:tcW w:w="1146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BaP</w:t>
            </w:r>
          </w:p>
        </w:tc>
        <w:tc>
          <w:tcPr>
            <w:tcW w:w="1076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BaA</w:t>
            </w:r>
          </w:p>
        </w:tc>
        <w:tc>
          <w:tcPr>
            <w:tcW w:w="1076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BbF</w:t>
            </w:r>
          </w:p>
        </w:tc>
        <w:tc>
          <w:tcPr>
            <w:tcW w:w="1418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BkF</w:t>
            </w:r>
          </w:p>
        </w:tc>
      </w:tr>
      <w:tr w:rsidR="00554EEE" w:rsidTr="00DC385A">
        <w:trPr>
          <w:trHeight w:hRule="exact" w:val="340"/>
          <w:jc w:val="center"/>
        </w:trPr>
        <w:tc>
          <w:tcPr>
            <w:tcW w:w="4325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Jednotka rizika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8,70E-02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1,00E-04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1,00E-04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1,00E-05</w:t>
            </w:r>
          </w:p>
        </w:tc>
      </w:tr>
      <w:tr w:rsidR="00554EEE" w:rsidTr="00DC385A">
        <w:trPr>
          <w:trHeight w:hRule="exact" w:val="340"/>
          <w:jc w:val="center"/>
        </w:trPr>
        <w:tc>
          <w:tcPr>
            <w:tcW w:w="4325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Škodlivina</w:t>
            </w:r>
          </w:p>
        </w:tc>
        <w:tc>
          <w:tcPr>
            <w:tcW w:w="1146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BghiP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DbahA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CRY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I123cdP</w:t>
            </w:r>
          </w:p>
        </w:tc>
      </w:tr>
      <w:tr w:rsidR="00554EEE" w:rsidTr="00DC385A">
        <w:trPr>
          <w:trHeight w:hRule="exact" w:val="340"/>
          <w:jc w:val="center"/>
        </w:trPr>
        <w:tc>
          <w:tcPr>
            <w:tcW w:w="4325" w:type="dxa"/>
            <w:shd w:val="clear" w:color="auto" w:fill="CCFFFF"/>
            <w:vAlign w:val="center"/>
          </w:tcPr>
          <w:p w:rsidR="00DC385A" w:rsidRPr="00C96773" w:rsidRDefault="00AA1CF9" w:rsidP="00DC385A">
            <w:pPr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Cs/>
                <w:noProof w:val="0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Jednotka rizika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1,00E-06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1,00E-03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1,00E-06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85A" w:rsidRPr="00C96773" w:rsidRDefault="00AA1CF9" w:rsidP="00DC385A">
            <w:pPr>
              <w:jc w:val="center"/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14:shadow w14:blurRad="0" w14:dist="0" w14:dir="0" w14:sx="0" w14:sy="0" w14:kx="0" w14:ky="0" w14:algn="none">
                  <w14:srgbClr w14:val="000000"/>
                </w14:shadow>
              </w:rPr>
              <w:t>1,00E-04</w:t>
            </w:r>
          </w:p>
        </w:tc>
      </w:tr>
    </w:tbl>
    <w:p w:rsidR="00DC385A" w:rsidRPr="00C96773" w:rsidRDefault="00AA1CF9" w:rsidP="00DC385A">
      <w:pPr>
        <w:spacing w:before="120"/>
        <w:ind w:right="-1"/>
        <w:jc w:val="both"/>
        <w:rPr>
          <w:rFonts w:ascii="Arial" w:hAnsi="Arial" w:cs="Arial"/>
          <w:i/>
          <w:noProof w:val="0"/>
          <w:sz w:val="18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i/>
          <w:noProof w:val="0"/>
          <w:sz w:val="18"/>
          <w14:shadow w14:blurRad="0" w14:dist="0" w14:dir="0" w14:sx="0" w14:sy="0" w14:kx="0" w14:ky="0" w14:algn="none">
            <w14:srgbClr w14:val="000000"/>
          </w14:shadow>
        </w:rPr>
        <w:t>Pozn: Benzo[a]antracen (BaA), chrysen (CRY), benzo[b]fluoranten (BbF), benzo[j]fluoranthen (BjF), benzo[k]fluoranten (BkF), benzo[a]pyren (BaP), benzo[g,h,i]perylen (BghiP), dibenz[a,h]antr</w:t>
      </w:r>
      <w:r w:rsidRPr="00C96773">
        <w:rPr>
          <w:rFonts w:ascii="Arial" w:hAnsi="Arial" w:cs="Arial"/>
          <w:i/>
          <w:noProof w:val="0"/>
          <w:sz w:val="18"/>
          <w14:shadow w14:blurRad="0" w14:dist="0" w14:dir="0" w14:sx="0" w14:sy="0" w14:kx="0" w14:ky="0" w14:algn="none">
            <w14:srgbClr w14:val="000000"/>
          </w14:shadow>
        </w:rPr>
        <w:t>acen (DbahA), indeno[1,2,3-c,d]pyren (I123cdP)</w:t>
      </w:r>
    </w:p>
    <w:p w:rsidR="00DC385A" w:rsidRDefault="00DC385A" w:rsidP="00DC385A">
      <w:pPr>
        <w:pStyle w:val="DefaultText1"/>
        <w:jc w:val="both"/>
        <w:rPr>
          <w:bCs/>
          <w:noProof/>
        </w:rPr>
      </w:pPr>
    </w:p>
    <w:p w:rsidR="00685FCA" w:rsidRPr="00C96773" w:rsidRDefault="00AA1CF9" w:rsidP="00C96773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Pro Českou republiku a pro každý typ městské lokality bylo </w:t>
      </w:r>
      <w:r w:rsidR="00A02A0E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pro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rok 20</w:t>
      </w:r>
      <w:r w:rsidR="002C061B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1</w:t>
      </w:r>
      <w:r w:rsidR="00A02A0E"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96773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z ročních aritmetických průměrů z měřicích stanic vypočteno riziko odvozené z expozice jednotlivým látkám. Celkové karcinogenní riziko je součtem těchto dílčích rizik.  </w:t>
      </w:r>
    </w:p>
    <w:p w:rsidR="00C96773" w:rsidRDefault="00C96773" w:rsidP="0095702E">
      <w:pP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</w:p>
    <w:p w:rsidR="00C1284E" w:rsidRDefault="00AA1CF9">
      <w:pP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br w:type="page"/>
      </w:r>
    </w:p>
    <w:p w:rsidR="001E0996" w:rsidRPr="00C1284E" w:rsidRDefault="00AA1CF9" w:rsidP="0095702E">
      <w:pPr>
        <w:rPr>
          <w:rFonts w:ascii="Arial" w:hAnsi="Arial" w:cs="Arial"/>
          <w:b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>Arsen</w:t>
      </w:r>
    </w:p>
    <w:p w:rsidR="00685FCA" w:rsidRPr="00C96773" w:rsidRDefault="00AA1CF9" w:rsidP="00685FCA">
      <w:pPr>
        <w:spacing w:before="120"/>
        <w:jc w:val="both"/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Tabulka č. </w:t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begin"/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instrText xml:space="preserve"> SEQ Tabulka_č._ \* ARABIC </w:instrText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separate"/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6</w:t>
      </w:r>
      <w:r w:rsidR="00D17A37" w:rsidRPr="00C96773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end"/>
      </w: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. Hodnoty </w:t>
      </w:r>
      <w:r w:rsidR="000A50D0"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individuálního </w:t>
      </w:r>
      <w:r w:rsidRPr="00C96773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a populačního rizika pro arsen </w:t>
      </w:r>
    </w:p>
    <w:tbl>
      <w:tblPr>
        <w:tblW w:w="897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8"/>
        <w:gridCol w:w="1080"/>
        <w:gridCol w:w="909"/>
        <w:gridCol w:w="1251"/>
        <w:gridCol w:w="1089"/>
        <w:gridCol w:w="1063"/>
        <w:gridCol w:w="942"/>
      </w:tblGrid>
      <w:tr w:rsidR="00554EEE" w:rsidTr="007F0A0A">
        <w:trPr>
          <w:trHeight w:val="375"/>
          <w:jc w:val="center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Arsen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roční průměry (</w:t>
            </w:r>
            <w:r w:rsidR="00900E93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n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g/m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karcinogenní riziko (ILCR)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populační riziko</w:t>
            </w:r>
          </w:p>
        </w:tc>
      </w:tr>
      <w:tr w:rsidR="00554EEE" w:rsidTr="007F0A0A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685FCA" w:rsidRPr="00C96773" w:rsidRDefault="00AA1CF9" w:rsidP="00A02A0E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</w:t>
            </w:r>
            <w:r w:rsidR="00EE1176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A02A0E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</w:tr>
      <w:tr w:rsidR="00554EEE" w:rsidTr="007F0A0A">
        <w:trPr>
          <w:trHeight w:val="315"/>
          <w:jc w:val="center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CF3ED9" w:rsidRPr="00C96773" w:rsidRDefault="00AA1CF9" w:rsidP="00CF3ED9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ČR (10</w:t>
            </w:r>
            <w:r w:rsidR="001202DD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,5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mil. obyvatel)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3ED9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3621C2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4C7798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3ED9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3,87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3ED9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</w:t>
            </w:r>
            <w:r w:rsidR="004C7798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90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ED9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5,81E-06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3ED9" w:rsidRPr="00C96773" w:rsidRDefault="00AA1CF9" w:rsidP="00B626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69043D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B626CA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ED9" w:rsidRPr="00C96773" w:rsidRDefault="00AA1CF9" w:rsidP="00B626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4607E7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830</w:t>
            </w:r>
          </w:p>
        </w:tc>
      </w:tr>
      <w:tr w:rsidR="00554EEE" w:rsidTr="007F0A0A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města (nad 5 tis. – 5</w:t>
            </w:r>
            <w:r w:rsidR="001202DD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,2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mil. ob.)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4C7798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3,87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</w:t>
            </w:r>
            <w:r w:rsidR="007F0A0A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75</w:t>
            </w:r>
            <w:r w:rsidR="007F0A0A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</w:t>
            </w:r>
            <w:r w:rsidR="00986B1B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7F0A0A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7F0A0A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81</w:t>
            </w:r>
            <w:r w:rsidR="007F0A0A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</w:t>
            </w:r>
            <w:r w:rsidR="00986B1B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CF3ED9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B626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B626CA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96773" w:rsidRDefault="00AA1CF9" w:rsidP="00B626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B626CA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415</w:t>
            </w:r>
          </w:p>
        </w:tc>
      </w:tr>
      <w:tr w:rsidR="00554EEE" w:rsidTr="007F0A0A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right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lokality bez dopravní 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zátěže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4C7798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A65667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1,17</w:t>
            </w:r>
            <w:r w:rsidR="00CF3ED9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2,49</w:t>
            </w:r>
            <w:r w:rsidR="00CF3ED9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B626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B626CA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96773" w:rsidRDefault="00AA1CF9" w:rsidP="00B626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B626CA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178</w:t>
            </w:r>
          </w:p>
        </w:tc>
      </w:tr>
      <w:tr w:rsidR="00554EEE" w:rsidTr="007F0A0A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right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s dopravní zátěží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4C7798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3,22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</w:t>
            </w:r>
            <w:r w:rsidR="00345BA8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75</w:t>
            </w:r>
            <w:r w:rsidR="00CF3ED9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</w:t>
            </w:r>
            <w:r w:rsidR="003621C2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96773" w:rsidRDefault="00AA1CF9" w:rsidP="00B626CA">
            <w:pPr>
              <w:jc w:val="center"/>
              <w:rPr>
                <w:rFonts w:ascii="Arial" w:hAnsi="Arial" w:cs="Arial"/>
                <w:noProof w:val="0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4,83</w:t>
            </w:r>
            <w:r w:rsidR="00CF3ED9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B626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B626CA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BB1" w:rsidRPr="00C96773" w:rsidRDefault="00AA1CF9" w:rsidP="00B626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B626CA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345</w:t>
            </w:r>
          </w:p>
        </w:tc>
      </w:tr>
      <w:tr w:rsidR="00554EEE" w:rsidTr="007F0A0A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685FCA" w:rsidRPr="00C96773" w:rsidRDefault="00AA1CF9" w:rsidP="00685FCA">
            <w:pPr>
              <w:jc w:val="right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průmyslové lokality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CF3ED9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4C7798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3,46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4C7798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CF3ED9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4C7798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98</w:t>
            </w:r>
            <w:r w:rsidR="00CF3ED9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</w:t>
            </w: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96773" w:rsidRDefault="00AA1CF9" w:rsidP="00B626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5,19</w:t>
            </w:r>
            <w:r w:rsidR="00CF3ED9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</w:t>
            </w:r>
            <w:r w:rsidR="006177BB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CF3ED9" w:rsidRPr="00C96773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85FCA" w:rsidRPr="00C96773" w:rsidRDefault="00AA1CF9" w:rsidP="00B626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150039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B626CA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96773" w:rsidRDefault="00AA1CF9" w:rsidP="00B626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B626CA" w:rsidRPr="00C96773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371</w:t>
            </w:r>
          </w:p>
        </w:tc>
      </w:tr>
    </w:tbl>
    <w:p w:rsidR="00C96773" w:rsidRDefault="00C96773" w:rsidP="00EA3988">
      <w:pPr>
        <w:spacing w:before="120"/>
        <w:jc w:val="both"/>
        <w:rPr>
          <w:rFonts w:ascii="Times New Roman" w:hAnsi="Times New Roman"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</w:p>
    <w:p w:rsidR="00C96773" w:rsidRDefault="00AA1CF9" w:rsidP="00EA3988">
      <w:pPr>
        <w:spacing w:before="120"/>
        <w:jc w:val="both"/>
        <w:rPr>
          <w:rFonts w:ascii="Times New Roman" w:hAnsi="Times New Roman"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drawing>
          <wp:anchor distT="0" distB="0" distL="114300" distR="114300" simplePos="0" relativeHeight="251667456" behindDoc="0" locked="0" layoutInCell="0" allowOverlap="0">
            <wp:simplePos x="0" y="0"/>
            <wp:positionH relativeFrom="margin">
              <wp:align>right</wp:align>
            </wp:positionH>
            <wp:positionV relativeFrom="margin">
              <wp:posOffset>2447925</wp:posOffset>
            </wp:positionV>
            <wp:extent cx="5760000" cy="2044800"/>
            <wp:effectExtent l="0" t="0" r="0" b="0"/>
            <wp:wrapTopAndBottom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050695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04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988" w:rsidRPr="00C96773" w:rsidRDefault="00AA1CF9" w:rsidP="00EA3988">
      <w:pPr>
        <w:spacing w:before="120"/>
        <w:jc w:val="both"/>
        <w:rPr>
          <w:rFonts w:ascii="Arial" w:hAnsi="Arial" w:cs="Arial"/>
          <w:b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b/>
          <w14:shadow w14:blurRad="0" w14:dist="0" w14:dir="0" w14:sx="0" w14:sy="0" w14:kx="0" w14:ky="0" w14:algn="none">
            <w14:srgbClr w14:val="000000"/>
          </w14:shadow>
        </w:rPr>
        <w:t xml:space="preserve">Graf č. </w:t>
      </w:r>
      <w:r w:rsidR="003D3EB3" w:rsidRPr="00C96773">
        <w:rPr>
          <w:rFonts w:ascii="Arial" w:hAnsi="Arial" w:cs="Arial"/>
          <w:b/>
          <w14:shadow w14:blurRad="0" w14:dist="0" w14:dir="0" w14:sx="0" w14:sy="0" w14:kx="0" w14:ky="0" w14:algn="none">
            <w14:srgbClr w14:val="000000"/>
          </w14:shadow>
        </w:rPr>
        <w:t>4</w:t>
      </w:r>
      <w:r w:rsidRPr="00C96773">
        <w:rPr>
          <w:rFonts w:ascii="Arial" w:hAnsi="Arial" w:cs="Arial"/>
          <w:b/>
          <w14:shadow w14:blurRad="0" w14:dist="0" w14:dir="0" w14:sx="0" w14:sy="0" w14:kx="0" w14:ky="0" w14:algn="none">
            <w14:srgbClr w14:val="000000"/>
          </w14:shadow>
        </w:rPr>
        <w:t xml:space="preserve">. Srovnání rozpětí teoretického odhadu pravděpodobnosti zvýšení počtu </w:t>
      </w:r>
      <w:r w:rsidRPr="00C96773">
        <w:rPr>
          <w:rFonts w:ascii="Arial" w:hAnsi="Arial" w:cs="Arial"/>
          <w:b/>
          <w14:shadow w14:blurRad="0" w14:dist="0" w14:dir="0" w14:sx="0" w14:sy="0" w14:kx="0" w14:ky="0" w14:algn="none">
            <w14:srgbClr w14:val="000000"/>
          </w14:shadow>
        </w:rPr>
        <w:t>nádorových onemocnění z příjmu As z venkovního ovzduší v roce 201</w:t>
      </w:r>
      <w:r w:rsidR="00611ED2" w:rsidRPr="00C96773">
        <w:rPr>
          <w:rFonts w:ascii="Arial" w:hAnsi="Arial" w:cs="Arial"/>
          <w:b/>
          <w14:shadow w14:blurRad="0" w14:dist="0" w14:dir="0" w14:sx="0" w14:sy="0" w14:kx="0" w14:ky="0" w14:algn="none">
            <w14:srgbClr w14:val="000000"/>
          </w14:shadow>
        </w:rPr>
        <w:t>8</w:t>
      </w:r>
      <w:r w:rsidRPr="00C96773">
        <w:rPr>
          <w:rFonts w:ascii="Arial" w:hAnsi="Arial" w:cs="Arial"/>
          <w:b/>
          <w14:shadow w14:blurRad="0" w14:dist="0" w14:dir="0" w14:sx="0" w14:sy="0" w14:kx="0" w14:ky="0" w14:algn="none">
            <w14:srgbClr w14:val="000000"/>
          </w14:shadow>
        </w:rPr>
        <w:t xml:space="preserve"> v ČR a pro jednotlivé typy městských lokalit</w:t>
      </w:r>
    </w:p>
    <w:p w:rsidR="001F7757" w:rsidRPr="00C96773" w:rsidRDefault="00AA1CF9" w:rsidP="001F7757">
      <w:pPr>
        <w:jc w:val="both"/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</w:pP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Pozn: </w:t>
      </w:r>
      <w:r w:rsidR="00FF62A5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M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aximální hodnota </w:t>
      </w:r>
      <w:r w:rsidR="00FF62A5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v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 ČR byl</w:t>
      </w:r>
      <w:r w:rsidR="00FF62A5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a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FF62A5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naměřena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na stanici SKLS ve Švermově u Kladna (</w:t>
      </w:r>
      <w:r w:rsidR="00B626CA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3</w:t>
      </w:r>
      <w:r w:rsidR="00E8133D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,</w:t>
      </w:r>
      <w:r w:rsidR="00B626CA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87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1B66A2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ng/m</w:t>
      </w:r>
      <w:r w:rsidR="001B66A2" w:rsidRPr="00C96773">
        <w:rPr>
          <w:rFonts w:ascii="Arial" w:hAnsi="Arial" w:cs="Arial"/>
          <w:i/>
          <w:sz w:val="18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="001B66A2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/rok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)</w:t>
      </w:r>
      <w:r w:rsidR="00FF62A5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. H</w:t>
      </w:r>
      <w:r w:rsidR="00522767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odnot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a</w:t>
      </w:r>
      <w:r w:rsidR="00522767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representuj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e</w:t>
      </w:r>
      <w:r w:rsidR="00522767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vesnická a předměstská sídla</w:t>
      </w:r>
      <w:r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, </w:t>
      </w:r>
      <w:r w:rsidR="00522767" w:rsidRPr="00C96773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vyšší výskyt lokálních topenišť na pevná paliva.</w:t>
      </w:r>
    </w:p>
    <w:p w:rsidR="00685FCA" w:rsidRPr="00C1284E" w:rsidRDefault="00AA1CF9" w:rsidP="00C1284E">
      <w:pPr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Individuální karcinogenní riziko odhadované na základě potenciální expozice koncentracím arsenu se v městských lokalitách pohybuje ve společensky přijatelném rozmezí </w:t>
      </w:r>
      <w:r w:rsidR="00986B1B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od </w:t>
      </w:r>
      <w:r w:rsidR="00B626C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4 případů na deset miliónů </w:t>
      </w:r>
      <w:r w:rsidR="00986B1B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do</w:t>
      </w:r>
      <w:r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B626C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jednoho případu </w:t>
      </w:r>
      <w:r w:rsidR="002513FC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10</w:t>
      </w:r>
      <w:r w:rsidR="00B626C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0 tisíc</w:t>
      </w:r>
      <w:r w:rsidR="002513FC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obyvatel za 70 let. </w:t>
      </w:r>
      <w:r w:rsidR="0042260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</w:t>
      </w:r>
      <w:r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opulační rizik</w:t>
      </w:r>
      <w:r w:rsidR="0042260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 spočtené na základě odhadu střední hodnoty v sídlech v roce 201</w:t>
      </w:r>
      <w:r w:rsidR="00B626C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8</w:t>
      </w:r>
      <w:r w:rsidR="0042260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představuje </w:t>
      </w:r>
      <w:r w:rsidR="0001452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na deset a půl miliónu obyvatel ČR </w:t>
      </w:r>
      <w:r w:rsidR="0042260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0,</w:t>
      </w:r>
      <w:r w:rsidR="005D368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24</w:t>
      </w:r>
      <w:r w:rsidR="0001452A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případu</w:t>
      </w:r>
      <w:r w:rsidR="00CB151B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za 1 rok</w:t>
      </w:r>
      <w:r w:rsidR="00B46F2C" w:rsidRPr="00C1284E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</w:t>
      </w:r>
    </w:p>
    <w:p w:rsidR="00C1284E" w:rsidRDefault="00AA1CF9">
      <w:pP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br w:type="page"/>
      </w:r>
    </w:p>
    <w:p w:rsidR="001E0996" w:rsidRPr="00C1284E" w:rsidRDefault="00AA1CF9" w:rsidP="00C1284E">
      <w:pPr>
        <w:spacing w:before="120" w:line="276" w:lineRule="auto"/>
        <w:jc w:val="both"/>
        <w:rPr>
          <w:rFonts w:ascii="Arial" w:hAnsi="Arial" w:cs="Arial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>Nikl</w:t>
      </w:r>
    </w:p>
    <w:p w:rsidR="00685FCA" w:rsidRPr="00C1284E" w:rsidRDefault="00AA1CF9" w:rsidP="00C1284E">
      <w:pPr>
        <w:spacing w:before="120" w:line="276" w:lineRule="auto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Tabulka č. </w:t>
      </w:r>
      <w:r w:rsidR="00D15E07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begin"/>
      </w:r>
      <w:r w:rsidR="00D15E07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instrText xml:space="preserve"> SEQ Tabulka_č._ \* ARABIC </w:instrText>
      </w:r>
      <w:r w:rsidR="00D15E07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separate"/>
      </w:r>
      <w:r w:rsidR="00D15E07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7</w:t>
      </w:r>
      <w:r w:rsidR="00D15E07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end"/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. Hodnoty </w:t>
      </w:r>
      <w:r w:rsidR="000A50D0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individuálního 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a populačního rizika pro nikl</w:t>
      </w:r>
    </w:p>
    <w:tbl>
      <w:tblPr>
        <w:tblW w:w="911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8"/>
        <w:gridCol w:w="1080"/>
        <w:gridCol w:w="909"/>
        <w:gridCol w:w="1227"/>
        <w:gridCol w:w="1113"/>
        <w:gridCol w:w="1134"/>
        <w:gridCol w:w="1013"/>
      </w:tblGrid>
      <w:tr w:rsidR="00554EEE" w:rsidTr="00986B1B">
        <w:trPr>
          <w:trHeight w:val="375"/>
          <w:jc w:val="center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Nikl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roční průměry (</w:t>
            </w:r>
            <w:r w:rsidR="00900E93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n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g/m</w:t>
            </w:r>
            <w:r w:rsidRPr="00C1284E">
              <w:rPr>
                <w:rFonts w:ascii="Arial" w:hAnsi="Arial" w:cs="Arial"/>
                <w:sz w:val="18"/>
                <w:szCs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karcinogenní riziko (ILCR)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populační riziko</w:t>
            </w:r>
          </w:p>
        </w:tc>
      </w:tr>
      <w:tr w:rsidR="00554EEE" w:rsidTr="00986B1B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</w:t>
            </w:r>
            <w:r w:rsidR="00C85CAB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EB6A6F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</w:tr>
      <w:tr w:rsidR="00554EEE" w:rsidTr="00986B1B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E2053C" w:rsidRPr="00C1284E" w:rsidRDefault="00AA1CF9" w:rsidP="00C1284E">
            <w:pPr>
              <w:spacing w:line="276" w:lineRule="auto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ČR (10</w:t>
            </w:r>
            <w:r w:rsidR="001202DD"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,5</w:t>
            </w: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mil. obyvatel)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2053C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19253D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EB6A6F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2053C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3,97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2053C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88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E-08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53C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49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2053C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984CF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53C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212</w:t>
            </w:r>
          </w:p>
        </w:tc>
      </w:tr>
      <w:tr w:rsidR="00554EEE" w:rsidTr="00986B1B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685FCA" w:rsidRPr="00C1284E" w:rsidRDefault="00AA1CF9" w:rsidP="00C1284E">
            <w:pPr>
              <w:spacing w:line="276" w:lineRule="auto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města (nad 5 tis. – 5</w:t>
            </w:r>
            <w:r w:rsidR="001202DD"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,2</w:t>
            </w: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mil. ob.)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3,97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E2053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29</w:t>
            </w:r>
            <w:r w:rsidR="00986B1B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9B2465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49</w:t>
            </w:r>
            <w:r w:rsidR="009B2465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106</w:t>
            </w:r>
          </w:p>
        </w:tc>
      </w:tr>
      <w:tr w:rsidR="00554EEE" w:rsidTr="00986B1B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bez dopravní zátěže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EB6A6F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82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  <w:r w:rsidR="00E2053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AD0603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AD0603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</w:t>
            </w:r>
            <w:r w:rsidR="00E2053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3F29EB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43</w:t>
            </w:r>
          </w:p>
        </w:tc>
      </w:tr>
      <w:tr w:rsidR="00554EEE" w:rsidTr="00986B1B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s dopravní zátěží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19253D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EB6A6F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82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</w:t>
            </w:r>
            <w:r w:rsidR="00E2053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04</w:t>
            </w:r>
            <w:r w:rsidR="00E2053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</w:t>
            </w:r>
            <w:r w:rsidR="009B2465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8709C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9B2465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65</w:t>
            </w:r>
          </w:p>
        </w:tc>
      </w:tr>
      <w:tr w:rsidR="00554EEE" w:rsidTr="00986B1B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průmyslové lokality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E2053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19253D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EB6A6F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3,97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E2053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27537B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  <w:r w:rsidR="00E2053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9B2465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49</w:t>
            </w:r>
            <w:r w:rsidR="009B2465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AD0603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DA18C2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5D36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106</w:t>
            </w:r>
          </w:p>
        </w:tc>
      </w:tr>
    </w:tbl>
    <w:p w:rsidR="001E0996" w:rsidRPr="00C1284E" w:rsidRDefault="00AA1CF9" w:rsidP="00C1284E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drawing>
          <wp:anchor distT="0" distB="0" distL="114300" distR="114300" simplePos="0" relativeHeight="251660288" behindDoc="0" locked="0" layoutInCell="0" allowOverlap="0">
            <wp:simplePos x="0" y="0"/>
            <wp:positionH relativeFrom="margin">
              <wp:align>right</wp:align>
            </wp:positionH>
            <wp:positionV relativeFrom="page">
              <wp:posOffset>3916680</wp:posOffset>
            </wp:positionV>
            <wp:extent cx="5760000" cy="2178000"/>
            <wp:effectExtent l="0" t="0" r="0" b="0"/>
            <wp:wrapTopAndBottom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168859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17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FC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Individuální karcinogenní riziko odhadované na základě potenciální expozice koncentracím niklu se v městských lokalitách pohybuje ve společensky přijatelném rozmezí </w:t>
      </w:r>
      <w:r w:rsidR="002D3C93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cca </w:t>
      </w:r>
      <w:r w:rsidR="00FF6312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jednoho </w:t>
      </w:r>
      <w:r w:rsidR="00685FC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případ</w:t>
      </w:r>
      <w:r w:rsidR="007C1867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u</w:t>
      </w:r>
      <w:r w:rsidR="00685FC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na </w:t>
      </w:r>
      <w:r w:rsidR="005D368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10 miliónů až jednoho případu na milión obyvatel </w:t>
      </w:r>
      <w:r w:rsidR="00685FC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za 70 let. </w:t>
      </w:r>
      <w:r w:rsidR="0042260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Populační riziko spočtené na základě odhadu střední hodnoty v sídlech v roce 201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="0042260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představuje </w:t>
      </w:r>
      <w:r w:rsidR="0001452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na deset a půl miliónu obyvatel ČR </w:t>
      </w:r>
      <w:r w:rsidR="0042260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0,0</w:t>
      </w:r>
      <w:r w:rsidR="00A026B5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4</w:t>
      </w:r>
      <w:r w:rsidR="0001452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případu</w:t>
      </w:r>
      <w:r w:rsidR="00CB151B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za 1 rok</w:t>
      </w:r>
      <w:r w:rsidR="0042260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. </w:t>
      </w:r>
    </w:p>
    <w:p w:rsidR="001E0996" w:rsidRPr="00C1284E" w:rsidRDefault="00AA1CF9" w:rsidP="00C1284E">
      <w:pPr>
        <w:spacing w:before="120" w:line="276" w:lineRule="auto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Graf č. </w:t>
      </w:r>
      <w:r w:rsidR="003D3EB3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5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. Srovnání rozpětí teoretického 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odhadu pravděpodobnosti zvýšení počtu nádorových onemocnění z příjmu Ni z venkovního ovzduší v roce 201</w:t>
      </w:r>
      <w:r w:rsidR="00EB6A6F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ČR a pro jednotlivé typy městských lokalit</w:t>
      </w:r>
    </w:p>
    <w:p w:rsidR="00FF6312" w:rsidRPr="00C1284E" w:rsidRDefault="00AA1CF9" w:rsidP="00C1284E">
      <w:pPr>
        <w:spacing w:line="276" w:lineRule="auto"/>
        <w:jc w:val="both"/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Pozn: </w:t>
      </w:r>
      <w:r w:rsidR="00FF62A5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M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aximální hodnota v ČR byla </w:t>
      </w:r>
      <w:r w:rsidR="00FF62A5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naměřena na 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stanic</w:t>
      </w:r>
      <w:r w:rsidR="00FF62A5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i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TO</w:t>
      </w:r>
      <w:r w:rsidR="008E125C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MH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FF62A5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(</w:t>
      </w:r>
      <w:r w:rsidR="008E125C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Mariánské Hory 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v Ostravě </w:t>
      </w:r>
      <w:r w:rsidR="00FF62A5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- </w:t>
      </w:r>
      <w:r w:rsidR="00EB6A6F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3,97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ng/m</w:t>
      </w:r>
      <w:r w:rsidR="001B66A2" w:rsidRPr="00C1284E">
        <w:rPr>
          <w:rFonts w:ascii="Arial" w:hAnsi="Arial" w:cs="Arial"/>
          <w:i/>
          <w:sz w:val="18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/rok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).</w:t>
      </w:r>
    </w:p>
    <w:p w:rsidR="00C1284E" w:rsidRDefault="00AA1CF9">
      <w:pP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br w:type="page"/>
      </w:r>
    </w:p>
    <w:p w:rsidR="00E50BB2" w:rsidRPr="00C1284E" w:rsidRDefault="00AA1CF9" w:rsidP="00C1284E">
      <w:pPr>
        <w:spacing w:before="120" w:line="276" w:lineRule="auto"/>
        <w:jc w:val="both"/>
        <w:rPr>
          <w:rFonts w:ascii="Arial" w:hAnsi="Arial" w:cs="Arial"/>
          <w:b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>Kadmium</w:t>
      </w:r>
    </w:p>
    <w:p w:rsidR="00C1284E" w:rsidRDefault="00C1284E" w:rsidP="00C1284E">
      <w:pPr>
        <w:widowControl w:val="0"/>
        <w:spacing w:line="276" w:lineRule="auto"/>
        <w:rPr>
          <w:rFonts w:ascii="Arial" w:hAnsi="Arial" w:cs="Arial"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</w:p>
    <w:p w:rsidR="00E50BB2" w:rsidRPr="00C1284E" w:rsidRDefault="00AA1CF9" w:rsidP="00C1284E">
      <w:pPr>
        <w:widowControl w:val="0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Tabulka č. </w:t>
      </w:r>
      <w:r w:rsidR="00963C52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begin"/>
      </w:r>
      <w:r w:rsidR="00963C52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instrText xml:space="preserve"> SEQ Tabulka_č._ \* ARABIC </w:instrText>
      </w:r>
      <w:r w:rsidR="00963C52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separate"/>
      </w:r>
      <w:r w:rsidR="00963C52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="00963C52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end"/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. Hodnoty individuálního a populačního rizika pro kadmium</w:t>
      </w:r>
    </w:p>
    <w:tbl>
      <w:tblPr>
        <w:tblpPr w:leftFromText="141" w:rightFromText="141" w:vertAnchor="text" w:horzAnchor="margin" w:tblpY="247"/>
        <w:tblW w:w="91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8"/>
        <w:gridCol w:w="1080"/>
        <w:gridCol w:w="909"/>
        <w:gridCol w:w="1227"/>
        <w:gridCol w:w="1113"/>
        <w:gridCol w:w="1134"/>
        <w:gridCol w:w="1013"/>
      </w:tblGrid>
      <w:tr w:rsidR="00554EEE" w:rsidTr="00E50BB2">
        <w:trPr>
          <w:trHeight w:val="37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Kadmium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roční průměry (ng/m</w:t>
            </w:r>
            <w:r w:rsidRPr="00C1284E">
              <w:rPr>
                <w:rFonts w:ascii="Arial" w:hAnsi="Arial" w:cs="Arial"/>
                <w:sz w:val="18"/>
                <w:szCs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karcinogenní riziko (ILCR)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populační riziko</w:t>
            </w:r>
          </w:p>
        </w:tc>
      </w:tr>
      <w:tr w:rsidR="00554EEE" w:rsidTr="00E50BB2">
        <w:trPr>
          <w:trHeight w:val="315"/>
        </w:trPr>
        <w:tc>
          <w:tcPr>
            <w:tcW w:w="2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</w:tr>
      <w:tr w:rsidR="00554EEE" w:rsidTr="00E50BB2">
        <w:trPr>
          <w:trHeight w:val="315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E50BB2" w:rsidRPr="00C1284E" w:rsidRDefault="00AA1CF9" w:rsidP="00C1284E">
            <w:pPr>
              <w:widowControl w:val="0"/>
              <w:spacing w:line="276" w:lineRule="auto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ČR (10,5 mil. obyvatel)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3,17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96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E-08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57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0,002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0,2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24</w:t>
            </w:r>
          </w:p>
        </w:tc>
      </w:tr>
      <w:tr w:rsidR="00554EEE" w:rsidTr="00E50BB2">
        <w:trPr>
          <w:trHeight w:val="315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E50BB2" w:rsidRPr="00C1284E" w:rsidRDefault="00AA1CF9" w:rsidP="00C1284E">
            <w:pPr>
              <w:widowControl w:val="0"/>
              <w:spacing w:line="276" w:lineRule="auto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města (nad 5 tis. – 5,2 </w:t>
            </w: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mil. ob.)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0,1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0,40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6,86E-08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96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0,00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014</w:t>
            </w:r>
          </w:p>
        </w:tc>
      </w:tr>
      <w:tr w:rsidR="00554EEE" w:rsidTr="00E50BB2">
        <w:trPr>
          <w:trHeight w:val="315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bez dopravní zátěže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0,1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6,86E-08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96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0,00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0,01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</w:tr>
      <w:tr w:rsidR="00554EEE" w:rsidTr="00E50BB2">
        <w:trPr>
          <w:trHeight w:val="315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s dopravní zátěží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0,1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6,37E-08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62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0,00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0,01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</w:p>
        </w:tc>
      </w:tr>
      <w:tr w:rsidR="00554EEE" w:rsidTr="00E50BB2">
        <w:trPr>
          <w:trHeight w:val="315"/>
        </w:trPr>
        <w:tc>
          <w:tcPr>
            <w:tcW w:w="2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E50BB2" w:rsidRPr="00C1284E" w:rsidRDefault="00AA1CF9" w:rsidP="00C1284E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průmyslové lokality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0,1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3,17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6,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86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57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BB2" w:rsidRPr="00C1284E" w:rsidRDefault="00AA1CF9" w:rsidP="00C128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0,1</w:t>
            </w:r>
            <w:r w:rsidR="00745BAC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12</w:t>
            </w:r>
          </w:p>
        </w:tc>
      </w:tr>
    </w:tbl>
    <w:p w:rsidR="00C1284E" w:rsidRDefault="00C1284E" w:rsidP="00C1284E">
      <w:pPr>
        <w:spacing w:before="120" w:line="276" w:lineRule="auto"/>
        <w:jc w:val="both"/>
        <w:rPr>
          <w:rFonts w:ascii="Arial" w:hAnsi="Arial" w:cs="Arial"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</w:p>
    <w:p w:rsidR="00A43E6C" w:rsidRPr="00C1284E" w:rsidRDefault="00AA1CF9" w:rsidP="00C1284E">
      <w:pPr>
        <w:spacing w:before="120" w:line="276" w:lineRule="auto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drawing>
          <wp:anchor distT="0" distB="0" distL="114300" distR="114300" simplePos="0" relativeHeight="251663360" behindDoc="0" locked="0" layoutInCell="0" allowOverlap="0">
            <wp:simplePos x="0" y="0"/>
            <wp:positionH relativeFrom="margin">
              <wp:align>right</wp:align>
            </wp:positionH>
            <wp:positionV relativeFrom="page">
              <wp:posOffset>3363595</wp:posOffset>
            </wp:positionV>
            <wp:extent cx="5760000" cy="2181600"/>
            <wp:effectExtent l="0" t="0" r="0" b="9525"/>
            <wp:wrapTopAndBottom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386946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18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Graf č. 6. Srovnání rozpětí teoretického odhadu pravděpodobnosti zvýšení počtu nádorových onemocnění z příjmu Cd </w:t>
      </w:r>
      <w:r w:rsidR="00446FFF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z venkovního ovzduší v roce 201</w:t>
      </w:r>
      <w:r w:rsidR="00E50BB2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ČR a pro jednotlivé typy městských lokalit</w:t>
      </w:r>
    </w:p>
    <w:p w:rsidR="0084016D" w:rsidRPr="00C1284E" w:rsidRDefault="00AA1CF9" w:rsidP="00C1284E">
      <w:pPr>
        <w:spacing w:line="276" w:lineRule="auto"/>
        <w:jc w:val="both"/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Pozn: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M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aximální hodnota v ČR byla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naměřena na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stanic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i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LTAS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(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Tanvald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- </w:t>
      </w:r>
      <w:r w:rsidR="00E50BB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3,17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ng/m</w:t>
      </w:r>
      <w:r w:rsidR="001B66A2" w:rsidRPr="00C1284E">
        <w:rPr>
          <w:rFonts w:ascii="Arial" w:hAnsi="Arial" w:cs="Arial"/>
          <w:i/>
          <w:sz w:val="18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/rok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).</w:t>
      </w:r>
    </w:p>
    <w:p w:rsidR="00E8133D" w:rsidRPr="00C1284E" w:rsidRDefault="00AA1CF9" w:rsidP="00C1284E">
      <w:pPr>
        <w:spacing w:before="120" w:after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Individuální karcinogenní riziko odhadované na základě potenciální expozice koncentracím </w:t>
      </w:r>
      <w:r w:rsidR="007C1867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kadmia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se v městských lokalitách pohybuje ve </w:t>
      </w:r>
      <w:r w:rsidR="007C1867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zdravotně zanedbatelném 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přijatelném rozmezí </w:t>
      </w:r>
      <w:r w:rsidR="00A74E4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od jednoho případu na 10 miliónů do 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jednoho případ</w:t>
      </w:r>
      <w:r w:rsidR="00A43E6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u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na milión obyvatel za 70 let. Populační riziko spočtené na základě odhadu střední hodnoty v sídlech v roce 201</w:t>
      </w:r>
      <w:r w:rsidR="00A74E4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8 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představuje </w:t>
      </w:r>
      <w:r w:rsidR="0001452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na deset a půl miliónu obyvatel ČR 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0,0</w:t>
      </w:r>
      <w:r w:rsidR="00A74E4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14</w:t>
      </w:r>
      <w:r w:rsidR="0001452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případu</w:t>
      </w:r>
      <w:r w:rsidR="00CB151B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za 1 rok</w:t>
      </w:r>
      <w:r w:rsidR="0001452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.</w:t>
      </w:r>
    </w:p>
    <w:p w:rsidR="00C1284E" w:rsidRDefault="00AA1CF9">
      <w:pP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br w:type="page"/>
      </w:r>
    </w:p>
    <w:p w:rsidR="00CB7888" w:rsidRPr="00C1284E" w:rsidRDefault="00AA1CF9" w:rsidP="00EE715F">
      <w:pPr>
        <w:spacing w:before="120"/>
        <w:jc w:val="both"/>
        <w:rPr>
          <w:rFonts w:ascii="Arial" w:hAnsi="Arial" w:cs="Arial"/>
          <w:b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>Benzen</w:t>
      </w:r>
    </w:p>
    <w:p w:rsidR="00FF6312" w:rsidRPr="00C1284E" w:rsidRDefault="00AA1CF9" w:rsidP="00FF6312">
      <w:pPr>
        <w:spacing w:before="120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Tabulka č. </w:t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begin"/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instrText xml:space="preserve"> SEQ Tabulka_č._ \* ARABIC </w:instrText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separate"/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9</w:t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end"/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. Hodnoty individuálního a populačního rizika pro benzen</w:t>
      </w:r>
    </w:p>
    <w:tbl>
      <w:tblPr>
        <w:tblW w:w="911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8"/>
        <w:gridCol w:w="1080"/>
        <w:gridCol w:w="909"/>
        <w:gridCol w:w="1227"/>
        <w:gridCol w:w="1113"/>
        <w:gridCol w:w="1134"/>
        <w:gridCol w:w="1013"/>
      </w:tblGrid>
      <w:tr w:rsidR="00554EEE" w:rsidTr="00A43E6C">
        <w:trPr>
          <w:trHeight w:val="375"/>
          <w:jc w:val="center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Benzen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roční průměry (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µ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g/m</w:t>
            </w:r>
            <w:r w:rsidRPr="00C1284E">
              <w:rPr>
                <w:rFonts w:ascii="Arial" w:hAnsi="Arial" w:cs="Arial"/>
                <w:sz w:val="18"/>
                <w:szCs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karcinogenní riziko (ILCR)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populační riziko</w:t>
            </w:r>
          </w:p>
        </w:tc>
      </w:tr>
      <w:tr w:rsidR="00554EEE" w:rsidTr="00A43E6C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F6312" w:rsidRPr="00C1284E" w:rsidRDefault="00AA1CF9" w:rsidP="006C3F2E">
            <w:pPr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</w:tr>
      <w:tr w:rsidR="00554EEE" w:rsidTr="00A43E6C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FF6312" w:rsidRPr="00C1284E" w:rsidRDefault="00AA1CF9" w:rsidP="00A43E6C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ČR (10</w:t>
            </w:r>
            <w:r w:rsidR="001202DD"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,5</w:t>
            </w: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mil. obyvatel)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B422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4,20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E-06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3,06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  <w:r w:rsidR="00B11DDD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4,37</w:t>
            </w:r>
          </w:p>
        </w:tc>
      </w:tr>
      <w:tr w:rsidR="00554EEE" w:rsidTr="00A43E6C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FF6312" w:rsidRPr="00C1284E" w:rsidRDefault="00AA1CF9" w:rsidP="00A43E6C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města (nad 5 tis. – 5</w:t>
            </w:r>
            <w:r w:rsidR="001202DD"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,2</w:t>
            </w: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mil. ob.)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B422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80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3,06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A43E6C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0,3</w:t>
            </w:r>
            <w:r w:rsidR="004D10D7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2,19</w:t>
            </w:r>
          </w:p>
        </w:tc>
      </w:tr>
      <w:tr w:rsidR="00554EEE" w:rsidTr="00A43E6C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bez dopravní zátěže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A43E6C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4,80E-06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9,6</w:t>
            </w:r>
            <w:r w:rsidR="00B422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0,3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69</w:t>
            </w:r>
          </w:p>
        </w:tc>
      </w:tr>
      <w:tr w:rsidR="00554EEE" w:rsidTr="00A43E6C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s dopravní zátěží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0E-06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44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43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03</w:t>
            </w:r>
          </w:p>
        </w:tc>
      </w:tr>
      <w:tr w:rsidR="00554EEE" w:rsidTr="00A43E6C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FF6312" w:rsidRPr="00C1284E" w:rsidRDefault="00AA1CF9" w:rsidP="00A43E6C">
            <w:pPr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průmyslové lokality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B4228A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0E-06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3,06</w:t>
            </w:r>
            <w:r w:rsidR="002629C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0,3</w:t>
            </w:r>
            <w:r w:rsidR="006C3F2E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312" w:rsidRPr="00C1284E" w:rsidRDefault="00AA1CF9" w:rsidP="006C3F2E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301D20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19</w:t>
            </w:r>
          </w:p>
        </w:tc>
      </w:tr>
    </w:tbl>
    <w:p w:rsidR="00C1284E" w:rsidRDefault="00C1284E" w:rsidP="00A43E6C">
      <w:pPr>
        <w:spacing w:before="120"/>
        <w:jc w:val="both"/>
        <w:rPr>
          <w:rFonts w:ascii="Arial" w:hAnsi="Arial" w:cs="Arial"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</w:p>
    <w:p w:rsidR="00A43E6C" w:rsidRPr="00C1284E" w:rsidRDefault="00AA1CF9" w:rsidP="00A43E6C">
      <w:pPr>
        <w:spacing w:before="120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drawing>
          <wp:anchor distT="0" distB="0" distL="114300" distR="114300" simplePos="0" relativeHeight="251665408" behindDoc="0" locked="0" layoutInCell="0" allowOverlap="0">
            <wp:simplePos x="0" y="0"/>
            <wp:positionH relativeFrom="margin">
              <wp:align>right</wp:align>
            </wp:positionH>
            <wp:positionV relativeFrom="page">
              <wp:posOffset>3009900</wp:posOffset>
            </wp:positionV>
            <wp:extent cx="5760000" cy="2181600"/>
            <wp:effectExtent l="0" t="0" r="0" b="9525"/>
            <wp:wrapTopAndBottom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249719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18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Graf č. 7. Srovnání rozpětí teoretického odhadu 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pravděpodobnosti zvýšení počtu nádorových onemocnění z příjmu benzenu z venkovního ovzduší v roce 201</w:t>
      </w:r>
      <w:r w:rsidR="00E50BB2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ČR a pro jednotlivé typy městských lokalit</w:t>
      </w:r>
    </w:p>
    <w:p w:rsidR="00A43E6C" w:rsidRPr="00C1284E" w:rsidRDefault="00AA1CF9" w:rsidP="00A43E6C">
      <w:pPr>
        <w:jc w:val="both"/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Pozn: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M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aximální hodnota v ČR byla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naměřena na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stanic TO</w:t>
      </w:r>
      <w:r w:rsidR="00963C5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PR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(</w:t>
      </w:r>
      <w:r w:rsidR="00963C5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Př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í</w:t>
      </w:r>
      <w:r w:rsidR="00963C5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voz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v Ostravě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- </w:t>
      </w:r>
      <w:r w:rsidR="00963C5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5,1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µg/m</w:t>
      </w:r>
      <w:r w:rsidRPr="00C1284E">
        <w:rPr>
          <w:rFonts w:ascii="Arial" w:hAnsi="Arial" w:cs="Arial"/>
          <w:i/>
          <w:sz w:val="18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/rok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).</w:t>
      </w:r>
    </w:p>
    <w:p w:rsidR="00AE193E" w:rsidRPr="00C1284E" w:rsidRDefault="00AA1CF9" w:rsidP="00C1284E">
      <w:pPr>
        <w:spacing w:before="120" w:after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Individuální karcinogenní riziko odhadované na základě potenciální expozice koncentracím benzenu se v městských lokalitách pohybuje ve zdravotně přijatelném rozmezí cca </w:t>
      </w:r>
      <w:r w:rsidR="00963C52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čtyř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případ</w:t>
      </w:r>
      <w:r w:rsidR="00A43E6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ů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na milión až </w:t>
      </w:r>
      <w:r w:rsidR="00963C52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tří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případ</w:t>
      </w:r>
      <w:r w:rsidR="00A43E6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ů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na 10</w:t>
      </w:r>
      <w:r w:rsidR="00A43E6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0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A43E6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tisíc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obyvatel za 70 let. </w:t>
      </w:r>
    </w:p>
    <w:p w:rsidR="00AE193E" w:rsidRPr="00C1284E" w:rsidRDefault="00AA1CF9" w:rsidP="00C1284E">
      <w:pPr>
        <w:spacing w:before="120" w:after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Populační 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riziko spočtené na základě odhadu střední hodnoty v sídlech v roce 201</w:t>
      </w:r>
      <w:r w:rsidR="00963C52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/>
        <w:t xml:space="preserve">představuje </w:t>
      </w:r>
      <w:r w:rsidR="0001452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na deset a půl miliónu obyvatel ČR </w:t>
      </w:r>
      <w:r w:rsidR="002513F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1,</w:t>
      </w:r>
      <w:r w:rsidR="00963C52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03</w:t>
      </w:r>
      <w:r w:rsidR="00823FFB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tj. </w:t>
      </w:r>
      <w:r w:rsidR="00823FFB" w:rsidRPr="00C1284E">
        <w:rPr>
          <w:rFonts w:ascii="Symbol" w:hAnsi="Symbo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sym w:font="Symbol" w:char="F0BB"/>
      </w:r>
      <w:r w:rsidR="00823FFB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1</w:t>
      </w:r>
      <w:r w:rsidR="002513F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01452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případ</w:t>
      </w:r>
      <w:r w:rsidR="00C12A79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za 1 rok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.</w:t>
      </w:r>
    </w:p>
    <w:p w:rsidR="00C1284E" w:rsidRDefault="00AA1CF9">
      <w:pP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>
        <w:rPr>
          <w:rFonts w:ascii="Times New Roman" w:hAnsi="Times New Roman"/>
          <w:b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br w:type="page"/>
      </w:r>
    </w:p>
    <w:p w:rsidR="00D6081D" w:rsidRPr="00C1284E" w:rsidRDefault="00AA1CF9" w:rsidP="00D6081D">
      <w:pPr>
        <w:spacing w:before="120"/>
        <w:jc w:val="both"/>
        <w:rPr>
          <w:rFonts w:ascii="Arial" w:hAnsi="Arial" w:cs="Arial"/>
          <w:b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>Benzo[</w:t>
      </w:r>
      <w:r w:rsidRPr="00C1284E">
        <w:rPr>
          <w:rFonts w:ascii="Arial" w:hAnsi="Arial" w:cs="Arial"/>
          <w:b/>
          <w:i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</w:t>
      </w:r>
      <w:r w:rsidRPr="00C1284E">
        <w:rPr>
          <w:rFonts w:ascii="Arial" w:hAnsi="Arial" w:cs="Arial"/>
          <w:b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]pyren (BaP)</w:t>
      </w:r>
    </w:p>
    <w:p w:rsidR="00685FCA" w:rsidRPr="00C1284E" w:rsidRDefault="00AA1CF9" w:rsidP="00CE28FC">
      <w:pPr>
        <w:spacing w:before="120" w:after="120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Tabulka č. </w:t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begin"/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instrText xml:space="preserve"> SEQ Tabulka_č._ \* ARABIC </w:instrText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separate"/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10</w:t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end"/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. – Hodnoty </w:t>
      </w:r>
      <w:r w:rsidR="000A50D0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individuálního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a populačního rizika pro</w:t>
      </w:r>
      <w:r w:rsidR="004910A5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BaP</w:t>
      </w:r>
      <w:r w:rsidR="000D42D9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(vypočteno pro </w:t>
      </w:r>
      <w:r w:rsidR="002E6AF6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br/>
      </w:r>
      <w:r w:rsidR="000D42D9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10</w:t>
      </w:r>
      <w:r w:rsidR="00A43E6C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,5</w:t>
      </w:r>
      <w:r w:rsidR="000D42D9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mil. obyvatel ČR a v případě městských lokalit pro 5</w:t>
      </w:r>
      <w:r w:rsidR="00A43E6C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,2</w:t>
      </w:r>
      <w:r w:rsidR="000D42D9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mil. obyvatel)</w:t>
      </w:r>
    </w:p>
    <w:tbl>
      <w:tblPr>
        <w:tblW w:w="897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8"/>
        <w:gridCol w:w="1080"/>
        <w:gridCol w:w="909"/>
        <w:gridCol w:w="1251"/>
        <w:gridCol w:w="1089"/>
        <w:gridCol w:w="1063"/>
        <w:gridCol w:w="942"/>
      </w:tblGrid>
      <w:tr w:rsidR="00554EEE" w:rsidTr="00393913">
        <w:trPr>
          <w:trHeight w:val="375"/>
          <w:jc w:val="center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85FCA" w:rsidRPr="00C1284E" w:rsidRDefault="00AA1CF9" w:rsidP="00685FCA">
            <w:pPr>
              <w:rPr>
                <w:rFonts w:ascii="Arial" w:hAnsi="Arial" w:cs="Arial"/>
                <w:sz w:val="18"/>
                <w:szCs w:val="18"/>
                <w:lang w:val="en-US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benzo</w:t>
            </w:r>
            <w:r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:lang w:val="en-US"/>
                <w14:shadow w14:blurRad="0" w14:dist="0" w14:dir="0" w14:sx="0" w14:sy="0" w14:kx="0" w14:ky="0" w14:algn="none">
                  <w14:srgbClr w14:val="000000"/>
                </w14:shadow>
              </w:rPr>
              <w:t>[</w:t>
            </w:r>
            <w:r w:rsidRPr="00C1284E">
              <w:rPr>
                <w:rFonts w:ascii="Arial" w:hAnsi="Arial" w:cs="Arial"/>
                <w:b/>
                <w:bCs/>
                <w:i/>
                <w:noProof w:val="0"/>
                <w:sz w:val="18"/>
                <w:szCs w:val="18"/>
                <w:lang w:val="en-US"/>
                <w14:shadow w14:blurRad="0" w14:dist="0" w14:dir="0" w14:sx="0" w14:sy="0" w14:kx="0" w14:ky="0" w14:algn="none">
                  <w14:srgbClr w14:val="000000"/>
                </w14:shadow>
              </w:rPr>
              <w:t>a</w:t>
            </w:r>
            <w:r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:lang w:val="en-US"/>
                <w14:shadow w14:blurRad="0" w14:dist="0" w14:dir="0" w14:sx="0" w14:sy="0" w14:kx="0" w14:ky="0" w14:algn="none">
                  <w14:srgbClr w14:val="000000"/>
                </w14:shadow>
              </w:rPr>
              <w:t>]pyren (BaP)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685FCA" w:rsidRPr="00C1284E" w:rsidRDefault="00AA1CF9" w:rsidP="00685F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roční průměry (</w:t>
            </w:r>
            <w:r w:rsidR="00900E93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n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g/m</w:t>
            </w:r>
            <w:r w:rsidRPr="00C1284E">
              <w:rPr>
                <w:rFonts w:ascii="Arial" w:hAnsi="Arial" w:cs="Arial"/>
                <w:sz w:val="18"/>
                <w:szCs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685FCA" w:rsidRPr="00C1284E" w:rsidRDefault="00AA1CF9" w:rsidP="00685F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karcinogenní riziko (ILCR)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685FCA" w:rsidRPr="00C1284E" w:rsidRDefault="00AA1CF9" w:rsidP="000D42D9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populační riziko</w:t>
            </w:r>
          </w:p>
        </w:tc>
      </w:tr>
      <w:tr w:rsidR="00554EEE" w:rsidTr="00393913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85FCA" w:rsidRPr="00C1284E" w:rsidRDefault="00AA1CF9" w:rsidP="00FE2235">
            <w:pPr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</w:t>
            </w:r>
            <w:r w:rsidR="004910A5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FE2235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685FC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685F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685F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85FCA" w:rsidRPr="00C1284E" w:rsidRDefault="00AA1CF9" w:rsidP="00685F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685FCA" w:rsidRPr="00C1284E" w:rsidRDefault="00AA1CF9" w:rsidP="00685F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85FCA" w:rsidRPr="00C1284E" w:rsidRDefault="00AA1CF9" w:rsidP="00685FCA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</w:tr>
      <w:tr w:rsidR="00554EEE" w:rsidTr="00393913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685FCA" w:rsidRPr="00C1284E" w:rsidRDefault="00AA1CF9" w:rsidP="00685FCA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ČR (10</w:t>
            </w:r>
            <w:r w:rsidR="001202DD"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,5</w:t>
            </w: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mil. obyvatel)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9D1EF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9D1EF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9D1EF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7,74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3,65</w:t>
            </w:r>
            <w:r w:rsidR="00623C3D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6,73E</w:t>
            </w:r>
            <w:r w:rsidR="00623C3D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-04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5FCA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5,21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CA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96,14</w:t>
            </w:r>
          </w:p>
        </w:tc>
      </w:tr>
      <w:tr w:rsidR="00554EEE" w:rsidTr="00393913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CE28FC" w:rsidRPr="00C1284E" w:rsidRDefault="00AA1CF9" w:rsidP="00685FCA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města (nad 5 tis. – 5</w:t>
            </w:r>
            <w:r w:rsidR="001202DD"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,2</w:t>
            </w: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mil. ob.)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9D1EF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623C3D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9D1EF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9D1EF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7,74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927B0B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7A5FF2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</w:t>
            </w:r>
            <w:r w:rsidR="00D4158F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8FC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  <w:r w:rsidR="007A5FF2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,7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48258F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2,92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8FC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48,07</w:t>
            </w:r>
          </w:p>
        </w:tc>
      </w:tr>
      <w:tr w:rsidR="00554EEE" w:rsidTr="00393913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center"/>
          </w:tcPr>
          <w:p w:rsidR="00CE28FC" w:rsidRPr="00C1284E" w:rsidRDefault="00AA1CF9" w:rsidP="00685FCA">
            <w:pPr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bez dopravní zátěže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9D1EF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856F97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9D1EF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9D1EF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3,87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927B0B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61</w:t>
            </w:r>
            <w:r w:rsidR="00623C3D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8FC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2,87</w:t>
            </w:r>
            <w:r w:rsidR="00927B0B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</w:t>
            </w:r>
            <w:r w:rsidR="00623C3D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-04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</w:t>
            </w:r>
            <w:r w:rsidR="00412787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8FC" w:rsidRPr="00C1284E" w:rsidRDefault="00AA1CF9" w:rsidP="00412787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412787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B03A10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412787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50</w:t>
            </w:r>
          </w:p>
        </w:tc>
      </w:tr>
      <w:tr w:rsidR="00554EEE" w:rsidTr="00393913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FF"/>
            <w:noWrap/>
            <w:vAlign w:val="center"/>
          </w:tcPr>
          <w:p w:rsidR="00623C3D" w:rsidRPr="00C1284E" w:rsidRDefault="00AA1CF9" w:rsidP="00623C3D">
            <w:pPr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s dopravní zátěží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3C3D" w:rsidRPr="00C1284E" w:rsidRDefault="00AA1CF9" w:rsidP="009D1EF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9D1EF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3C3D" w:rsidRPr="00C1284E" w:rsidRDefault="00AA1CF9" w:rsidP="009D1EF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</w:t>
            </w:r>
            <w:r w:rsidR="009D1EF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3C3D" w:rsidRPr="00C1284E" w:rsidRDefault="00AA1CF9" w:rsidP="00410528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  <w:r w:rsidR="00927B0B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5D5B91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927B0B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C3D" w:rsidRPr="00C1284E" w:rsidRDefault="00AA1CF9" w:rsidP="00410528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</w:t>
            </w:r>
            <w:r w:rsidR="00410528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54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3C3D" w:rsidRPr="00C1284E" w:rsidRDefault="00AA1CF9" w:rsidP="00410528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2,92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C3D" w:rsidRPr="00C1284E" w:rsidRDefault="00AA1CF9" w:rsidP="00410528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B03A10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8,</w:t>
            </w:r>
            <w:r w:rsidR="00410528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14</w:t>
            </w:r>
          </w:p>
        </w:tc>
      </w:tr>
      <w:tr w:rsidR="00554EEE" w:rsidTr="00393913">
        <w:trPr>
          <w:trHeight w:val="315"/>
          <w:jc w:val="center"/>
        </w:trPr>
        <w:tc>
          <w:tcPr>
            <w:tcW w:w="2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:rsidR="00CE28FC" w:rsidRPr="00C1284E" w:rsidRDefault="00AA1CF9" w:rsidP="00685FCA">
            <w:pPr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průmyslové lokality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9D1EF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0,87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9D1EF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7,74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410528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7,57</w:t>
            </w:r>
            <w:r w:rsidR="00623C3D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8FC" w:rsidRPr="00C1284E" w:rsidRDefault="00AA1CF9" w:rsidP="00410528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  <w:r w:rsidR="007A5FF2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</w:t>
            </w:r>
            <w:r w:rsidR="007A5FF2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48258F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E-04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28FC" w:rsidRPr="00C1284E" w:rsidRDefault="00AA1CF9" w:rsidP="00410528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6A6A08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8FC" w:rsidRPr="00C1284E" w:rsidRDefault="00AA1CF9" w:rsidP="00410528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48</w:t>
            </w:r>
            <w:r w:rsidR="00B03A10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07</w:t>
            </w:r>
          </w:p>
        </w:tc>
      </w:tr>
    </w:tbl>
    <w:p w:rsidR="009B3835" w:rsidRPr="00C1284E" w:rsidRDefault="00AA1CF9" w:rsidP="00C1284E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Individuální karcinogenní riziko odhadované na základě potenciální expozice koncentracím PAU </w:t>
      </w:r>
      <w:r w:rsidR="005B16A3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zastup</w:t>
      </w:r>
      <w:r w:rsidR="00C12A79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oupených</w:t>
      </w:r>
      <w:r w:rsidR="005B16A3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BaP 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se v městských lokalitách pohybuje v rozmezí </w:t>
      </w:r>
      <w:r w:rsidR="00CE28F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od cca </w:t>
      </w:r>
      <w:r w:rsidR="00410528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4</w:t>
      </w:r>
      <w:r w:rsidR="00CE28F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případů na 100 tisíc obyvatel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5A00A5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do </w:t>
      </w:r>
      <w:r w:rsidR="002E6AF6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třech</w:t>
      </w:r>
      <w:r w:rsidR="005A00A5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případů na deset tisíc obyvatel 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za 70 let. V průmyslem ovlivněných lokalitách je hodnota individuálního rizika vyšší než v ostatních městských </w:t>
      </w:r>
      <w:r w:rsidR="00B962E7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lokalitách a 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představuje teoreticky </w:t>
      </w:r>
      <w:r w:rsidR="00D4158F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od </w:t>
      </w:r>
      <w:r w:rsidR="00CE28F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1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CE28FC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do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571229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případů na 10 tisíc obyvatel</w:t>
      </w:r>
      <w:r w:rsidR="00CE593F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za 70 let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. </w:t>
      </w:r>
    </w:p>
    <w:p w:rsidR="002E6AF6" w:rsidRPr="00C1284E" w:rsidRDefault="002E6AF6" w:rsidP="00C1284E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</w:p>
    <w:p w:rsidR="00CB7888" w:rsidRPr="00C1284E" w:rsidRDefault="00AA1CF9" w:rsidP="00C1284E">
      <w:pPr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drawing>
          <wp:anchor distT="0" distB="0" distL="114300" distR="114300" simplePos="0" relativeHeight="251659264" behindDoc="0" locked="0" layoutInCell="0" allowOverlap="0">
            <wp:simplePos x="0" y="0"/>
            <wp:positionH relativeFrom="margin">
              <wp:posOffset>1270</wp:posOffset>
            </wp:positionH>
            <wp:positionV relativeFrom="page">
              <wp:posOffset>4796155</wp:posOffset>
            </wp:positionV>
            <wp:extent cx="5760000" cy="2224800"/>
            <wp:effectExtent l="0" t="0" r="0" b="4445"/>
            <wp:wrapTopAndBottom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574222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22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623F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Populační riziko BaP spočtené na základě odhadu střední hodnoty v sídlech v roce 201</w:t>
      </w:r>
      <w:r w:rsidR="00410528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="00EB623F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představuje </w:t>
      </w:r>
      <w:r w:rsidR="0001452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na deset a půl miliónu obyvatel ČR </w:t>
      </w:r>
      <w:r w:rsidR="00EB623F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přibližně </w:t>
      </w:r>
      <w:r w:rsidR="00410528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jedenáct</w:t>
      </w:r>
      <w:r w:rsidR="00EB623F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případ</w:t>
      </w:r>
      <w:r w:rsidR="0001452A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ů</w:t>
      </w:r>
      <w:r w:rsidR="00EB623F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(</w:t>
      </w:r>
      <w:r w:rsidR="00702C4B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1</w:t>
      </w:r>
      <w:r w:rsidR="00410528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0,7</w:t>
      </w:r>
      <w:r w:rsidR="00E946D5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/rok</w:t>
      </w:r>
      <w:r w:rsidR="00EB623F"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).</w:t>
      </w:r>
    </w:p>
    <w:p w:rsidR="006A5D59" w:rsidRPr="00C1284E" w:rsidRDefault="00AA1CF9" w:rsidP="006A5D59">
      <w:pPr>
        <w:spacing w:before="120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Graf č. </w:t>
      </w:r>
      <w:r w:rsidR="00FD5A8E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. Srovnání rozpětí teoretického odhadu pravděpodobnosti zvýšení počtu nádorových onemocnění z příjmu BaP z venkovního ovzduší v 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roce 201</w:t>
      </w:r>
      <w:r w:rsidR="00963C52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ČR a pro jednotlivé typy městských lokalit</w:t>
      </w:r>
    </w:p>
    <w:p w:rsidR="00BB757E" w:rsidRPr="00C1284E" w:rsidRDefault="00AA1CF9" w:rsidP="00BB757E">
      <w:pPr>
        <w:jc w:val="both"/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Pozn: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M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aximální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hodnota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ročního průměru BaP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v ČR 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byl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a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naměř</w:t>
      </w:r>
      <w:r w:rsidR="007A5FF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en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a</w:t>
      </w:r>
      <w:r w:rsidR="007A5FF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na stanici TORO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(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Ostrav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a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 Radvanice 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 xml:space="preserve">- </w:t>
      </w:r>
      <w:r w:rsidR="00963C5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7</w:t>
      </w:r>
      <w:r w:rsidR="007A5FF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,</w:t>
      </w:r>
      <w:r w:rsidR="00963C5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74</w:t>
      </w:r>
      <w:r w:rsidR="00B962E7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 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ng/m</w:t>
      </w:r>
      <w:r w:rsidRPr="00C1284E">
        <w:rPr>
          <w:rFonts w:ascii="Arial" w:hAnsi="Arial" w:cs="Arial"/>
          <w:i/>
          <w:sz w:val="18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="001B66A2"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/rok</w:t>
      </w:r>
      <w:r w:rsidRPr="00C1284E">
        <w:rPr>
          <w:rFonts w:ascii="Arial" w:hAnsi="Arial" w:cs="Arial"/>
          <w:i/>
          <w:sz w:val="18"/>
          <w14:shadow w14:blurRad="0" w14:dist="0" w14:dir="0" w14:sx="0" w14:sy="0" w14:kx="0" w14:ky="0" w14:algn="none">
            <w14:srgbClr w14:val="000000"/>
          </w14:shadow>
        </w:rPr>
        <w:t>).</w:t>
      </w:r>
    </w:p>
    <w:p w:rsidR="002E6AF6" w:rsidRPr="00C1284E" w:rsidRDefault="00AA1CF9">
      <w:pPr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br w:type="page"/>
      </w:r>
    </w:p>
    <w:p w:rsidR="00685FCA" w:rsidRPr="00C1284E" w:rsidRDefault="00AA1CF9" w:rsidP="00685FCA">
      <w:pPr>
        <w:spacing w:before="120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Tabulka č. </w:t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begin"/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instrText xml:space="preserve"> SEQ Tabulka_č._ \* ARABIC </w:instrText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separate"/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11</w:t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fldChar w:fldCharType="end"/>
      </w:r>
      <w:r w:rsidR="00FE2235" w:rsidRPr="00C1284E">
        <w:rPr>
          <w:rFonts w:ascii="Arial" w:hAnsi="Arial" w:cs="Arial"/>
          <w:b/>
          <w:noProof w:val="0"/>
          <w:szCs w:val="24"/>
          <w14:shadow w14:blurRad="0" w14:dist="0" w14:dir="0" w14:sx="0" w14:sy="0" w14:kx="0" w14:ky="0" w14:algn="none">
            <w14:srgbClr w14:val="000000"/>
          </w14:shadow>
        </w:rPr>
        <w:t>.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– </w:t>
      </w:r>
      <w:r w:rsidR="00ED192F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201</w:t>
      </w:r>
      <w:r w:rsidR="00AD5E34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="00ED192F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- </w:t>
      </w:r>
      <w:r w:rsidR="00C12A79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Odhad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celkového populačního rizika a populačního rizika pro jednotlivé látky</w:t>
      </w:r>
      <w:r w:rsidR="000D42D9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(vypočteno pro 10</w:t>
      </w:r>
      <w:r w:rsidR="00FD5A8E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,5</w:t>
      </w:r>
      <w:r w:rsidR="000D42D9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mil. obyvatel ČR a v případě městských lokalit pro 5</w:t>
      </w:r>
      <w:r w:rsidR="00FD5A8E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,2</w:t>
      </w:r>
      <w:r w:rsidR="000D42D9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mil. obyvatel)</w:t>
      </w:r>
    </w:p>
    <w:tbl>
      <w:tblPr>
        <w:tblW w:w="4253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521"/>
        <w:gridCol w:w="702"/>
        <w:gridCol w:w="600"/>
        <w:gridCol w:w="702"/>
        <w:gridCol w:w="600"/>
        <w:gridCol w:w="600"/>
        <w:gridCol w:w="807"/>
        <w:gridCol w:w="625"/>
      </w:tblGrid>
      <w:tr w:rsidR="00554EEE" w:rsidTr="00BA5172">
        <w:trPr>
          <w:trHeight w:val="37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AD5E34">
            <w:pPr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</w:t>
            </w:r>
            <w:r w:rsidR="00AD5E34"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  <w:r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- karcinogenní látky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722B11" w:rsidRPr="00C1284E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BaP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722B11" w:rsidRPr="00C1284E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Arsen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685FCA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Nikl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vAlign w:val="bottom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Kadmium</w:t>
            </w:r>
          </w:p>
        </w:tc>
      </w:tr>
      <w:tr w:rsidR="00554EEE" w:rsidTr="00BA5172">
        <w:trPr>
          <w:trHeight w:val="315"/>
          <w:jc w:val="center"/>
        </w:trPr>
        <w:tc>
          <w:tcPr>
            <w:tcW w:w="1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populační riziko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vAlign w:val="bottom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</w:tr>
      <w:tr w:rsidR="00554EEE" w:rsidTr="00BA5172">
        <w:trPr>
          <w:trHeight w:val="31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ČR (10,5 mil. o</w:t>
            </w: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byvatel)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5,21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96,14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0,05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="004D3AA6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830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0,014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212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0,002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0,2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24</w:t>
            </w:r>
          </w:p>
        </w:tc>
      </w:tr>
      <w:tr w:rsidR="00554EEE" w:rsidTr="00BA5172">
        <w:trPr>
          <w:trHeight w:val="31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města (nad 5 tis. – 5,2 mil. ob.)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2,92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48,07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415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09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106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0,00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0,01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</w:tr>
      <w:tr w:rsidR="00554EEE" w:rsidTr="00BA5172">
        <w:trPr>
          <w:trHeight w:val="31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jc w:val="right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bez dopravní zátěže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178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0,01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43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0,00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0,01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</w:tr>
      <w:tr w:rsidR="00554EEE" w:rsidTr="004D3AA6">
        <w:trPr>
          <w:trHeight w:val="31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jc w:val="right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s dopravní zátěží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4D3AA6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18,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345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0,013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65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0,00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0,01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</w:p>
        </w:tc>
      </w:tr>
      <w:tr w:rsidR="00554EEE" w:rsidTr="004D3AA6">
        <w:trPr>
          <w:trHeight w:val="31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722B11">
            <w:pPr>
              <w:jc w:val="right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průmyslové lokality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5,41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48</w:t>
            </w:r>
            <w:r w:rsidR="004D3AA6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0,1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371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722B11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0,014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106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0,00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B11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0,1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12</w:t>
            </w:r>
          </w:p>
        </w:tc>
      </w:tr>
      <w:tr w:rsidR="00554EEE" w:rsidTr="004D3AA6">
        <w:trPr>
          <w:trHeight w:val="37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AD5E34">
            <w:pPr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</w:t>
            </w:r>
            <w:r w:rsidR="00AD5E34"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  <w:r w:rsidRPr="00C1284E">
              <w:rPr>
                <w:rFonts w:ascii="Arial" w:hAnsi="Arial" w:cs="Arial"/>
                <w:b/>
                <w:bCs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- karcinogenní látky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E615D2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benzen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E615D2">
            <w:pPr>
              <w:jc w:val="center"/>
              <w:rPr>
                <w:rFonts w:ascii="Arial" w:hAnsi="Arial" w:cs="Arial"/>
                <w:b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celkem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22B11" w:rsidRPr="00C1284E" w:rsidRDefault="00722B11" w:rsidP="00E615D2">
            <w:pPr>
              <w:jc w:val="center"/>
              <w:rPr>
                <w:rFonts w:ascii="Arial" w:hAnsi="Arial" w:cs="Arial"/>
                <w:noProof w:val="0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914" w:type="pct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22B11" w:rsidRPr="00C1284E" w:rsidRDefault="00722B11" w:rsidP="00E615D2">
            <w:pPr>
              <w:jc w:val="center"/>
              <w:rPr>
                <w:rFonts w:ascii="Arial" w:hAnsi="Arial" w:cs="Arial"/>
                <w:noProof w:val="0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</w:tr>
      <w:tr w:rsidR="00554EEE" w:rsidTr="004D3AA6">
        <w:trPr>
          <w:trHeight w:val="315"/>
          <w:jc w:val="center"/>
        </w:trPr>
        <w:tc>
          <w:tcPr>
            <w:tcW w:w="1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E615D2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populační riziko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722B11" w:rsidRPr="00C1284E" w:rsidRDefault="00AA1CF9" w:rsidP="00E615D2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E615D2">
            <w:pPr>
              <w:jc w:val="center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722B11" w:rsidRPr="00C1284E" w:rsidRDefault="00AA1CF9" w:rsidP="00E615D2">
            <w:pPr>
              <w:jc w:val="center"/>
              <w:rPr>
                <w:rFonts w:ascii="Arial" w:hAnsi="Arial" w:cs="Arial"/>
                <w:b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min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722B11" w:rsidRPr="00C1284E" w:rsidRDefault="00AA1CF9" w:rsidP="00E615D2">
            <w:pPr>
              <w:jc w:val="center"/>
              <w:rPr>
                <w:rFonts w:ascii="Arial" w:hAnsi="Arial" w:cs="Arial"/>
                <w:b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max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722B11" w:rsidRPr="00C1284E" w:rsidRDefault="00722B11" w:rsidP="00E615D2">
            <w:pPr>
              <w:jc w:val="center"/>
              <w:rPr>
                <w:rFonts w:ascii="Arial" w:hAnsi="Arial" w:cs="Arial"/>
                <w:noProof w:val="0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83" w:type="pct"/>
            <w:tcBorders>
              <w:top w:val="nil"/>
            </w:tcBorders>
            <w:shd w:val="clear" w:color="auto" w:fill="auto"/>
            <w:noWrap/>
            <w:vAlign w:val="bottom"/>
          </w:tcPr>
          <w:p w:rsidR="00722B11" w:rsidRPr="00C1284E" w:rsidRDefault="00722B11" w:rsidP="00E615D2">
            <w:pPr>
              <w:jc w:val="center"/>
              <w:rPr>
                <w:rFonts w:ascii="Arial" w:hAnsi="Arial" w:cs="Arial"/>
                <w:noProof w:val="0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515" w:type="pct"/>
            <w:tcBorders>
              <w:top w:val="nil"/>
            </w:tcBorders>
            <w:shd w:val="clear" w:color="auto" w:fill="auto"/>
            <w:vAlign w:val="bottom"/>
          </w:tcPr>
          <w:p w:rsidR="00722B11" w:rsidRPr="00C1284E" w:rsidRDefault="00722B11" w:rsidP="00E615D2">
            <w:pPr>
              <w:jc w:val="center"/>
              <w:rPr>
                <w:rFonts w:ascii="Arial" w:hAnsi="Arial" w:cs="Arial"/>
                <w:noProof w:val="0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99" w:type="pct"/>
            <w:tcBorders>
              <w:top w:val="nil"/>
              <w:right w:val="nil"/>
            </w:tcBorders>
            <w:shd w:val="clear" w:color="auto" w:fill="auto"/>
            <w:vAlign w:val="bottom"/>
          </w:tcPr>
          <w:p w:rsidR="00722B11" w:rsidRPr="00C1284E" w:rsidRDefault="00722B11" w:rsidP="00E615D2">
            <w:pPr>
              <w:jc w:val="center"/>
              <w:rPr>
                <w:rFonts w:ascii="Arial" w:hAnsi="Arial" w:cs="Arial"/>
                <w:noProof w:val="0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</w:tr>
      <w:tr w:rsidR="00554EEE" w:rsidTr="004D3AA6">
        <w:trPr>
          <w:trHeight w:val="31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450434" w:rsidRPr="00C1284E" w:rsidRDefault="00AA1CF9" w:rsidP="00450434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ČR (10,5 mil. obyvatel)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4,37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04530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0A0110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04530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="00045307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</w:t>
            </w: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045307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3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</w:tr>
      <w:tr w:rsidR="00554EEE" w:rsidTr="004D3AA6">
        <w:trPr>
          <w:trHeight w:val="31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450434" w:rsidRPr="00C1284E" w:rsidRDefault="00AA1CF9" w:rsidP="00450434">
            <w:pPr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města (nad 5 tis. – 5,2 mil. ob.)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04530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211246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,3</w:t>
            </w: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04530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50</w:t>
            </w:r>
            <w:r w:rsidR="00211246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3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</w:tr>
      <w:tr w:rsidR="00554EEE" w:rsidTr="004D3AA6">
        <w:trPr>
          <w:trHeight w:val="31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450434" w:rsidRPr="00C1284E" w:rsidRDefault="00AA1CF9" w:rsidP="00450434">
            <w:pPr>
              <w:jc w:val="right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bez dopravní zátěže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0,3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045307">
            <w:pPr>
              <w:jc w:val="center"/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1B433B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04530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</w:t>
            </w:r>
            <w:r w:rsidR="00045307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</w:t>
            </w: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="00045307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</w:t>
            </w:r>
          </w:p>
        </w:tc>
        <w:tc>
          <w:tcPr>
            <w:tcW w:w="3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</w:tr>
      <w:tr w:rsidR="00554EEE" w:rsidTr="004D3AA6">
        <w:trPr>
          <w:trHeight w:val="31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450434" w:rsidRPr="00C1284E" w:rsidRDefault="00AA1CF9" w:rsidP="00450434">
            <w:pPr>
              <w:jc w:val="right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lokality s dopravní zátěží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04530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</w:t>
            </w:r>
            <w:r w:rsidR="001B433B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04530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19,</w:t>
            </w:r>
            <w:r w:rsidR="00045307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</w:t>
            </w:r>
          </w:p>
        </w:tc>
        <w:tc>
          <w:tcPr>
            <w:tcW w:w="3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</w:tr>
      <w:tr w:rsidR="00554EEE" w:rsidTr="004D3AA6">
        <w:trPr>
          <w:trHeight w:val="315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450434" w:rsidRPr="00C1284E" w:rsidRDefault="00AA1CF9" w:rsidP="00450434">
            <w:pPr>
              <w:jc w:val="right"/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noProof w:val="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průmyslové lokality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0,</w:t>
            </w:r>
            <w:r w:rsidR="00AD5E34"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AD5E34">
            <w:pPr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2,19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04530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1B433B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96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AA1CF9" w:rsidP="00045307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50</w:t>
            </w:r>
            <w:r w:rsidR="001B433B"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C1284E">
              <w:rPr>
                <w:rFonts w:ascii="Arial" w:hAnsi="Arial" w:cs="Arial"/>
                <w:b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8</w:t>
            </w:r>
          </w:p>
        </w:tc>
        <w:tc>
          <w:tcPr>
            <w:tcW w:w="3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83" w:type="pct"/>
            <w:shd w:val="clear" w:color="auto" w:fill="auto"/>
            <w:noWrap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:rsidR="00450434" w:rsidRPr="00C1284E" w:rsidRDefault="00450434" w:rsidP="0045043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</w:tc>
      </w:tr>
    </w:tbl>
    <w:p w:rsidR="009F5A63" w:rsidRPr="00C1284E" w:rsidRDefault="00AA1CF9" w:rsidP="005B5E33">
      <w:pPr>
        <w:spacing w:before="120"/>
        <w:jc w:val="both"/>
        <w:rPr>
          <w:rFonts w:ascii="Arial" w:hAnsi="Arial" w:cs="Arial"/>
          <w:color w:val="FF0000"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drawing>
          <wp:anchor distT="0" distB="0" distL="114300" distR="114300" simplePos="0" relativeHeight="251664384" behindDoc="0" locked="0" layoutInCell="0" allowOverlap="0">
            <wp:simplePos x="0" y="0"/>
            <wp:positionH relativeFrom="margin">
              <wp:align>left</wp:align>
            </wp:positionH>
            <wp:positionV relativeFrom="page">
              <wp:posOffset>4574540</wp:posOffset>
            </wp:positionV>
            <wp:extent cx="6120000" cy="2347200"/>
            <wp:effectExtent l="0" t="0" r="0" b="0"/>
            <wp:wrapTopAndBottom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953388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23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E33" w:rsidRPr="00C1284E" w:rsidRDefault="00AA1CF9" w:rsidP="005B5E33">
      <w:pPr>
        <w:spacing w:before="120"/>
        <w:jc w:val="both"/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Graf č. </w:t>
      </w:r>
      <w:r w:rsidR="00FD5A8E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9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. - Srovnání rozpětí teoretického odhadu pravděpodobnosti zvýšení počtu nádorových onemocnění z příjmu As, Ni, </w:t>
      </w:r>
      <w:r w:rsidR="00FD5A8E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Cd, 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benzenu a BaP z venkovního ovzduší v roce 201</w:t>
      </w:r>
      <w:r w:rsidR="00410528"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>8</w:t>
      </w:r>
      <w:r w:rsidRPr="00C1284E">
        <w:rPr>
          <w:rFonts w:ascii="Arial" w:hAnsi="Arial" w:cs="Arial"/>
          <w:b/>
          <w:szCs w:val="24"/>
          <w14:shadow w14:blurRad="0" w14:dist="0" w14:dir="0" w14:sx="0" w14:sy="0" w14:kx="0" w14:ky="0" w14:algn="none">
            <w14:srgbClr w14:val="000000"/>
          </w14:shadow>
        </w:rPr>
        <w:t xml:space="preserve"> v ČR </w:t>
      </w:r>
    </w:p>
    <w:p w:rsidR="00410528" w:rsidRPr="00C1284E" w:rsidRDefault="00410528" w:rsidP="00D21403">
      <w:pPr>
        <w:spacing w:before="120"/>
        <w:jc w:val="both"/>
        <w:rPr>
          <w:rFonts w:ascii="Arial" w:hAnsi="Arial" w:cs="Arial"/>
          <w:sz w:val="24"/>
          <w:szCs w:val="24"/>
          <w14:shadow w14:blurRad="0" w14:dist="0" w14:dir="0" w14:sx="0" w14:sy="0" w14:kx="0" w14:ky="0" w14:algn="none">
            <w14:srgbClr w14:val="000000"/>
          </w14:shadow>
        </w:rPr>
      </w:pPr>
    </w:p>
    <w:p w:rsidR="00410528" w:rsidRPr="00C1284E" w:rsidRDefault="00AA1CF9" w:rsidP="00C1284E">
      <w:pPr>
        <w:spacing w:before="120" w:line="276" w:lineRule="auto"/>
        <w:jc w:val="both"/>
        <w:rPr>
          <w:rFonts w:ascii="Arial" w:hAnsi="Arial" w:cs="Arial"/>
          <w:b/>
          <w:color w:val="FF0000"/>
          <w:sz w:val="24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Výše hodnocené </w:t>
      </w:r>
      <w:r w:rsidRPr="00C1284E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látky s karcinogenním působením mohly v podmínkách ČR zvýšit riziko vzniku nádorového onemocnění za 70 let celoživotní expozice, podle typu lokality, o 1 až 8 případů na 10 tisíc obyvatel. Situace byla srovnatelná s rokem 2017.</w:t>
      </w:r>
    </w:p>
    <w:p w:rsidR="00410528" w:rsidRDefault="00410528" w:rsidP="00124E89">
      <w:pPr>
        <w:rPr>
          <w:rFonts w:ascii="Times New Roman" w:hAnsi="Times New Roman"/>
          <w:b/>
          <w:color w:val="FF0000"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410528" w:rsidRDefault="00410528" w:rsidP="00124E89">
      <w:pPr>
        <w:rPr>
          <w:rFonts w:ascii="Times New Roman" w:hAnsi="Times New Roman"/>
          <w:b/>
          <w:color w:val="FF0000"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BA5172" w:rsidRPr="001306F8" w:rsidRDefault="00BA5172" w:rsidP="00BA5172">
      <w:pPr>
        <w:pStyle w:val="Nadpis2"/>
        <w:jc w:val="left"/>
        <w:rPr>
          <w:rFonts w:ascii="Times New Roman" w:hAnsi="Times New Roman"/>
          <w:color w:val="FF0000"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685FCA" w:rsidRPr="00C1284E" w:rsidRDefault="00AA1CF9" w:rsidP="00C1284E">
      <w:pPr>
        <w:pStyle w:val="Nadpis2"/>
        <w:spacing w:line="276" w:lineRule="auto"/>
        <w:jc w:val="left"/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1306F8">
        <w:rPr>
          <w:rFonts w:ascii="Times New Roman" w:hAnsi="Times New Roman"/>
          <w:color w:val="FF0000"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 w:type="page"/>
      </w:r>
      <w:r w:rsidRPr="00C1284E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lastRenderedPageBreak/>
        <w:t>Nejistoty odhadu</w:t>
      </w:r>
    </w:p>
    <w:p w:rsidR="00685FCA" w:rsidRPr="00C1284E" w:rsidRDefault="00AA1CF9" w:rsidP="00C1284E">
      <w:pPr>
        <w:pStyle w:val="DefaultText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1284E">
        <w:rPr>
          <w:rFonts w:ascii="Arial" w:hAnsi="Arial" w:cs="Arial"/>
          <w:sz w:val="22"/>
          <w:szCs w:val="22"/>
        </w:rPr>
        <w:t xml:space="preserve">Odhad zdravotních rizik je zatížen řadou nejistot, vyplývajících z použitých dat a postupů. </w:t>
      </w:r>
      <w:r w:rsidR="00D068E0" w:rsidRPr="00C1284E">
        <w:rPr>
          <w:rFonts w:ascii="Arial" w:hAnsi="Arial" w:cs="Arial"/>
          <w:sz w:val="22"/>
          <w:szCs w:val="22"/>
        </w:rPr>
        <w:br/>
      </w:r>
      <w:r w:rsidRPr="00C1284E">
        <w:rPr>
          <w:rFonts w:ascii="Arial" w:hAnsi="Arial" w:cs="Arial"/>
          <w:sz w:val="22"/>
          <w:szCs w:val="22"/>
        </w:rPr>
        <w:t>Je to dáno tím, že řada vstupních dat je výsledkem aproximací a modelů, které doplňují chybějící data nutná pro vyhodnocení. Proto je jejich popis nedílnou součást</w:t>
      </w:r>
      <w:r w:rsidRPr="00C1284E">
        <w:rPr>
          <w:rFonts w:ascii="Arial" w:hAnsi="Arial" w:cs="Arial"/>
          <w:sz w:val="22"/>
          <w:szCs w:val="22"/>
        </w:rPr>
        <w:t xml:space="preserve">í odhadu a je potřeba mít je na vědomí při jakémkoliv dalším používání uvedených závěrů. Provedený odhad rizika vybraných látek z ovzduší je zatížen následujícími nejistotami: </w:t>
      </w:r>
    </w:p>
    <w:p w:rsidR="00AA0970" w:rsidRPr="00C1284E" w:rsidRDefault="00AA1CF9" w:rsidP="00C1284E">
      <w:pPr>
        <w:pStyle w:val="Znaka"/>
        <w:numPr>
          <w:ilvl w:val="0"/>
          <w:numId w:val="1"/>
        </w:numPr>
        <w:tabs>
          <w:tab w:val="clear" w:pos="288"/>
          <w:tab w:val="left" w:pos="426"/>
          <w:tab w:val="left" w:pos="85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284E">
        <w:rPr>
          <w:rFonts w:ascii="Arial" w:hAnsi="Arial" w:cs="Arial"/>
          <w:sz w:val="22"/>
          <w:szCs w:val="22"/>
        </w:rPr>
        <w:t>Odhad předčasné úmrtnosti vychází ze studií, ve kterých byly pro charakterizaci</w:t>
      </w:r>
      <w:r w:rsidRPr="00C1284E">
        <w:rPr>
          <w:rFonts w:ascii="Arial" w:hAnsi="Arial" w:cs="Arial"/>
          <w:sz w:val="22"/>
          <w:szCs w:val="22"/>
        </w:rPr>
        <w:t xml:space="preserve"> znečištění ovzduší použity výsledky měření suspendovaných částic frakce PM</w:t>
      </w:r>
      <w:r w:rsidRPr="00C1284E">
        <w:rPr>
          <w:rFonts w:ascii="Arial" w:hAnsi="Arial" w:cs="Arial"/>
          <w:sz w:val="22"/>
          <w:szCs w:val="22"/>
          <w:vertAlign w:val="subscript"/>
        </w:rPr>
        <w:t>2,5</w:t>
      </w:r>
      <w:r w:rsidRPr="00C1284E">
        <w:rPr>
          <w:rFonts w:ascii="Arial" w:hAnsi="Arial" w:cs="Arial"/>
          <w:sz w:val="22"/>
          <w:szCs w:val="22"/>
        </w:rPr>
        <w:t>. Tam, kde je k dispozici pouze informace o frakci PM</w:t>
      </w:r>
      <w:r w:rsidRPr="00C1284E">
        <w:rPr>
          <w:rFonts w:ascii="Arial" w:hAnsi="Arial" w:cs="Arial"/>
          <w:sz w:val="22"/>
          <w:szCs w:val="22"/>
          <w:vertAlign w:val="subscript"/>
        </w:rPr>
        <w:t>10</w:t>
      </w:r>
      <w:r w:rsidRPr="00C1284E">
        <w:rPr>
          <w:rFonts w:ascii="Arial" w:hAnsi="Arial" w:cs="Arial"/>
          <w:sz w:val="22"/>
          <w:szCs w:val="22"/>
        </w:rPr>
        <w:t xml:space="preserve">, je podle doporučení WHO </w:t>
      </w:r>
      <w:r w:rsidR="00271D5F" w:rsidRPr="00C1284E">
        <w:rPr>
          <w:rFonts w:ascii="Arial" w:hAnsi="Arial" w:cs="Arial"/>
          <w:sz w:val="22"/>
          <w:szCs w:val="22"/>
        </w:rPr>
        <w:t>výpočet</w:t>
      </w:r>
      <w:r w:rsidRPr="00C1284E">
        <w:rPr>
          <w:rFonts w:ascii="Arial" w:hAnsi="Arial" w:cs="Arial"/>
          <w:sz w:val="22"/>
          <w:szCs w:val="22"/>
        </w:rPr>
        <w:t xml:space="preserve"> uprav</w:t>
      </w:r>
      <w:r w:rsidR="00271D5F" w:rsidRPr="00C1284E">
        <w:rPr>
          <w:rFonts w:ascii="Arial" w:hAnsi="Arial" w:cs="Arial"/>
          <w:sz w:val="22"/>
          <w:szCs w:val="22"/>
        </w:rPr>
        <w:t>en</w:t>
      </w:r>
      <w:r w:rsidRPr="00C1284E">
        <w:rPr>
          <w:rFonts w:ascii="Arial" w:hAnsi="Arial" w:cs="Arial"/>
          <w:sz w:val="22"/>
          <w:szCs w:val="22"/>
        </w:rPr>
        <w:t xml:space="preserve"> podle národních podmínek. </w:t>
      </w:r>
      <w:r w:rsidR="00271D5F" w:rsidRPr="00C1284E">
        <w:rPr>
          <w:rFonts w:ascii="Arial" w:hAnsi="Arial" w:cs="Arial"/>
          <w:sz w:val="22"/>
          <w:szCs w:val="22"/>
        </w:rPr>
        <w:t>Ty vychází z vyhodnocení</w:t>
      </w:r>
      <w:r w:rsidR="00582067" w:rsidRPr="00C1284E">
        <w:rPr>
          <w:rFonts w:ascii="Arial" w:hAnsi="Arial" w:cs="Arial"/>
          <w:sz w:val="22"/>
          <w:szCs w:val="22"/>
        </w:rPr>
        <w:t xml:space="preserve"> dlouhodobější</w:t>
      </w:r>
      <w:r w:rsidR="00271D5F" w:rsidRPr="00C1284E">
        <w:rPr>
          <w:rFonts w:ascii="Arial" w:hAnsi="Arial" w:cs="Arial"/>
          <w:sz w:val="22"/>
          <w:szCs w:val="22"/>
        </w:rPr>
        <w:t>ho</w:t>
      </w:r>
      <w:r w:rsidR="00582067" w:rsidRPr="00C1284E">
        <w:rPr>
          <w:rFonts w:ascii="Arial" w:hAnsi="Arial" w:cs="Arial"/>
          <w:sz w:val="22"/>
          <w:szCs w:val="22"/>
        </w:rPr>
        <w:t xml:space="preserve"> souběžné</w:t>
      </w:r>
      <w:r w:rsidR="00271D5F" w:rsidRPr="00C1284E">
        <w:rPr>
          <w:rFonts w:ascii="Arial" w:hAnsi="Arial" w:cs="Arial"/>
          <w:sz w:val="22"/>
          <w:szCs w:val="22"/>
        </w:rPr>
        <w:t>ho</w:t>
      </w:r>
      <w:r w:rsidR="00582067" w:rsidRPr="00C1284E">
        <w:rPr>
          <w:rFonts w:ascii="Arial" w:hAnsi="Arial" w:cs="Arial"/>
          <w:sz w:val="22"/>
          <w:szCs w:val="22"/>
        </w:rPr>
        <w:t xml:space="preserve"> měření frakcí</w:t>
      </w:r>
      <w:r w:rsidR="00271D5F" w:rsidRPr="00C1284E">
        <w:rPr>
          <w:rFonts w:ascii="Arial" w:hAnsi="Arial" w:cs="Arial"/>
          <w:sz w:val="22"/>
          <w:szCs w:val="22"/>
        </w:rPr>
        <w:t xml:space="preserve"> PM</w:t>
      </w:r>
      <w:r w:rsidR="00271D5F" w:rsidRPr="00C1284E">
        <w:rPr>
          <w:rFonts w:ascii="Arial" w:hAnsi="Arial" w:cs="Arial"/>
          <w:sz w:val="22"/>
          <w:szCs w:val="22"/>
          <w:vertAlign w:val="subscript"/>
        </w:rPr>
        <w:t>10</w:t>
      </w:r>
      <w:r w:rsidR="00271D5F" w:rsidRPr="00C1284E">
        <w:rPr>
          <w:rFonts w:ascii="Arial" w:hAnsi="Arial" w:cs="Arial"/>
          <w:sz w:val="22"/>
          <w:szCs w:val="22"/>
        </w:rPr>
        <w:t xml:space="preserve"> a PM</w:t>
      </w:r>
      <w:r w:rsidR="00271D5F" w:rsidRPr="00C1284E">
        <w:rPr>
          <w:rFonts w:ascii="Arial" w:hAnsi="Arial" w:cs="Arial"/>
          <w:sz w:val="22"/>
          <w:szCs w:val="22"/>
          <w:vertAlign w:val="subscript"/>
        </w:rPr>
        <w:t>2,5</w:t>
      </w:r>
      <w:r w:rsidR="00582067" w:rsidRPr="00C1284E">
        <w:rPr>
          <w:rFonts w:ascii="Arial" w:hAnsi="Arial" w:cs="Arial"/>
          <w:sz w:val="22"/>
          <w:szCs w:val="22"/>
        </w:rPr>
        <w:t xml:space="preserve">. </w:t>
      </w:r>
      <w:r w:rsidRPr="00C1284E">
        <w:rPr>
          <w:rFonts w:ascii="Arial" w:hAnsi="Arial" w:cs="Arial"/>
          <w:sz w:val="22"/>
          <w:szCs w:val="22"/>
        </w:rPr>
        <w:t>Z dat za období 2006 až 201</w:t>
      </w:r>
      <w:r w:rsidR="00BE6636" w:rsidRPr="00C1284E">
        <w:rPr>
          <w:rFonts w:ascii="Arial" w:hAnsi="Arial" w:cs="Arial"/>
          <w:sz w:val="22"/>
          <w:szCs w:val="22"/>
        </w:rPr>
        <w:t>8</w:t>
      </w:r>
      <w:r w:rsidRPr="00C1284E">
        <w:rPr>
          <w:rFonts w:ascii="Arial" w:hAnsi="Arial" w:cs="Arial"/>
          <w:sz w:val="22"/>
          <w:szCs w:val="22"/>
        </w:rPr>
        <w:t xml:space="preserve"> je možno odvodit, že střední hodnota zastoupení frakce PM</w:t>
      </w:r>
      <w:r w:rsidRPr="00C1284E">
        <w:rPr>
          <w:rFonts w:ascii="Arial" w:hAnsi="Arial" w:cs="Arial"/>
          <w:sz w:val="22"/>
          <w:szCs w:val="22"/>
          <w:vertAlign w:val="subscript"/>
        </w:rPr>
        <w:t>2,5</w:t>
      </w:r>
      <w:r w:rsidRPr="00C1284E">
        <w:rPr>
          <w:rFonts w:ascii="Arial" w:hAnsi="Arial" w:cs="Arial"/>
          <w:sz w:val="22"/>
          <w:szCs w:val="22"/>
        </w:rPr>
        <w:t xml:space="preserve"> ve frakci PM</w:t>
      </w:r>
      <w:r w:rsidRPr="00C1284E">
        <w:rPr>
          <w:rFonts w:ascii="Arial" w:hAnsi="Arial" w:cs="Arial"/>
          <w:sz w:val="22"/>
          <w:szCs w:val="22"/>
          <w:vertAlign w:val="subscript"/>
        </w:rPr>
        <w:t>10</w:t>
      </w:r>
      <w:r w:rsidRPr="00C1284E">
        <w:rPr>
          <w:rFonts w:ascii="Arial" w:hAnsi="Arial" w:cs="Arial"/>
          <w:sz w:val="22"/>
          <w:szCs w:val="22"/>
        </w:rPr>
        <w:t xml:space="preserve"> </w:t>
      </w:r>
      <w:r w:rsidR="00271D5F" w:rsidRPr="00C1284E">
        <w:rPr>
          <w:rFonts w:ascii="Arial" w:hAnsi="Arial" w:cs="Arial"/>
          <w:sz w:val="22"/>
          <w:szCs w:val="22"/>
        </w:rPr>
        <w:t>je</w:t>
      </w:r>
      <w:r w:rsidR="00582067" w:rsidRPr="00C1284E">
        <w:rPr>
          <w:rFonts w:ascii="Arial" w:hAnsi="Arial" w:cs="Arial"/>
          <w:sz w:val="22"/>
          <w:szCs w:val="22"/>
        </w:rPr>
        <w:t xml:space="preserve"> </w:t>
      </w:r>
      <w:r w:rsidRPr="00C1284E">
        <w:rPr>
          <w:rFonts w:ascii="Arial" w:hAnsi="Arial" w:cs="Arial"/>
          <w:sz w:val="22"/>
          <w:szCs w:val="22"/>
        </w:rPr>
        <w:t xml:space="preserve">přibližně 75 %. </w:t>
      </w:r>
      <w:r w:rsidR="00582067" w:rsidRPr="00C1284E">
        <w:rPr>
          <w:rFonts w:ascii="Arial" w:hAnsi="Arial" w:cs="Arial"/>
          <w:b/>
          <w:sz w:val="22"/>
          <w:szCs w:val="22"/>
        </w:rPr>
        <w:t xml:space="preserve">Pro Českou republiku </w:t>
      </w:r>
      <w:r w:rsidR="00271D5F" w:rsidRPr="00C1284E">
        <w:rPr>
          <w:rFonts w:ascii="Arial" w:hAnsi="Arial" w:cs="Arial"/>
          <w:b/>
          <w:sz w:val="22"/>
          <w:szCs w:val="22"/>
        </w:rPr>
        <w:t xml:space="preserve">tedy lze </w:t>
      </w:r>
      <w:r w:rsidR="00582067" w:rsidRPr="00C1284E">
        <w:rPr>
          <w:rFonts w:ascii="Arial" w:hAnsi="Arial" w:cs="Arial"/>
          <w:b/>
          <w:sz w:val="22"/>
          <w:szCs w:val="22"/>
        </w:rPr>
        <w:t xml:space="preserve">pro </w:t>
      </w:r>
      <w:r w:rsidR="00271D5F" w:rsidRPr="00C1284E">
        <w:rPr>
          <w:rFonts w:ascii="Arial" w:hAnsi="Arial" w:cs="Arial"/>
          <w:b/>
          <w:sz w:val="22"/>
          <w:szCs w:val="22"/>
        </w:rPr>
        <w:t>odhad</w:t>
      </w:r>
      <w:r w:rsidR="00582067" w:rsidRPr="00C1284E">
        <w:rPr>
          <w:rFonts w:ascii="Arial" w:hAnsi="Arial" w:cs="Arial"/>
          <w:b/>
          <w:sz w:val="22"/>
          <w:szCs w:val="22"/>
        </w:rPr>
        <w:t xml:space="preserve"> </w:t>
      </w:r>
      <w:r w:rsidRPr="00C1284E">
        <w:rPr>
          <w:rFonts w:ascii="Arial" w:hAnsi="Arial" w:cs="Arial"/>
          <w:b/>
          <w:sz w:val="22"/>
          <w:szCs w:val="22"/>
        </w:rPr>
        <w:t xml:space="preserve">navýšení předčasné úmrtnosti pro zvýšení hmotnostní koncentrace </w:t>
      </w:r>
      <w:r w:rsidRPr="00C1284E">
        <w:rPr>
          <w:rFonts w:ascii="Arial" w:hAnsi="Arial" w:cs="Arial"/>
          <w:b/>
          <w:sz w:val="22"/>
          <w:szCs w:val="22"/>
        </w:rPr>
        <w:t>frakce PM</w:t>
      </w:r>
      <w:r w:rsidRPr="00C1284E">
        <w:rPr>
          <w:rFonts w:ascii="Arial" w:hAnsi="Arial" w:cs="Arial"/>
          <w:b/>
          <w:sz w:val="22"/>
          <w:szCs w:val="22"/>
          <w:vertAlign w:val="subscript"/>
        </w:rPr>
        <w:t>10</w:t>
      </w:r>
      <w:r w:rsidRPr="00C1284E">
        <w:rPr>
          <w:rFonts w:ascii="Arial" w:hAnsi="Arial" w:cs="Arial"/>
          <w:b/>
          <w:sz w:val="22"/>
          <w:szCs w:val="22"/>
        </w:rPr>
        <w:t xml:space="preserve"> o každých 10 µg/m</w:t>
      </w:r>
      <w:r w:rsidRPr="00C1284E">
        <w:rPr>
          <w:rFonts w:ascii="Arial" w:hAnsi="Arial" w:cs="Arial"/>
          <w:b/>
          <w:sz w:val="22"/>
          <w:szCs w:val="22"/>
          <w:vertAlign w:val="superscript"/>
        </w:rPr>
        <w:t>3</w:t>
      </w:r>
      <w:r w:rsidR="00271D5F" w:rsidRPr="00C1284E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271D5F" w:rsidRPr="00C1284E">
        <w:rPr>
          <w:rFonts w:ascii="Arial" w:hAnsi="Arial" w:cs="Arial"/>
          <w:b/>
          <w:sz w:val="22"/>
          <w:szCs w:val="22"/>
        </w:rPr>
        <w:t>používat faktor 4,</w:t>
      </w:r>
      <w:r w:rsidR="00BE6636" w:rsidRPr="00C1284E">
        <w:rPr>
          <w:rFonts w:ascii="Arial" w:hAnsi="Arial" w:cs="Arial"/>
          <w:b/>
          <w:sz w:val="22"/>
          <w:szCs w:val="22"/>
        </w:rPr>
        <w:t>65</w:t>
      </w:r>
      <w:r w:rsidR="00271D5F" w:rsidRPr="00C1284E">
        <w:rPr>
          <w:rFonts w:ascii="Arial" w:hAnsi="Arial" w:cs="Arial"/>
          <w:b/>
          <w:sz w:val="22"/>
          <w:szCs w:val="22"/>
        </w:rPr>
        <w:t xml:space="preserve"> % (místo 3</w:t>
      </w:r>
      <w:r w:rsidR="00F05C6E" w:rsidRPr="00C1284E">
        <w:rPr>
          <w:rFonts w:ascii="Arial" w:hAnsi="Arial" w:cs="Arial"/>
          <w:b/>
          <w:sz w:val="22"/>
          <w:szCs w:val="22"/>
        </w:rPr>
        <w:t>,1</w:t>
      </w:r>
      <w:r w:rsidR="00271D5F" w:rsidRPr="00C1284E">
        <w:rPr>
          <w:rFonts w:ascii="Arial" w:hAnsi="Arial" w:cs="Arial"/>
          <w:b/>
          <w:sz w:val="22"/>
          <w:szCs w:val="22"/>
        </w:rPr>
        <w:t xml:space="preserve"> %) </w:t>
      </w:r>
      <w:r w:rsidR="002E6AF6" w:rsidRPr="00C1284E">
        <w:rPr>
          <w:rFonts w:ascii="Arial" w:hAnsi="Arial" w:cs="Arial"/>
          <w:b/>
          <w:sz w:val="22"/>
          <w:szCs w:val="22"/>
        </w:rPr>
        <w:br/>
      </w:r>
      <w:r w:rsidR="00271D5F" w:rsidRPr="00C1284E">
        <w:rPr>
          <w:rFonts w:ascii="Arial" w:hAnsi="Arial" w:cs="Arial"/>
          <w:b/>
          <w:sz w:val="22"/>
          <w:szCs w:val="22"/>
        </w:rPr>
        <w:t xml:space="preserve">a </w:t>
      </w:r>
      <w:r w:rsidRPr="00C1284E">
        <w:rPr>
          <w:rFonts w:ascii="Arial" w:hAnsi="Arial" w:cs="Arial"/>
          <w:b/>
          <w:sz w:val="22"/>
          <w:szCs w:val="22"/>
        </w:rPr>
        <w:t xml:space="preserve">adekvátně </w:t>
      </w:r>
      <w:r w:rsidR="00271D5F" w:rsidRPr="00C1284E">
        <w:rPr>
          <w:rFonts w:ascii="Arial" w:hAnsi="Arial" w:cs="Arial"/>
          <w:b/>
          <w:sz w:val="22"/>
          <w:szCs w:val="22"/>
        </w:rPr>
        <w:t>lze odvodit i</w:t>
      </w:r>
      <w:r w:rsidRPr="00C1284E">
        <w:rPr>
          <w:rFonts w:ascii="Arial" w:hAnsi="Arial" w:cs="Arial"/>
          <w:b/>
          <w:sz w:val="22"/>
          <w:szCs w:val="22"/>
        </w:rPr>
        <w:t xml:space="preserve"> spodní koncentrační hranic</w:t>
      </w:r>
      <w:r w:rsidR="00271D5F" w:rsidRPr="00C1284E">
        <w:rPr>
          <w:rFonts w:ascii="Arial" w:hAnsi="Arial" w:cs="Arial"/>
          <w:b/>
          <w:sz w:val="22"/>
          <w:szCs w:val="22"/>
        </w:rPr>
        <w:t>i</w:t>
      </w:r>
      <w:r w:rsidRPr="00C1284E">
        <w:rPr>
          <w:rFonts w:ascii="Arial" w:hAnsi="Arial" w:cs="Arial"/>
          <w:b/>
          <w:sz w:val="22"/>
          <w:szCs w:val="22"/>
        </w:rPr>
        <w:t xml:space="preserve"> </w:t>
      </w:r>
      <w:r w:rsidR="00271D5F" w:rsidRPr="00C1284E">
        <w:rPr>
          <w:rFonts w:ascii="Arial" w:hAnsi="Arial" w:cs="Arial"/>
          <w:b/>
          <w:sz w:val="22"/>
          <w:szCs w:val="22"/>
        </w:rPr>
        <w:t>PM</w:t>
      </w:r>
      <w:r w:rsidR="00271D5F" w:rsidRPr="00C1284E">
        <w:rPr>
          <w:rFonts w:ascii="Arial" w:hAnsi="Arial" w:cs="Arial"/>
          <w:b/>
          <w:sz w:val="22"/>
          <w:szCs w:val="22"/>
          <w:vertAlign w:val="subscript"/>
        </w:rPr>
        <w:t>10</w:t>
      </w:r>
      <w:r w:rsidR="00271D5F" w:rsidRPr="00C1284E">
        <w:rPr>
          <w:rFonts w:ascii="Arial" w:hAnsi="Arial" w:cs="Arial"/>
          <w:b/>
          <w:sz w:val="22"/>
          <w:szCs w:val="22"/>
        </w:rPr>
        <w:t xml:space="preserve"> </w:t>
      </w:r>
      <w:r w:rsidRPr="00C1284E">
        <w:rPr>
          <w:rFonts w:ascii="Arial" w:hAnsi="Arial" w:cs="Arial"/>
          <w:b/>
          <w:sz w:val="22"/>
          <w:szCs w:val="22"/>
        </w:rPr>
        <w:t>na</w:t>
      </w:r>
      <w:r w:rsidR="00271D5F" w:rsidRPr="00C1284E">
        <w:rPr>
          <w:rFonts w:ascii="Arial" w:hAnsi="Arial" w:cs="Arial"/>
          <w:b/>
          <w:sz w:val="22"/>
          <w:szCs w:val="22"/>
        </w:rPr>
        <w:t xml:space="preserve"> úrovni </w:t>
      </w:r>
      <w:r w:rsidRPr="00C1284E">
        <w:rPr>
          <w:rFonts w:ascii="Arial" w:hAnsi="Arial" w:cs="Arial"/>
          <w:b/>
          <w:sz w:val="22"/>
          <w:szCs w:val="22"/>
        </w:rPr>
        <w:t>1</w:t>
      </w:r>
      <w:r w:rsidR="006A5D59" w:rsidRPr="00C1284E">
        <w:rPr>
          <w:rFonts w:ascii="Arial" w:hAnsi="Arial" w:cs="Arial"/>
          <w:b/>
          <w:sz w:val="22"/>
          <w:szCs w:val="22"/>
        </w:rPr>
        <w:t>3,3</w:t>
      </w:r>
      <w:r w:rsidRPr="00C1284E">
        <w:rPr>
          <w:rFonts w:ascii="Arial" w:hAnsi="Arial" w:cs="Arial"/>
          <w:b/>
          <w:sz w:val="22"/>
          <w:szCs w:val="22"/>
        </w:rPr>
        <w:t xml:space="preserve"> µg/m</w:t>
      </w:r>
      <w:r w:rsidRPr="00C1284E">
        <w:rPr>
          <w:rFonts w:ascii="Arial" w:hAnsi="Arial" w:cs="Arial"/>
          <w:b/>
          <w:sz w:val="22"/>
          <w:szCs w:val="22"/>
          <w:vertAlign w:val="superscript"/>
        </w:rPr>
        <w:t>3</w:t>
      </w:r>
      <w:r w:rsidR="00BE6636" w:rsidRPr="00C1284E">
        <w:rPr>
          <w:rFonts w:ascii="Arial" w:hAnsi="Arial" w:cs="Arial"/>
          <w:b/>
          <w:sz w:val="22"/>
          <w:szCs w:val="22"/>
        </w:rPr>
        <w:t>.</w:t>
      </w:r>
    </w:p>
    <w:p w:rsidR="00685FCA" w:rsidRPr="00C1284E" w:rsidRDefault="00AA1CF9" w:rsidP="00C1284E">
      <w:pPr>
        <w:pStyle w:val="Znaka"/>
        <w:numPr>
          <w:ilvl w:val="0"/>
          <w:numId w:val="1"/>
        </w:numPr>
        <w:tabs>
          <w:tab w:val="clear" w:pos="288"/>
          <w:tab w:val="left" w:pos="426"/>
          <w:tab w:val="left" w:pos="85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284E">
        <w:rPr>
          <w:rFonts w:ascii="Arial" w:hAnsi="Arial" w:cs="Arial"/>
          <w:sz w:val="22"/>
          <w:szCs w:val="22"/>
        </w:rPr>
        <w:t xml:space="preserve">Karcinogenní riziko hodnocené pomocí jednotek rizika odvozených lineární extrapolací z působení vysokých </w:t>
      </w:r>
      <w:r w:rsidRPr="00C1284E">
        <w:rPr>
          <w:rFonts w:ascii="Arial" w:hAnsi="Arial" w:cs="Arial"/>
          <w:sz w:val="22"/>
          <w:szCs w:val="22"/>
        </w:rPr>
        <w:t>koncentrací nemusí odpovídat nízkým expozičním koncentracím, které se vyskytují ve venkovním ovzduší. Přesto je stan</w:t>
      </w:r>
      <w:r w:rsidR="0081452F" w:rsidRPr="00C1284E">
        <w:rPr>
          <w:rFonts w:ascii="Arial" w:hAnsi="Arial" w:cs="Arial"/>
          <w:sz w:val="22"/>
          <w:szCs w:val="22"/>
        </w:rPr>
        <w:t xml:space="preserve">dardně používáno s vědomím, že </w:t>
      </w:r>
      <w:r w:rsidRPr="00C1284E">
        <w:rPr>
          <w:rFonts w:ascii="Arial" w:hAnsi="Arial" w:cs="Arial"/>
          <w:sz w:val="22"/>
          <w:szCs w:val="22"/>
        </w:rPr>
        <w:t>představuje horní mez odhadu rizika a reálné riziko je pravděpodobně nižší.</w:t>
      </w:r>
    </w:p>
    <w:p w:rsidR="00685FCA" w:rsidRPr="00C1284E" w:rsidRDefault="00AA1CF9" w:rsidP="00C1284E">
      <w:pPr>
        <w:pStyle w:val="Znaka"/>
        <w:numPr>
          <w:ilvl w:val="0"/>
          <w:numId w:val="1"/>
        </w:numPr>
        <w:tabs>
          <w:tab w:val="clear" w:pos="288"/>
          <w:tab w:val="left" w:pos="426"/>
          <w:tab w:val="left" w:pos="85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284E">
        <w:rPr>
          <w:rFonts w:ascii="Arial" w:hAnsi="Arial" w:cs="Arial"/>
          <w:sz w:val="22"/>
          <w:szCs w:val="22"/>
        </w:rPr>
        <w:t>Použitý screeningový expoziční sc</w:t>
      </w:r>
      <w:r w:rsidRPr="00C1284E">
        <w:rPr>
          <w:rFonts w:ascii="Arial" w:hAnsi="Arial" w:cs="Arial"/>
          <w:sz w:val="22"/>
          <w:szCs w:val="22"/>
        </w:rPr>
        <w:t xml:space="preserve">énář uvažuje nejnepříznivější variantu (horní mez), která předpokládá, že lidé jsou vystaveni hodnoceným koncentracím celých 24 hodin. Tento přístup může nadhodnocovat míru rizika z venkovního ovzduší. </w:t>
      </w:r>
      <w:r w:rsidR="00C31C55" w:rsidRPr="00C1284E">
        <w:rPr>
          <w:rFonts w:ascii="Arial" w:hAnsi="Arial" w:cs="Arial"/>
          <w:sz w:val="22"/>
          <w:szCs w:val="22"/>
        </w:rPr>
        <w:t xml:space="preserve">Ve speciálních případech, kdy </w:t>
      </w:r>
      <w:r w:rsidRPr="00C1284E">
        <w:rPr>
          <w:rFonts w:ascii="Arial" w:hAnsi="Arial" w:cs="Arial"/>
          <w:sz w:val="22"/>
          <w:szCs w:val="22"/>
        </w:rPr>
        <w:t>hodnocen</w:t>
      </w:r>
      <w:r w:rsidR="00C31C55" w:rsidRPr="00C1284E">
        <w:rPr>
          <w:rFonts w:ascii="Arial" w:hAnsi="Arial" w:cs="Arial"/>
          <w:sz w:val="22"/>
          <w:szCs w:val="22"/>
        </w:rPr>
        <w:t>í</w:t>
      </w:r>
      <w:r w:rsidRPr="00C1284E">
        <w:rPr>
          <w:rFonts w:ascii="Arial" w:hAnsi="Arial" w:cs="Arial"/>
          <w:sz w:val="22"/>
          <w:szCs w:val="22"/>
        </w:rPr>
        <w:t xml:space="preserve"> celoživotní ex</w:t>
      </w:r>
      <w:r w:rsidRPr="00C1284E">
        <w:rPr>
          <w:rFonts w:ascii="Arial" w:hAnsi="Arial" w:cs="Arial"/>
          <w:sz w:val="22"/>
          <w:szCs w:val="22"/>
        </w:rPr>
        <w:t xml:space="preserve">pozice z venkovního ovzduší (70 let) </w:t>
      </w:r>
      <w:r w:rsidR="00C267E3" w:rsidRPr="00C1284E">
        <w:rPr>
          <w:rFonts w:ascii="Arial" w:hAnsi="Arial" w:cs="Arial"/>
          <w:sz w:val="22"/>
          <w:szCs w:val="22"/>
        </w:rPr>
        <w:t xml:space="preserve">vychází </w:t>
      </w:r>
      <w:r w:rsidR="00D068E0" w:rsidRPr="00C1284E">
        <w:rPr>
          <w:rFonts w:ascii="Arial" w:hAnsi="Arial" w:cs="Arial"/>
          <w:sz w:val="22"/>
          <w:szCs w:val="22"/>
        </w:rPr>
        <w:br/>
      </w:r>
      <w:r w:rsidR="00C267E3" w:rsidRPr="00C1284E">
        <w:rPr>
          <w:rFonts w:ascii="Arial" w:hAnsi="Arial" w:cs="Arial"/>
          <w:sz w:val="22"/>
          <w:szCs w:val="22"/>
        </w:rPr>
        <w:t>z odhadu</w:t>
      </w:r>
      <w:r w:rsidR="00C31C55" w:rsidRPr="00C1284E">
        <w:rPr>
          <w:rFonts w:ascii="Arial" w:hAnsi="Arial" w:cs="Arial"/>
          <w:sz w:val="22"/>
          <w:szCs w:val="22"/>
        </w:rPr>
        <w:t xml:space="preserve"> skutečné </w:t>
      </w:r>
      <w:r w:rsidRPr="00C1284E">
        <w:rPr>
          <w:rFonts w:ascii="Arial" w:hAnsi="Arial" w:cs="Arial"/>
          <w:sz w:val="22"/>
          <w:szCs w:val="22"/>
        </w:rPr>
        <w:t>střední dob</w:t>
      </w:r>
      <w:r w:rsidR="00C31C55" w:rsidRPr="00C1284E">
        <w:rPr>
          <w:rFonts w:ascii="Arial" w:hAnsi="Arial" w:cs="Arial"/>
          <w:sz w:val="22"/>
          <w:szCs w:val="22"/>
        </w:rPr>
        <w:t>y pobytu lidí ve venkovním prostředí</w:t>
      </w:r>
      <w:r w:rsidRPr="00C1284E">
        <w:rPr>
          <w:rFonts w:ascii="Arial" w:hAnsi="Arial" w:cs="Arial"/>
          <w:sz w:val="22"/>
          <w:szCs w:val="22"/>
        </w:rPr>
        <w:t xml:space="preserve"> </w:t>
      </w:r>
      <w:r w:rsidR="00C267E3" w:rsidRPr="00C1284E">
        <w:rPr>
          <w:rFonts w:ascii="Arial" w:hAnsi="Arial" w:cs="Arial"/>
          <w:sz w:val="22"/>
          <w:szCs w:val="22"/>
        </w:rPr>
        <w:t>(</w:t>
      </w:r>
      <w:r w:rsidRPr="00C1284E">
        <w:rPr>
          <w:rFonts w:ascii="Arial" w:hAnsi="Arial" w:cs="Arial"/>
          <w:sz w:val="22"/>
          <w:szCs w:val="22"/>
        </w:rPr>
        <w:t>2 hodiny/24 hodin</w:t>
      </w:r>
      <w:r w:rsidR="00C267E3" w:rsidRPr="00C1284E">
        <w:rPr>
          <w:rFonts w:ascii="Arial" w:hAnsi="Arial" w:cs="Arial"/>
          <w:sz w:val="22"/>
          <w:szCs w:val="22"/>
        </w:rPr>
        <w:t>)</w:t>
      </w:r>
      <w:r w:rsidR="00C31C55" w:rsidRPr="00C1284E">
        <w:rPr>
          <w:rFonts w:ascii="Arial" w:hAnsi="Arial" w:cs="Arial"/>
          <w:sz w:val="22"/>
          <w:szCs w:val="22"/>
        </w:rPr>
        <w:t>,</w:t>
      </w:r>
      <w:r w:rsidRPr="00C1284E">
        <w:rPr>
          <w:rFonts w:ascii="Arial" w:hAnsi="Arial" w:cs="Arial"/>
          <w:sz w:val="22"/>
          <w:szCs w:val="22"/>
        </w:rPr>
        <w:t xml:space="preserve"> je zapotřebí vynásobit uváděné hodnoty koeficientem 0,083.</w:t>
      </w:r>
      <w:r w:rsidR="00C31C55" w:rsidRPr="00C1284E">
        <w:rPr>
          <w:rFonts w:ascii="Arial" w:hAnsi="Arial" w:cs="Arial"/>
          <w:sz w:val="22"/>
          <w:szCs w:val="22"/>
        </w:rPr>
        <w:t xml:space="preserve"> Při tomto přístupu ovšem chybí v expozičním scénáři expozice z vnitřního prostředí.  </w:t>
      </w:r>
      <w:r w:rsidRPr="00C1284E">
        <w:rPr>
          <w:rFonts w:ascii="Arial" w:hAnsi="Arial" w:cs="Arial"/>
          <w:sz w:val="22"/>
          <w:szCs w:val="22"/>
        </w:rPr>
        <w:t xml:space="preserve"> </w:t>
      </w:r>
    </w:p>
    <w:p w:rsidR="00685FCA" w:rsidRPr="00C1284E" w:rsidRDefault="00AA1CF9" w:rsidP="00C1284E">
      <w:pPr>
        <w:pStyle w:val="Znaka"/>
        <w:numPr>
          <w:ilvl w:val="0"/>
          <w:numId w:val="1"/>
        </w:numPr>
        <w:tabs>
          <w:tab w:val="clear" w:pos="288"/>
          <w:tab w:val="left" w:pos="426"/>
          <w:tab w:val="left" w:pos="85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284E">
        <w:rPr>
          <w:rFonts w:ascii="Arial" w:hAnsi="Arial" w:cs="Arial"/>
          <w:sz w:val="22"/>
          <w:szCs w:val="22"/>
        </w:rPr>
        <w:t>Jako expoziční koncentrace je brána střední hodnota z koncentrací změřených na stacionárních stanicích charakterizujících určitý definovaný typ městské lokality</w:t>
      </w:r>
      <w:r w:rsidR="002E6AF6" w:rsidRPr="00C1284E">
        <w:rPr>
          <w:rFonts w:ascii="Arial" w:hAnsi="Arial" w:cs="Arial"/>
          <w:sz w:val="22"/>
          <w:szCs w:val="22"/>
        </w:rPr>
        <w:t>/kategorie</w:t>
      </w:r>
      <w:r w:rsidRPr="00C1284E">
        <w:rPr>
          <w:rFonts w:ascii="Arial" w:hAnsi="Arial" w:cs="Arial"/>
          <w:sz w:val="22"/>
          <w:szCs w:val="22"/>
        </w:rPr>
        <w:t xml:space="preserve">, kterou </w:t>
      </w:r>
      <w:r w:rsidR="002E6AF6" w:rsidRPr="00C1284E">
        <w:rPr>
          <w:rFonts w:ascii="Arial" w:hAnsi="Arial" w:cs="Arial"/>
          <w:sz w:val="22"/>
          <w:szCs w:val="22"/>
        </w:rPr>
        <w:t xml:space="preserve">ale </w:t>
      </w:r>
      <w:r w:rsidRPr="00C1284E">
        <w:rPr>
          <w:rFonts w:ascii="Arial" w:hAnsi="Arial" w:cs="Arial"/>
          <w:sz w:val="22"/>
          <w:szCs w:val="22"/>
        </w:rPr>
        <w:t>není možno provázat s konkrétním počtem obyvatel</w:t>
      </w:r>
      <w:r w:rsidR="00D3359B" w:rsidRPr="00C1284E">
        <w:rPr>
          <w:rFonts w:ascii="Arial" w:hAnsi="Arial" w:cs="Arial"/>
          <w:sz w:val="22"/>
          <w:szCs w:val="22"/>
        </w:rPr>
        <w:t>, kteří jsou takto exponováni</w:t>
      </w:r>
      <w:r w:rsidRPr="00C1284E">
        <w:rPr>
          <w:rFonts w:ascii="Arial" w:hAnsi="Arial" w:cs="Arial"/>
          <w:sz w:val="22"/>
          <w:szCs w:val="22"/>
        </w:rPr>
        <w:t>.</w:t>
      </w:r>
    </w:p>
    <w:p w:rsidR="00905F3E" w:rsidRPr="00C1284E" w:rsidRDefault="00AA1CF9" w:rsidP="00C1284E">
      <w:pPr>
        <w:pStyle w:val="Znaka"/>
        <w:numPr>
          <w:ilvl w:val="0"/>
          <w:numId w:val="1"/>
        </w:numPr>
        <w:tabs>
          <w:tab w:val="clear" w:pos="288"/>
          <w:tab w:val="left" w:pos="426"/>
          <w:tab w:val="left" w:pos="85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284E">
        <w:rPr>
          <w:rFonts w:ascii="Arial" w:hAnsi="Arial" w:cs="Arial"/>
          <w:sz w:val="22"/>
          <w:szCs w:val="22"/>
        </w:rPr>
        <w:t xml:space="preserve">Nejistota provázející nemožnost odhadnout rizika pro všechny potenciální karcinogenní látky v ovzduší (pro absenci dat a vztahů). </w:t>
      </w:r>
    </w:p>
    <w:p w:rsidR="00685FCA" w:rsidRPr="001306F8" w:rsidRDefault="00685FCA" w:rsidP="00685FCA">
      <w:pPr>
        <w:pStyle w:val="Nadpis2"/>
        <w:jc w:val="left"/>
        <w:rPr>
          <w:rFonts w:ascii="Times New Roman" w:hAnsi="Times New Roman"/>
          <w:b w:val="0"/>
          <w:color w:val="FF0000"/>
          <w:sz w:val="24"/>
          <w:szCs w:val="24"/>
        </w:rPr>
      </w:pPr>
    </w:p>
    <w:p w:rsidR="00685FCA" w:rsidRPr="004E0232" w:rsidRDefault="00AA1CF9" w:rsidP="004E0232">
      <w:pPr>
        <w:pStyle w:val="Nadpis2"/>
        <w:numPr>
          <w:ilvl w:val="0"/>
          <w:numId w:val="13"/>
        </w:numPr>
        <w:spacing w:line="276" w:lineRule="auto"/>
        <w:jc w:val="left"/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</w:pPr>
      <w:bookmarkStart w:id="10" w:name="_Toc45375712"/>
      <w:bookmarkStart w:id="11" w:name="_Toc45375824"/>
      <w:bookmarkStart w:id="12" w:name="_Toc45375895"/>
      <w:bookmarkStart w:id="13" w:name="_Toc45376095"/>
      <w:bookmarkStart w:id="14" w:name="_Toc45591869"/>
      <w:bookmarkStart w:id="15" w:name="_Toc73173844"/>
      <w:bookmarkStart w:id="16" w:name="_Toc73173955"/>
      <w:bookmarkStart w:id="17" w:name="_Toc73174057"/>
      <w:bookmarkStart w:id="18" w:name="_Toc73178233"/>
      <w:bookmarkStart w:id="19" w:name="_Toc73178361"/>
      <w:bookmarkStart w:id="20" w:name="_Toc73415652"/>
      <w:bookmarkStart w:id="21" w:name="_Toc73415716"/>
      <w:bookmarkStart w:id="22" w:name="_Toc170269977"/>
      <w:r w:rsidRPr="001306F8">
        <w:rPr>
          <w:rFonts w:ascii="Times New Roman" w:hAnsi="Times New Roman"/>
          <w:color w:val="FF0000"/>
          <w:sz w:val="28"/>
          <w:szCs w:val="28"/>
        </w:rPr>
        <w:br w:type="page"/>
      </w:r>
      <w:r w:rsidR="00C40CF1" w:rsidRPr="004E0232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Závěr 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640FB4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bookmarkStart w:id="23" w:name="_Toc73174066"/>
      <w:bookmarkStart w:id="24" w:name="_Toc73178242"/>
      <w:bookmarkStart w:id="25" w:name="_Toc73178370"/>
      <w:bookmarkStart w:id="26" w:name="_Toc73415661"/>
      <w:bookmarkStart w:id="27" w:name="_Toc73415726"/>
      <w:bookmarkStart w:id="28" w:name="_Toc76879400"/>
      <w:bookmarkStart w:id="29" w:name="_Toc76879686"/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Odhad zdravotních rizik, na kterých se podílí expozice znečišťujícím látkám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 venkovního ovzduší za rok 201</w:t>
      </w:r>
      <w:r w:rsidR="003326B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8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byl zpracován pro látky, u kterých ve městech dochází k překročení stanovených imisních limitů, tj. pro oxid dusičitý, suspendované částice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a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Hodnocení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 xml:space="preserve">10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zahrnuje i účinky NO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protože tyto dvě znečišťující látky působí společně </w:t>
      </w:r>
      <w:r w:rsidR="003C3238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 nelze kvantifikovat pouze vliv NO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. Samostatnou částí hodnocení zdravotních rizik je pravděpodobnostní odhad navýšení rizika vzniku nádorového onemocnění, vycházející </w:t>
      </w:r>
      <w:r w:rsidR="003326B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z konceptu bezprahového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působení. Toto hodnocení se zpracovává pro vybrané látky s možným karcinogenním účinkem (arsen, nikl</w:t>
      </w:r>
      <w:r w:rsidR="00247FE1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kadmium, benzen </w:t>
      </w:r>
      <w:r w:rsidR="00BA0CE6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suma karcinogenních polycyklických aromatických uhlovodíků </w:t>
      </w:r>
      <w:r w:rsidR="005A141D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–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PAU</w:t>
      </w:r>
      <w:r w:rsidR="005A141D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5A141D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representovaná benzo[</w:t>
      </w:r>
      <w:r w:rsidR="005A141D" w:rsidRPr="004E0232">
        <w:rPr>
          <w:rFonts w:ascii="Arial" w:hAnsi="Arial" w:cs="Arial"/>
          <w:i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</w:t>
      </w:r>
      <w:r w:rsidR="005A141D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]pyrenem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). </w:t>
      </w:r>
    </w:p>
    <w:bookmarkEnd w:id="23"/>
    <w:bookmarkEnd w:id="24"/>
    <w:bookmarkEnd w:id="25"/>
    <w:bookmarkEnd w:id="26"/>
    <w:bookmarkEnd w:id="27"/>
    <w:bookmarkEnd w:id="28"/>
    <w:bookmarkEnd w:id="29"/>
    <w:p w:rsidR="00640FB4" w:rsidRPr="004E0232" w:rsidRDefault="00AA1CF9" w:rsidP="004E0232">
      <w:pPr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Zdravotní riziko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se interpretuje jako pravděpodobnost změny zdravotního stavu exponovaných osob. Výpočet vychází z metodických postupů hodnocení rizik americké Agentury pro ochranu životního prostředí (US EPA) a Světové zdravotnické organizace (WHO) a používá vztahy publi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kované těmito organizacemi na základě rozsáhlého počtu epidemiologických studií a odborných prací z experimentální toxikologie. </w:t>
      </w:r>
    </w:p>
    <w:p w:rsidR="00640FB4" w:rsidRPr="004E0232" w:rsidRDefault="00AA1CF9" w:rsidP="004E0232">
      <w:pPr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Při hodnocení zdravotních rizik se standardně postupuje ve čtyřech následných krocích. Nejprve je identifikována 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zdravotní nebe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zpečnost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tedy to, zda je sledovaná látka, faktor nebo komplexní směs schopná vyvolat nežádoucí zdravotní účinek. Následuje odhad 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dávkové závislosti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tohoto efektu, tedy jak se intenzita, frekvence nebo pravděpodobnost nežádoucích účinků mění s dávkou. Třet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ím a často nejsložitějším krokem v odhadu rizika je 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odhad expozice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to znamená, zda a do jaké míry je populace vystavena působení sledované látky </w:t>
      </w:r>
      <w:r w:rsidR="003326B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či faktoru v daném prostředí. Konečným krokem v odhadu rizika je 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charakterizace rizika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Znamená integraci poznatků vyplývajících ze všech výše zmíněných kroků, včetně zvážení všech nejistot, závažnosti i slabých stránek použitých podkladových materiálů. Cílem je dospět, pokud to dostupné informace umožňují, ke kvantitativnímu vyjádření míry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konkrétního zdravotního rizika za dané situace. </w:t>
      </w:r>
    </w:p>
    <w:p w:rsidR="00640FB4" w:rsidRPr="004E0232" w:rsidRDefault="00AA1CF9" w:rsidP="004E0232">
      <w:pPr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Tento postup, který bývá nejčastěji aplikován pro určitou konkrétní lokalitu a problém, byl použit pro toto hodnocení ovzduší v rámci dostupných podkladů pro Českou republiku. Protože pro hodnocení venkovských sídel nejsou k dispozici dostačující informace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je zpracovaný odhad platný </w:t>
      </w: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pouze pro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městské obyvatelstvo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. Na druhou stranu by mělo </w:t>
      </w:r>
      <w:r w:rsidR="00973CA7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být </w:t>
      </w:r>
      <w:r w:rsidR="00180066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rozpětí existujících hodnot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v těchto malých sídlech zahrn</w:t>
      </w:r>
      <w:r w:rsidR="00973CA7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uto v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hodnocení České republiky jako celku. </w:t>
      </w:r>
    </w:p>
    <w:p w:rsidR="00640FB4" w:rsidRPr="004E0232" w:rsidRDefault="00AA1CF9" w:rsidP="004E0232">
      <w:pPr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Primární 24hodinová data pro hodnocení kvality ovzduší byla </w:t>
      </w:r>
      <w:r w:rsidRPr="004E0232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převzata převážně z databáze ISKO, následně byla zpracována v databázovém prostředí ISID a doplněna o krátkodobé hodnoty (hodinový průměr a osmihodinový klouzavý průměr) z tabelární ročenky  ČHMÚ za rok 201</w:t>
      </w:r>
      <w:r w:rsidR="003326B3" w:rsidRPr="004E0232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8</w:t>
      </w:r>
      <w:r w:rsidRPr="004E0232">
        <w:rPr>
          <w:rFonts w:ascii="Arial" w:hAnsi="Arial" w:cs="Arial"/>
          <w:noProof w:val="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.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Data byla zpracována ve formě rozpěťových inter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valů pro jednotlivé látky (NO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As, Ni</w:t>
      </w:r>
      <w:r w:rsidR="00247FE1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 Cd, benzen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a BaP), a to jak pro celou Českou republiku (zahrnuje všechny městské měřicí stanice), tak pro vybrané typy městských lokalit (městské obytné bez dopravní zátěže, městské s dopravní zátěží a městské s průmyslovou zátěží). </w:t>
      </w:r>
    </w:p>
    <w:p w:rsidR="005F1342" w:rsidRPr="004E0232" w:rsidRDefault="00AA1CF9" w:rsidP="004E0232">
      <w:pPr>
        <w:spacing w:before="120" w:line="276" w:lineRule="auto"/>
        <w:jc w:val="both"/>
        <w:rPr>
          <w:rFonts w:ascii="Arial" w:hAnsi="Arial" w:cs="Arial"/>
          <w:color w:val="FF000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I při uvědomnění si mírného nárůstu, zvláště v případě suspendovaných částic, nejpravděpodobněji způsobeného </w:t>
      </w:r>
      <w:r w:rsidR="003326B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dlouhodobějšími obdobími sucha a zvýšených teplot v létě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</w:t>
      </w:r>
      <w:r w:rsidR="00907AAC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se </w:t>
      </w:r>
      <w:r w:rsidR="00247FE1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stav zásadně nemění</w:t>
      </w:r>
      <w:r w:rsidR="00907AAC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. Kvalita ovzduší v monitorovaných sídlech je významněji ovlivňována meteorologickými podmínkami, které lze charakterizovat vyšší četností excesů </w:t>
      </w:r>
      <w:r w:rsidR="003326B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="00907AAC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a rychlých změn počasí zahrnujících dlouhodobější suchá období vysokých teplot, krátká </w:t>
      </w:r>
      <w:r w:rsidR="00907AAC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období intenzivních srážek či zimní inverzní situace až plošného charakteru. Navíc je možno zimy </w:t>
      </w:r>
      <w:r w:rsidR="00247FE1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v období </w:t>
      </w:r>
      <w:r w:rsidR="00907AAC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2013 – 201</w:t>
      </w:r>
      <w:r w:rsidR="003326B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8</w:t>
      </w:r>
      <w:r w:rsidR="00907AAC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považovat v kontextu dlouhodobého vývoje za velmi mírné. Znečištění ovzduší měst a městských aglomerací stále ovlivňuje zejména doprava, která je zde dominantním a v podstatě plošně působícím zdrojem znečištění ovzduší.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Další spolupůsobící zdroje (</w:t>
      </w:r>
      <w:r w:rsidR="00C113BC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energetické zdroje, CZT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, domácí vytápění, </w:t>
      </w:r>
      <w:r w:rsidR="003326B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malé a střední zdroje,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průmysl) mají více lokální význam. Specifickou oblastí je Moravskoslezský kraj (MSK)</w:t>
      </w:r>
      <w:r w:rsidR="00553AD9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s 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dlouhodobě zvýšenými hodnotami škodlivin ve venkovním ovzduší, kde mají zásadní význam emise z průmyslových zdrojů a dálkový transport škodlivin. </w:t>
      </w:r>
    </w:p>
    <w:p w:rsidR="00915D61" w:rsidRPr="004E0232" w:rsidRDefault="00AA1CF9" w:rsidP="004E0232">
      <w:pPr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Konkrétně z odhadu zdravotních rizik v roce 201</w:t>
      </w:r>
      <w:r w:rsidR="003326B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8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vyplývá následující: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Suspendované částice frakce PM</w:t>
      </w:r>
      <w:r w:rsidRPr="004E0232">
        <w:rPr>
          <w:rFonts w:ascii="Arial" w:hAnsi="Arial" w:cs="Arial"/>
          <w:b/>
          <w:bCs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a PM</w:t>
      </w:r>
      <w:r w:rsidRPr="004E0232">
        <w:rPr>
          <w:rFonts w:ascii="Arial" w:hAnsi="Arial" w:cs="Arial"/>
          <w:b/>
          <w:bCs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ind w:left="284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Odhad zdravotních rizik suspendovaných částic vychází z odborných podkladů, kde je uvedeno, že zvýšení průměrné roční koncentrace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o 10 µg/m</w:t>
      </w:r>
      <w:r w:rsidRPr="004E0232">
        <w:rPr>
          <w:rFonts w:ascii="Arial" w:hAnsi="Arial" w:cs="Arial"/>
          <w:sz w:val="22"/>
          <w:szCs w:val="22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zvyšuje celkovou úmrtnost exponované populace průměrně o 6,2 %. V rámci úpravy tohoto výpočtu pro národní podmínky ČR pak zvýšení o každých 10 µg/m</w:t>
      </w:r>
      <w:r w:rsidRPr="004E0232">
        <w:rPr>
          <w:rFonts w:ascii="Arial" w:hAnsi="Arial" w:cs="Arial"/>
          <w:sz w:val="22"/>
          <w:szCs w:val="22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/rok nad 13,3 µg/m</w:t>
      </w:r>
      <w:r w:rsidRPr="004E0232">
        <w:rPr>
          <w:rFonts w:ascii="Arial" w:hAnsi="Arial" w:cs="Arial"/>
          <w:sz w:val="22"/>
          <w:szCs w:val="22"/>
          <w:vertAlign w:val="superscript"/>
          <w14:shadow w14:blurRad="0" w14:dist="0" w14:dir="0" w14:sx="0" w14:sy="0" w14:kx="0" w14:ky="0" w14:algn="none">
            <w14:srgbClr w14:val="000000"/>
          </w14:shadow>
        </w:rPr>
        <w:t>3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(při odhadu středního zastoupení frakce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ve frakci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na úrovni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75 %) zvyšuje celkovou úmrtnost exponované populace o 4,</w:t>
      </w:r>
      <w:r w:rsidR="003326B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65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%.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ind w:left="284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Z důvodů nedostatečného pokrytí území ČR měřením </w:t>
      </w:r>
      <w:r w:rsidR="003326B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frakce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2,5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se při výpočtu zdravotních rizik vycházelo z měřených hodnot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Odhad vlivu znečištění ovzduší PM</w:t>
      </w:r>
      <w:r w:rsidRPr="004E0232">
        <w:rPr>
          <w:rFonts w:ascii="Arial" w:hAnsi="Arial" w:cs="Arial"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na předčasnou úmrtnost populace (tj. na navýšení celkové úmrtnosti v ČR) se pohyboval od meně než 1 % v čistých oblastech až </w:t>
      </w:r>
      <w:r w:rsidRPr="004E0232">
        <w:rPr>
          <w:rFonts w:ascii="Symbol" w:hAnsi="Symbo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sym w:font="Symbol" w:char="F0BB"/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CA024B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14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% v oblastech zvláště intenzivně zatížených dopravou a průmyslem (nejvíce v průmyslově zatížené oblasti Ostravsko-Karvinska).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  <w:t xml:space="preserve">V pozaďových lokalitách ČR je znečištění ovzduší aerosolem na úrovni hraničních hodnot.  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Celkový počet zemřelých obyvatel ČR v 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roce 201</w:t>
      </w:r>
      <w:r w:rsidR="003326B3"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8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1</w:t>
      </w:r>
      <w:r w:rsidR="00CA024B"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1</w:t>
      </w:r>
      <w:r w:rsidR="003326B3"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2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,</w:t>
      </w:r>
      <w:r w:rsidR="003326B3"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920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tisíc (ČSÚ 201</w:t>
      </w:r>
      <w:r w:rsidR="003326B3"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8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) tedy, po odečtení úmrtí způsobených úrazy a odečtení zemřelých mladších 30 let zahrnuje 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  <w:t xml:space="preserve">i odhad zvýšení předčasné úmrtnosti o cca </w:t>
      </w:r>
      <w:r w:rsidR="00CA024B"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5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 </w:t>
      </w:r>
      <w:r w:rsidR="003326B3"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6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00 osob, které zemřely předčasně spolupůsobením expozice prachu frakce PM</w:t>
      </w:r>
      <w:r w:rsidRPr="004E0232">
        <w:rPr>
          <w:rFonts w:ascii="Arial" w:hAnsi="Arial" w:cs="Arial"/>
          <w:b/>
          <w:bCs/>
          <w:sz w:val="22"/>
          <w:szCs w:val="22"/>
          <w:vertAlign w:val="subscript"/>
          <w14:shadow w14:blurRad="0" w14:dist="0" w14:dir="0" w14:sx="0" w14:sy="0" w14:kx="0" w14:ky="0" w14:algn="none">
            <w14:srgbClr w14:val="000000"/>
          </w14:shadow>
        </w:rPr>
        <w:t>10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. Průběh </w:t>
      </w: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hodnot má dlouhodobě kolísavý charakter, s maximem v roce 2011, a je významně závislý na meteorologických podmínkách.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ind w:left="284"/>
        <w:jc w:val="both"/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</w:t>
      </w: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dhad počtu ztracených let života (tzv. YOLLs, Years of Life Lost) v důsledku znečištění ovzduší aerosolovými částicemi bylo možno vzhlede</w:t>
      </w: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m k dostupnosti demografických údajů provést pouze pro předcházející rok tj. rok 201</w:t>
      </w:r>
      <w:r w:rsidR="003326B3"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7</w:t>
      </w: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. Podle provedeného odhadu činil v roce 201</w:t>
      </w:r>
      <w:r w:rsidR="003326B3"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7</w:t>
      </w: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pro obyvatele ČR starší 30 let počet ztracených let života předčasným úmrtím následkem expozice znečištěnému ovzduší aerosolovými částicemi </w:t>
      </w:r>
      <w:r w:rsidR="003326B3"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106</w:t>
      </w: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3326B3"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6</w:t>
      </w: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00 let (tj. </w:t>
      </w:r>
      <w:r w:rsidR="003326B3"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1 421</w:t>
      </w: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let/100 000 obyvatel). </w:t>
      </w:r>
    </w:p>
    <w:p w:rsidR="00915D61" w:rsidRPr="004E0232" w:rsidRDefault="00915D61" w:rsidP="004E0232">
      <w:pPr>
        <w:pStyle w:val="Zkladntext"/>
        <w:tabs>
          <w:tab w:val="left" w:pos="5103"/>
        </w:tabs>
        <w:spacing w:before="120" w:line="276" w:lineRule="auto"/>
        <w:ind w:left="284"/>
        <w:jc w:val="both"/>
        <w:rPr>
          <w:rFonts w:ascii="Arial" w:hAnsi="Arial" w:cs="Arial"/>
          <w:b/>
          <w:bCs/>
          <w:color w:val="FF000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Látky s karcinogenním působením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Hodnocení jednotlivých látek: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ind w:left="284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Arsen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– odhadované riziko se pohybuje v řádu jednotek případů na 10 miliónů obyvatel,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  <w:t>v</w:t>
      </w:r>
      <w:r w:rsidR="00D2140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 více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zatížených lokalitách se blíží hranici 1 případu ze 100 tisíc za 70 let. Jde tedy spíše o nízké zdravotní riziko. Jeho význam je dán skutečností, že se vždy jedná o emise z lokálně působících malých zdrojů nebo ze specifických zdrojů (velké průmyslové zdr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oje na Ostravsku.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ind w:left="284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lastRenderedPageBreak/>
        <w:t>Nikl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– odhad rizika má rozmezí cca jednoho případu na 10 miliónů až  jednoho případu na 1 milión za 70 let a jsou dlouhodobě na nízké úrovni. Opět se v případě nálezu zvýšených hodnot vždy jedná o emise z lokálně působících, malých, průmy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slových, specifických zdrojů (ocelárny, galvanovny).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ind w:left="284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Kadmium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– odhad rizika je na úrovni cca jednoho případu na 10 miliónů </w:t>
      </w:r>
      <w:r w:rsidR="00D2140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obyvatel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za 70 let a jsou dlouhodobě nejnižší z hodnocených látek s karcinogenním působením. Specifickým případem jsou zvýšené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hodnoty ze sklářské výroby v okolí Tanvaldu, kde mohou dosáhnout až hodnoty jednoho případu na milión obyvatel za 70 let.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ind w:left="284"/>
        <w:jc w:val="both"/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Benzen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– odhad rizika je na úrovni cca </w:t>
      </w:r>
      <w:r w:rsidR="00D2140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čtyř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případ</w:t>
      </w:r>
      <w:r w:rsidR="00D2140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ů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na milión obyvatel za 70 let. V moravsko-slezských průmyslových oblastech mohou dosáhnout hodnot až </w:t>
      </w:r>
      <w:r w:rsidR="00D2140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tří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případů na 100 tisíc obyvatel za 70 let.</w:t>
      </w:r>
    </w:p>
    <w:p w:rsidR="00915D61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ind w:left="284"/>
        <w:jc w:val="both"/>
        <w:rPr>
          <w:rFonts w:ascii="Arial" w:hAnsi="Arial" w:cs="Arial"/>
          <w:color w:val="FF000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/>
          <w:b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PAU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– největší navýšení rizika nádorového on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emocnění dlouhodobě představuje expozice polycyklickým aromatickým uhlovodíkům (PAU), jejichž indikátorem je benzo[</w:t>
      </w:r>
      <w:r w:rsidRPr="004E0232">
        <w:rPr>
          <w:rFonts w:ascii="Arial" w:hAnsi="Arial" w:cs="Arial"/>
          <w:i/>
          <w:iCs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a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]pyren. Z vypočtených hodnot pro jednotlivé typy městských lokalit lze velmi přibližně odhadnout, že vliv emisí PAU z dopravy, kombinovaný v některých lokalitách s emisemi z domácích topenišť, vede k navýšení zdravotních rizik o </w:t>
      </w:r>
      <w:r w:rsidR="00D2140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čtyři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případ</w:t>
      </w:r>
      <w:r w:rsidR="00D2140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y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na 100 tisíc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do 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br/>
      </w:r>
      <w:r w:rsidR="00D21403"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třech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případů na 10 tisíc obyvatel. V moravsko-slezských lokalitách ovlivněných velkými průmyslovými zdroji a dálkovým transportem je hodnota individuálního rizika vyšší než v ostatních městských lokalitách a představuje teoreticky 1 až 8 případů na 10</w:t>
      </w:r>
      <w:r w:rsidRPr="004E0232">
        <w:rPr>
          <w:rFonts w:ascii="Arial" w:hAnsi="Arial" w:cs="Arial"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tisíc obyvatel za 70 let.</w:t>
      </w:r>
    </w:p>
    <w:p w:rsidR="00640FB4" w:rsidRPr="004E0232" w:rsidRDefault="00AA1CF9" w:rsidP="004E0232">
      <w:pPr>
        <w:pStyle w:val="Zkladntext"/>
        <w:tabs>
          <w:tab w:val="left" w:pos="5103"/>
        </w:tabs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Výše hodnocené látky s karcinogenním působením mohly v roce 2018 v podmínkách ČR zvýšit riziko vzniku nádorového onemocnění při 70 leté celoživotní expozici, podle typu</w:t>
      </w:r>
      <w:r w:rsidR="00643E6A"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/kategirii</w:t>
      </w: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 xml:space="preserve"> lokality, o 1 až 8 případů na 10 tisíc obyva</w:t>
      </w:r>
      <w:r w:rsidR="00B962E7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tel. Situace byla srovnatelná s </w:t>
      </w:r>
      <w:r w:rsidRPr="004E0232">
        <w:rPr>
          <w:rFonts w:ascii="Arial" w:hAnsi="Arial" w:cs="Arial"/>
          <w:b/>
          <w:sz w:val="22"/>
          <w:szCs w:val="22"/>
          <w14:shadow w14:blurRad="0" w14:dist="0" w14:dir="0" w14:sx="0" w14:sy="0" w14:kx="0" w14:ky="0" w14:algn="none">
            <w14:srgbClr w14:val="000000"/>
          </w14:shadow>
        </w:rPr>
        <w:t>rokem 2017.</w:t>
      </w:r>
    </w:p>
    <w:p w:rsidR="00F9420A" w:rsidRPr="001306F8" w:rsidRDefault="00F9420A" w:rsidP="000E6B41">
      <w:pPr>
        <w:pStyle w:val="Zkladntext"/>
        <w:tabs>
          <w:tab w:val="left" w:pos="5103"/>
        </w:tabs>
        <w:spacing w:line="240" w:lineRule="atLeast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E6B41" w:rsidRPr="004E0232" w:rsidRDefault="00AA1CF9" w:rsidP="005E44FA">
      <w:pPr>
        <w:pStyle w:val="Nadpis2"/>
        <w:numPr>
          <w:ilvl w:val="0"/>
          <w:numId w:val="13"/>
        </w:numPr>
        <w:jc w:val="left"/>
        <w:rPr>
          <w:rFonts w:cs="Arial"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1306F8">
        <w:rPr>
          <w:rFonts w:ascii="Times New Roman" w:hAnsi="Times New Roman"/>
          <w:color w:val="FF0000"/>
          <w:sz w:val="28"/>
          <w:szCs w:val="28"/>
        </w:rPr>
        <w:br w:type="page"/>
      </w:r>
      <w:r w:rsidR="00D068E0" w:rsidRPr="004E0232">
        <w:rPr>
          <w:rFonts w:cs="Arial"/>
          <w:szCs w:val="28"/>
          <w14:shadow w14:blurRad="0" w14:dist="0" w14:dir="0" w14:sx="0" w14:sy="0" w14:kx="0" w14:ky="0" w14:algn="none">
            <w14:srgbClr w14:val="000000"/>
          </w14:shadow>
        </w:rPr>
        <w:lastRenderedPageBreak/>
        <w:t>Použitá l</w:t>
      </w:r>
      <w:r w:rsidRPr="004E0232">
        <w:rPr>
          <w:rFonts w:cs="Arial"/>
          <w:szCs w:val="28"/>
          <w14:shadow w14:blurRad="0" w14:dist="0" w14:dir="0" w14:sx="0" w14:sy="0" w14:kx="0" w14:ky="0" w14:algn="none">
            <w14:srgbClr w14:val="000000"/>
          </w14:shadow>
        </w:rPr>
        <w:t>iteratura</w:t>
      </w:r>
    </w:p>
    <w:p w:rsidR="00FB69D9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Air Quality Guidelines for Europe 2th edition, WHO Regional Office for Europe, WHO, Regional Publications, European Series, No. 91, WHO 2000</w:t>
      </w:r>
    </w:p>
    <w:p w:rsidR="00EA6C01" w:rsidRPr="004E0232" w:rsidRDefault="00AA1CF9" w:rsidP="004E0232">
      <w:pPr>
        <w:pStyle w:val="Default"/>
        <w:numPr>
          <w:ilvl w:val="0"/>
          <w:numId w:val="24"/>
        </w:numPr>
        <w:spacing w:before="120" w:line="276" w:lineRule="auto"/>
        <w:jc w:val="both"/>
        <w:rPr>
          <w:rFonts w:ascii="Arial" w:hAnsi="Arial" w:cs="Arial"/>
          <w:color w:val="auto"/>
          <w:sz w:val="22"/>
          <w:lang w:val="en-US"/>
        </w:rPr>
      </w:pPr>
      <w:r w:rsidRPr="004E0232">
        <w:rPr>
          <w:rFonts w:ascii="Arial" w:hAnsi="Arial" w:cs="Arial"/>
          <w:iCs/>
          <w:color w:val="auto"/>
          <w:sz w:val="22"/>
          <w:lang w:val="en-US"/>
        </w:rPr>
        <w:t xml:space="preserve">WHO Guidelines for indoor air quality: selected pollutants, WHO 2010 </w:t>
      </w:r>
    </w:p>
    <w:p w:rsidR="00EA6C01" w:rsidRPr="004E0232" w:rsidRDefault="00AA1CF9" w:rsidP="004E0232">
      <w:pPr>
        <w:pStyle w:val="Zkladntext"/>
        <w:numPr>
          <w:ilvl w:val="0"/>
          <w:numId w:val="24"/>
        </w:numPr>
        <w:spacing w:before="120" w:line="276" w:lineRule="auto"/>
        <w:jc w:val="both"/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Holgate S.T.,Samet J.M.,Koren H.S.,Maynard R.L.: Air pollution and Health, Academic Pres, London, 1999</w:t>
      </w:r>
    </w:p>
    <w:p w:rsidR="00EA6C01" w:rsidRPr="004E0232" w:rsidRDefault="00AA1CF9" w:rsidP="004E0232">
      <w:pPr>
        <w:pStyle w:val="Zkladntext"/>
        <w:numPr>
          <w:ilvl w:val="0"/>
          <w:numId w:val="24"/>
        </w:numPr>
        <w:spacing w:before="120" w:line="276" w:lineRule="auto"/>
        <w:jc w:val="both"/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WHO: WHO air quality guidelines for particulate matter, ozone, nitrogen dioxide and sulfur dioxide Global update 2005, Summary of risk assessment ,  Geneva 2006    </w:t>
      </w:r>
    </w:p>
    <w:p w:rsidR="00EA6C01" w:rsidRPr="004E0232" w:rsidRDefault="00AA1CF9" w:rsidP="004E0232">
      <w:pPr>
        <w:pStyle w:val="Zkladntext"/>
        <w:numPr>
          <w:ilvl w:val="0"/>
          <w:numId w:val="24"/>
        </w:numPr>
        <w:spacing w:before="120" w:line="276" w:lineRule="auto"/>
        <w:jc w:val="both"/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Hurley F et al.: Methodology for the cost-benefit analysis for CAFE. Volume 2: Heath Impact</w:t>
      </w: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Assessment, European Commission 2005 </w:t>
      </w:r>
    </w:p>
    <w:p w:rsidR="00EA6C01" w:rsidRPr="004E0232" w:rsidRDefault="00AA1CF9" w:rsidP="004E0232">
      <w:pPr>
        <w:pStyle w:val="Zkladntext"/>
        <w:numPr>
          <w:ilvl w:val="0"/>
          <w:numId w:val="24"/>
        </w:numPr>
        <w:spacing w:before="120" w:line="276" w:lineRule="auto"/>
        <w:jc w:val="both"/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Pope C.A, Dockery D.W.: Health effects of fine particulate air pollution: Lines that connect- critical rewiev, Air and Waste Management Assoc., 2006, 56:709-742</w:t>
      </w:r>
    </w:p>
    <w:p w:rsidR="00EA6C01" w:rsidRPr="004E0232" w:rsidRDefault="00AA1CF9" w:rsidP="004E0232">
      <w:pPr>
        <w:pStyle w:val="Zkladntext"/>
        <w:numPr>
          <w:ilvl w:val="0"/>
          <w:numId w:val="24"/>
        </w:numPr>
        <w:spacing w:before="120" w:line="276" w:lineRule="auto"/>
        <w:jc w:val="both"/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Pope C.A. et.all. Lung cancer, cardiopulmonary mortality</w:t>
      </w: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and long-term exposure to fine particulate air pollution. Journal of the American medical Association, 2002, 287:1132-1141</w:t>
      </w:r>
    </w:p>
    <w:p w:rsidR="00D56F3A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60" w:line="276" w:lineRule="auto"/>
        <w:jc w:val="both"/>
        <w:rPr>
          <w:rFonts w:ascii="Arial" w:hAnsi="Arial" w:cs="Arial"/>
          <w:sz w:val="22"/>
          <w:szCs w:val="24"/>
          <w:lang w:val="en-US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:lang w:val="en-US"/>
          <w14:shadow w14:blurRad="0" w14:dist="0" w14:dir="0" w14:sx="0" w14:sy="0" w14:kx="0" w14:ky="0" w14:algn="none">
            <w14:srgbClr w14:val="000000"/>
          </w14:shadow>
        </w:rPr>
        <w:t>IARC Press Release N°221  17 October 2013: Outdoor air pollution</w:t>
      </w:r>
      <w:r w:rsidRPr="004E0232">
        <w:rPr>
          <w:rFonts w:ascii="Arial" w:hAnsi="Arial" w:cs="Arial"/>
          <w:sz w:val="22"/>
          <w:szCs w:val="24"/>
          <w:lang w:val="en-US"/>
          <w14:shadow w14:blurRad="0" w14:dist="0" w14:dir="0" w14:sx="0" w14:sy="0" w14:kx="0" w14:ky="0" w14:algn="none">
            <w14:srgbClr w14:val="000000"/>
          </w14:shadow>
        </w:rPr>
        <w:t xml:space="preserve"> a leading environmental cause of cancer deaths </w:t>
      </w:r>
    </w:p>
    <w:p w:rsidR="005A1F30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Samet, J. M.; Dominici, F.; Curriero, F. C.; Coursac, I.; Zeger, S. L. Fine Particulate Air Pollution and Mortality in 20 U.S. Cities, 1987–1994; </w:t>
      </w:r>
      <w:r w:rsidRPr="004E0232">
        <w:rPr>
          <w:rFonts w:ascii="Arial" w:hAnsi="Arial" w:cs="Arial"/>
          <w:i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N. Engl. J. Med. </w:t>
      </w: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2000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, </w:t>
      </w:r>
      <w:r w:rsidRPr="004E0232">
        <w:rPr>
          <w:rFonts w:ascii="Arial" w:hAnsi="Arial" w:cs="Arial"/>
          <w:i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343,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1742-1749.</w:t>
      </w:r>
    </w:p>
    <w:p w:rsidR="005A1F30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Bencko, V., Cikrt, M.,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Lener, J., Toxické kovy v životním a pracovním prostředí člověka,  Grada Publishing, Praha 1995</w:t>
      </w:r>
    </w:p>
    <w:p w:rsidR="005A1F30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RTECS R: Registry of Toxic Effects of Chemical Substances. National Institute for Occupational Safety and Health. CD-ROM. July 31, 2000. Englewood, Colorado: M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ICROMEDEX 2000.</w:t>
      </w:r>
    </w:p>
    <w:p w:rsidR="005A1F30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Risk assessment guidance for superfung Vol. I Human health evaluation Manual, Us EPA/540/1-89/002, December 1989.</w:t>
      </w:r>
    </w:p>
    <w:p w:rsidR="005A1F30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Metodický pokyn odboru ekologických rizik a monitoringu MŽP ČR k hodnocení rizik č.j. 1138/OER/94</w:t>
      </w:r>
    </w:p>
    <w:p w:rsidR="005A1F30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Manuál prevence v lékařské p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raxi díl VIII. Základy hodnocení zdravotních rizik, SZÚ Praha, 2000</w:t>
      </w:r>
    </w:p>
    <w:p w:rsidR="00D440BF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MZ ČR: Zásady a postupy hodnocení a řízení zdravotních rizik v činnostech odboru hygieny obecné a komunální, HEM-300-19.9.05/31639, 2005</w:t>
      </w:r>
    </w:p>
    <w:p w:rsidR="00D440BF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AN 17/05 Autorizační návod k hodnocení zdravotního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rizika expozice chemickým látkám ve venkovním ovzduší, SZÚ 2015,  http://www.szu.cz/autorizace/autorizacni-navody-pro-hra </w:t>
      </w:r>
      <w:r w:rsidR="00FD1EFB"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[říjen 2016]</w:t>
      </w:r>
    </w:p>
    <w:p w:rsidR="002423E4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Toxicological Profile for Benzene.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Agency for Toxic Substances and Disease Registry, Division of Toxicology and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Environmental Medicine/</w:t>
      </w: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ATSDR, 2007</w:t>
      </w:r>
    </w:p>
    <w:p w:rsidR="002423E4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Addendum to the Toxicological Profile for Benzene.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Agency for Toxic Substances and Disease Registry, Division of Toxicology and Environmental Medicine.</w:t>
      </w:r>
      <w:r w:rsidRPr="004E0232">
        <w:rPr>
          <w:rFonts w:ascii="Arial" w:hAnsi="Arial" w:cs="Arial"/>
          <w:bCs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ATSDR 2015</w:t>
      </w:r>
    </w:p>
    <w:p w:rsidR="005A1F30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U.S.EPA: Integrated Risk Information System, Office of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Research and Development, National Center for Enviromental Assessment, http://www.epa.gov/iris/</w:t>
      </w:r>
      <w:r w:rsidR="00FD1EFB" w:rsidRPr="004E0232">
        <w:rPr>
          <w:rStyle w:val="Hypertextovodkaz"/>
          <w:rFonts w:ascii="Arial" w:hAnsi="Arial" w:cs="Arial"/>
          <w:color w:val="auto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FD1EFB"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[říjen 2016]</w:t>
      </w:r>
    </w:p>
    <w:p w:rsidR="00916E12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WHO Some non-heterocyclic polycyclic aromatic hydrocarbons and some related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exposures, IARC monographs on the evaluation of carcinogenic risks to humans; volume 92, 2010, ISBN 978 92 832 1292 8</w:t>
      </w:r>
    </w:p>
    <w:p w:rsidR="00916E12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Health risks of air pollution in Europe – HRAPIE project (Recommendations for concentration–response functions for cost–benefit analysis o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f particulate matter, ozone and nitrogen dioxide), WHO Regional Office for Europe 2013</w:t>
      </w:r>
    </w:p>
    <w:p w:rsidR="00916E12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WHO: Review of evidence on health aspects of air pollution – REVIHAAP, Technical Report, WHO 2013</w:t>
      </w:r>
    </w:p>
    <w:p w:rsidR="00D4120F" w:rsidRPr="004E0232" w:rsidRDefault="00AA1CF9" w:rsidP="004E0232">
      <w:pPr>
        <w:pStyle w:val="Zkladntext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European Commission, Joint Research Centre, Institute for Health and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Consumer Protection: European Union Risk Assessment Report, Benzene, 2008.</w:t>
      </w:r>
    </w:p>
    <w:p w:rsidR="00D4120F" w:rsidRPr="004E0232" w:rsidRDefault="00AA1CF9" w:rsidP="004E0232">
      <w:pPr>
        <w:pStyle w:val="Zkladntext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IARC Monographs on a review of human carcinogens: Chemical agents and related occupations. Volume 100F. A review of human carcinogens. IARC, Lyon, France.  </w:t>
      </w:r>
      <w:r w:rsidR="00DD43E5"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IARC, 2010.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http://monographs.iarc.fr/ENG/Monographs/vol100F/mono100F.pdf. [říjen 2016]</w:t>
      </w:r>
    </w:p>
    <w:p w:rsidR="00F64E61" w:rsidRPr="004E0232" w:rsidRDefault="00AA1CF9" w:rsidP="004E0232">
      <w:pPr>
        <w:pStyle w:val="Zkladntext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IARC Monographs on a review of human carcinogens: Outdoor Air Pollution.Volume 109. A review of human carcinogens. IARC, Lyon, France.  IARC, 2016. http://monographs.iarc.fr/ENG/Mo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nographs/vol109/mono109.pdf. [říjen 2016]</w:t>
      </w:r>
      <w:r w:rsidRPr="004E0232">
        <w:rPr>
          <w:rFonts w:ascii="Arial" w:hAnsi="Arial" w:cs="Arial"/>
          <w:b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</w:p>
    <w:p w:rsidR="00D4120F" w:rsidRPr="004E0232" w:rsidRDefault="00AA1CF9" w:rsidP="004E0232">
      <w:pPr>
        <w:pStyle w:val="Zkladntext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Development of an inhalation unit risk factor for cadmium, J. Haney Jr., Regulatory Toxicology and Pharmacology 77 (2016) 175e183).</w:t>
      </w:r>
    </w:p>
    <w:p w:rsidR="002423E4" w:rsidRPr="004E0232" w:rsidRDefault="00AA1CF9" w:rsidP="004E0232">
      <w:pPr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VINCETI, M. et all.: Leukemia risk in children exposed to benzene and PM10 from vehicular traffic: </w:t>
      </w:r>
      <w:r w:rsidR="00FD1EFB"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A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case–control study in an Italian population. Eur J Epidemiol.</w:t>
      </w:r>
      <w:r w:rsidR="00FD1EFB"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27</w:t>
      </w:r>
      <w:r w:rsidR="00FD1EFB"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.10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:781–790.</w:t>
      </w:r>
      <w:r w:rsidR="00DD43E5"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DOI</w:t>
      </w:r>
      <w:r w:rsidR="00FD1EFB"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10.1007/s10654-012-9727-1,</w:t>
      </w:r>
      <w:r w:rsidR="00DD43E5"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2012.</w:t>
      </w:r>
    </w:p>
    <w:p w:rsidR="004C60D7" w:rsidRPr="004E0232" w:rsidRDefault="00AA1CF9" w:rsidP="004E0232">
      <w:pPr>
        <w:pStyle w:val="Odstavecseseznamem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h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ttp://www.ncbi.nlm.nih.gov/pmc/articles/PMC3493667/ [</w:t>
      </w:r>
      <w:r w:rsidR="00FD1EFB"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>říjen</w:t>
      </w:r>
      <w:r w:rsidRPr="004E0232">
        <w:rPr>
          <w:rFonts w:ascii="Arial" w:hAnsi="Arial" w:cs="Arial"/>
          <w:sz w:val="22"/>
          <w:szCs w:val="24"/>
          <w14:shadow w14:blurRad="0" w14:dist="0" w14:dir="0" w14:sx="0" w14:sy="0" w14:kx="0" w14:ky="0" w14:algn="none">
            <w14:srgbClr w14:val="000000"/>
          </w14:shadow>
        </w:rPr>
        <w:t xml:space="preserve"> 2016]</w:t>
      </w:r>
    </w:p>
    <w:p w:rsidR="000D42D9" w:rsidRPr="004E0232" w:rsidRDefault="00AA1CF9" w:rsidP="004E0232">
      <w:pPr>
        <w:pStyle w:val="Nadpis2"/>
        <w:spacing w:line="276" w:lineRule="auto"/>
        <w:jc w:val="left"/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9B6601">
        <w:rPr>
          <w:rFonts w:ascii="Times New Roman" w:hAnsi="Times New Roman"/>
          <w:b w:val="0"/>
          <w:sz w:val="24"/>
          <w:szCs w:val="24"/>
          <w14:shadow w14:blurRad="0" w14:dist="0" w14:dir="0" w14:sx="0" w14:sy="0" w14:kx="0" w14:ky="0" w14:algn="none">
            <w14:srgbClr w14:val="000000"/>
          </w14:shadow>
        </w:rPr>
        <w:br w:type="page"/>
      </w:r>
      <w:r w:rsidRPr="004E0232">
        <w:rPr>
          <w:rFonts w:cs="Arial"/>
          <w:szCs w:val="22"/>
          <w14:shadow w14:blurRad="0" w14:dist="0" w14:dir="0" w14:sx="0" w14:sy="0" w14:kx="0" w14:ky="0" w14:algn="none">
            <w14:srgbClr w14:val="000000"/>
          </w14:shadow>
        </w:rPr>
        <w:lastRenderedPageBreak/>
        <w:t>Příloha č. 1:</w:t>
      </w:r>
    </w:p>
    <w:tbl>
      <w:tblPr>
        <w:tblpPr w:leftFromText="141" w:rightFromText="141" w:vertAnchor="page" w:horzAnchor="margin" w:tblpXSpec="center" w:tblpY="2506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1245"/>
        <w:gridCol w:w="1245"/>
        <w:gridCol w:w="1245"/>
        <w:gridCol w:w="1445"/>
      </w:tblGrid>
      <w:tr w:rsidR="00554EEE" w:rsidTr="00C766DD">
        <w:trPr>
          <w:trHeight w:val="330"/>
          <w:tblHeader/>
        </w:trPr>
        <w:tc>
          <w:tcPr>
            <w:tcW w:w="3430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rok </w:t>
            </w:r>
          </w:p>
        </w:tc>
        <w:tc>
          <w:tcPr>
            <w:tcW w:w="12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2007</w:t>
            </w:r>
          </w:p>
        </w:tc>
        <w:tc>
          <w:tcPr>
            <w:tcW w:w="12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2008</w:t>
            </w:r>
          </w:p>
        </w:tc>
        <w:tc>
          <w:tcPr>
            <w:tcW w:w="12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2009</w:t>
            </w:r>
          </w:p>
        </w:tc>
        <w:tc>
          <w:tcPr>
            <w:tcW w:w="14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2010</w:t>
            </w:r>
          </w:p>
        </w:tc>
      </w:tr>
      <w:tr w:rsidR="00554EEE" w:rsidTr="00C766DD">
        <w:trPr>
          <w:trHeight w:val="300"/>
        </w:trPr>
        <w:tc>
          <w:tcPr>
            <w:tcW w:w="3430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střední konc. PM</w:t>
            </w:r>
            <w:r w:rsidRPr="004E0232">
              <w:rPr>
                <w:rFonts w:ascii="Arial" w:hAnsi="Arial" w:cs="Arial"/>
                <w:sz w:val="18"/>
                <w:szCs w:val="18"/>
                <w:vertAlign w:val="subscript"/>
                <w14:shadow w14:blurRad="0" w14:dist="0" w14:dir="0" w14:sx="0" w14:sy="0" w14:kx="0" w14:ky="0" w14:algn="none">
                  <w14:srgbClr w14:val="000000"/>
                </w14:shadow>
              </w:rPr>
              <w:t>10</w:t>
            </w: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v µg/m</w:t>
            </w:r>
            <w:r w:rsidRPr="004E0232">
              <w:rPr>
                <w:rFonts w:ascii="Arial" w:hAnsi="Arial" w:cs="Arial"/>
                <w:sz w:val="18"/>
                <w:szCs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 xml:space="preserve">3 </w:t>
            </w: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v sídlech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23,7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23,0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23,9</w:t>
            </w:r>
          </w:p>
        </w:tc>
        <w:tc>
          <w:tcPr>
            <w:tcW w:w="14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25,2</w:t>
            </w:r>
          </w:p>
        </w:tc>
      </w:tr>
      <w:tr w:rsidR="00554EEE" w:rsidTr="00C766DD">
        <w:trPr>
          <w:trHeight w:val="300"/>
        </w:trPr>
        <w:tc>
          <w:tcPr>
            <w:tcW w:w="3430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cyan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Odhad počtu předčasných úmrtí a rozpětí odhadu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3 700 </w:t>
            </w:r>
          </w:p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(0 – 18 700)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3 200 </w:t>
            </w:r>
          </w:p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(0 – 12 500)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3 500 </w:t>
            </w:r>
          </w:p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(0 – 14 600)</w:t>
            </w:r>
          </w:p>
        </w:tc>
        <w:tc>
          <w:tcPr>
            <w:tcW w:w="14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4 500 </w:t>
            </w:r>
          </w:p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(0 – 24 400) </w:t>
            </w:r>
          </w:p>
        </w:tc>
      </w:tr>
      <w:tr w:rsidR="00554EEE" w:rsidTr="00C766DD">
        <w:trPr>
          <w:trHeight w:val="300"/>
        </w:trPr>
        <w:tc>
          <w:tcPr>
            <w:tcW w:w="3430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rok </w:t>
            </w:r>
          </w:p>
        </w:tc>
        <w:tc>
          <w:tcPr>
            <w:tcW w:w="12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2011</w:t>
            </w:r>
          </w:p>
        </w:tc>
        <w:tc>
          <w:tcPr>
            <w:tcW w:w="12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2012</w:t>
            </w:r>
          </w:p>
        </w:tc>
        <w:tc>
          <w:tcPr>
            <w:tcW w:w="12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2013</w:t>
            </w:r>
          </w:p>
        </w:tc>
        <w:tc>
          <w:tcPr>
            <w:tcW w:w="14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2014</w:t>
            </w:r>
          </w:p>
        </w:tc>
      </w:tr>
      <w:tr w:rsidR="00554EEE" w:rsidTr="00C766DD">
        <w:trPr>
          <w:trHeight w:val="300"/>
        </w:trPr>
        <w:tc>
          <w:tcPr>
            <w:tcW w:w="3430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střední konc. PM</w:t>
            </w:r>
            <w:r w:rsidRPr="004E0232">
              <w:rPr>
                <w:rFonts w:ascii="Arial" w:hAnsi="Arial" w:cs="Arial"/>
                <w:sz w:val="18"/>
                <w:szCs w:val="18"/>
                <w:vertAlign w:val="subscript"/>
                <w14:shadow w14:blurRad="0" w14:dist="0" w14:dir="0" w14:sx="0" w14:sy="0" w14:kx="0" w14:ky="0" w14:algn="none">
                  <w14:srgbClr w14:val="000000"/>
                </w14:shadow>
              </w:rPr>
              <w:t>10</w:t>
            </w: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v µg/m</w:t>
            </w:r>
            <w:r w:rsidRPr="004E0232">
              <w:rPr>
                <w:rFonts w:ascii="Arial" w:hAnsi="Arial" w:cs="Arial"/>
                <w:sz w:val="18"/>
                <w:szCs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 xml:space="preserve">3 </w:t>
            </w: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v sídlech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27,2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26,0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26,6</w:t>
            </w:r>
          </w:p>
        </w:tc>
        <w:tc>
          <w:tcPr>
            <w:tcW w:w="14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25,5</w:t>
            </w:r>
          </w:p>
        </w:tc>
      </w:tr>
      <w:tr w:rsidR="00554EEE" w:rsidTr="00C766DD">
        <w:trPr>
          <w:trHeight w:val="300"/>
        </w:trPr>
        <w:tc>
          <w:tcPr>
            <w:tcW w:w="3430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cyan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Odhad počtu předčasných úmrtí a rozpětí odhadu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6 400</w:t>
            </w:r>
          </w:p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(0 – 16 100)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5 500</w:t>
            </w:r>
          </w:p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(0 – 17 200)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5 800</w:t>
            </w:r>
          </w:p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(0 – 15 200)</w:t>
            </w:r>
          </w:p>
        </w:tc>
        <w:tc>
          <w:tcPr>
            <w:tcW w:w="14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7496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5 200</w:t>
            </w:r>
          </w:p>
          <w:p w:rsidR="00AF385B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(700 – 13 400)</w:t>
            </w:r>
          </w:p>
        </w:tc>
      </w:tr>
      <w:tr w:rsidR="00554EEE" w:rsidTr="00AE094D">
        <w:trPr>
          <w:trHeight w:val="300"/>
        </w:trPr>
        <w:tc>
          <w:tcPr>
            <w:tcW w:w="3430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rok</w:t>
            </w:r>
          </w:p>
        </w:tc>
        <w:tc>
          <w:tcPr>
            <w:tcW w:w="12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2015</w:t>
            </w:r>
          </w:p>
        </w:tc>
        <w:tc>
          <w:tcPr>
            <w:tcW w:w="12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2016</w:t>
            </w:r>
          </w:p>
        </w:tc>
        <w:tc>
          <w:tcPr>
            <w:tcW w:w="12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2017</w:t>
            </w:r>
          </w:p>
        </w:tc>
        <w:tc>
          <w:tcPr>
            <w:tcW w:w="1445" w:type="dxa"/>
            <w:shd w:val="clear" w:color="auto" w:fill="CCFFFF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2018</w:t>
            </w:r>
          </w:p>
        </w:tc>
      </w:tr>
      <w:tr w:rsidR="00554EEE" w:rsidTr="007F15CA">
        <w:trPr>
          <w:trHeight w:val="300"/>
        </w:trPr>
        <w:tc>
          <w:tcPr>
            <w:tcW w:w="3430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střední konc. PM</w:t>
            </w:r>
            <w:r w:rsidRPr="004E0232">
              <w:rPr>
                <w:rFonts w:ascii="Arial" w:hAnsi="Arial" w:cs="Arial"/>
                <w:sz w:val="18"/>
                <w:szCs w:val="18"/>
                <w:vertAlign w:val="subscript"/>
                <w14:shadow w14:blurRad="0" w14:dist="0" w14:dir="0" w14:sx="0" w14:sy="0" w14:kx="0" w14:ky="0" w14:algn="none">
                  <w14:srgbClr w14:val="000000"/>
                </w14:shadow>
              </w:rPr>
              <w:t>10</w:t>
            </w: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v µg/m</w:t>
            </w:r>
            <w:r w:rsidRPr="004E0232">
              <w:rPr>
                <w:rFonts w:ascii="Arial" w:hAnsi="Arial" w:cs="Arial"/>
                <w:sz w:val="18"/>
                <w:szCs w:val="18"/>
                <w:vertAlign w:val="superscript"/>
                <w14:shadow w14:blurRad="0" w14:dist="0" w14:dir="0" w14:sx="0" w14:sy="0" w14:kx="0" w14:ky="0" w14:algn="none">
                  <w14:srgbClr w14:val="000000"/>
                </w14:shadow>
              </w:rPr>
              <w:t xml:space="preserve">3 </w:t>
            </w: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v sídlech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23,9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21,0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23,2</w:t>
            </w:r>
          </w:p>
        </w:tc>
        <w:tc>
          <w:tcPr>
            <w:tcW w:w="14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24,0</w:t>
            </w:r>
          </w:p>
        </w:tc>
      </w:tr>
      <w:tr w:rsidR="00554EEE" w:rsidTr="007F15CA">
        <w:trPr>
          <w:trHeight w:val="300"/>
        </w:trPr>
        <w:tc>
          <w:tcPr>
            <w:tcW w:w="3430" w:type="dxa"/>
            <w:shd w:val="clear" w:color="auto" w:fill="CCFFFF"/>
            <w:noWrap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Odhad počtu předčasných úmrtí a rozpětí odhadu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4 800</w:t>
            </w:r>
          </w:p>
          <w:p w:rsidR="009B4F41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(0 – 11 900)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795D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4 000</w:t>
            </w:r>
          </w:p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(0 </w:t>
            </w:r>
            <w:r w:rsidR="00AE094D"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–</w:t>
            </w: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="00AE094D"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11 262)</w:t>
            </w:r>
          </w:p>
        </w:tc>
        <w:tc>
          <w:tcPr>
            <w:tcW w:w="12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</w:t>
            </w:r>
            <w:r w:rsidR="00D25D71"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 </w:t>
            </w: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200</w:t>
            </w:r>
          </w:p>
          <w:p w:rsidR="00D25D71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(0 – 12 984)</w:t>
            </w:r>
          </w:p>
        </w:tc>
        <w:tc>
          <w:tcPr>
            <w:tcW w:w="14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F15CA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5 600</w:t>
            </w:r>
          </w:p>
          <w:p w:rsidR="003326B3" w:rsidRPr="004E0232" w:rsidRDefault="00AA1CF9" w:rsidP="004E023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4E0232">
              <w:rPr>
                <w:rFonts w:ascii="Arial" w:hAnsi="Arial" w:cs="Arial"/>
                <w:sz w:val="18"/>
                <w:szCs w:val="18"/>
                <w14:shadow w14:blurRad="0" w14:dist="0" w14:dir="0" w14:sx="0" w14:sy="0" w14:kx="0" w14:ky="0" w14:algn="none">
                  <w14:srgbClr w14:val="000000"/>
                </w14:shadow>
              </w:rPr>
              <w:t>(0 – 13 280)</w:t>
            </w:r>
          </w:p>
        </w:tc>
      </w:tr>
    </w:tbl>
    <w:p w:rsidR="00D0109C" w:rsidRPr="004E0232" w:rsidRDefault="00AA1CF9" w:rsidP="004E0232">
      <w:pPr>
        <w:pStyle w:val="DefaultText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E0232">
        <w:rPr>
          <w:rFonts w:ascii="Arial" w:hAnsi="Arial" w:cs="Arial"/>
          <w:sz w:val="22"/>
          <w:szCs w:val="22"/>
        </w:rPr>
        <w:t xml:space="preserve">Průběh odhadu hodnot navýšení celkové roční </w:t>
      </w:r>
      <w:r w:rsidRPr="004E0232">
        <w:rPr>
          <w:rFonts w:ascii="Arial" w:hAnsi="Arial" w:cs="Arial"/>
          <w:sz w:val="22"/>
          <w:szCs w:val="22"/>
        </w:rPr>
        <w:t>úmrtnosti o „předčasná úmrtí“ - střední hodnota a rozpětí hodnot v ČR v období 200</w:t>
      </w:r>
      <w:r w:rsidR="00887156" w:rsidRPr="004E0232">
        <w:rPr>
          <w:rFonts w:ascii="Arial" w:hAnsi="Arial" w:cs="Arial"/>
          <w:sz w:val="22"/>
          <w:szCs w:val="22"/>
        </w:rPr>
        <w:t>7</w:t>
      </w:r>
      <w:r w:rsidRPr="004E0232">
        <w:rPr>
          <w:rFonts w:ascii="Arial" w:hAnsi="Arial" w:cs="Arial"/>
          <w:sz w:val="22"/>
          <w:szCs w:val="22"/>
        </w:rPr>
        <w:t xml:space="preserve"> až 201</w:t>
      </w:r>
      <w:r w:rsidR="001306F8" w:rsidRPr="004E0232">
        <w:rPr>
          <w:rFonts w:ascii="Arial" w:hAnsi="Arial" w:cs="Arial"/>
          <w:sz w:val="22"/>
          <w:szCs w:val="22"/>
        </w:rPr>
        <w:t>8</w:t>
      </w:r>
    </w:p>
    <w:p w:rsidR="00D0109C" w:rsidRPr="004E0232" w:rsidRDefault="00AA1CF9" w:rsidP="004E0232">
      <w:pPr>
        <w:pStyle w:val="DefaultText1"/>
        <w:spacing w:before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E0232">
        <w:rPr>
          <w:rFonts w:ascii="Arial" w:hAnsi="Arial" w:cs="Arial"/>
          <w:i/>
          <w:sz w:val="22"/>
          <w:szCs w:val="22"/>
        </w:rPr>
        <w:t xml:space="preserve">Poznámky: </w:t>
      </w:r>
    </w:p>
    <w:p w:rsidR="00D0109C" w:rsidRPr="004E0232" w:rsidRDefault="00AA1CF9" w:rsidP="004E0232">
      <w:pPr>
        <w:pStyle w:val="DefaultText1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4E0232">
        <w:rPr>
          <w:rFonts w:ascii="Arial" w:hAnsi="Arial" w:cs="Arial"/>
          <w:i/>
          <w:sz w:val="22"/>
          <w:szCs w:val="22"/>
        </w:rPr>
        <w:t>Navýšení celkové úmrtnosti bylo počítáno z rozpětí měřených hodnot v ČR a z odhadu střední městské hodnoty pro Českou republiku. K odhadu průměrné městsk</w:t>
      </w:r>
      <w:r w:rsidRPr="004E0232">
        <w:rPr>
          <w:rFonts w:ascii="Arial" w:hAnsi="Arial" w:cs="Arial"/>
          <w:i/>
          <w:sz w:val="22"/>
          <w:szCs w:val="22"/>
        </w:rPr>
        <w:t xml:space="preserve">é hodnoty (městského pozadí) byla použita střední roční hmotnostní koncentrace vypočtená pro stanice charakterizující městské obytné zóny. </w:t>
      </w:r>
      <w:r w:rsidR="00C0795D" w:rsidRPr="004E0232">
        <w:rPr>
          <w:rFonts w:ascii="Arial" w:hAnsi="Arial" w:cs="Arial"/>
          <w:i/>
          <w:sz w:val="22"/>
          <w:szCs w:val="22"/>
        </w:rPr>
        <w:t>Koncentrace</w:t>
      </w:r>
      <w:r w:rsidR="00B962E7">
        <w:rPr>
          <w:rFonts w:ascii="Arial" w:hAnsi="Arial" w:cs="Arial"/>
          <w:i/>
          <w:sz w:val="22"/>
          <w:szCs w:val="22"/>
        </w:rPr>
        <w:t xml:space="preserve"> byly zaokrouhleny na 1 </w:t>
      </w:r>
      <w:r w:rsidRPr="004E0232">
        <w:rPr>
          <w:rFonts w:ascii="Arial" w:hAnsi="Arial" w:cs="Arial"/>
          <w:i/>
          <w:sz w:val="22"/>
          <w:szCs w:val="22"/>
        </w:rPr>
        <w:t>desetinné místo.</w:t>
      </w:r>
    </w:p>
    <w:p w:rsidR="00D0109C" w:rsidRPr="004E0232" w:rsidRDefault="00AA1CF9" w:rsidP="004E0232">
      <w:pPr>
        <w:pStyle w:val="DefaultText1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4E0232">
        <w:rPr>
          <w:rFonts w:ascii="Arial" w:hAnsi="Arial" w:cs="Arial"/>
          <w:i/>
          <w:sz w:val="22"/>
          <w:szCs w:val="22"/>
        </w:rPr>
        <w:t>Hodnoty celkové roční úmrtnosti byly převzaty z podkladů ČSÚ.</w:t>
      </w:r>
    </w:p>
    <w:p w:rsidR="00AF385B" w:rsidRPr="004E0232" w:rsidRDefault="00AA1CF9" w:rsidP="004E0232">
      <w:pPr>
        <w:pStyle w:val="DefaultText1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E0232">
        <w:rPr>
          <w:rFonts w:ascii="Arial" w:hAnsi="Arial" w:cs="Arial"/>
          <w:i/>
          <w:sz w:val="22"/>
          <w:szCs w:val="22"/>
        </w:rPr>
        <w:t>Při</w:t>
      </w:r>
      <w:r w:rsidRPr="004E0232">
        <w:rPr>
          <w:rFonts w:ascii="Arial" w:hAnsi="Arial" w:cs="Arial"/>
          <w:i/>
          <w:sz w:val="22"/>
          <w:szCs w:val="22"/>
        </w:rPr>
        <w:t xml:space="preserve"> přepočtu účinků PM</w:t>
      </w:r>
      <w:r w:rsidRPr="004E0232">
        <w:rPr>
          <w:rFonts w:ascii="Arial" w:hAnsi="Arial" w:cs="Arial"/>
          <w:i/>
          <w:sz w:val="22"/>
          <w:szCs w:val="22"/>
          <w:vertAlign w:val="subscript"/>
        </w:rPr>
        <w:t>10</w:t>
      </w:r>
      <w:r w:rsidRPr="004E0232">
        <w:rPr>
          <w:rFonts w:ascii="Arial" w:hAnsi="Arial" w:cs="Arial"/>
          <w:i/>
          <w:sz w:val="22"/>
          <w:szCs w:val="22"/>
        </w:rPr>
        <w:t xml:space="preserve"> bylo použito doporučení WHO, které dov</w:t>
      </w:r>
      <w:r w:rsidR="002E34D3" w:rsidRPr="004E0232">
        <w:rPr>
          <w:rFonts w:ascii="Arial" w:hAnsi="Arial" w:cs="Arial"/>
          <w:i/>
          <w:sz w:val="22"/>
          <w:szCs w:val="22"/>
        </w:rPr>
        <w:t>o</w:t>
      </w:r>
      <w:r w:rsidRPr="004E0232">
        <w:rPr>
          <w:rFonts w:ascii="Arial" w:hAnsi="Arial" w:cs="Arial"/>
          <w:i/>
          <w:sz w:val="22"/>
          <w:szCs w:val="22"/>
        </w:rPr>
        <w:t>luje na základě použití odhadu střední hodnoty zastoupení frakce PM</w:t>
      </w:r>
      <w:r w:rsidRPr="004E0232">
        <w:rPr>
          <w:rFonts w:ascii="Arial" w:hAnsi="Arial" w:cs="Arial"/>
          <w:i/>
          <w:sz w:val="22"/>
          <w:szCs w:val="22"/>
          <w:vertAlign w:val="subscript"/>
        </w:rPr>
        <w:t>2,5</w:t>
      </w:r>
      <w:r w:rsidRPr="004E0232">
        <w:rPr>
          <w:rFonts w:ascii="Arial" w:hAnsi="Arial" w:cs="Arial"/>
          <w:i/>
          <w:sz w:val="22"/>
          <w:szCs w:val="22"/>
        </w:rPr>
        <w:t xml:space="preserve"> ve frakci PM</w:t>
      </w:r>
      <w:r w:rsidRPr="004E0232">
        <w:rPr>
          <w:rFonts w:ascii="Arial" w:hAnsi="Arial" w:cs="Arial"/>
          <w:i/>
          <w:sz w:val="22"/>
          <w:szCs w:val="22"/>
          <w:vertAlign w:val="subscript"/>
        </w:rPr>
        <w:t>10</w:t>
      </w:r>
      <w:r w:rsidRPr="004E0232">
        <w:rPr>
          <w:rFonts w:ascii="Arial" w:hAnsi="Arial" w:cs="Arial"/>
          <w:i/>
          <w:sz w:val="22"/>
          <w:szCs w:val="22"/>
        </w:rPr>
        <w:t xml:space="preserve"> (v ČR na úrovni 75 %) úpravu používaných přepočtů. </w:t>
      </w:r>
    </w:p>
    <w:p w:rsidR="00AF385B" w:rsidRPr="004E0232" w:rsidRDefault="00AA1CF9" w:rsidP="004E0232">
      <w:pPr>
        <w:pStyle w:val="DefaultText1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E0232">
        <w:rPr>
          <w:rFonts w:ascii="Arial" w:hAnsi="Arial" w:cs="Arial"/>
          <w:i/>
          <w:sz w:val="22"/>
          <w:szCs w:val="22"/>
        </w:rPr>
        <w:t>Navýšení počtu předčasných úmrtí pro hodnoty ročního prům</w:t>
      </w:r>
      <w:r w:rsidRPr="004E0232">
        <w:rPr>
          <w:rFonts w:ascii="Arial" w:hAnsi="Arial" w:cs="Arial"/>
          <w:i/>
          <w:sz w:val="22"/>
          <w:szCs w:val="22"/>
        </w:rPr>
        <w:t>ěru PM</w:t>
      </w:r>
      <w:r w:rsidRPr="004E0232">
        <w:rPr>
          <w:rFonts w:ascii="Arial" w:hAnsi="Arial" w:cs="Arial"/>
          <w:i/>
          <w:sz w:val="22"/>
          <w:szCs w:val="22"/>
          <w:vertAlign w:val="subscript"/>
        </w:rPr>
        <w:t>10</w:t>
      </w:r>
      <w:r w:rsidRPr="004E0232">
        <w:rPr>
          <w:rFonts w:ascii="Arial" w:hAnsi="Arial" w:cs="Arial"/>
          <w:i/>
          <w:sz w:val="22"/>
          <w:szCs w:val="22"/>
        </w:rPr>
        <w:t xml:space="preserve"> ≤  13,3 µg/m</w:t>
      </w:r>
      <w:r w:rsidRPr="004E0232">
        <w:rPr>
          <w:rFonts w:ascii="Arial" w:hAnsi="Arial" w:cs="Arial"/>
          <w:i/>
          <w:sz w:val="22"/>
          <w:szCs w:val="22"/>
          <w:vertAlign w:val="superscript"/>
        </w:rPr>
        <w:t>3</w:t>
      </w:r>
      <w:r w:rsidRPr="004E0232">
        <w:rPr>
          <w:rFonts w:ascii="Arial" w:hAnsi="Arial" w:cs="Arial"/>
          <w:i/>
          <w:sz w:val="22"/>
          <w:szCs w:val="22"/>
        </w:rPr>
        <w:t xml:space="preserve"> bylo hodnocen</w:t>
      </w:r>
      <w:r w:rsidR="002E34D3" w:rsidRPr="004E0232">
        <w:rPr>
          <w:rFonts w:ascii="Arial" w:hAnsi="Arial" w:cs="Arial"/>
          <w:i/>
          <w:sz w:val="22"/>
          <w:szCs w:val="22"/>
        </w:rPr>
        <w:t>o</w:t>
      </w:r>
      <w:r w:rsidRPr="004E0232">
        <w:rPr>
          <w:rFonts w:ascii="Arial" w:hAnsi="Arial" w:cs="Arial"/>
          <w:i/>
          <w:sz w:val="22"/>
          <w:szCs w:val="22"/>
        </w:rPr>
        <w:t xml:space="preserve"> jako 0.</w:t>
      </w:r>
    </w:p>
    <w:p w:rsidR="00830367" w:rsidRPr="001306F8" w:rsidRDefault="00AA1CF9">
      <w:pPr>
        <w:rPr>
          <w:rFonts w:ascii="Book Antiqua" w:hAnsi="Book Antiqua"/>
          <w:i/>
          <w:noProof w:val="0"/>
          <w:color w:val="FF0000"/>
          <w:sz w:val="22"/>
          <w:szCs w:val="22"/>
          <w14:shadow w14:blurRad="0" w14:dist="0" w14:dir="0" w14:sx="0" w14:sy="0" w14:kx="0" w14:ky="0" w14:algn="none">
            <w14:srgbClr w14:val="000000"/>
          </w14:shadow>
        </w:rPr>
      </w:pPr>
      <w:r w:rsidRPr="001306F8">
        <w:rPr>
          <w:rFonts w:ascii="Book Antiqua" w:hAnsi="Book Antiqua"/>
          <w:i/>
          <w:color w:val="FF0000"/>
          <w:sz w:val="22"/>
          <w:szCs w:val="22"/>
        </w:rPr>
        <w:br w:type="page"/>
      </w:r>
    </w:p>
    <w:p w:rsidR="001306F8" w:rsidRPr="004E0232" w:rsidRDefault="00AA1CF9" w:rsidP="004E0232">
      <w:pPr>
        <w:pStyle w:val="Nadpis2"/>
        <w:spacing w:line="276" w:lineRule="auto"/>
        <w:jc w:val="left"/>
        <w:rPr>
          <w:rFonts w:cs="Arial"/>
          <w:szCs w:val="22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4E0232">
        <w:rPr>
          <w:rFonts w:cs="Arial"/>
          <w:szCs w:val="22"/>
          <w:lang w:eastAsia="en-US"/>
          <w14:shadow w14:blurRad="0" w14:dist="0" w14:dir="0" w14:sx="0" w14:sy="0" w14:kx="0" w14:ky="0" w14:algn="none">
            <w14:srgbClr w14:val="000000"/>
          </w14:shadow>
        </w:rPr>
        <w:lastRenderedPageBreak/>
        <w:t>Příloha č. 2</w:t>
      </w:r>
    </w:p>
    <w:p w:rsidR="00830367" w:rsidRPr="004E0232" w:rsidRDefault="00AA1CF9" w:rsidP="004E0232">
      <w:pPr>
        <w:pStyle w:val="DefaultText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E0232">
        <w:rPr>
          <w:rFonts w:ascii="Arial" w:hAnsi="Arial" w:cs="Arial"/>
          <w:noProof/>
          <w:color w:val="FF0000"/>
          <w:sz w:val="22"/>
          <w:szCs w:val="22"/>
        </w:rPr>
        <w:drawing>
          <wp:anchor distT="0" distB="0" distL="114300" distR="114300" simplePos="0" relativeHeight="251666432" behindDoc="0" locked="0" layoutInCell="0" allowOverlap="0">
            <wp:simplePos x="0" y="0"/>
            <wp:positionH relativeFrom="column">
              <wp:posOffset>-4445</wp:posOffset>
            </wp:positionH>
            <wp:positionV relativeFrom="page">
              <wp:posOffset>1685925</wp:posOffset>
            </wp:positionV>
            <wp:extent cx="6120000" cy="7437600"/>
            <wp:effectExtent l="0" t="0" r="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755163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743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06F8" w:rsidRPr="004E0232">
        <w:rPr>
          <w:rFonts w:ascii="Arial" w:hAnsi="Arial" w:cs="Arial"/>
          <w:sz w:val="22"/>
          <w:szCs w:val="22"/>
        </w:rPr>
        <w:t>Průběhy ročních hodnot PM</w:t>
      </w:r>
      <w:r w:rsidR="001306F8" w:rsidRPr="004E0232">
        <w:rPr>
          <w:rFonts w:ascii="Arial" w:hAnsi="Arial" w:cs="Arial"/>
          <w:sz w:val="22"/>
          <w:szCs w:val="22"/>
          <w:vertAlign w:val="subscript"/>
        </w:rPr>
        <w:t>10</w:t>
      </w:r>
      <w:r w:rsidR="001306F8" w:rsidRPr="004E0232">
        <w:rPr>
          <w:rFonts w:ascii="Arial" w:hAnsi="Arial" w:cs="Arial"/>
          <w:sz w:val="22"/>
          <w:szCs w:val="22"/>
        </w:rPr>
        <w:t>, PM</w:t>
      </w:r>
      <w:r w:rsidR="001306F8" w:rsidRPr="004E0232">
        <w:rPr>
          <w:rFonts w:ascii="Arial" w:hAnsi="Arial" w:cs="Arial"/>
          <w:sz w:val="22"/>
          <w:szCs w:val="22"/>
          <w:vertAlign w:val="subscript"/>
        </w:rPr>
        <w:t>2,5</w:t>
      </w:r>
      <w:r w:rsidR="001306F8" w:rsidRPr="004E0232">
        <w:rPr>
          <w:rFonts w:ascii="Arial" w:hAnsi="Arial" w:cs="Arial"/>
          <w:sz w:val="22"/>
          <w:szCs w:val="22"/>
        </w:rPr>
        <w:t>, BaP, Ni, As od roku 1997 v obytných městských lokalitách a odhad trendu</w:t>
      </w:r>
    </w:p>
    <w:p w:rsidR="0057282C" w:rsidRPr="001306F8" w:rsidRDefault="0057282C" w:rsidP="00C1284E">
      <w:pPr>
        <w:pStyle w:val="Nadpis2"/>
        <w:jc w:val="left"/>
        <w:rPr>
          <w:color w:val="FF0000"/>
          <w14:shadow w14:blurRad="0" w14:dist="0" w14:dir="0" w14:sx="0" w14:sy="0" w14:kx="0" w14:ky="0" w14:algn="none">
            <w14:srgbClr w14:val="000000"/>
          </w14:shadow>
        </w:rPr>
      </w:pPr>
    </w:p>
    <w:sectPr w:rsidR="0057282C" w:rsidRPr="001306F8">
      <w:footerReference w:type="even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F9" w:rsidRDefault="00AA1CF9">
      <w:r>
        <w:separator/>
      </w:r>
    </w:p>
  </w:endnote>
  <w:endnote w:type="continuationSeparator" w:id="0">
    <w:p w:rsidR="00AA1CF9" w:rsidRDefault="00AA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dobe Garamond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C51" w:rsidRDefault="00AA1CF9" w:rsidP="008075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17</w:t>
    </w:r>
    <w:r>
      <w:rPr>
        <w:rStyle w:val="slostrnky"/>
      </w:rPr>
      <w:fldChar w:fldCharType="end"/>
    </w:r>
  </w:p>
  <w:p w:rsidR="00CC1C51" w:rsidRDefault="00CC1C5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b w:val="0"/>
      </w:rPr>
      <w:id w:val="20756181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CC1C51" w:rsidRPr="000E4A2F" w:rsidRDefault="00AA1CF9" w:rsidP="000E4A2F">
            <w:pPr>
              <w:pStyle w:val="Nadpis7"/>
              <w:jc w:val="center"/>
              <w:rPr>
                <w:rFonts w:ascii="Arial" w:hAnsi="Arial" w:cs="Arial"/>
                <w:b w:val="0"/>
              </w:rPr>
            </w:pPr>
            <w:r w:rsidRPr="000E4A2F">
              <w:rPr>
                <w:rFonts w:ascii="Arial" w:hAnsi="Arial" w:cs="Arial"/>
                <w:b w:val="0"/>
              </w:rPr>
              <w:t xml:space="preserve">Stránka </w:t>
            </w:r>
            <w:r w:rsidRPr="000E4A2F">
              <w:rPr>
                <w:rFonts w:ascii="Arial" w:hAnsi="Arial" w:cs="Arial"/>
                <w:b w:val="0"/>
              </w:rPr>
              <w:fldChar w:fldCharType="begin"/>
            </w:r>
            <w:r w:rsidRPr="000E4A2F">
              <w:rPr>
                <w:rFonts w:ascii="Arial" w:hAnsi="Arial" w:cs="Arial"/>
                <w:b w:val="0"/>
              </w:rPr>
              <w:instrText>PAGE</w:instrText>
            </w:r>
            <w:r w:rsidRPr="000E4A2F">
              <w:rPr>
                <w:rFonts w:ascii="Arial" w:hAnsi="Arial" w:cs="Arial"/>
                <w:b w:val="0"/>
              </w:rPr>
              <w:fldChar w:fldCharType="separate"/>
            </w:r>
            <w:r w:rsidR="00151DEC">
              <w:rPr>
                <w:rFonts w:ascii="Arial" w:hAnsi="Arial" w:cs="Arial"/>
                <w:b w:val="0"/>
              </w:rPr>
              <w:t>2</w:t>
            </w:r>
            <w:r w:rsidRPr="000E4A2F">
              <w:rPr>
                <w:rFonts w:ascii="Arial" w:hAnsi="Arial" w:cs="Arial"/>
                <w:b w:val="0"/>
              </w:rPr>
              <w:fldChar w:fldCharType="end"/>
            </w:r>
            <w:r w:rsidRPr="000E4A2F">
              <w:rPr>
                <w:rFonts w:ascii="Arial" w:hAnsi="Arial" w:cs="Arial"/>
                <w:b w:val="0"/>
              </w:rPr>
              <w:t xml:space="preserve"> (celkem </w:t>
            </w:r>
            <w:r w:rsidRPr="000E4A2F">
              <w:rPr>
                <w:rFonts w:ascii="Arial" w:hAnsi="Arial" w:cs="Arial"/>
                <w:b w:val="0"/>
              </w:rPr>
              <w:fldChar w:fldCharType="begin"/>
            </w:r>
            <w:r w:rsidRPr="000E4A2F">
              <w:rPr>
                <w:rFonts w:ascii="Arial" w:hAnsi="Arial" w:cs="Arial"/>
                <w:b w:val="0"/>
              </w:rPr>
              <w:instrText>NUMPAGES</w:instrText>
            </w:r>
            <w:r w:rsidRPr="000E4A2F">
              <w:rPr>
                <w:rFonts w:ascii="Arial" w:hAnsi="Arial" w:cs="Arial"/>
                <w:b w:val="0"/>
              </w:rPr>
              <w:fldChar w:fldCharType="separate"/>
            </w:r>
            <w:r w:rsidR="00151DEC">
              <w:rPr>
                <w:rFonts w:ascii="Arial" w:hAnsi="Arial" w:cs="Arial"/>
                <w:b w:val="0"/>
              </w:rPr>
              <w:t>27</w:t>
            </w:r>
            <w:r w:rsidRPr="000E4A2F">
              <w:rPr>
                <w:rFonts w:ascii="Arial" w:hAnsi="Arial" w:cs="Arial"/>
                <w:b w:val="0"/>
              </w:rPr>
              <w:fldChar w:fldCharType="end"/>
            </w:r>
            <w:r w:rsidRPr="000E4A2F">
              <w:rPr>
                <w:rFonts w:ascii="Arial" w:hAnsi="Arial" w:cs="Arial"/>
                <w:b w:val="0"/>
              </w:rPr>
              <w:t>)</w:t>
            </w:r>
          </w:p>
        </w:sdtContent>
      </w:sdt>
    </w:sdtContent>
  </w:sdt>
  <w:p w:rsidR="00CC1C51" w:rsidRPr="000E4A2F" w:rsidRDefault="00CC1C51" w:rsidP="000E4A2F">
    <w:pPr>
      <w:pStyle w:val="Zpat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F9" w:rsidRDefault="00AA1CF9">
      <w:r>
        <w:separator/>
      </w:r>
    </w:p>
  </w:footnote>
  <w:footnote w:type="continuationSeparator" w:id="0">
    <w:p w:rsidR="00AA1CF9" w:rsidRDefault="00AA1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1268AE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5A97B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36428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DE6EE0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D940BE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28D254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6612E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0885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10FB9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7ADD6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3755C"/>
    <w:multiLevelType w:val="hybridMultilevel"/>
    <w:tmpl w:val="1F205EBA"/>
    <w:lvl w:ilvl="0" w:tplc="7164A638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6D6BC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B4EC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30CE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84B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6EB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08C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AEB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CE8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FF56C5"/>
    <w:multiLevelType w:val="hybridMultilevel"/>
    <w:tmpl w:val="8E803D3A"/>
    <w:lvl w:ilvl="0" w:tplc="8DBCD2DE">
      <w:start w:val="1"/>
      <w:numFmt w:val="decimal"/>
      <w:lvlText w:val="%1."/>
      <w:lvlJc w:val="left"/>
      <w:pPr>
        <w:ind w:left="360" w:hanging="360"/>
      </w:pPr>
    </w:lvl>
    <w:lvl w:ilvl="1" w:tplc="426A7024" w:tentative="1">
      <w:start w:val="1"/>
      <w:numFmt w:val="lowerLetter"/>
      <w:lvlText w:val="%2."/>
      <w:lvlJc w:val="left"/>
      <w:pPr>
        <w:ind w:left="1080" w:hanging="360"/>
      </w:pPr>
    </w:lvl>
    <w:lvl w:ilvl="2" w:tplc="717882A0" w:tentative="1">
      <w:start w:val="1"/>
      <w:numFmt w:val="lowerRoman"/>
      <w:lvlText w:val="%3."/>
      <w:lvlJc w:val="right"/>
      <w:pPr>
        <w:ind w:left="1800" w:hanging="180"/>
      </w:pPr>
    </w:lvl>
    <w:lvl w:ilvl="3" w:tplc="D24C4306" w:tentative="1">
      <w:start w:val="1"/>
      <w:numFmt w:val="decimal"/>
      <w:lvlText w:val="%4."/>
      <w:lvlJc w:val="left"/>
      <w:pPr>
        <w:ind w:left="2520" w:hanging="360"/>
      </w:pPr>
    </w:lvl>
    <w:lvl w:ilvl="4" w:tplc="A2168F44" w:tentative="1">
      <w:start w:val="1"/>
      <w:numFmt w:val="lowerLetter"/>
      <w:lvlText w:val="%5."/>
      <w:lvlJc w:val="left"/>
      <w:pPr>
        <w:ind w:left="3240" w:hanging="360"/>
      </w:pPr>
    </w:lvl>
    <w:lvl w:ilvl="5" w:tplc="9EC09EA6" w:tentative="1">
      <w:start w:val="1"/>
      <w:numFmt w:val="lowerRoman"/>
      <w:lvlText w:val="%6."/>
      <w:lvlJc w:val="right"/>
      <w:pPr>
        <w:ind w:left="3960" w:hanging="180"/>
      </w:pPr>
    </w:lvl>
    <w:lvl w:ilvl="6" w:tplc="C62ABCB0" w:tentative="1">
      <w:start w:val="1"/>
      <w:numFmt w:val="decimal"/>
      <w:lvlText w:val="%7."/>
      <w:lvlJc w:val="left"/>
      <w:pPr>
        <w:ind w:left="4680" w:hanging="360"/>
      </w:pPr>
    </w:lvl>
    <w:lvl w:ilvl="7" w:tplc="38765174" w:tentative="1">
      <w:start w:val="1"/>
      <w:numFmt w:val="lowerLetter"/>
      <w:lvlText w:val="%8."/>
      <w:lvlJc w:val="left"/>
      <w:pPr>
        <w:ind w:left="5400" w:hanging="360"/>
      </w:pPr>
    </w:lvl>
    <w:lvl w:ilvl="8" w:tplc="6A42EB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600411C"/>
    <w:multiLevelType w:val="hybridMultilevel"/>
    <w:tmpl w:val="3D7ABDE8"/>
    <w:lvl w:ilvl="0" w:tplc="409C270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6D6D79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3F261A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906915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B081BA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566377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76B2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0D8E5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6A94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AA13D4F"/>
    <w:multiLevelType w:val="hybridMultilevel"/>
    <w:tmpl w:val="6CDA58B8"/>
    <w:lvl w:ilvl="0" w:tplc="32B848E2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FCA2D9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E62277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A3201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7B2099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53407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45094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E1CF5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198197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1B948E4"/>
    <w:multiLevelType w:val="singleLevel"/>
    <w:tmpl w:val="049E9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15">
    <w:nsid w:val="4B7F1444"/>
    <w:multiLevelType w:val="hybridMultilevel"/>
    <w:tmpl w:val="4C20FBA2"/>
    <w:lvl w:ilvl="0" w:tplc="A464FFC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</w:rPr>
    </w:lvl>
    <w:lvl w:ilvl="1" w:tplc="1C3C75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023A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AEF5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6C6F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A47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FA19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58EE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2604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D870C6"/>
    <w:multiLevelType w:val="hybridMultilevel"/>
    <w:tmpl w:val="3912E2AE"/>
    <w:lvl w:ilvl="0" w:tplc="6308AA7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7E4A458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11491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A4A35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92C700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668A4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8AC17A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50A7AE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B0AE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073906"/>
    <w:multiLevelType w:val="hybridMultilevel"/>
    <w:tmpl w:val="C84E035E"/>
    <w:lvl w:ilvl="0" w:tplc="153E32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E3EAF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72C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AE77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9A7A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68D8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AA2A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9C5C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209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F45619"/>
    <w:multiLevelType w:val="hybridMultilevel"/>
    <w:tmpl w:val="7A8E10F6"/>
    <w:lvl w:ilvl="0" w:tplc="149037E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4CC5E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500027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AE0B5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72C66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FFE09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E86C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286A3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39218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075CE9"/>
    <w:multiLevelType w:val="hybridMultilevel"/>
    <w:tmpl w:val="E6C23302"/>
    <w:lvl w:ilvl="0" w:tplc="F82438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172592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DB83E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B2C7E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91017E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19C8F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2EE853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EAE837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3AE116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33231FA"/>
    <w:multiLevelType w:val="hybridMultilevel"/>
    <w:tmpl w:val="F4D66646"/>
    <w:lvl w:ilvl="0" w:tplc="38244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343E08" w:tentative="1">
      <w:start w:val="1"/>
      <w:numFmt w:val="lowerLetter"/>
      <w:lvlText w:val="%2."/>
      <w:lvlJc w:val="left"/>
      <w:pPr>
        <w:ind w:left="1440" w:hanging="360"/>
      </w:pPr>
    </w:lvl>
    <w:lvl w:ilvl="2" w:tplc="21E83000" w:tentative="1">
      <w:start w:val="1"/>
      <w:numFmt w:val="lowerRoman"/>
      <w:lvlText w:val="%3."/>
      <w:lvlJc w:val="right"/>
      <w:pPr>
        <w:ind w:left="2160" w:hanging="180"/>
      </w:pPr>
    </w:lvl>
    <w:lvl w:ilvl="3" w:tplc="DE142386" w:tentative="1">
      <w:start w:val="1"/>
      <w:numFmt w:val="decimal"/>
      <w:lvlText w:val="%4."/>
      <w:lvlJc w:val="left"/>
      <w:pPr>
        <w:ind w:left="2880" w:hanging="360"/>
      </w:pPr>
    </w:lvl>
    <w:lvl w:ilvl="4" w:tplc="13AC0D42" w:tentative="1">
      <w:start w:val="1"/>
      <w:numFmt w:val="lowerLetter"/>
      <w:lvlText w:val="%5."/>
      <w:lvlJc w:val="left"/>
      <w:pPr>
        <w:ind w:left="3600" w:hanging="360"/>
      </w:pPr>
    </w:lvl>
    <w:lvl w:ilvl="5" w:tplc="04A696F6" w:tentative="1">
      <w:start w:val="1"/>
      <w:numFmt w:val="lowerRoman"/>
      <w:lvlText w:val="%6."/>
      <w:lvlJc w:val="right"/>
      <w:pPr>
        <w:ind w:left="4320" w:hanging="180"/>
      </w:pPr>
    </w:lvl>
    <w:lvl w:ilvl="6" w:tplc="E8EC6974" w:tentative="1">
      <w:start w:val="1"/>
      <w:numFmt w:val="decimal"/>
      <w:lvlText w:val="%7."/>
      <w:lvlJc w:val="left"/>
      <w:pPr>
        <w:ind w:left="5040" w:hanging="360"/>
      </w:pPr>
    </w:lvl>
    <w:lvl w:ilvl="7" w:tplc="F4E22AD8" w:tentative="1">
      <w:start w:val="1"/>
      <w:numFmt w:val="lowerLetter"/>
      <w:lvlText w:val="%8."/>
      <w:lvlJc w:val="left"/>
      <w:pPr>
        <w:ind w:left="5760" w:hanging="360"/>
      </w:pPr>
    </w:lvl>
    <w:lvl w:ilvl="8" w:tplc="E962E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E2B0B"/>
    <w:multiLevelType w:val="hybridMultilevel"/>
    <w:tmpl w:val="5A446D04"/>
    <w:lvl w:ilvl="0" w:tplc="1FF2F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 w:tplc="296807B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90488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5E4F04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4EA7E0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39434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54C16B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AC2A61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0D8F40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A6C0D65"/>
    <w:multiLevelType w:val="hybridMultilevel"/>
    <w:tmpl w:val="E312AA72"/>
    <w:lvl w:ilvl="0" w:tplc="E42AAC8C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2872E4F8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8B829BBC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F3E2E8E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5A8AC0E6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B2F4C876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B22D66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C8527744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E20C8096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73F12D90"/>
    <w:multiLevelType w:val="hybridMultilevel"/>
    <w:tmpl w:val="32847800"/>
    <w:lvl w:ilvl="0" w:tplc="9FA890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4221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1E86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97C15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45ADD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FCF2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BCA83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584D1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DE95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7A2BAE"/>
    <w:multiLevelType w:val="hybridMultilevel"/>
    <w:tmpl w:val="E8107330"/>
    <w:lvl w:ilvl="0" w:tplc="CA70D1EE">
      <w:start w:val="1"/>
      <w:numFmt w:val="decimal"/>
      <w:lvlText w:val="%1."/>
      <w:lvlJc w:val="left"/>
      <w:pPr>
        <w:ind w:left="1077" w:hanging="360"/>
      </w:pPr>
    </w:lvl>
    <w:lvl w:ilvl="1" w:tplc="46EC4FFA" w:tentative="1">
      <w:start w:val="1"/>
      <w:numFmt w:val="lowerLetter"/>
      <w:lvlText w:val="%2."/>
      <w:lvlJc w:val="left"/>
      <w:pPr>
        <w:ind w:left="1797" w:hanging="360"/>
      </w:pPr>
    </w:lvl>
    <w:lvl w:ilvl="2" w:tplc="A290144E" w:tentative="1">
      <w:start w:val="1"/>
      <w:numFmt w:val="lowerRoman"/>
      <w:lvlText w:val="%3."/>
      <w:lvlJc w:val="right"/>
      <w:pPr>
        <w:ind w:left="2517" w:hanging="180"/>
      </w:pPr>
    </w:lvl>
    <w:lvl w:ilvl="3" w:tplc="627E09DC" w:tentative="1">
      <w:start w:val="1"/>
      <w:numFmt w:val="decimal"/>
      <w:lvlText w:val="%4."/>
      <w:lvlJc w:val="left"/>
      <w:pPr>
        <w:ind w:left="3237" w:hanging="360"/>
      </w:pPr>
    </w:lvl>
    <w:lvl w:ilvl="4" w:tplc="ABF452E6" w:tentative="1">
      <w:start w:val="1"/>
      <w:numFmt w:val="lowerLetter"/>
      <w:lvlText w:val="%5."/>
      <w:lvlJc w:val="left"/>
      <w:pPr>
        <w:ind w:left="3957" w:hanging="360"/>
      </w:pPr>
    </w:lvl>
    <w:lvl w:ilvl="5" w:tplc="ADB2F86A" w:tentative="1">
      <w:start w:val="1"/>
      <w:numFmt w:val="lowerRoman"/>
      <w:lvlText w:val="%6."/>
      <w:lvlJc w:val="right"/>
      <w:pPr>
        <w:ind w:left="4677" w:hanging="180"/>
      </w:pPr>
    </w:lvl>
    <w:lvl w:ilvl="6" w:tplc="89E49560" w:tentative="1">
      <w:start w:val="1"/>
      <w:numFmt w:val="decimal"/>
      <w:lvlText w:val="%7."/>
      <w:lvlJc w:val="left"/>
      <w:pPr>
        <w:ind w:left="5397" w:hanging="360"/>
      </w:pPr>
    </w:lvl>
    <w:lvl w:ilvl="7" w:tplc="F7D42162" w:tentative="1">
      <w:start w:val="1"/>
      <w:numFmt w:val="lowerLetter"/>
      <w:lvlText w:val="%8."/>
      <w:lvlJc w:val="left"/>
      <w:pPr>
        <w:ind w:left="6117" w:hanging="360"/>
      </w:pPr>
    </w:lvl>
    <w:lvl w:ilvl="8" w:tplc="1242E766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77C473DF"/>
    <w:multiLevelType w:val="hybridMultilevel"/>
    <w:tmpl w:val="F1D62630"/>
    <w:lvl w:ilvl="0" w:tplc="1918F69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8C2E3F74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D99020CC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AC2A53BE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C65EE2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89B8E54C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4E7694C0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BE67664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72E8CE4A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21"/>
  </w:num>
  <w:num w:numId="14">
    <w:abstractNumId w:val="19"/>
  </w:num>
  <w:num w:numId="15">
    <w:abstractNumId w:val="20"/>
  </w:num>
  <w:num w:numId="16">
    <w:abstractNumId w:val="18"/>
  </w:num>
  <w:num w:numId="17">
    <w:abstractNumId w:val="14"/>
  </w:num>
  <w:num w:numId="18">
    <w:abstractNumId w:val="23"/>
  </w:num>
  <w:num w:numId="19">
    <w:abstractNumId w:val="11"/>
  </w:num>
  <w:num w:numId="20">
    <w:abstractNumId w:val="17"/>
  </w:num>
  <w:num w:numId="21">
    <w:abstractNumId w:val="12"/>
  </w:num>
  <w:num w:numId="22">
    <w:abstractNumId w:val="25"/>
  </w:num>
  <w:num w:numId="23">
    <w:abstractNumId w:val="24"/>
  </w:num>
  <w:num w:numId="24">
    <w:abstractNumId w:val="16"/>
  </w:num>
  <w:num w:numId="25">
    <w:abstractNumId w:val="1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57F"/>
    <w:rsid w:val="00000CC1"/>
    <w:rsid w:val="00007AFC"/>
    <w:rsid w:val="00012D11"/>
    <w:rsid w:val="000137DD"/>
    <w:rsid w:val="0001452A"/>
    <w:rsid w:val="00014E97"/>
    <w:rsid w:val="0001741E"/>
    <w:rsid w:val="000233A2"/>
    <w:rsid w:val="00023823"/>
    <w:rsid w:val="00024167"/>
    <w:rsid w:val="00027317"/>
    <w:rsid w:val="00027319"/>
    <w:rsid w:val="0002777B"/>
    <w:rsid w:val="000302ED"/>
    <w:rsid w:val="0003409F"/>
    <w:rsid w:val="00036E50"/>
    <w:rsid w:val="00040EC0"/>
    <w:rsid w:val="00042579"/>
    <w:rsid w:val="00045307"/>
    <w:rsid w:val="0004756C"/>
    <w:rsid w:val="00053FE5"/>
    <w:rsid w:val="00055605"/>
    <w:rsid w:val="00057FBF"/>
    <w:rsid w:val="00061BD6"/>
    <w:rsid w:val="00062597"/>
    <w:rsid w:val="00062B20"/>
    <w:rsid w:val="00064625"/>
    <w:rsid w:val="00066C98"/>
    <w:rsid w:val="00070E2D"/>
    <w:rsid w:val="00071700"/>
    <w:rsid w:val="00091DCB"/>
    <w:rsid w:val="0009230B"/>
    <w:rsid w:val="000925F2"/>
    <w:rsid w:val="0009372D"/>
    <w:rsid w:val="00094C0E"/>
    <w:rsid w:val="00097CAB"/>
    <w:rsid w:val="000A0110"/>
    <w:rsid w:val="000A50D0"/>
    <w:rsid w:val="000B03EA"/>
    <w:rsid w:val="000B720D"/>
    <w:rsid w:val="000B7FE3"/>
    <w:rsid w:val="000C3866"/>
    <w:rsid w:val="000D0666"/>
    <w:rsid w:val="000D318A"/>
    <w:rsid w:val="000D42D9"/>
    <w:rsid w:val="000D6571"/>
    <w:rsid w:val="000D7A8C"/>
    <w:rsid w:val="000E1114"/>
    <w:rsid w:val="000E4A2F"/>
    <w:rsid w:val="000E6B41"/>
    <w:rsid w:val="000E76AC"/>
    <w:rsid w:val="000F0C12"/>
    <w:rsid w:val="000F701E"/>
    <w:rsid w:val="00101B8A"/>
    <w:rsid w:val="00104A49"/>
    <w:rsid w:val="00111121"/>
    <w:rsid w:val="0011359D"/>
    <w:rsid w:val="00114BD6"/>
    <w:rsid w:val="0011759E"/>
    <w:rsid w:val="001202DD"/>
    <w:rsid w:val="00123C0D"/>
    <w:rsid w:val="00124E89"/>
    <w:rsid w:val="00126ECE"/>
    <w:rsid w:val="00127D62"/>
    <w:rsid w:val="00130152"/>
    <w:rsid w:val="00130373"/>
    <w:rsid w:val="001306F8"/>
    <w:rsid w:val="00131777"/>
    <w:rsid w:val="00150039"/>
    <w:rsid w:val="00151DEC"/>
    <w:rsid w:val="001579FF"/>
    <w:rsid w:val="001627F1"/>
    <w:rsid w:val="001637A8"/>
    <w:rsid w:val="001638C2"/>
    <w:rsid w:val="00164719"/>
    <w:rsid w:val="00167C13"/>
    <w:rsid w:val="00170F13"/>
    <w:rsid w:val="00171D6A"/>
    <w:rsid w:val="00180066"/>
    <w:rsid w:val="00182E2E"/>
    <w:rsid w:val="00183F17"/>
    <w:rsid w:val="001841DD"/>
    <w:rsid w:val="00185EAE"/>
    <w:rsid w:val="001861D9"/>
    <w:rsid w:val="0019253D"/>
    <w:rsid w:val="00197400"/>
    <w:rsid w:val="001A3201"/>
    <w:rsid w:val="001A354D"/>
    <w:rsid w:val="001A406C"/>
    <w:rsid w:val="001A5DC4"/>
    <w:rsid w:val="001A62EF"/>
    <w:rsid w:val="001B433B"/>
    <w:rsid w:val="001B66A2"/>
    <w:rsid w:val="001C64E1"/>
    <w:rsid w:val="001C738D"/>
    <w:rsid w:val="001D02CC"/>
    <w:rsid w:val="001D6C2C"/>
    <w:rsid w:val="001E0996"/>
    <w:rsid w:val="001E2034"/>
    <w:rsid w:val="001E309B"/>
    <w:rsid w:val="001E43B2"/>
    <w:rsid w:val="001E7DC7"/>
    <w:rsid w:val="001F3271"/>
    <w:rsid w:val="001F7757"/>
    <w:rsid w:val="001F7C32"/>
    <w:rsid w:val="00201856"/>
    <w:rsid w:val="00201CF7"/>
    <w:rsid w:val="00202C73"/>
    <w:rsid w:val="00203C16"/>
    <w:rsid w:val="00211246"/>
    <w:rsid w:val="00213833"/>
    <w:rsid w:val="002205EE"/>
    <w:rsid w:val="00221290"/>
    <w:rsid w:val="00224CA9"/>
    <w:rsid w:val="00225633"/>
    <w:rsid w:val="0022585A"/>
    <w:rsid w:val="002337DE"/>
    <w:rsid w:val="00235124"/>
    <w:rsid w:val="002361F0"/>
    <w:rsid w:val="002423E4"/>
    <w:rsid w:val="002476C6"/>
    <w:rsid w:val="00247FE1"/>
    <w:rsid w:val="002513FC"/>
    <w:rsid w:val="00251D60"/>
    <w:rsid w:val="0025365F"/>
    <w:rsid w:val="00255906"/>
    <w:rsid w:val="00262854"/>
    <w:rsid w:val="002629CE"/>
    <w:rsid w:val="00262EC5"/>
    <w:rsid w:val="00263794"/>
    <w:rsid w:val="00265FC9"/>
    <w:rsid w:val="00270014"/>
    <w:rsid w:val="00271D5F"/>
    <w:rsid w:val="00272476"/>
    <w:rsid w:val="002748A9"/>
    <w:rsid w:val="0027537B"/>
    <w:rsid w:val="002760D3"/>
    <w:rsid w:val="002806D0"/>
    <w:rsid w:val="00282D39"/>
    <w:rsid w:val="0028370B"/>
    <w:rsid w:val="0029103C"/>
    <w:rsid w:val="00291813"/>
    <w:rsid w:val="00291F6B"/>
    <w:rsid w:val="00296758"/>
    <w:rsid w:val="002A1A9D"/>
    <w:rsid w:val="002B06A6"/>
    <w:rsid w:val="002B2C16"/>
    <w:rsid w:val="002C0598"/>
    <w:rsid w:val="002C061B"/>
    <w:rsid w:val="002C0E2A"/>
    <w:rsid w:val="002C1DA9"/>
    <w:rsid w:val="002C39DD"/>
    <w:rsid w:val="002C79C4"/>
    <w:rsid w:val="002D3C93"/>
    <w:rsid w:val="002E0919"/>
    <w:rsid w:val="002E13FA"/>
    <w:rsid w:val="002E34D3"/>
    <w:rsid w:val="002E6AF6"/>
    <w:rsid w:val="002F480C"/>
    <w:rsid w:val="002F7A78"/>
    <w:rsid w:val="002F7DA9"/>
    <w:rsid w:val="00301D20"/>
    <w:rsid w:val="0030406E"/>
    <w:rsid w:val="003050FC"/>
    <w:rsid w:val="00305848"/>
    <w:rsid w:val="0030601D"/>
    <w:rsid w:val="003074E7"/>
    <w:rsid w:val="00310445"/>
    <w:rsid w:val="0031231F"/>
    <w:rsid w:val="00313130"/>
    <w:rsid w:val="00313C9B"/>
    <w:rsid w:val="0032074D"/>
    <w:rsid w:val="00323747"/>
    <w:rsid w:val="003278B2"/>
    <w:rsid w:val="003326B3"/>
    <w:rsid w:val="00335528"/>
    <w:rsid w:val="00336DDF"/>
    <w:rsid w:val="00340B80"/>
    <w:rsid w:val="00342B76"/>
    <w:rsid w:val="00343366"/>
    <w:rsid w:val="00345BA8"/>
    <w:rsid w:val="00347A00"/>
    <w:rsid w:val="00350447"/>
    <w:rsid w:val="00352131"/>
    <w:rsid w:val="003521F6"/>
    <w:rsid w:val="00352A4E"/>
    <w:rsid w:val="003621C2"/>
    <w:rsid w:val="00365818"/>
    <w:rsid w:val="003822FA"/>
    <w:rsid w:val="00386323"/>
    <w:rsid w:val="003913C7"/>
    <w:rsid w:val="00392F53"/>
    <w:rsid w:val="00393913"/>
    <w:rsid w:val="00395B92"/>
    <w:rsid w:val="003960D7"/>
    <w:rsid w:val="003A07FC"/>
    <w:rsid w:val="003B1222"/>
    <w:rsid w:val="003B316B"/>
    <w:rsid w:val="003B416F"/>
    <w:rsid w:val="003C3238"/>
    <w:rsid w:val="003C4C3B"/>
    <w:rsid w:val="003C507B"/>
    <w:rsid w:val="003C6086"/>
    <w:rsid w:val="003C6136"/>
    <w:rsid w:val="003D066C"/>
    <w:rsid w:val="003D3EB3"/>
    <w:rsid w:val="003E6DB7"/>
    <w:rsid w:val="003E6F08"/>
    <w:rsid w:val="003F2745"/>
    <w:rsid w:val="003F29EB"/>
    <w:rsid w:val="0040562A"/>
    <w:rsid w:val="00410528"/>
    <w:rsid w:val="00412787"/>
    <w:rsid w:val="00414047"/>
    <w:rsid w:val="00415128"/>
    <w:rsid w:val="0042260A"/>
    <w:rsid w:val="00426340"/>
    <w:rsid w:val="004332A6"/>
    <w:rsid w:val="00433404"/>
    <w:rsid w:val="00440DA4"/>
    <w:rsid w:val="00446251"/>
    <w:rsid w:val="00446FFF"/>
    <w:rsid w:val="00450434"/>
    <w:rsid w:val="0045158E"/>
    <w:rsid w:val="00452299"/>
    <w:rsid w:val="00454751"/>
    <w:rsid w:val="00455CA5"/>
    <w:rsid w:val="00455D35"/>
    <w:rsid w:val="00455FF8"/>
    <w:rsid w:val="0045774A"/>
    <w:rsid w:val="004607E7"/>
    <w:rsid w:val="00460CAF"/>
    <w:rsid w:val="0048258F"/>
    <w:rsid w:val="004910A5"/>
    <w:rsid w:val="00491375"/>
    <w:rsid w:val="00495B65"/>
    <w:rsid w:val="004A1028"/>
    <w:rsid w:val="004A5040"/>
    <w:rsid w:val="004A742A"/>
    <w:rsid w:val="004B05C6"/>
    <w:rsid w:val="004B21D8"/>
    <w:rsid w:val="004C1BE6"/>
    <w:rsid w:val="004C60D7"/>
    <w:rsid w:val="004C7798"/>
    <w:rsid w:val="004D07CD"/>
    <w:rsid w:val="004D10D7"/>
    <w:rsid w:val="004D3AA6"/>
    <w:rsid w:val="004E0232"/>
    <w:rsid w:val="004E14A9"/>
    <w:rsid w:val="004E573D"/>
    <w:rsid w:val="004E59A2"/>
    <w:rsid w:val="004F25D4"/>
    <w:rsid w:val="004F35E4"/>
    <w:rsid w:val="004F4A89"/>
    <w:rsid w:val="004F58CC"/>
    <w:rsid w:val="004F6C86"/>
    <w:rsid w:val="004F765F"/>
    <w:rsid w:val="004F79D6"/>
    <w:rsid w:val="0050457F"/>
    <w:rsid w:val="005068D3"/>
    <w:rsid w:val="00510211"/>
    <w:rsid w:val="005127B3"/>
    <w:rsid w:val="00512920"/>
    <w:rsid w:val="005209EC"/>
    <w:rsid w:val="00522767"/>
    <w:rsid w:val="005231DC"/>
    <w:rsid w:val="0053189D"/>
    <w:rsid w:val="00533BD1"/>
    <w:rsid w:val="00541C72"/>
    <w:rsid w:val="00541DA2"/>
    <w:rsid w:val="0054776E"/>
    <w:rsid w:val="005501E2"/>
    <w:rsid w:val="005513EE"/>
    <w:rsid w:val="00551CE7"/>
    <w:rsid w:val="00553AD9"/>
    <w:rsid w:val="00554EEE"/>
    <w:rsid w:val="00564CFA"/>
    <w:rsid w:val="00565031"/>
    <w:rsid w:val="00571229"/>
    <w:rsid w:val="0057282C"/>
    <w:rsid w:val="00577496"/>
    <w:rsid w:val="0058022E"/>
    <w:rsid w:val="00580BD3"/>
    <w:rsid w:val="005819DC"/>
    <w:rsid w:val="00582067"/>
    <w:rsid w:val="00582D26"/>
    <w:rsid w:val="00585318"/>
    <w:rsid w:val="005903AB"/>
    <w:rsid w:val="00596C3E"/>
    <w:rsid w:val="00597E49"/>
    <w:rsid w:val="005A00A5"/>
    <w:rsid w:val="005A0E78"/>
    <w:rsid w:val="005A141D"/>
    <w:rsid w:val="005A1F30"/>
    <w:rsid w:val="005A78AF"/>
    <w:rsid w:val="005B103D"/>
    <w:rsid w:val="005B16A3"/>
    <w:rsid w:val="005B3893"/>
    <w:rsid w:val="005B5E33"/>
    <w:rsid w:val="005B6B49"/>
    <w:rsid w:val="005C1A8F"/>
    <w:rsid w:val="005C55C3"/>
    <w:rsid w:val="005D368A"/>
    <w:rsid w:val="005D3D0E"/>
    <w:rsid w:val="005D44C2"/>
    <w:rsid w:val="005D4FD8"/>
    <w:rsid w:val="005D5B91"/>
    <w:rsid w:val="005D62D2"/>
    <w:rsid w:val="005D6FF7"/>
    <w:rsid w:val="005D7631"/>
    <w:rsid w:val="005E361C"/>
    <w:rsid w:val="005E44FA"/>
    <w:rsid w:val="005E5986"/>
    <w:rsid w:val="005E721C"/>
    <w:rsid w:val="005F1342"/>
    <w:rsid w:val="005F5480"/>
    <w:rsid w:val="005F5DC7"/>
    <w:rsid w:val="005F7321"/>
    <w:rsid w:val="00600246"/>
    <w:rsid w:val="00600E61"/>
    <w:rsid w:val="006051E0"/>
    <w:rsid w:val="006068C6"/>
    <w:rsid w:val="006110B0"/>
    <w:rsid w:val="00611ED2"/>
    <w:rsid w:val="006169D9"/>
    <w:rsid w:val="006177BB"/>
    <w:rsid w:val="00621DEE"/>
    <w:rsid w:val="00622565"/>
    <w:rsid w:val="00623C3D"/>
    <w:rsid w:val="00624755"/>
    <w:rsid w:val="00626E75"/>
    <w:rsid w:val="006271DE"/>
    <w:rsid w:val="00630B7B"/>
    <w:rsid w:val="00631DFD"/>
    <w:rsid w:val="00634443"/>
    <w:rsid w:val="00640C45"/>
    <w:rsid w:val="00640FB4"/>
    <w:rsid w:val="00643708"/>
    <w:rsid w:val="00643AA8"/>
    <w:rsid w:val="00643E6A"/>
    <w:rsid w:val="00646C71"/>
    <w:rsid w:val="00652EA5"/>
    <w:rsid w:val="0065323F"/>
    <w:rsid w:val="00653A9B"/>
    <w:rsid w:val="00653FFA"/>
    <w:rsid w:val="0065412B"/>
    <w:rsid w:val="00663599"/>
    <w:rsid w:val="00664D7F"/>
    <w:rsid w:val="0066720D"/>
    <w:rsid w:val="0067211B"/>
    <w:rsid w:val="00685FCA"/>
    <w:rsid w:val="0069043D"/>
    <w:rsid w:val="0069126B"/>
    <w:rsid w:val="006915C0"/>
    <w:rsid w:val="0069253C"/>
    <w:rsid w:val="0069530F"/>
    <w:rsid w:val="006958C9"/>
    <w:rsid w:val="006A086C"/>
    <w:rsid w:val="006A5D59"/>
    <w:rsid w:val="006A6A08"/>
    <w:rsid w:val="006B369B"/>
    <w:rsid w:val="006B6E37"/>
    <w:rsid w:val="006B72A0"/>
    <w:rsid w:val="006C3F2E"/>
    <w:rsid w:val="006C787B"/>
    <w:rsid w:val="006D16FA"/>
    <w:rsid w:val="006D36DD"/>
    <w:rsid w:val="006E13E7"/>
    <w:rsid w:val="006E2EAD"/>
    <w:rsid w:val="006E4465"/>
    <w:rsid w:val="006F21DE"/>
    <w:rsid w:val="006F2E7A"/>
    <w:rsid w:val="006F3C08"/>
    <w:rsid w:val="006F462E"/>
    <w:rsid w:val="006F7A64"/>
    <w:rsid w:val="00702C4B"/>
    <w:rsid w:val="00702D83"/>
    <w:rsid w:val="00712355"/>
    <w:rsid w:val="00713F1A"/>
    <w:rsid w:val="00715F3C"/>
    <w:rsid w:val="00716E97"/>
    <w:rsid w:val="00722B11"/>
    <w:rsid w:val="007243A5"/>
    <w:rsid w:val="00725AC1"/>
    <w:rsid w:val="00732A38"/>
    <w:rsid w:val="00732DAC"/>
    <w:rsid w:val="00745BAC"/>
    <w:rsid w:val="007548E9"/>
    <w:rsid w:val="00756A8B"/>
    <w:rsid w:val="007667EC"/>
    <w:rsid w:val="007722A3"/>
    <w:rsid w:val="00777AF8"/>
    <w:rsid w:val="007839F2"/>
    <w:rsid w:val="00786471"/>
    <w:rsid w:val="007A3BD4"/>
    <w:rsid w:val="007A57F5"/>
    <w:rsid w:val="007A5AFF"/>
    <w:rsid w:val="007A5FF2"/>
    <w:rsid w:val="007A7945"/>
    <w:rsid w:val="007B512E"/>
    <w:rsid w:val="007B7571"/>
    <w:rsid w:val="007C1867"/>
    <w:rsid w:val="007C6CB6"/>
    <w:rsid w:val="007C7F49"/>
    <w:rsid w:val="007C7FCF"/>
    <w:rsid w:val="007D026B"/>
    <w:rsid w:val="007D0E20"/>
    <w:rsid w:val="007D30A5"/>
    <w:rsid w:val="007D5165"/>
    <w:rsid w:val="007D5B6B"/>
    <w:rsid w:val="007D7644"/>
    <w:rsid w:val="007E29D3"/>
    <w:rsid w:val="007E5CC1"/>
    <w:rsid w:val="007F0A0A"/>
    <w:rsid w:val="007F15CA"/>
    <w:rsid w:val="007F1CA4"/>
    <w:rsid w:val="00800D7C"/>
    <w:rsid w:val="00802E5A"/>
    <w:rsid w:val="008058EF"/>
    <w:rsid w:val="008068D2"/>
    <w:rsid w:val="00806A1A"/>
    <w:rsid w:val="0080756D"/>
    <w:rsid w:val="008079CC"/>
    <w:rsid w:val="00810ADA"/>
    <w:rsid w:val="008125F7"/>
    <w:rsid w:val="00812610"/>
    <w:rsid w:val="0081452F"/>
    <w:rsid w:val="008216C8"/>
    <w:rsid w:val="00823FFB"/>
    <w:rsid w:val="00825854"/>
    <w:rsid w:val="00830367"/>
    <w:rsid w:val="00831602"/>
    <w:rsid w:val="00834706"/>
    <w:rsid w:val="00836D40"/>
    <w:rsid w:val="00837682"/>
    <w:rsid w:val="00837A22"/>
    <w:rsid w:val="0084016D"/>
    <w:rsid w:val="008411F6"/>
    <w:rsid w:val="00843940"/>
    <w:rsid w:val="00844823"/>
    <w:rsid w:val="00844D62"/>
    <w:rsid w:val="0084658C"/>
    <w:rsid w:val="0085288B"/>
    <w:rsid w:val="008539DC"/>
    <w:rsid w:val="00856F97"/>
    <w:rsid w:val="00860FCF"/>
    <w:rsid w:val="008613FB"/>
    <w:rsid w:val="00866BB1"/>
    <w:rsid w:val="00867232"/>
    <w:rsid w:val="008709C4"/>
    <w:rsid w:val="00870F24"/>
    <w:rsid w:val="008749C9"/>
    <w:rsid w:val="008757D6"/>
    <w:rsid w:val="00875F2C"/>
    <w:rsid w:val="00877B5D"/>
    <w:rsid w:val="00883245"/>
    <w:rsid w:val="00884151"/>
    <w:rsid w:val="00887156"/>
    <w:rsid w:val="00892BC2"/>
    <w:rsid w:val="00894B49"/>
    <w:rsid w:val="008A2515"/>
    <w:rsid w:val="008A7061"/>
    <w:rsid w:val="008B4D12"/>
    <w:rsid w:val="008B6384"/>
    <w:rsid w:val="008B6A07"/>
    <w:rsid w:val="008C0A08"/>
    <w:rsid w:val="008C6042"/>
    <w:rsid w:val="008D1138"/>
    <w:rsid w:val="008D2887"/>
    <w:rsid w:val="008E125C"/>
    <w:rsid w:val="008E27F1"/>
    <w:rsid w:val="008E50CF"/>
    <w:rsid w:val="008F28CA"/>
    <w:rsid w:val="008F28D5"/>
    <w:rsid w:val="008F5B11"/>
    <w:rsid w:val="00900E93"/>
    <w:rsid w:val="00902DA0"/>
    <w:rsid w:val="00905F3E"/>
    <w:rsid w:val="0090665C"/>
    <w:rsid w:val="00907AAC"/>
    <w:rsid w:val="00912F5D"/>
    <w:rsid w:val="009155AE"/>
    <w:rsid w:val="00915D61"/>
    <w:rsid w:val="00916E12"/>
    <w:rsid w:val="009177ED"/>
    <w:rsid w:val="00920565"/>
    <w:rsid w:val="00921E8B"/>
    <w:rsid w:val="00923E19"/>
    <w:rsid w:val="00927B0B"/>
    <w:rsid w:val="00935915"/>
    <w:rsid w:val="0093697F"/>
    <w:rsid w:val="00940C55"/>
    <w:rsid w:val="00941BF2"/>
    <w:rsid w:val="0095702E"/>
    <w:rsid w:val="00963C52"/>
    <w:rsid w:val="00964DE6"/>
    <w:rsid w:val="00966334"/>
    <w:rsid w:val="0096636E"/>
    <w:rsid w:val="00967CBC"/>
    <w:rsid w:val="00973CA7"/>
    <w:rsid w:val="00981638"/>
    <w:rsid w:val="00984CF4"/>
    <w:rsid w:val="00986B1B"/>
    <w:rsid w:val="0099399D"/>
    <w:rsid w:val="00995960"/>
    <w:rsid w:val="00995D54"/>
    <w:rsid w:val="009A058D"/>
    <w:rsid w:val="009A2DDE"/>
    <w:rsid w:val="009A6052"/>
    <w:rsid w:val="009A6833"/>
    <w:rsid w:val="009A7F63"/>
    <w:rsid w:val="009B102E"/>
    <w:rsid w:val="009B1753"/>
    <w:rsid w:val="009B22AE"/>
    <w:rsid w:val="009B2465"/>
    <w:rsid w:val="009B3835"/>
    <w:rsid w:val="009B459E"/>
    <w:rsid w:val="009B4F41"/>
    <w:rsid w:val="009B6601"/>
    <w:rsid w:val="009B7E89"/>
    <w:rsid w:val="009C460A"/>
    <w:rsid w:val="009C71E5"/>
    <w:rsid w:val="009D14E7"/>
    <w:rsid w:val="009D1EF4"/>
    <w:rsid w:val="009D55DF"/>
    <w:rsid w:val="009D7211"/>
    <w:rsid w:val="009D7A67"/>
    <w:rsid w:val="009E1108"/>
    <w:rsid w:val="009E2AEE"/>
    <w:rsid w:val="009E3C98"/>
    <w:rsid w:val="009E44DA"/>
    <w:rsid w:val="009E7AEA"/>
    <w:rsid w:val="009F1389"/>
    <w:rsid w:val="009F5A63"/>
    <w:rsid w:val="00A0012F"/>
    <w:rsid w:val="00A001C9"/>
    <w:rsid w:val="00A01AD9"/>
    <w:rsid w:val="00A0214F"/>
    <w:rsid w:val="00A026B5"/>
    <w:rsid w:val="00A02A0E"/>
    <w:rsid w:val="00A05455"/>
    <w:rsid w:val="00A11778"/>
    <w:rsid w:val="00A13DED"/>
    <w:rsid w:val="00A14919"/>
    <w:rsid w:val="00A15DAA"/>
    <w:rsid w:val="00A22BE8"/>
    <w:rsid w:val="00A260E8"/>
    <w:rsid w:val="00A27392"/>
    <w:rsid w:val="00A30446"/>
    <w:rsid w:val="00A3058E"/>
    <w:rsid w:val="00A320E2"/>
    <w:rsid w:val="00A3632B"/>
    <w:rsid w:val="00A366CD"/>
    <w:rsid w:val="00A37156"/>
    <w:rsid w:val="00A4061B"/>
    <w:rsid w:val="00A43E6C"/>
    <w:rsid w:val="00A459EB"/>
    <w:rsid w:val="00A4781A"/>
    <w:rsid w:val="00A478AF"/>
    <w:rsid w:val="00A5042B"/>
    <w:rsid w:val="00A51F5E"/>
    <w:rsid w:val="00A522C1"/>
    <w:rsid w:val="00A52322"/>
    <w:rsid w:val="00A560BA"/>
    <w:rsid w:val="00A57776"/>
    <w:rsid w:val="00A57AF3"/>
    <w:rsid w:val="00A60F1B"/>
    <w:rsid w:val="00A65667"/>
    <w:rsid w:val="00A65DA6"/>
    <w:rsid w:val="00A665B6"/>
    <w:rsid w:val="00A71824"/>
    <w:rsid w:val="00A74E4A"/>
    <w:rsid w:val="00A77A32"/>
    <w:rsid w:val="00A80D4F"/>
    <w:rsid w:val="00A820E8"/>
    <w:rsid w:val="00A84734"/>
    <w:rsid w:val="00A8480D"/>
    <w:rsid w:val="00A9174A"/>
    <w:rsid w:val="00A94716"/>
    <w:rsid w:val="00A959AB"/>
    <w:rsid w:val="00AA0970"/>
    <w:rsid w:val="00AA0AE1"/>
    <w:rsid w:val="00AA0BC2"/>
    <w:rsid w:val="00AA1416"/>
    <w:rsid w:val="00AA1CF9"/>
    <w:rsid w:val="00AA754D"/>
    <w:rsid w:val="00AB0E05"/>
    <w:rsid w:val="00AC2698"/>
    <w:rsid w:val="00AC377E"/>
    <w:rsid w:val="00AC7617"/>
    <w:rsid w:val="00AC785D"/>
    <w:rsid w:val="00AC7AB8"/>
    <w:rsid w:val="00AD0603"/>
    <w:rsid w:val="00AD0EFC"/>
    <w:rsid w:val="00AD5A05"/>
    <w:rsid w:val="00AD5E34"/>
    <w:rsid w:val="00AD789A"/>
    <w:rsid w:val="00AE094D"/>
    <w:rsid w:val="00AE193E"/>
    <w:rsid w:val="00AE333D"/>
    <w:rsid w:val="00AE365C"/>
    <w:rsid w:val="00AE632A"/>
    <w:rsid w:val="00AF146F"/>
    <w:rsid w:val="00AF15A4"/>
    <w:rsid w:val="00AF385B"/>
    <w:rsid w:val="00B015FE"/>
    <w:rsid w:val="00B021CC"/>
    <w:rsid w:val="00B03A10"/>
    <w:rsid w:val="00B10FD0"/>
    <w:rsid w:val="00B11DDD"/>
    <w:rsid w:val="00B1221C"/>
    <w:rsid w:val="00B13D2B"/>
    <w:rsid w:val="00B17FD8"/>
    <w:rsid w:val="00B26EC0"/>
    <w:rsid w:val="00B35284"/>
    <w:rsid w:val="00B354AB"/>
    <w:rsid w:val="00B374D6"/>
    <w:rsid w:val="00B4228A"/>
    <w:rsid w:val="00B42C3E"/>
    <w:rsid w:val="00B46667"/>
    <w:rsid w:val="00B46F2C"/>
    <w:rsid w:val="00B62373"/>
    <w:rsid w:val="00B626CA"/>
    <w:rsid w:val="00B655F2"/>
    <w:rsid w:val="00B7316A"/>
    <w:rsid w:val="00B80222"/>
    <w:rsid w:val="00B861DC"/>
    <w:rsid w:val="00B90CBD"/>
    <w:rsid w:val="00B91A82"/>
    <w:rsid w:val="00B9231B"/>
    <w:rsid w:val="00B93564"/>
    <w:rsid w:val="00B962E7"/>
    <w:rsid w:val="00BA0526"/>
    <w:rsid w:val="00BA0CE6"/>
    <w:rsid w:val="00BA3581"/>
    <w:rsid w:val="00BA5172"/>
    <w:rsid w:val="00BA5378"/>
    <w:rsid w:val="00BA712D"/>
    <w:rsid w:val="00BA77D5"/>
    <w:rsid w:val="00BA7859"/>
    <w:rsid w:val="00BB429C"/>
    <w:rsid w:val="00BB757E"/>
    <w:rsid w:val="00BC11E0"/>
    <w:rsid w:val="00BC130B"/>
    <w:rsid w:val="00BD1F23"/>
    <w:rsid w:val="00BD7D21"/>
    <w:rsid w:val="00BD7D58"/>
    <w:rsid w:val="00BE0F80"/>
    <w:rsid w:val="00BE1269"/>
    <w:rsid w:val="00BE43EE"/>
    <w:rsid w:val="00BE57F8"/>
    <w:rsid w:val="00BE6636"/>
    <w:rsid w:val="00BE7654"/>
    <w:rsid w:val="00BF0C53"/>
    <w:rsid w:val="00BF16D1"/>
    <w:rsid w:val="00BF1952"/>
    <w:rsid w:val="00BF48D1"/>
    <w:rsid w:val="00BF7FB6"/>
    <w:rsid w:val="00C0795D"/>
    <w:rsid w:val="00C11386"/>
    <w:rsid w:val="00C113BC"/>
    <w:rsid w:val="00C1284E"/>
    <w:rsid w:val="00C12A79"/>
    <w:rsid w:val="00C14046"/>
    <w:rsid w:val="00C15C11"/>
    <w:rsid w:val="00C15DE1"/>
    <w:rsid w:val="00C2177F"/>
    <w:rsid w:val="00C267E3"/>
    <w:rsid w:val="00C30BF1"/>
    <w:rsid w:val="00C31C55"/>
    <w:rsid w:val="00C40CF1"/>
    <w:rsid w:val="00C4130B"/>
    <w:rsid w:val="00C41E69"/>
    <w:rsid w:val="00C42B29"/>
    <w:rsid w:val="00C43000"/>
    <w:rsid w:val="00C4573F"/>
    <w:rsid w:val="00C45AF2"/>
    <w:rsid w:val="00C50B8E"/>
    <w:rsid w:val="00C514AF"/>
    <w:rsid w:val="00C51E18"/>
    <w:rsid w:val="00C54621"/>
    <w:rsid w:val="00C54B13"/>
    <w:rsid w:val="00C56D2F"/>
    <w:rsid w:val="00C64ACE"/>
    <w:rsid w:val="00C675DE"/>
    <w:rsid w:val="00C704D3"/>
    <w:rsid w:val="00C71FC1"/>
    <w:rsid w:val="00C766DD"/>
    <w:rsid w:val="00C85CAB"/>
    <w:rsid w:val="00C911C5"/>
    <w:rsid w:val="00C956A9"/>
    <w:rsid w:val="00C96773"/>
    <w:rsid w:val="00CA024B"/>
    <w:rsid w:val="00CA33F2"/>
    <w:rsid w:val="00CA6BF4"/>
    <w:rsid w:val="00CB151B"/>
    <w:rsid w:val="00CB211A"/>
    <w:rsid w:val="00CB3EF8"/>
    <w:rsid w:val="00CB7888"/>
    <w:rsid w:val="00CC073B"/>
    <w:rsid w:val="00CC1C51"/>
    <w:rsid w:val="00CC607C"/>
    <w:rsid w:val="00CD1BF9"/>
    <w:rsid w:val="00CD22DE"/>
    <w:rsid w:val="00CD41D3"/>
    <w:rsid w:val="00CE28FC"/>
    <w:rsid w:val="00CE2F06"/>
    <w:rsid w:val="00CE41D0"/>
    <w:rsid w:val="00CE593F"/>
    <w:rsid w:val="00CF02E1"/>
    <w:rsid w:val="00CF1BE5"/>
    <w:rsid w:val="00CF3ED9"/>
    <w:rsid w:val="00CF53B0"/>
    <w:rsid w:val="00CF7609"/>
    <w:rsid w:val="00D0109C"/>
    <w:rsid w:val="00D01435"/>
    <w:rsid w:val="00D068E0"/>
    <w:rsid w:val="00D078EA"/>
    <w:rsid w:val="00D13536"/>
    <w:rsid w:val="00D15E07"/>
    <w:rsid w:val="00D17A37"/>
    <w:rsid w:val="00D21403"/>
    <w:rsid w:val="00D23A93"/>
    <w:rsid w:val="00D24A88"/>
    <w:rsid w:val="00D25D71"/>
    <w:rsid w:val="00D3359B"/>
    <w:rsid w:val="00D344AA"/>
    <w:rsid w:val="00D34E10"/>
    <w:rsid w:val="00D35676"/>
    <w:rsid w:val="00D36E98"/>
    <w:rsid w:val="00D37465"/>
    <w:rsid w:val="00D4120F"/>
    <w:rsid w:val="00D4158F"/>
    <w:rsid w:val="00D423D5"/>
    <w:rsid w:val="00D440BF"/>
    <w:rsid w:val="00D458F2"/>
    <w:rsid w:val="00D50BE6"/>
    <w:rsid w:val="00D54803"/>
    <w:rsid w:val="00D56F3A"/>
    <w:rsid w:val="00D6081D"/>
    <w:rsid w:val="00D619AA"/>
    <w:rsid w:val="00D63D3A"/>
    <w:rsid w:val="00D64047"/>
    <w:rsid w:val="00D704AB"/>
    <w:rsid w:val="00D73A89"/>
    <w:rsid w:val="00D84FE5"/>
    <w:rsid w:val="00D91739"/>
    <w:rsid w:val="00D934D0"/>
    <w:rsid w:val="00D94661"/>
    <w:rsid w:val="00D95207"/>
    <w:rsid w:val="00D95E32"/>
    <w:rsid w:val="00D96449"/>
    <w:rsid w:val="00DA18C2"/>
    <w:rsid w:val="00DA2D29"/>
    <w:rsid w:val="00DA3330"/>
    <w:rsid w:val="00DA3F51"/>
    <w:rsid w:val="00DA6389"/>
    <w:rsid w:val="00DB0C43"/>
    <w:rsid w:val="00DB3655"/>
    <w:rsid w:val="00DB4CA4"/>
    <w:rsid w:val="00DB705B"/>
    <w:rsid w:val="00DC385A"/>
    <w:rsid w:val="00DD43E5"/>
    <w:rsid w:val="00DE0574"/>
    <w:rsid w:val="00DF041E"/>
    <w:rsid w:val="00DF3A9B"/>
    <w:rsid w:val="00DF65B1"/>
    <w:rsid w:val="00DF6BAB"/>
    <w:rsid w:val="00DF7E81"/>
    <w:rsid w:val="00E052A5"/>
    <w:rsid w:val="00E07A04"/>
    <w:rsid w:val="00E1064E"/>
    <w:rsid w:val="00E12779"/>
    <w:rsid w:val="00E13122"/>
    <w:rsid w:val="00E14DAC"/>
    <w:rsid w:val="00E2053C"/>
    <w:rsid w:val="00E226DC"/>
    <w:rsid w:val="00E2554D"/>
    <w:rsid w:val="00E25A54"/>
    <w:rsid w:val="00E25CFB"/>
    <w:rsid w:val="00E322C4"/>
    <w:rsid w:val="00E40AA4"/>
    <w:rsid w:val="00E40C5D"/>
    <w:rsid w:val="00E41382"/>
    <w:rsid w:val="00E46107"/>
    <w:rsid w:val="00E50BB2"/>
    <w:rsid w:val="00E51DC3"/>
    <w:rsid w:val="00E54A7A"/>
    <w:rsid w:val="00E615D2"/>
    <w:rsid w:val="00E635BC"/>
    <w:rsid w:val="00E66FF0"/>
    <w:rsid w:val="00E7139B"/>
    <w:rsid w:val="00E71E5D"/>
    <w:rsid w:val="00E776CC"/>
    <w:rsid w:val="00E8058B"/>
    <w:rsid w:val="00E8133D"/>
    <w:rsid w:val="00E870B1"/>
    <w:rsid w:val="00E946D5"/>
    <w:rsid w:val="00E961A9"/>
    <w:rsid w:val="00EA0BD7"/>
    <w:rsid w:val="00EA3988"/>
    <w:rsid w:val="00EA6C01"/>
    <w:rsid w:val="00EA6D3B"/>
    <w:rsid w:val="00EB1E13"/>
    <w:rsid w:val="00EB2528"/>
    <w:rsid w:val="00EB623F"/>
    <w:rsid w:val="00EB6A6F"/>
    <w:rsid w:val="00EC0A84"/>
    <w:rsid w:val="00EC212D"/>
    <w:rsid w:val="00EC6352"/>
    <w:rsid w:val="00EC78E1"/>
    <w:rsid w:val="00ED192F"/>
    <w:rsid w:val="00ED30A2"/>
    <w:rsid w:val="00ED455A"/>
    <w:rsid w:val="00ED7BAD"/>
    <w:rsid w:val="00EE1176"/>
    <w:rsid w:val="00EE2A72"/>
    <w:rsid w:val="00EE3BB1"/>
    <w:rsid w:val="00EE715F"/>
    <w:rsid w:val="00EE78DD"/>
    <w:rsid w:val="00EF1F29"/>
    <w:rsid w:val="00EF413F"/>
    <w:rsid w:val="00EF4935"/>
    <w:rsid w:val="00EF7825"/>
    <w:rsid w:val="00F027E4"/>
    <w:rsid w:val="00F03017"/>
    <w:rsid w:val="00F05C6E"/>
    <w:rsid w:val="00F12674"/>
    <w:rsid w:val="00F14AEE"/>
    <w:rsid w:val="00F150E9"/>
    <w:rsid w:val="00F17807"/>
    <w:rsid w:val="00F41AFA"/>
    <w:rsid w:val="00F54E2B"/>
    <w:rsid w:val="00F60166"/>
    <w:rsid w:val="00F60FC5"/>
    <w:rsid w:val="00F62B84"/>
    <w:rsid w:val="00F64E61"/>
    <w:rsid w:val="00F65F51"/>
    <w:rsid w:val="00F8084B"/>
    <w:rsid w:val="00F91414"/>
    <w:rsid w:val="00F9420A"/>
    <w:rsid w:val="00FA209D"/>
    <w:rsid w:val="00FA7365"/>
    <w:rsid w:val="00FB0C4B"/>
    <w:rsid w:val="00FB13A0"/>
    <w:rsid w:val="00FB320E"/>
    <w:rsid w:val="00FB330E"/>
    <w:rsid w:val="00FB332B"/>
    <w:rsid w:val="00FB69D9"/>
    <w:rsid w:val="00FC0969"/>
    <w:rsid w:val="00FC2314"/>
    <w:rsid w:val="00FC7DCC"/>
    <w:rsid w:val="00FD1EFB"/>
    <w:rsid w:val="00FD242E"/>
    <w:rsid w:val="00FD5A8E"/>
    <w:rsid w:val="00FD6465"/>
    <w:rsid w:val="00FE2235"/>
    <w:rsid w:val="00FE3D0F"/>
    <w:rsid w:val="00FE6CA2"/>
    <w:rsid w:val="00FF0329"/>
    <w:rsid w:val="00FF05FD"/>
    <w:rsid w:val="00FF0E75"/>
    <w:rsid w:val="00FF2573"/>
    <w:rsid w:val="00FF6226"/>
    <w:rsid w:val="00FF62A5"/>
    <w:rsid w:val="00FF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09EC"/>
    <w:rPr>
      <w:rFonts w:ascii="MS Serif" w:hAnsi="MS Serif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1">
    <w:name w:val="heading 1"/>
    <w:basedOn w:val="Normln"/>
    <w:next w:val="Normln"/>
    <w:link w:val="Nadpis1Char"/>
    <w:qFormat/>
    <w:rsid w:val="00FA209D"/>
    <w:pPr>
      <w:keepNext/>
      <w:spacing w:before="240" w:after="60"/>
      <w:outlineLvl w:val="0"/>
    </w:pPr>
    <w:rPr>
      <w:rFonts w:ascii="Arial" w:hAnsi="Arial"/>
      <w:b/>
      <w:noProof w:val="0"/>
      <w:kern w:val="28"/>
      <w:sz w:val="28"/>
      <w14:shadow w14:blurRad="0" w14:dist="0" w14:dir="0" w14:sx="0" w14:sy="0" w14:kx="0" w14:ky="0" w14:algn="none">
        <w14:srgbClr w14:val="000000"/>
      </w14:shadow>
    </w:rPr>
  </w:style>
  <w:style w:type="paragraph" w:styleId="Nadpis2">
    <w:name w:val="heading 2"/>
    <w:aliases w:val="Nadpis 2 Char1 Char"/>
    <w:basedOn w:val="Normln"/>
    <w:next w:val="Normln"/>
    <w:link w:val="Nadpis2Char1"/>
    <w:qFormat/>
    <w:rsid w:val="00725AC1"/>
    <w:pPr>
      <w:keepNext/>
      <w:jc w:val="center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rsid w:val="00FA20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A20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FA20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A209D"/>
    <w:pPr>
      <w:keepNext/>
      <w:jc w:val="center"/>
      <w:outlineLvl w:val="5"/>
    </w:pPr>
    <w:rPr>
      <w:rFonts w:ascii="Courier New" w:hAnsi="Courier New"/>
      <w:b/>
      <w:noProof w:val="0"/>
      <w:snapToGrid w:val="0"/>
      <w:color w:val="000000"/>
      <w14:shadow w14:blurRad="0" w14:dist="0" w14:dir="0" w14:sx="0" w14:sy="0" w14:kx="0" w14:ky="0" w14:algn="none">
        <w14:srgbClr w14:val="000000"/>
      </w14:shadow>
    </w:rPr>
  </w:style>
  <w:style w:type="paragraph" w:styleId="Nadpis7">
    <w:name w:val="heading 7"/>
    <w:basedOn w:val="Normln"/>
    <w:next w:val="Normln"/>
    <w:qFormat/>
    <w:rsid w:val="00FA209D"/>
    <w:pPr>
      <w:keepNext/>
      <w:tabs>
        <w:tab w:val="left" w:pos="4890"/>
      </w:tabs>
      <w:outlineLvl w:val="6"/>
    </w:pPr>
    <w:rPr>
      <w:rFonts w:ascii="Book Antiqua" w:hAnsi="Book Antiqua"/>
      <w:b/>
      <w:sz w:val="22"/>
      <w14:shadow w14:blurRad="0" w14:dist="0" w14:dir="0" w14:sx="0" w14:sy="0" w14:kx="0" w14:ky="0" w14:algn="none">
        <w14:srgbClr w14:val="000000"/>
      </w14:shadow>
    </w:rPr>
  </w:style>
  <w:style w:type="paragraph" w:styleId="Nadpis8">
    <w:name w:val="heading 8"/>
    <w:basedOn w:val="Normln"/>
    <w:next w:val="Normln"/>
    <w:qFormat/>
    <w:rsid w:val="00FA209D"/>
    <w:pPr>
      <w:keepNext/>
      <w:jc w:val="both"/>
      <w:outlineLvl w:val="7"/>
    </w:pPr>
    <w:rPr>
      <w:rFonts w:ascii="Book Antiqua" w:hAnsi="Book Antiqua"/>
      <w:noProof w:val="0"/>
      <w:snapToGrid w:val="0"/>
      <w:color w:val="0000FF"/>
      <w:sz w:val="24"/>
      <w14:shadow w14:blurRad="0" w14:dist="0" w14:dir="0" w14:sx="0" w14:sy="0" w14:kx="0" w14:ky="0" w14:algn="none">
        <w14:srgbClr w14:val="000000"/>
      </w14:shadow>
    </w:rPr>
  </w:style>
  <w:style w:type="paragraph" w:styleId="Nadpis9">
    <w:name w:val="heading 9"/>
    <w:basedOn w:val="Normln"/>
    <w:next w:val="Normln"/>
    <w:qFormat/>
    <w:rsid w:val="00FA209D"/>
    <w:pPr>
      <w:keepNext/>
      <w:outlineLvl w:val="8"/>
    </w:pPr>
    <w:rPr>
      <w:rFonts w:ascii="Book Antiqua" w:hAnsi="Book Antiqua"/>
      <w:b/>
      <w:noProof w:val="0"/>
      <w:snapToGrid w:val="0"/>
      <w:color w:val="000000"/>
      <w:sz w:val="22"/>
      <w14:shadow w14:blurRad="0" w14:dist="0" w14:dir="0" w14:sx="0" w14:sy="0" w14:kx="0" w14:ky="0" w14:algn="none">
        <w14:srgbClr w14:val="000000"/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1">
    <w:name w:val="Nadpis 2 Char1"/>
    <w:aliases w:val="Nadpis 2 Char1 Char Char"/>
    <w:link w:val="Nadpis2"/>
    <w:rsid w:val="00725AC1"/>
    <w:rPr>
      <w:rFonts w:ascii="Arial" w:hAnsi="Arial"/>
      <w:b/>
      <w:noProof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">
    <w:name w:val="Body Text"/>
    <w:basedOn w:val="Normln"/>
    <w:rsid w:val="00FA209D"/>
  </w:style>
  <w:style w:type="paragraph" w:styleId="Titulek">
    <w:name w:val="caption"/>
    <w:basedOn w:val="Normln"/>
    <w:next w:val="Normln"/>
    <w:qFormat/>
    <w:rsid w:val="00FA209D"/>
    <w:pPr>
      <w:jc w:val="both"/>
    </w:pPr>
    <w:rPr>
      <w:rFonts w:ascii="Book Antiqua" w:hAnsi="Book Antiqua"/>
      <w:noProof w:val="0"/>
      <w:snapToGrid w:val="0"/>
      <w:color w:val="0000FF"/>
      <w:sz w:val="24"/>
      <w14:shadow w14:blurRad="0" w14:dist="0" w14:dir="0" w14:sx="0" w14:sy="0" w14:kx="0" w14:ky="0" w14:algn="none">
        <w14:srgbClr w14:val="000000"/>
      </w14:shadow>
    </w:rPr>
  </w:style>
  <w:style w:type="paragraph" w:styleId="Normlnweb">
    <w:name w:val="Normal (Web)"/>
    <w:aliases w:val="Normální (síť WWW),Normální (síť WWW) Char Char,Normální (síť WWW) Char Char Char"/>
    <w:basedOn w:val="Normln"/>
    <w:link w:val="NormlnwebChar"/>
    <w:rsid w:val="00FA209D"/>
    <w:pPr>
      <w:spacing w:before="100" w:beforeAutospacing="1" w:after="100" w:afterAutospacing="1"/>
    </w:pPr>
    <w:rPr>
      <w:rFonts w:ascii="Times New Roman" w:hAnsi="Times New Roman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character" w:customStyle="1" w:styleId="NormlnwebChar">
    <w:name w:val="Normální (web) Char"/>
    <w:aliases w:val="Normální (síť WWW) Char1,Normální (síť WWW) Char Char Char1,Normální (síť WWW) Char Char Char Char"/>
    <w:link w:val="Normlnweb"/>
    <w:rsid w:val="00FA209D"/>
    <w:rPr>
      <w:sz w:val="24"/>
      <w:szCs w:val="24"/>
      <w:lang w:val="cs-CZ" w:eastAsia="cs-CZ" w:bidi="ar-SA"/>
    </w:rPr>
  </w:style>
  <w:style w:type="character" w:styleId="Hypertextovodkaz">
    <w:name w:val="Hyperlink"/>
    <w:rsid w:val="00FA209D"/>
    <w:rPr>
      <w:color w:val="0000FF"/>
      <w:u w:val="single"/>
    </w:rPr>
  </w:style>
  <w:style w:type="table" w:styleId="Mkatabulky">
    <w:name w:val="Table Grid"/>
    <w:basedOn w:val="Normlntabulka"/>
    <w:rsid w:val="00FA2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a">
    <w:name w:val="Znaèka"/>
    <w:basedOn w:val="Normln"/>
    <w:rsid w:val="00FA209D"/>
    <w:pPr>
      <w:tabs>
        <w:tab w:val="left" w:pos="288"/>
      </w:tabs>
      <w:overflowPunct w:val="0"/>
      <w:autoSpaceDE w:val="0"/>
      <w:autoSpaceDN w:val="0"/>
      <w:adjustRightInd w:val="0"/>
      <w:ind w:left="288" w:hanging="288"/>
      <w:textAlignment w:val="baseline"/>
    </w:pPr>
    <w:rPr>
      <w:rFonts w:ascii="Times New Roman" w:hAnsi="Times New Roman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DefaultText1">
    <w:name w:val="Default Text:1"/>
    <w:basedOn w:val="Normln"/>
    <w:rsid w:val="00FA209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DefaultText">
    <w:name w:val="Default Text"/>
    <w:basedOn w:val="Normln"/>
    <w:rsid w:val="00FA209D"/>
    <w:rPr>
      <w:rFonts w:ascii="Times New Roman" w:hAnsi="Times New Roman"/>
      <w:noProof w:val="0"/>
      <w:snapToGrid w:val="0"/>
      <w:sz w:val="24"/>
      <w:lang w:val="en-US"/>
      <w14:shadow w14:blurRad="0" w14:dist="0" w14:dir="0" w14:sx="0" w14:sy="0" w14:kx="0" w14:ky="0" w14:algn="none">
        <w14:srgbClr w14:val="000000"/>
      </w14:shadow>
    </w:rPr>
  </w:style>
  <w:style w:type="paragraph" w:customStyle="1" w:styleId="Znaka1">
    <w:name w:val="Značka 1"/>
    <w:basedOn w:val="Normln"/>
    <w:rsid w:val="00FA209D"/>
  </w:style>
  <w:style w:type="paragraph" w:customStyle="1" w:styleId="Texttabulky">
    <w:name w:val="Text tabulky"/>
    <w:basedOn w:val="Normln"/>
    <w:rsid w:val="00FA209D"/>
  </w:style>
  <w:style w:type="paragraph" w:styleId="Zhlav">
    <w:name w:val="header"/>
    <w:aliases w:val="Záhlaví1"/>
    <w:basedOn w:val="Normln"/>
    <w:rsid w:val="00FA209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209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FA209D"/>
    <w:pPr>
      <w:spacing w:line="240" w:lineRule="atLeast"/>
      <w:jc w:val="both"/>
    </w:pPr>
    <w:rPr>
      <w:rFonts w:ascii="Book Antiqua" w:hAnsi="Book Antiqua"/>
      <w:color w:val="000000"/>
      <w:sz w:val="24"/>
    </w:rPr>
  </w:style>
  <w:style w:type="paragraph" w:styleId="Zkladntextodsazen">
    <w:name w:val="Body Text Indent"/>
    <w:basedOn w:val="Normln"/>
    <w:rsid w:val="00FA209D"/>
    <w:pPr>
      <w:spacing w:line="240" w:lineRule="atLeast"/>
      <w:ind w:left="283" w:firstLine="567"/>
      <w:jc w:val="both"/>
    </w:pPr>
    <w:rPr>
      <w:rFonts w:ascii="Book Antiqua" w:hAnsi="Book Antiqua"/>
      <w:color w:val="000000"/>
      <w:sz w:val="24"/>
    </w:rPr>
  </w:style>
  <w:style w:type="paragraph" w:styleId="Zkladntext3">
    <w:name w:val="Body Text 3"/>
    <w:basedOn w:val="Normln"/>
    <w:rsid w:val="00FA209D"/>
    <w:pPr>
      <w:spacing w:line="240" w:lineRule="atLeast"/>
      <w:jc w:val="both"/>
    </w:pPr>
    <w:rPr>
      <w:rFonts w:ascii="Book Antiqua" w:hAnsi="Book Antiqua"/>
      <w:i/>
      <w:color w:val="000000"/>
      <w:sz w:val="24"/>
    </w:rPr>
  </w:style>
  <w:style w:type="paragraph" w:styleId="Zkladntextodsazen2">
    <w:name w:val="Body Text Indent 2"/>
    <w:basedOn w:val="Normln"/>
    <w:rsid w:val="00FA209D"/>
    <w:pPr>
      <w:spacing w:line="240" w:lineRule="atLeast"/>
      <w:ind w:left="566"/>
      <w:jc w:val="both"/>
    </w:pPr>
    <w:rPr>
      <w:rFonts w:ascii="Book Antiqua" w:hAnsi="Book Antiqua"/>
      <w:sz w:val="24"/>
      <w14:shadow w14:blurRad="0" w14:dist="0" w14:dir="0" w14:sx="0" w14:sy="0" w14:kx="0" w14:ky="0" w14:algn="none">
        <w14:srgbClr w14:val="000000"/>
      </w14:shadow>
    </w:rPr>
  </w:style>
  <w:style w:type="paragraph" w:customStyle="1" w:styleId="Standardnte">
    <w:name w:val="Standardní te"/>
    <w:rsid w:val="00FA209D"/>
    <w:rPr>
      <w:snapToGrid w:val="0"/>
      <w:color w:val="000000"/>
      <w:sz w:val="24"/>
    </w:rPr>
  </w:style>
  <w:style w:type="paragraph" w:customStyle="1" w:styleId="Standardntext">
    <w:name w:val="Standardní text"/>
    <w:basedOn w:val="Normln"/>
    <w:rsid w:val="00FA209D"/>
    <w:rPr>
      <w:rFonts w:ascii="Times New Roman" w:hAnsi="Times New Roman"/>
      <w:noProof w:val="0"/>
      <w:sz w:val="24"/>
      <w14:shadow w14:blurRad="0" w14:dist="0" w14:dir="0" w14:sx="0" w14:sy="0" w14:kx="0" w14:ky="0" w14:algn="none">
        <w14:srgbClr w14:val="000000"/>
      </w14:shadow>
    </w:rPr>
  </w:style>
  <w:style w:type="paragraph" w:customStyle="1" w:styleId="Zkladntext21">
    <w:name w:val="Základní text 21"/>
    <w:basedOn w:val="Normln"/>
    <w:rsid w:val="00FA209D"/>
    <w:rPr>
      <w:rFonts w:ascii="Times New Roman" w:hAnsi="Times New Roman"/>
      <w:noProof w:val="0"/>
      <w:sz w:val="24"/>
      <w14:shadow w14:blurRad="0" w14:dist="0" w14:dir="0" w14:sx="0" w14:sy="0" w14:kx="0" w14:ky="0" w14:algn="none">
        <w14:srgbClr w14:val="000000"/>
      </w14:shadow>
    </w:rPr>
  </w:style>
  <w:style w:type="paragraph" w:customStyle="1" w:styleId="Znaka0">
    <w:name w:val="Značka"/>
    <w:rsid w:val="00FA209D"/>
    <w:pPr>
      <w:widowControl w:val="0"/>
      <w:ind w:left="288"/>
    </w:pPr>
    <w:rPr>
      <w:snapToGrid w:val="0"/>
      <w:color w:val="000000"/>
      <w:sz w:val="24"/>
    </w:rPr>
  </w:style>
  <w:style w:type="paragraph" w:styleId="Textvbloku">
    <w:name w:val="Block Text"/>
    <w:basedOn w:val="Normln"/>
    <w:rsid w:val="00FA209D"/>
    <w:pPr>
      <w:ind w:left="-284" w:right="-567"/>
      <w:jc w:val="both"/>
    </w:pPr>
    <w:rPr>
      <w:rFonts w:ascii="Book Antiqua" w:hAnsi="Book Antiqua"/>
      <w:sz w:val="24"/>
      <w14:shadow w14:blurRad="0" w14:dist="0" w14:dir="0" w14:sx="0" w14:sy="0" w14:kx="0" w14:ky="0" w14:algn="none">
        <w14:srgbClr w14:val="000000"/>
      </w14:shadow>
    </w:rPr>
  </w:style>
  <w:style w:type="paragraph" w:styleId="Zkladntextodsazen3">
    <w:name w:val="Body Text Indent 3"/>
    <w:basedOn w:val="Normln"/>
    <w:rsid w:val="00FA209D"/>
    <w:pPr>
      <w:numPr>
        <w:ilvl w:val="12"/>
      </w:numPr>
      <w:ind w:left="360"/>
      <w:jc w:val="both"/>
    </w:pPr>
    <w:rPr>
      <w:rFonts w:ascii="Book Antiqua" w:hAnsi="Book Antiqua"/>
      <w:sz w:val="24"/>
      <w14:shadow w14:blurRad="0" w14:dist="0" w14:dir="0" w14:sx="0" w14:sy="0" w14:kx="0" w14:ky="0" w14:algn="none">
        <w14:srgbClr w14:val="000000"/>
      </w14:shadow>
    </w:rPr>
  </w:style>
  <w:style w:type="paragraph" w:styleId="Nzev">
    <w:name w:val="Title"/>
    <w:basedOn w:val="Normln"/>
    <w:qFormat/>
    <w:rsid w:val="00FA209D"/>
    <w:pPr>
      <w:jc w:val="center"/>
    </w:pPr>
    <w:rPr>
      <w:rFonts w:ascii="Book Antiqua" w:hAnsi="Book Antiqua"/>
      <w:b/>
      <w:noProof w:val="0"/>
      <w:sz w:val="28"/>
      <w14:shadow w14:blurRad="0" w14:dist="0" w14:dir="0" w14:sx="0" w14:sy="0" w14:kx="0" w14:ky="0" w14:algn="none">
        <w14:srgbClr w14:val="000000"/>
      </w14:shadow>
    </w:rPr>
  </w:style>
  <w:style w:type="character" w:styleId="slostrnky">
    <w:name w:val="page number"/>
    <w:basedOn w:val="Standardnpsmoodstavce"/>
    <w:rsid w:val="00FA209D"/>
  </w:style>
  <w:style w:type="paragraph" w:styleId="Prosttext">
    <w:name w:val="Plain Text"/>
    <w:basedOn w:val="Normln"/>
    <w:rsid w:val="00FA209D"/>
    <w:rPr>
      <w:rFonts w:ascii="Courier New" w:hAnsi="Courier New"/>
      <w:noProof w:val="0"/>
      <w14:shadow w14:blurRad="0" w14:dist="0" w14:dir="0" w14:sx="0" w14:sy="0" w14:kx="0" w14:ky="0" w14:algn="none">
        <w14:srgbClr w14:val="000000"/>
      </w14:shadow>
    </w:rPr>
  </w:style>
  <w:style w:type="character" w:styleId="Siln">
    <w:name w:val="Strong"/>
    <w:qFormat/>
    <w:rsid w:val="00FA209D"/>
    <w:rPr>
      <w:b/>
    </w:rPr>
  </w:style>
  <w:style w:type="paragraph" w:customStyle="1" w:styleId="font5">
    <w:name w:val="font5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i/>
      <w:i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font6">
    <w:name w:val="font6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28"/>
      <w:szCs w:val="28"/>
      <w14:shadow w14:blurRad="0" w14:dist="0" w14:dir="0" w14:sx="0" w14:sy="0" w14:kx="0" w14:ky="0" w14:algn="none">
        <w14:srgbClr w14:val="000000"/>
      </w14:shadow>
    </w:rPr>
  </w:style>
  <w:style w:type="paragraph" w:customStyle="1" w:styleId="font7">
    <w:name w:val="font7"/>
    <w:basedOn w:val="Normln"/>
    <w:rsid w:val="00FA209D"/>
    <w:pPr>
      <w:spacing w:before="100" w:beforeAutospacing="1" w:after="100" w:afterAutospacing="1"/>
    </w:pPr>
    <w:rPr>
      <w:rFonts w:ascii="Symbol" w:hAnsi="Symbol"/>
      <w:b/>
      <w:bCs/>
      <w:noProof w:val="0"/>
      <w:sz w:val="28"/>
      <w:szCs w:val="28"/>
      <w14:shadow w14:blurRad="0" w14:dist="0" w14:dir="0" w14:sx="0" w14:sy="0" w14:kx="0" w14:ky="0" w14:algn="none">
        <w14:srgbClr w14:val="000000"/>
      </w14:shadow>
    </w:rPr>
  </w:style>
  <w:style w:type="paragraph" w:customStyle="1" w:styleId="font8">
    <w:name w:val="font8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28"/>
      <w:szCs w:val="28"/>
      <w14:shadow w14:blurRad="0" w14:dist="0" w14:dir="0" w14:sx="0" w14:sy="0" w14:kx="0" w14:ky="0" w14:algn="none">
        <w14:srgbClr w14:val="000000"/>
      </w14:shadow>
    </w:rPr>
  </w:style>
  <w:style w:type="paragraph" w:customStyle="1" w:styleId="font9">
    <w:name w:val="font9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28"/>
      <w:szCs w:val="28"/>
      <w14:shadow w14:blurRad="0" w14:dist="0" w14:dir="0" w14:sx="0" w14:sy="0" w14:kx="0" w14:ky="0" w14:algn="none">
        <w14:srgbClr w14:val="000000"/>
      </w14:shadow>
    </w:rPr>
  </w:style>
  <w:style w:type="paragraph" w:customStyle="1" w:styleId="font10">
    <w:name w:val="font10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font11">
    <w:name w:val="font11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font12">
    <w:name w:val="font12"/>
    <w:basedOn w:val="Normln"/>
    <w:rsid w:val="00FA209D"/>
    <w:pPr>
      <w:spacing w:before="100" w:beforeAutospacing="1" w:after="100" w:afterAutospacing="1"/>
    </w:pPr>
    <w:rPr>
      <w:rFonts w:ascii="Arial" w:hAnsi="Arial"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font13">
    <w:name w:val="font13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23">
    <w:name w:val="xl23"/>
    <w:basedOn w:val="Normln"/>
    <w:rsid w:val="00FA209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noProof w:val="0"/>
      <w:sz w:val="28"/>
      <w:szCs w:val="28"/>
      <w14:shadow w14:blurRad="0" w14:dist="0" w14:dir="0" w14:sx="0" w14:sy="0" w14:kx="0" w14:ky="0" w14:algn="none">
        <w14:srgbClr w14:val="000000"/>
      </w14:shadow>
    </w:rPr>
  </w:style>
  <w:style w:type="paragraph" w:customStyle="1" w:styleId="xl24">
    <w:name w:val="xl24"/>
    <w:basedOn w:val="Normln"/>
    <w:rsid w:val="00FA209D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25">
    <w:name w:val="xl25"/>
    <w:basedOn w:val="Normln"/>
    <w:rsid w:val="00FA209D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26">
    <w:name w:val="xl26"/>
    <w:basedOn w:val="Normln"/>
    <w:rsid w:val="00FA209D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27">
    <w:name w:val="xl27"/>
    <w:basedOn w:val="Normln"/>
    <w:rsid w:val="00FA209D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28">
    <w:name w:val="xl28"/>
    <w:basedOn w:val="Normln"/>
    <w:rsid w:val="00FA209D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29">
    <w:name w:val="xl29"/>
    <w:basedOn w:val="Normln"/>
    <w:rsid w:val="00FA209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0">
    <w:name w:val="xl30"/>
    <w:basedOn w:val="Normln"/>
    <w:rsid w:val="00FA20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1">
    <w:name w:val="xl31"/>
    <w:basedOn w:val="Normln"/>
    <w:rsid w:val="00FA2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2">
    <w:name w:val="xl32"/>
    <w:basedOn w:val="Normln"/>
    <w:rsid w:val="00FA20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3">
    <w:name w:val="xl33"/>
    <w:basedOn w:val="Normln"/>
    <w:rsid w:val="00FA209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34">
    <w:name w:val="xl34"/>
    <w:basedOn w:val="Normln"/>
    <w:rsid w:val="00FA20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5">
    <w:name w:val="xl35"/>
    <w:basedOn w:val="Normln"/>
    <w:rsid w:val="00FA20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6">
    <w:name w:val="xl36"/>
    <w:basedOn w:val="Normln"/>
    <w:rsid w:val="00FA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7">
    <w:name w:val="xl37"/>
    <w:basedOn w:val="Normln"/>
    <w:rsid w:val="00FA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38">
    <w:name w:val="xl38"/>
    <w:basedOn w:val="Normln"/>
    <w:rsid w:val="00FA20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39">
    <w:name w:val="xl39"/>
    <w:basedOn w:val="Normln"/>
    <w:rsid w:val="00FA20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0">
    <w:name w:val="xl40"/>
    <w:basedOn w:val="Normln"/>
    <w:rsid w:val="00FA209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1">
    <w:name w:val="xl41"/>
    <w:basedOn w:val="Normln"/>
    <w:rsid w:val="00FA20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2">
    <w:name w:val="xl42"/>
    <w:basedOn w:val="Normln"/>
    <w:rsid w:val="00FA20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43">
    <w:name w:val="xl43"/>
    <w:basedOn w:val="Normln"/>
    <w:rsid w:val="00FA209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44">
    <w:name w:val="xl44"/>
    <w:basedOn w:val="Normln"/>
    <w:rsid w:val="00FA20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5">
    <w:name w:val="xl45"/>
    <w:basedOn w:val="Normln"/>
    <w:rsid w:val="00FA209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6">
    <w:name w:val="xl46"/>
    <w:basedOn w:val="Normln"/>
    <w:rsid w:val="00FA20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7">
    <w:name w:val="xl47"/>
    <w:basedOn w:val="Normln"/>
    <w:rsid w:val="00FA20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8">
    <w:name w:val="xl48"/>
    <w:basedOn w:val="Normln"/>
    <w:rsid w:val="00FA20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49">
    <w:name w:val="xl49"/>
    <w:basedOn w:val="Normln"/>
    <w:rsid w:val="00FA20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0">
    <w:name w:val="xl50"/>
    <w:basedOn w:val="Normln"/>
    <w:rsid w:val="00FA20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1">
    <w:name w:val="xl51"/>
    <w:basedOn w:val="Normln"/>
    <w:rsid w:val="00FA20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2">
    <w:name w:val="xl52"/>
    <w:basedOn w:val="Normln"/>
    <w:rsid w:val="00FA20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53">
    <w:name w:val="xl53"/>
    <w:basedOn w:val="Normln"/>
    <w:rsid w:val="00FA20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4">
    <w:name w:val="xl54"/>
    <w:basedOn w:val="Normln"/>
    <w:rsid w:val="00FA20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5">
    <w:name w:val="xl55"/>
    <w:basedOn w:val="Normln"/>
    <w:rsid w:val="00FA20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56">
    <w:name w:val="xl56"/>
    <w:basedOn w:val="Normln"/>
    <w:rsid w:val="00FA2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57">
    <w:name w:val="xl57"/>
    <w:basedOn w:val="Normln"/>
    <w:rsid w:val="00FA2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8">
    <w:name w:val="xl58"/>
    <w:basedOn w:val="Normln"/>
    <w:rsid w:val="00FA20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9">
    <w:name w:val="xl59"/>
    <w:basedOn w:val="Normln"/>
    <w:rsid w:val="00FA209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60">
    <w:name w:val="xl60"/>
    <w:basedOn w:val="Normln"/>
    <w:rsid w:val="00FA2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61">
    <w:name w:val="xl61"/>
    <w:basedOn w:val="Normln"/>
    <w:rsid w:val="00FA2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62">
    <w:name w:val="xl62"/>
    <w:basedOn w:val="Normln"/>
    <w:rsid w:val="00FA2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63">
    <w:name w:val="xl63"/>
    <w:basedOn w:val="Normln"/>
    <w:rsid w:val="00FA20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i/>
      <w:i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Styl2">
    <w:name w:val="Styl2"/>
    <w:basedOn w:val="Normln"/>
    <w:rsid w:val="00FA209D"/>
    <w:pPr>
      <w:autoSpaceDE w:val="0"/>
      <w:autoSpaceDN w:val="0"/>
      <w:adjustRightInd w:val="0"/>
      <w:spacing w:line="480" w:lineRule="auto"/>
      <w:jc w:val="both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Styl1">
    <w:name w:val="Styl1"/>
    <w:basedOn w:val="Normln"/>
    <w:rsid w:val="00FA209D"/>
    <w:pPr>
      <w:autoSpaceDE w:val="0"/>
      <w:autoSpaceDN w:val="0"/>
      <w:adjustRightInd w:val="0"/>
      <w:jc w:val="both"/>
    </w:pPr>
    <w:rPr>
      <w:rFonts w:ascii="Times New Roman" w:hAnsi="Times New Roman"/>
      <w:b/>
      <w:b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character" w:customStyle="1" w:styleId="Nadpis5Char">
    <w:name w:val="Nadpis 5 Char"/>
    <w:rsid w:val="00FA209D"/>
    <w:rPr>
      <w:rFonts w:ascii="Book Antiqua" w:hAnsi="Book Antiqua"/>
      <w:b/>
      <w:caps/>
      <w:snapToGrid w:val="0"/>
      <w:lang w:val="cs-CZ" w:eastAsia="cs-CZ" w:bidi="ar-SA"/>
    </w:rPr>
  </w:style>
  <w:style w:type="paragraph" w:styleId="Obsah1">
    <w:name w:val="toc 1"/>
    <w:basedOn w:val="Nadpis1"/>
    <w:next w:val="Normln"/>
    <w:autoRedefine/>
    <w:semiHidden/>
    <w:rsid w:val="00FA209D"/>
    <w:pPr>
      <w:tabs>
        <w:tab w:val="left" w:pos="400"/>
        <w:tab w:val="right" w:leader="dot" w:pos="9061"/>
      </w:tabs>
      <w:spacing w:before="0" w:after="0"/>
      <w:ind w:left="567" w:hanging="567"/>
    </w:pPr>
    <w:rPr>
      <w:rFonts w:ascii="Book Antiqua" w:hAnsi="Book Antiqua" w:cs="Arial"/>
      <w:b w:val="0"/>
      <w:bCs/>
      <w:noProof/>
      <w:sz w:val="24"/>
      <w:szCs w:val="22"/>
    </w:rPr>
  </w:style>
  <w:style w:type="paragraph" w:styleId="Textkomente">
    <w:name w:val="annotation text"/>
    <w:basedOn w:val="Normln"/>
    <w:semiHidden/>
    <w:rsid w:val="00FA209D"/>
  </w:style>
  <w:style w:type="character" w:customStyle="1" w:styleId="NormlnsWWWChar">
    <w:name w:val="Normální (síť WWW) Char"/>
    <w:rsid w:val="00FA209D"/>
    <w:rPr>
      <w:sz w:val="24"/>
      <w:szCs w:val="24"/>
      <w:lang w:val="cs-CZ" w:eastAsia="cs-CZ" w:bidi="ar-SA"/>
    </w:rPr>
  </w:style>
  <w:style w:type="character" w:customStyle="1" w:styleId="Nadpis2Char">
    <w:name w:val="Nadpis 2 Char"/>
    <w:rsid w:val="00FA209D"/>
    <w:rPr>
      <w:rFonts w:ascii="Book Antiqua" w:hAnsi="Book Antiqua"/>
      <w:b/>
      <w:noProof/>
      <w:sz w:val="18"/>
      <w:lang w:val="cs-CZ" w:eastAsia="cs-CZ" w:bidi="ar-SA"/>
    </w:rPr>
  </w:style>
  <w:style w:type="paragraph" w:customStyle="1" w:styleId="Zkladntext31">
    <w:name w:val="Základní text 31"/>
    <w:basedOn w:val="Normln"/>
    <w:rsid w:val="00FA209D"/>
    <w:pPr>
      <w:jc w:val="both"/>
    </w:pPr>
    <w:rPr>
      <w:rFonts w:ascii="Times New Roman" w:hAnsi="Times New Roman"/>
      <w:noProof w:val="0"/>
      <w:color w:val="FF0000"/>
      <w:sz w:val="24"/>
      <w14:shadow w14:blurRad="0" w14:dist="0" w14:dir="0" w14:sx="0" w14:sy="0" w14:kx="0" w14:ky="0" w14:algn="none">
        <w14:srgbClr w14:val="000000"/>
      </w14:shadow>
    </w:rPr>
  </w:style>
  <w:style w:type="character" w:styleId="Sledovanodkaz">
    <w:name w:val="FollowedHyperlink"/>
    <w:rsid w:val="00FA209D"/>
    <w:rPr>
      <w:color w:val="800080"/>
      <w:u w:val="single"/>
    </w:rPr>
  </w:style>
  <w:style w:type="paragraph" w:customStyle="1" w:styleId="xl22">
    <w:name w:val="xl22"/>
    <w:basedOn w:val="Normln"/>
    <w:rsid w:val="00FA20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Book Antiqua" w:hAnsi="Book Antiqua"/>
      <w:b/>
      <w:b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styleId="AdresaHTML">
    <w:name w:val="HTML Address"/>
    <w:basedOn w:val="Normln"/>
    <w:rsid w:val="00FA209D"/>
    <w:rPr>
      <w:i/>
      <w:iCs/>
    </w:rPr>
  </w:style>
  <w:style w:type="paragraph" w:styleId="Adresanaoblku">
    <w:name w:val="envelope address"/>
    <w:basedOn w:val="Normln"/>
    <w:rsid w:val="00FA209D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slovanseznam">
    <w:name w:val="List Number"/>
    <w:basedOn w:val="Normln"/>
    <w:rsid w:val="00FA209D"/>
    <w:pPr>
      <w:numPr>
        <w:numId w:val="3"/>
      </w:numPr>
    </w:pPr>
  </w:style>
  <w:style w:type="paragraph" w:styleId="slovanseznam2">
    <w:name w:val="List Number 2"/>
    <w:basedOn w:val="Normln"/>
    <w:rsid w:val="00FA209D"/>
    <w:pPr>
      <w:numPr>
        <w:numId w:val="4"/>
      </w:numPr>
    </w:pPr>
  </w:style>
  <w:style w:type="paragraph" w:styleId="slovanseznam3">
    <w:name w:val="List Number 3"/>
    <w:basedOn w:val="Normln"/>
    <w:rsid w:val="00FA209D"/>
    <w:pPr>
      <w:numPr>
        <w:numId w:val="5"/>
      </w:numPr>
    </w:pPr>
  </w:style>
  <w:style w:type="paragraph" w:styleId="slovanseznam4">
    <w:name w:val="List Number 4"/>
    <w:basedOn w:val="Normln"/>
    <w:rsid w:val="00FA209D"/>
    <w:pPr>
      <w:numPr>
        <w:numId w:val="6"/>
      </w:numPr>
    </w:pPr>
  </w:style>
  <w:style w:type="paragraph" w:styleId="slovanseznam5">
    <w:name w:val="List Number 5"/>
    <w:basedOn w:val="Normln"/>
    <w:rsid w:val="00FA209D"/>
    <w:pPr>
      <w:numPr>
        <w:numId w:val="7"/>
      </w:numPr>
    </w:pPr>
  </w:style>
  <w:style w:type="paragraph" w:styleId="Datum">
    <w:name w:val="Date"/>
    <w:basedOn w:val="Normln"/>
    <w:next w:val="Normln"/>
    <w:rsid w:val="00FA209D"/>
  </w:style>
  <w:style w:type="paragraph" w:styleId="FormtovanvHTML">
    <w:name w:val="HTML Preformatted"/>
    <w:basedOn w:val="Normln"/>
    <w:rsid w:val="00FA209D"/>
    <w:rPr>
      <w:rFonts w:ascii="Courier New" w:hAnsi="Courier New" w:cs="Courier New"/>
    </w:rPr>
  </w:style>
  <w:style w:type="paragraph" w:styleId="Rejstk1">
    <w:name w:val="index 1"/>
    <w:basedOn w:val="Normln"/>
    <w:next w:val="Normln"/>
    <w:autoRedefine/>
    <w:semiHidden/>
    <w:rsid w:val="00FA209D"/>
    <w:pPr>
      <w:ind w:left="200" w:hanging="200"/>
    </w:pPr>
  </w:style>
  <w:style w:type="paragraph" w:styleId="Nadpispoznmky">
    <w:name w:val="Note Heading"/>
    <w:basedOn w:val="Normln"/>
    <w:next w:val="Normln"/>
    <w:rsid w:val="00FA209D"/>
  </w:style>
  <w:style w:type="paragraph" w:styleId="Normlnodsazen">
    <w:name w:val="Normal Indent"/>
    <w:basedOn w:val="Normln"/>
    <w:rsid w:val="00FA209D"/>
    <w:pPr>
      <w:ind w:left="708"/>
    </w:pPr>
  </w:style>
  <w:style w:type="paragraph" w:styleId="Osloven">
    <w:name w:val="Salutation"/>
    <w:basedOn w:val="Normln"/>
    <w:next w:val="Normln"/>
    <w:rsid w:val="00FA209D"/>
  </w:style>
  <w:style w:type="paragraph" w:styleId="Podpis">
    <w:name w:val="Signature"/>
    <w:basedOn w:val="Normln"/>
    <w:rsid w:val="00FA209D"/>
    <w:pPr>
      <w:ind w:left="4252"/>
    </w:pPr>
  </w:style>
  <w:style w:type="paragraph" w:styleId="Podpise-mailu">
    <w:name w:val="E-mail Signature"/>
    <w:basedOn w:val="Normln"/>
    <w:rsid w:val="00FA209D"/>
  </w:style>
  <w:style w:type="paragraph" w:styleId="Podtitul">
    <w:name w:val="Subtitle"/>
    <w:basedOn w:val="Normln"/>
    <w:qFormat/>
    <w:rsid w:val="00FA209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Pokraovnseznamu">
    <w:name w:val="List Continue"/>
    <w:basedOn w:val="Normln"/>
    <w:rsid w:val="00FA209D"/>
    <w:pPr>
      <w:spacing w:after="120"/>
      <w:ind w:left="283"/>
    </w:pPr>
  </w:style>
  <w:style w:type="paragraph" w:styleId="Pokraovnseznamu2">
    <w:name w:val="List Continue 2"/>
    <w:basedOn w:val="Normln"/>
    <w:rsid w:val="00FA209D"/>
    <w:pPr>
      <w:spacing w:after="120"/>
      <w:ind w:left="566"/>
    </w:pPr>
  </w:style>
  <w:style w:type="paragraph" w:styleId="Pokraovnseznamu3">
    <w:name w:val="List Continue 3"/>
    <w:basedOn w:val="Normln"/>
    <w:rsid w:val="00FA209D"/>
    <w:pPr>
      <w:spacing w:after="120"/>
      <w:ind w:left="849"/>
    </w:pPr>
  </w:style>
  <w:style w:type="paragraph" w:styleId="Pokraovnseznamu4">
    <w:name w:val="List Continue 4"/>
    <w:basedOn w:val="Normln"/>
    <w:rsid w:val="00FA209D"/>
    <w:pPr>
      <w:spacing w:after="120"/>
      <w:ind w:left="1132"/>
    </w:pPr>
  </w:style>
  <w:style w:type="paragraph" w:styleId="Pokraovnseznamu5">
    <w:name w:val="List Continue 5"/>
    <w:basedOn w:val="Normln"/>
    <w:rsid w:val="00FA209D"/>
    <w:pPr>
      <w:spacing w:after="120"/>
      <w:ind w:left="1415"/>
    </w:pPr>
  </w:style>
  <w:style w:type="paragraph" w:styleId="Seznam">
    <w:name w:val="List"/>
    <w:basedOn w:val="Normln"/>
    <w:rsid w:val="00FA209D"/>
    <w:pPr>
      <w:ind w:left="283" w:hanging="283"/>
    </w:pPr>
  </w:style>
  <w:style w:type="paragraph" w:styleId="Seznam2">
    <w:name w:val="List 2"/>
    <w:basedOn w:val="Normln"/>
    <w:rsid w:val="00FA209D"/>
    <w:pPr>
      <w:ind w:left="566" w:hanging="283"/>
    </w:pPr>
  </w:style>
  <w:style w:type="paragraph" w:styleId="Seznam3">
    <w:name w:val="List 3"/>
    <w:basedOn w:val="Normln"/>
    <w:rsid w:val="00FA209D"/>
    <w:pPr>
      <w:ind w:left="849" w:hanging="283"/>
    </w:pPr>
  </w:style>
  <w:style w:type="paragraph" w:styleId="Seznam4">
    <w:name w:val="List 4"/>
    <w:basedOn w:val="Normln"/>
    <w:rsid w:val="00FA209D"/>
    <w:pPr>
      <w:ind w:left="1132" w:hanging="283"/>
    </w:pPr>
  </w:style>
  <w:style w:type="paragraph" w:styleId="Seznam5">
    <w:name w:val="List 5"/>
    <w:basedOn w:val="Normln"/>
    <w:rsid w:val="00FA209D"/>
    <w:pPr>
      <w:ind w:left="1415" w:hanging="283"/>
    </w:pPr>
  </w:style>
  <w:style w:type="paragraph" w:styleId="Seznamsodrkami">
    <w:name w:val="List Bullet"/>
    <w:basedOn w:val="Normln"/>
    <w:autoRedefine/>
    <w:rsid w:val="00FA209D"/>
    <w:pPr>
      <w:numPr>
        <w:numId w:val="8"/>
      </w:numPr>
    </w:pPr>
  </w:style>
  <w:style w:type="paragraph" w:styleId="Seznamsodrkami2">
    <w:name w:val="List Bullet 2"/>
    <w:basedOn w:val="Normln"/>
    <w:autoRedefine/>
    <w:rsid w:val="00FA209D"/>
    <w:pPr>
      <w:numPr>
        <w:numId w:val="9"/>
      </w:numPr>
    </w:pPr>
  </w:style>
  <w:style w:type="paragraph" w:styleId="Seznamsodrkami3">
    <w:name w:val="List Bullet 3"/>
    <w:basedOn w:val="Normln"/>
    <w:autoRedefine/>
    <w:rsid w:val="00FA209D"/>
    <w:pPr>
      <w:numPr>
        <w:numId w:val="10"/>
      </w:numPr>
    </w:pPr>
  </w:style>
  <w:style w:type="paragraph" w:styleId="Seznamsodrkami4">
    <w:name w:val="List Bullet 4"/>
    <w:basedOn w:val="Normln"/>
    <w:autoRedefine/>
    <w:rsid w:val="00FA209D"/>
    <w:pPr>
      <w:numPr>
        <w:numId w:val="11"/>
      </w:numPr>
    </w:pPr>
  </w:style>
  <w:style w:type="paragraph" w:styleId="Seznamsodrkami5">
    <w:name w:val="List Bullet 5"/>
    <w:basedOn w:val="Normln"/>
    <w:autoRedefine/>
    <w:rsid w:val="00FA209D"/>
    <w:pPr>
      <w:numPr>
        <w:numId w:val="12"/>
      </w:numPr>
    </w:pPr>
  </w:style>
  <w:style w:type="paragraph" w:styleId="Zhlavzprvy">
    <w:name w:val="Message Header"/>
    <w:basedOn w:val="Normln"/>
    <w:rsid w:val="00FA20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Zkladntext-prvnodsazen">
    <w:name w:val="Body Text First Indent"/>
    <w:basedOn w:val="Zkladntext"/>
    <w:rsid w:val="00FA209D"/>
    <w:pPr>
      <w:spacing w:after="120"/>
      <w:ind w:firstLine="210"/>
    </w:pPr>
  </w:style>
  <w:style w:type="paragraph" w:styleId="Zkladntext-prvnodsazen2">
    <w:name w:val="Body Text First Indent 2"/>
    <w:basedOn w:val="Zkladntextodsazen"/>
    <w:rsid w:val="00FA209D"/>
    <w:pPr>
      <w:spacing w:after="120" w:line="240" w:lineRule="auto"/>
      <w:ind w:firstLine="210"/>
      <w:jc w:val="left"/>
    </w:pPr>
    <w:rPr>
      <w:rFonts w:ascii="MS Serif" w:hAnsi="MS Serif"/>
      <w:color w:val="auto"/>
      <w:sz w:val="20"/>
    </w:rPr>
  </w:style>
  <w:style w:type="paragraph" w:styleId="Zvr">
    <w:name w:val="Closing"/>
    <w:basedOn w:val="Normln"/>
    <w:rsid w:val="00FA209D"/>
    <w:pPr>
      <w:ind w:left="4252"/>
    </w:pPr>
  </w:style>
  <w:style w:type="paragraph" w:styleId="Zptenadresanaoblku">
    <w:name w:val="envelope return"/>
    <w:basedOn w:val="Normln"/>
    <w:rsid w:val="00FA209D"/>
    <w:rPr>
      <w:rFonts w:ascii="Arial" w:hAnsi="Arial" w:cs="Arial"/>
    </w:rPr>
  </w:style>
  <w:style w:type="paragraph" w:customStyle="1" w:styleId="Default">
    <w:name w:val="Default"/>
    <w:rsid w:val="00FA209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Odkaznakoment">
    <w:name w:val="annotation reference"/>
    <w:semiHidden/>
    <w:rsid w:val="00FA209D"/>
    <w:rPr>
      <w:sz w:val="16"/>
      <w:szCs w:val="16"/>
    </w:rPr>
  </w:style>
  <w:style w:type="paragraph" w:customStyle="1" w:styleId="Pa8">
    <w:name w:val="Pa8"/>
    <w:basedOn w:val="Normln"/>
    <w:next w:val="Normln"/>
    <w:rsid w:val="00DF7E81"/>
    <w:pPr>
      <w:autoSpaceDE w:val="0"/>
      <w:autoSpaceDN w:val="0"/>
      <w:adjustRightInd w:val="0"/>
      <w:spacing w:before="100" w:line="211" w:lineRule="atLeast"/>
    </w:pPr>
    <w:rPr>
      <w:rFonts w:ascii="Adobe Garamond Pro" w:hAnsi="Adobe Garamond Pro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styleId="Pedmtkomente">
    <w:name w:val="annotation subject"/>
    <w:basedOn w:val="Textkomente"/>
    <w:next w:val="Textkomente"/>
    <w:semiHidden/>
    <w:rsid w:val="00B46667"/>
    <w:rPr>
      <w:b/>
      <w:bCs/>
    </w:rPr>
  </w:style>
  <w:style w:type="paragraph" w:styleId="Textbubliny">
    <w:name w:val="Balloon Text"/>
    <w:basedOn w:val="Normln"/>
    <w:semiHidden/>
    <w:rsid w:val="00B46667"/>
    <w:rPr>
      <w:rFonts w:ascii="Tahoma" w:hAnsi="Tahoma" w:cs="Tahoma"/>
      <w:sz w:val="16"/>
      <w:szCs w:val="16"/>
    </w:rPr>
  </w:style>
  <w:style w:type="paragraph" w:customStyle="1" w:styleId="Normlnodsazen1">
    <w:name w:val="Normální odsazený1"/>
    <w:basedOn w:val="Normln"/>
    <w:rsid w:val="00EA6C01"/>
    <w:pPr>
      <w:keepLines/>
      <w:suppressAutoHyphens/>
      <w:overflowPunct w:val="0"/>
      <w:autoSpaceDE w:val="0"/>
      <w:spacing w:after="120"/>
      <w:ind w:left="1134"/>
      <w:jc w:val="both"/>
      <w:textAlignment w:val="baseline"/>
    </w:pPr>
    <w:rPr>
      <w:rFonts w:ascii="Times New Roman" w:hAnsi="Times New Roman"/>
      <w:noProof w:val="0"/>
      <w:sz w:val="24"/>
      <w:lang w:eastAsia="zh-CN"/>
      <w14:shadow w14:blurRad="0" w14:dist="0" w14:dir="0" w14:sx="0" w14:sy="0" w14:kx="0" w14:ky="0" w14:algn="none">
        <w14:srgbClr w14:val="000000"/>
      </w14:shadow>
    </w:rPr>
  </w:style>
  <w:style w:type="character" w:customStyle="1" w:styleId="apple-converted-space">
    <w:name w:val="apple-converted-space"/>
    <w:basedOn w:val="Standardnpsmoodstavce"/>
    <w:rsid w:val="00FD1EFB"/>
  </w:style>
  <w:style w:type="paragraph" w:styleId="Odstavecseseznamem">
    <w:name w:val="List Paragraph"/>
    <w:basedOn w:val="Normln"/>
    <w:uiPriority w:val="34"/>
    <w:qFormat/>
    <w:rsid w:val="00D4120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25AC1"/>
    <w:rPr>
      <w:rFonts w:ascii="Arial" w:hAnsi="Arial"/>
      <w:b/>
      <w:kern w:val="28"/>
      <w:sz w:val="28"/>
    </w:rPr>
  </w:style>
  <w:style w:type="character" w:customStyle="1" w:styleId="ZpatChar">
    <w:name w:val="Zápatí Char"/>
    <w:basedOn w:val="Standardnpsmoodstavce"/>
    <w:link w:val="Zpat"/>
    <w:uiPriority w:val="99"/>
    <w:rsid w:val="00CC1C51"/>
    <w:rPr>
      <w:rFonts w:ascii="MS Serif" w:hAnsi="MS Serif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09EC"/>
    <w:rPr>
      <w:rFonts w:ascii="MS Serif" w:hAnsi="MS Serif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1">
    <w:name w:val="heading 1"/>
    <w:basedOn w:val="Normln"/>
    <w:next w:val="Normln"/>
    <w:link w:val="Nadpis1Char"/>
    <w:qFormat/>
    <w:rsid w:val="00FA209D"/>
    <w:pPr>
      <w:keepNext/>
      <w:spacing w:before="240" w:after="60"/>
      <w:outlineLvl w:val="0"/>
    </w:pPr>
    <w:rPr>
      <w:rFonts w:ascii="Arial" w:hAnsi="Arial"/>
      <w:b/>
      <w:noProof w:val="0"/>
      <w:kern w:val="28"/>
      <w:sz w:val="28"/>
      <w14:shadow w14:blurRad="0" w14:dist="0" w14:dir="0" w14:sx="0" w14:sy="0" w14:kx="0" w14:ky="0" w14:algn="none">
        <w14:srgbClr w14:val="000000"/>
      </w14:shadow>
    </w:rPr>
  </w:style>
  <w:style w:type="paragraph" w:styleId="Nadpis2">
    <w:name w:val="heading 2"/>
    <w:aliases w:val="Nadpis 2 Char1 Char"/>
    <w:basedOn w:val="Normln"/>
    <w:next w:val="Normln"/>
    <w:link w:val="Nadpis2Char1"/>
    <w:qFormat/>
    <w:rsid w:val="00725AC1"/>
    <w:pPr>
      <w:keepNext/>
      <w:jc w:val="center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rsid w:val="00FA20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A209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FA20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A209D"/>
    <w:pPr>
      <w:keepNext/>
      <w:jc w:val="center"/>
      <w:outlineLvl w:val="5"/>
    </w:pPr>
    <w:rPr>
      <w:rFonts w:ascii="Courier New" w:hAnsi="Courier New"/>
      <w:b/>
      <w:noProof w:val="0"/>
      <w:snapToGrid w:val="0"/>
      <w:color w:val="000000"/>
      <w14:shadow w14:blurRad="0" w14:dist="0" w14:dir="0" w14:sx="0" w14:sy="0" w14:kx="0" w14:ky="0" w14:algn="none">
        <w14:srgbClr w14:val="000000"/>
      </w14:shadow>
    </w:rPr>
  </w:style>
  <w:style w:type="paragraph" w:styleId="Nadpis7">
    <w:name w:val="heading 7"/>
    <w:basedOn w:val="Normln"/>
    <w:next w:val="Normln"/>
    <w:qFormat/>
    <w:rsid w:val="00FA209D"/>
    <w:pPr>
      <w:keepNext/>
      <w:tabs>
        <w:tab w:val="left" w:pos="4890"/>
      </w:tabs>
      <w:outlineLvl w:val="6"/>
    </w:pPr>
    <w:rPr>
      <w:rFonts w:ascii="Book Antiqua" w:hAnsi="Book Antiqua"/>
      <w:b/>
      <w:sz w:val="22"/>
      <w14:shadow w14:blurRad="0" w14:dist="0" w14:dir="0" w14:sx="0" w14:sy="0" w14:kx="0" w14:ky="0" w14:algn="none">
        <w14:srgbClr w14:val="000000"/>
      </w14:shadow>
    </w:rPr>
  </w:style>
  <w:style w:type="paragraph" w:styleId="Nadpis8">
    <w:name w:val="heading 8"/>
    <w:basedOn w:val="Normln"/>
    <w:next w:val="Normln"/>
    <w:qFormat/>
    <w:rsid w:val="00FA209D"/>
    <w:pPr>
      <w:keepNext/>
      <w:jc w:val="both"/>
      <w:outlineLvl w:val="7"/>
    </w:pPr>
    <w:rPr>
      <w:rFonts w:ascii="Book Antiqua" w:hAnsi="Book Antiqua"/>
      <w:noProof w:val="0"/>
      <w:snapToGrid w:val="0"/>
      <w:color w:val="0000FF"/>
      <w:sz w:val="24"/>
      <w14:shadow w14:blurRad="0" w14:dist="0" w14:dir="0" w14:sx="0" w14:sy="0" w14:kx="0" w14:ky="0" w14:algn="none">
        <w14:srgbClr w14:val="000000"/>
      </w14:shadow>
    </w:rPr>
  </w:style>
  <w:style w:type="paragraph" w:styleId="Nadpis9">
    <w:name w:val="heading 9"/>
    <w:basedOn w:val="Normln"/>
    <w:next w:val="Normln"/>
    <w:qFormat/>
    <w:rsid w:val="00FA209D"/>
    <w:pPr>
      <w:keepNext/>
      <w:outlineLvl w:val="8"/>
    </w:pPr>
    <w:rPr>
      <w:rFonts w:ascii="Book Antiqua" w:hAnsi="Book Antiqua"/>
      <w:b/>
      <w:noProof w:val="0"/>
      <w:snapToGrid w:val="0"/>
      <w:color w:val="000000"/>
      <w:sz w:val="22"/>
      <w14:shadow w14:blurRad="0" w14:dist="0" w14:dir="0" w14:sx="0" w14:sy="0" w14:kx="0" w14:ky="0" w14:algn="none">
        <w14:srgbClr w14:val="000000"/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1">
    <w:name w:val="Nadpis 2 Char1"/>
    <w:aliases w:val="Nadpis 2 Char1 Char Char"/>
    <w:link w:val="Nadpis2"/>
    <w:rsid w:val="00725AC1"/>
    <w:rPr>
      <w:rFonts w:ascii="Arial" w:hAnsi="Arial"/>
      <w:b/>
      <w:noProof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">
    <w:name w:val="Body Text"/>
    <w:basedOn w:val="Normln"/>
    <w:rsid w:val="00FA209D"/>
  </w:style>
  <w:style w:type="paragraph" w:styleId="Titulek">
    <w:name w:val="caption"/>
    <w:basedOn w:val="Normln"/>
    <w:next w:val="Normln"/>
    <w:qFormat/>
    <w:rsid w:val="00FA209D"/>
    <w:pPr>
      <w:jc w:val="both"/>
    </w:pPr>
    <w:rPr>
      <w:rFonts w:ascii="Book Antiqua" w:hAnsi="Book Antiqua"/>
      <w:noProof w:val="0"/>
      <w:snapToGrid w:val="0"/>
      <w:color w:val="0000FF"/>
      <w:sz w:val="24"/>
      <w14:shadow w14:blurRad="0" w14:dist="0" w14:dir="0" w14:sx="0" w14:sy="0" w14:kx="0" w14:ky="0" w14:algn="none">
        <w14:srgbClr w14:val="000000"/>
      </w14:shadow>
    </w:rPr>
  </w:style>
  <w:style w:type="paragraph" w:styleId="Normlnweb">
    <w:name w:val="Normal (Web)"/>
    <w:aliases w:val="Normální (síť WWW),Normální (síť WWW) Char Char,Normální (síť WWW) Char Char Char"/>
    <w:basedOn w:val="Normln"/>
    <w:link w:val="NormlnwebChar"/>
    <w:rsid w:val="00FA209D"/>
    <w:pPr>
      <w:spacing w:before="100" w:beforeAutospacing="1" w:after="100" w:afterAutospacing="1"/>
    </w:pPr>
    <w:rPr>
      <w:rFonts w:ascii="Times New Roman" w:hAnsi="Times New Roman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character" w:customStyle="1" w:styleId="NormlnwebChar">
    <w:name w:val="Normální (web) Char"/>
    <w:aliases w:val="Normální (síť WWW) Char1,Normální (síť WWW) Char Char Char1,Normální (síť WWW) Char Char Char Char"/>
    <w:link w:val="Normlnweb"/>
    <w:rsid w:val="00FA209D"/>
    <w:rPr>
      <w:sz w:val="24"/>
      <w:szCs w:val="24"/>
      <w:lang w:val="cs-CZ" w:eastAsia="cs-CZ" w:bidi="ar-SA"/>
    </w:rPr>
  </w:style>
  <w:style w:type="character" w:styleId="Hypertextovodkaz">
    <w:name w:val="Hyperlink"/>
    <w:rsid w:val="00FA209D"/>
    <w:rPr>
      <w:color w:val="0000FF"/>
      <w:u w:val="single"/>
    </w:rPr>
  </w:style>
  <w:style w:type="table" w:styleId="Mkatabulky">
    <w:name w:val="Table Grid"/>
    <w:basedOn w:val="Normlntabulka"/>
    <w:rsid w:val="00FA2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a">
    <w:name w:val="Znaèka"/>
    <w:basedOn w:val="Normln"/>
    <w:rsid w:val="00FA209D"/>
    <w:pPr>
      <w:tabs>
        <w:tab w:val="left" w:pos="288"/>
      </w:tabs>
      <w:overflowPunct w:val="0"/>
      <w:autoSpaceDE w:val="0"/>
      <w:autoSpaceDN w:val="0"/>
      <w:adjustRightInd w:val="0"/>
      <w:ind w:left="288" w:hanging="288"/>
      <w:textAlignment w:val="baseline"/>
    </w:pPr>
    <w:rPr>
      <w:rFonts w:ascii="Times New Roman" w:hAnsi="Times New Roman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DefaultText1">
    <w:name w:val="Default Text:1"/>
    <w:basedOn w:val="Normln"/>
    <w:rsid w:val="00FA209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DefaultText">
    <w:name w:val="Default Text"/>
    <w:basedOn w:val="Normln"/>
    <w:rsid w:val="00FA209D"/>
    <w:rPr>
      <w:rFonts w:ascii="Times New Roman" w:hAnsi="Times New Roman"/>
      <w:noProof w:val="0"/>
      <w:snapToGrid w:val="0"/>
      <w:sz w:val="24"/>
      <w:lang w:val="en-US"/>
      <w14:shadow w14:blurRad="0" w14:dist="0" w14:dir="0" w14:sx="0" w14:sy="0" w14:kx="0" w14:ky="0" w14:algn="none">
        <w14:srgbClr w14:val="000000"/>
      </w14:shadow>
    </w:rPr>
  </w:style>
  <w:style w:type="paragraph" w:customStyle="1" w:styleId="Znaka1">
    <w:name w:val="Značka 1"/>
    <w:basedOn w:val="Normln"/>
    <w:rsid w:val="00FA209D"/>
  </w:style>
  <w:style w:type="paragraph" w:customStyle="1" w:styleId="Texttabulky">
    <w:name w:val="Text tabulky"/>
    <w:basedOn w:val="Normln"/>
    <w:rsid w:val="00FA209D"/>
  </w:style>
  <w:style w:type="paragraph" w:styleId="Zhlav">
    <w:name w:val="header"/>
    <w:aliases w:val="Záhlaví1"/>
    <w:basedOn w:val="Normln"/>
    <w:rsid w:val="00FA209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209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FA209D"/>
    <w:pPr>
      <w:spacing w:line="240" w:lineRule="atLeast"/>
      <w:jc w:val="both"/>
    </w:pPr>
    <w:rPr>
      <w:rFonts w:ascii="Book Antiqua" w:hAnsi="Book Antiqua"/>
      <w:color w:val="000000"/>
      <w:sz w:val="24"/>
    </w:rPr>
  </w:style>
  <w:style w:type="paragraph" w:styleId="Zkladntextodsazen">
    <w:name w:val="Body Text Indent"/>
    <w:basedOn w:val="Normln"/>
    <w:rsid w:val="00FA209D"/>
    <w:pPr>
      <w:spacing w:line="240" w:lineRule="atLeast"/>
      <w:ind w:left="283" w:firstLine="567"/>
      <w:jc w:val="both"/>
    </w:pPr>
    <w:rPr>
      <w:rFonts w:ascii="Book Antiqua" w:hAnsi="Book Antiqua"/>
      <w:color w:val="000000"/>
      <w:sz w:val="24"/>
    </w:rPr>
  </w:style>
  <w:style w:type="paragraph" w:styleId="Zkladntext3">
    <w:name w:val="Body Text 3"/>
    <w:basedOn w:val="Normln"/>
    <w:rsid w:val="00FA209D"/>
    <w:pPr>
      <w:spacing w:line="240" w:lineRule="atLeast"/>
      <w:jc w:val="both"/>
    </w:pPr>
    <w:rPr>
      <w:rFonts w:ascii="Book Antiqua" w:hAnsi="Book Antiqua"/>
      <w:i/>
      <w:color w:val="000000"/>
      <w:sz w:val="24"/>
    </w:rPr>
  </w:style>
  <w:style w:type="paragraph" w:styleId="Zkladntextodsazen2">
    <w:name w:val="Body Text Indent 2"/>
    <w:basedOn w:val="Normln"/>
    <w:rsid w:val="00FA209D"/>
    <w:pPr>
      <w:spacing w:line="240" w:lineRule="atLeast"/>
      <w:ind w:left="566"/>
      <w:jc w:val="both"/>
    </w:pPr>
    <w:rPr>
      <w:rFonts w:ascii="Book Antiqua" w:hAnsi="Book Antiqua"/>
      <w:sz w:val="24"/>
      <w14:shadow w14:blurRad="0" w14:dist="0" w14:dir="0" w14:sx="0" w14:sy="0" w14:kx="0" w14:ky="0" w14:algn="none">
        <w14:srgbClr w14:val="000000"/>
      </w14:shadow>
    </w:rPr>
  </w:style>
  <w:style w:type="paragraph" w:customStyle="1" w:styleId="Standardnte">
    <w:name w:val="Standardní te"/>
    <w:rsid w:val="00FA209D"/>
    <w:rPr>
      <w:snapToGrid w:val="0"/>
      <w:color w:val="000000"/>
      <w:sz w:val="24"/>
    </w:rPr>
  </w:style>
  <w:style w:type="paragraph" w:customStyle="1" w:styleId="Standardntext">
    <w:name w:val="Standardní text"/>
    <w:basedOn w:val="Normln"/>
    <w:rsid w:val="00FA209D"/>
    <w:rPr>
      <w:rFonts w:ascii="Times New Roman" w:hAnsi="Times New Roman"/>
      <w:noProof w:val="0"/>
      <w:sz w:val="24"/>
      <w14:shadow w14:blurRad="0" w14:dist="0" w14:dir="0" w14:sx="0" w14:sy="0" w14:kx="0" w14:ky="0" w14:algn="none">
        <w14:srgbClr w14:val="000000"/>
      </w14:shadow>
    </w:rPr>
  </w:style>
  <w:style w:type="paragraph" w:customStyle="1" w:styleId="Zkladntext21">
    <w:name w:val="Základní text 21"/>
    <w:basedOn w:val="Normln"/>
    <w:rsid w:val="00FA209D"/>
    <w:rPr>
      <w:rFonts w:ascii="Times New Roman" w:hAnsi="Times New Roman"/>
      <w:noProof w:val="0"/>
      <w:sz w:val="24"/>
      <w14:shadow w14:blurRad="0" w14:dist="0" w14:dir="0" w14:sx="0" w14:sy="0" w14:kx="0" w14:ky="0" w14:algn="none">
        <w14:srgbClr w14:val="000000"/>
      </w14:shadow>
    </w:rPr>
  </w:style>
  <w:style w:type="paragraph" w:customStyle="1" w:styleId="Znaka0">
    <w:name w:val="Značka"/>
    <w:rsid w:val="00FA209D"/>
    <w:pPr>
      <w:widowControl w:val="0"/>
      <w:ind w:left="288"/>
    </w:pPr>
    <w:rPr>
      <w:snapToGrid w:val="0"/>
      <w:color w:val="000000"/>
      <w:sz w:val="24"/>
    </w:rPr>
  </w:style>
  <w:style w:type="paragraph" w:styleId="Textvbloku">
    <w:name w:val="Block Text"/>
    <w:basedOn w:val="Normln"/>
    <w:rsid w:val="00FA209D"/>
    <w:pPr>
      <w:ind w:left="-284" w:right="-567"/>
      <w:jc w:val="both"/>
    </w:pPr>
    <w:rPr>
      <w:rFonts w:ascii="Book Antiqua" w:hAnsi="Book Antiqua"/>
      <w:sz w:val="24"/>
      <w14:shadow w14:blurRad="0" w14:dist="0" w14:dir="0" w14:sx="0" w14:sy="0" w14:kx="0" w14:ky="0" w14:algn="none">
        <w14:srgbClr w14:val="000000"/>
      </w14:shadow>
    </w:rPr>
  </w:style>
  <w:style w:type="paragraph" w:styleId="Zkladntextodsazen3">
    <w:name w:val="Body Text Indent 3"/>
    <w:basedOn w:val="Normln"/>
    <w:rsid w:val="00FA209D"/>
    <w:pPr>
      <w:numPr>
        <w:ilvl w:val="12"/>
      </w:numPr>
      <w:ind w:left="360"/>
      <w:jc w:val="both"/>
    </w:pPr>
    <w:rPr>
      <w:rFonts w:ascii="Book Antiqua" w:hAnsi="Book Antiqua"/>
      <w:sz w:val="24"/>
      <w14:shadow w14:blurRad="0" w14:dist="0" w14:dir="0" w14:sx="0" w14:sy="0" w14:kx="0" w14:ky="0" w14:algn="none">
        <w14:srgbClr w14:val="000000"/>
      </w14:shadow>
    </w:rPr>
  </w:style>
  <w:style w:type="paragraph" w:styleId="Nzev">
    <w:name w:val="Title"/>
    <w:basedOn w:val="Normln"/>
    <w:qFormat/>
    <w:rsid w:val="00FA209D"/>
    <w:pPr>
      <w:jc w:val="center"/>
    </w:pPr>
    <w:rPr>
      <w:rFonts w:ascii="Book Antiqua" w:hAnsi="Book Antiqua"/>
      <w:b/>
      <w:noProof w:val="0"/>
      <w:sz w:val="28"/>
      <w14:shadow w14:blurRad="0" w14:dist="0" w14:dir="0" w14:sx="0" w14:sy="0" w14:kx="0" w14:ky="0" w14:algn="none">
        <w14:srgbClr w14:val="000000"/>
      </w14:shadow>
    </w:rPr>
  </w:style>
  <w:style w:type="character" w:styleId="slostrnky">
    <w:name w:val="page number"/>
    <w:basedOn w:val="Standardnpsmoodstavce"/>
    <w:rsid w:val="00FA209D"/>
  </w:style>
  <w:style w:type="paragraph" w:styleId="Prosttext">
    <w:name w:val="Plain Text"/>
    <w:basedOn w:val="Normln"/>
    <w:rsid w:val="00FA209D"/>
    <w:rPr>
      <w:rFonts w:ascii="Courier New" w:hAnsi="Courier New"/>
      <w:noProof w:val="0"/>
      <w14:shadow w14:blurRad="0" w14:dist="0" w14:dir="0" w14:sx="0" w14:sy="0" w14:kx="0" w14:ky="0" w14:algn="none">
        <w14:srgbClr w14:val="000000"/>
      </w14:shadow>
    </w:rPr>
  </w:style>
  <w:style w:type="character" w:styleId="Siln">
    <w:name w:val="Strong"/>
    <w:qFormat/>
    <w:rsid w:val="00FA209D"/>
    <w:rPr>
      <w:b/>
    </w:rPr>
  </w:style>
  <w:style w:type="paragraph" w:customStyle="1" w:styleId="font5">
    <w:name w:val="font5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i/>
      <w:i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font6">
    <w:name w:val="font6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28"/>
      <w:szCs w:val="28"/>
      <w14:shadow w14:blurRad="0" w14:dist="0" w14:dir="0" w14:sx="0" w14:sy="0" w14:kx="0" w14:ky="0" w14:algn="none">
        <w14:srgbClr w14:val="000000"/>
      </w14:shadow>
    </w:rPr>
  </w:style>
  <w:style w:type="paragraph" w:customStyle="1" w:styleId="font7">
    <w:name w:val="font7"/>
    <w:basedOn w:val="Normln"/>
    <w:rsid w:val="00FA209D"/>
    <w:pPr>
      <w:spacing w:before="100" w:beforeAutospacing="1" w:after="100" w:afterAutospacing="1"/>
    </w:pPr>
    <w:rPr>
      <w:rFonts w:ascii="Symbol" w:hAnsi="Symbol"/>
      <w:b/>
      <w:bCs/>
      <w:noProof w:val="0"/>
      <w:sz w:val="28"/>
      <w:szCs w:val="28"/>
      <w14:shadow w14:blurRad="0" w14:dist="0" w14:dir="0" w14:sx="0" w14:sy="0" w14:kx="0" w14:ky="0" w14:algn="none">
        <w14:srgbClr w14:val="000000"/>
      </w14:shadow>
    </w:rPr>
  </w:style>
  <w:style w:type="paragraph" w:customStyle="1" w:styleId="font8">
    <w:name w:val="font8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28"/>
      <w:szCs w:val="28"/>
      <w14:shadow w14:blurRad="0" w14:dist="0" w14:dir="0" w14:sx="0" w14:sy="0" w14:kx="0" w14:ky="0" w14:algn="none">
        <w14:srgbClr w14:val="000000"/>
      </w14:shadow>
    </w:rPr>
  </w:style>
  <w:style w:type="paragraph" w:customStyle="1" w:styleId="font9">
    <w:name w:val="font9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28"/>
      <w:szCs w:val="28"/>
      <w14:shadow w14:blurRad="0" w14:dist="0" w14:dir="0" w14:sx="0" w14:sy="0" w14:kx="0" w14:ky="0" w14:algn="none">
        <w14:srgbClr w14:val="000000"/>
      </w14:shadow>
    </w:rPr>
  </w:style>
  <w:style w:type="paragraph" w:customStyle="1" w:styleId="font10">
    <w:name w:val="font10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font11">
    <w:name w:val="font11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font12">
    <w:name w:val="font12"/>
    <w:basedOn w:val="Normln"/>
    <w:rsid w:val="00FA209D"/>
    <w:pPr>
      <w:spacing w:before="100" w:beforeAutospacing="1" w:after="100" w:afterAutospacing="1"/>
    </w:pPr>
    <w:rPr>
      <w:rFonts w:ascii="Arial" w:hAnsi="Arial"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font13">
    <w:name w:val="font13"/>
    <w:basedOn w:val="Normln"/>
    <w:rsid w:val="00FA209D"/>
    <w:pPr>
      <w:spacing w:before="100" w:beforeAutospacing="1" w:after="100" w:afterAutospacing="1"/>
    </w:pPr>
    <w:rPr>
      <w:rFonts w:ascii="Arial" w:hAnsi="Arial"/>
      <w:b/>
      <w:b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23">
    <w:name w:val="xl23"/>
    <w:basedOn w:val="Normln"/>
    <w:rsid w:val="00FA209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noProof w:val="0"/>
      <w:sz w:val="28"/>
      <w:szCs w:val="28"/>
      <w14:shadow w14:blurRad="0" w14:dist="0" w14:dir="0" w14:sx="0" w14:sy="0" w14:kx="0" w14:ky="0" w14:algn="none">
        <w14:srgbClr w14:val="000000"/>
      </w14:shadow>
    </w:rPr>
  </w:style>
  <w:style w:type="paragraph" w:customStyle="1" w:styleId="xl24">
    <w:name w:val="xl24"/>
    <w:basedOn w:val="Normln"/>
    <w:rsid w:val="00FA209D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25">
    <w:name w:val="xl25"/>
    <w:basedOn w:val="Normln"/>
    <w:rsid w:val="00FA209D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26">
    <w:name w:val="xl26"/>
    <w:basedOn w:val="Normln"/>
    <w:rsid w:val="00FA209D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27">
    <w:name w:val="xl27"/>
    <w:basedOn w:val="Normln"/>
    <w:rsid w:val="00FA209D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28">
    <w:name w:val="xl28"/>
    <w:basedOn w:val="Normln"/>
    <w:rsid w:val="00FA209D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29">
    <w:name w:val="xl29"/>
    <w:basedOn w:val="Normln"/>
    <w:rsid w:val="00FA209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0">
    <w:name w:val="xl30"/>
    <w:basedOn w:val="Normln"/>
    <w:rsid w:val="00FA20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1">
    <w:name w:val="xl31"/>
    <w:basedOn w:val="Normln"/>
    <w:rsid w:val="00FA2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2">
    <w:name w:val="xl32"/>
    <w:basedOn w:val="Normln"/>
    <w:rsid w:val="00FA209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3">
    <w:name w:val="xl33"/>
    <w:basedOn w:val="Normln"/>
    <w:rsid w:val="00FA209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34">
    <w:name w:val="xl34"/>
    <w:basedOn w:val="Normln"/>
    <w:rsid w:val="00FA209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5">
    <w:name w:val="xl35"/>
    <w:basedOn w:val="Normln"/>
    <w:rsid w:val="00FA20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6">
    <w:name w:val="xl36"/>
    <w:basedOn w:val="Normln"/>
    <w:rsid w:val="00FA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37">
    <w:name w:val="xl37"/>
    <w:basedOn w:val="Normln"/>
    <w:rsid w:val="00FA2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38">
    <w:name w:val="xl38"/>
    <w:basedOn w:val="Normln"/>
    <w:rsid w:val="00FA20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39">
    <w:name w:val="xl39"/>
    <w:basedOn w:val="Normln"/>
    <w:rsid w:val="00FA20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0">
    <w:name w:val="xl40"/>
    <w:basedOn w:val="Normln"/>
    <w:rsid w:val="00FA209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1">
    <w:name w:val="xl41"/>
    <w:basedOn w:val="Normln"/>
    <w:rsid w:val="00FA20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2">
    <w:name w:val="xl42"/>
    <w:basedOn w:val="Normln"/>
    <w:rsid w:val="00FA20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43">
    <w:name w:val="xl43"/>
    <w:basedOn w:val="Normln"/>
    <w:rsid w:val="00FA209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44">
    <w:name w:val="xl44"/>
    <w:basedOn w:val="Normln"/>
    <w:rsid w:val="00FA20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5">
    <w:name w:val="xl45"/>
    <w:basedOn w:val="Normln"/>
    <w:rsid w:val="00FA209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6">
    <w:name w:val="xl46"/>
    <w:basedOn w:val="Normln"/>
    <w:rsid w:val="00FA20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7">
    <w:name w:val="xl47"/>
    <w:basedOn w:val="Normln"/>
    <w:rsid w:val="00FA20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48">
    <w:name w:val="xl48"/>
    <w:basedOn w:val="Normln"/>
    <w:rsid w:val="00FA20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49">
    <w:name w:val="xl49"/>
    <w:basedOn w:val="Normln"/>
    <w:rsid w:val="00FA20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0">
    <w:name w:val="xl50"/>
    <w:basedOn w:val="Normln"/>
    <w:rsid w:val="00FA209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1">
    <w:name w:val="xl51"/>
    <w:basedOn w:val="Normln"/>
    <w:rsid w:val="00FA20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2">
    <w:name w:val="xl52"/>
    <w:basedOn w:val="Normln"/>
    <w:rsid w:val="00FA20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53">
    <w:name w:val="xl53"/>
    <w:basedOn w:val="Normln"/>
    <w:rsid w:val="00FA20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4">
    <w:name w:val="xl54"/>
    <w:basedOn w:val="Normln"/>
    <w:rsid w:val="00FA209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5">
    <w:name w:val="xl55"/>
    <w:basedOn w:val="Normln"/>
    <w:rsid w:val="00FA20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xl56">
    <w:name w:val="xl56"/>
    <w:basedOn w:val="Normln"/>
    <w:rsid w:val="00FA2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57">
    <w:name w:val="xl57"/>
    <w:basedOn w:val="Normln"/>
    <w:rsid w:val="00FA2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8">
    <w:name w:val="xl58"/>
    <w:basedOn w:val="Normln"/>
    <w:rsid w:val="00FA20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i/>
      <w:i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59">
    <w:name w:val="xl59"/>
    <w:basedOn w:val="Normln"/>
    <w:rsid w:val="00FA209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60">
    <w:name w:val="xl60"/>
    <w:basedOn w:val="Normln"/>
    <w:rsid w:val="00FA2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61">
    <w:name w:val="xl61"/>
    <w:basedOn w:val="Normln"/>
    <w:rsid w:val="00FA2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xl62">
    <w:name w:val="xl62"/>
    <w:basedOn w:val="Normln"/>
    <w:rsid w:val="00FA20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noProof w:val="0"/>
      <w:sz w:val="16"/>
      <w:szCs w:val="16"/>
      <w14:shadow w14:blurRad="0" w14:dist="0" w14:dir="0" w14:sx="0" w14:sy="0" w14:kx="0" w14:ky="0" w14:algn="none">
        <w14:srgbClr w14:val="000000"/>
      </w14:shadow>
    </w:rPr>
  </w:style>
  <w:style w:type="paragraph" w:customStyle="1" w:styleId="xl63">
    <w:name w:val="xl63"/>
    <w:basedOn w:val="Normln"/>
    <w:rsid w:val="00FA20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i/>
      <w:iCs/>
      <w:noProof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paragraph" w:customStyle="1" w:styleId="Styl2">
    <w:name w:val="Styl2"/>
    <w:basedOn w:val="Normln"/>
    <w:rsid w:val="00FA209D"/>
    <w:pPr>
      <w:autoSpaceDE w:val="0"/>
      <w:autoSpaceDN w:val="0"/>
      <w:adjustRightInd w:val="0"/>
      <w:spacing w:line="480" w:lineRule="auto"/>
      <w:jc w:val="both"/>
    </w:pPr>
    <w:rPr>
      <w:rFonts w:ascii="Arial" w:hAnsi="Arial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customStyle="1" w:styleId="Styl1">
    <w:name w:val="Styl1"/>
    <w:basedOn w:val="Normln"/>
    <w:rsid w:val="00FA209D"/>
    <w:pPr>
      <w:autoSpaceDE w:val="0"/>
      <w:autoSpaceDN w:val="0"/>
      <w:adjustRightInd w:val="0"/>
      <w:jc w:val="both"/>
    </w:pPr>
    <w:rPr>
      <w:rFonts w:ascii="Times New Roman" w:hAnsi="Times New Roman"/>
      <w:b/>
      <w:b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character" w:customStyle="1" w:styleId="Nadpis5Char">
    <w:name w:val="Nadpis 5 Char"/>
    <w:rsid w:val="00FA209D"/>
    <w:rPr>
      <w:rFonts w:ascii="Book Antiqua" w:hAnsi="Book Antiqua"/>
      <w:b/>
      <w:caps/>
      <w:snapToGrid w:val="0"/>
      <w:lang w:val="cs-CZ" w:eastAsia="cs-CZ" w:bidi="ar-SA"/>
    </w:rPr>
  </w:style>
  <w:style w:type="paragraph" w:styleId="Obsah1">
    <w:name w:val="toc 1"/>
    <w:basedOn w:val="Nadpis1"/>
    <w:next w:val="Normln"/>
    <w:autoRedefine/>
    <w:semiHidden/>
    <w:rsid w:val="00FA209D"/>
    <w:pPr>
      <w:tabs>
        <w:tab w:val="left" w:pos="400"/>
        <w:tab w:val="right" w:leader="dot" w:pos="9061"/>
      </w:tabs>
      <w:spacing w:before="0" w:after="0"/>
      <w:ind w:left="567" w:hanging="567"/>
    </w:pPr>
    <w:rPr>
      <w:rFonts w:ascii="Book Antiqua" w:hAnsi="Book Antiqua" w:cs="Arial"/>
      <w:b w:val="0"/>
      <w:bCs/>
      <w:noProof/>
      <w:sz w:val="24"/>
      <w:szCs w:val="22"/>
    </w:rPr>
  </w:style>
  <w:style w:type="paragraph" w:styleId="Textkomente">
    <w:name w:val="annotation text"/>
    <w:basedOn w:val="Normln"/>
    <w:semiHidden/>
    <w:rsid w:val="00FA209D"/>
  </w:style>
  <w:style w:type="character" w:customStyle="1" w:styleId="NormlnsWWWChar">
    <w:name w:val="Normální (síť WWW) Char"/>
    <w:rsid w:val="00FA209D"/>
    <w:rPr>
      <w:sz w:val="24"/>
      <w:szCs w:val="24"/>
      <w:lang w:val="cs-CZ" w:eastAsia="cs-CZ" w:bidi="ar-SA"/>
    </w:rPr>
  </w:style>
  <w:style w:type="character" w:customStyle="1" w:styleId="Nadpis2Char">
    <w:name w:val="Nadpis 2 Char"/>
    <w:rsid w:val="00FA209D"/>
    <w:rPr>
      <w:rFonts w:ascii="Book Antiqua" w:hAnsi="Book Antiqua"/>
      <w:b/>
      <w:noProof/>
      <w:sz w:val="18"/>
      <w:lang w:val="cs-CZ" w:eastAsia="cs-CZ" w:bidi="ar-SA"/>
    </w:rPr>
  </w:style>
  <w:style w:type="paragraph" w:customStyle="1" w:styleId="Zkladntext31">
    <w:name w:val="Základní text 31"/>
    <w:basedOn w:val="Normln"/>
    <w:rsid w:val="00FA209D"/>
    <w:pPr>
      <w:jc w:val="both"/>
    </w:pPr>
    <w:rPr>
      <w:rFonts w:ascii="Times New Roman" w:hAnsi="Times New Roman"/>
      <w:noProof w:val="0"/>
      <w:color w:val="FF0000"/>
      <w:sz w:val="24"/>
      <w14:shadow w14:blurRad="0" w14:dist="0" w14:dir="0" w14:sx="0" w14:sy="0" w14:kx="0" w14:ky="0" w14:algn="none">
        <w14:srgbClr w14:val="000000"/>
      </w14:shadow>
    </w:rPr>
  </w:style>
  <w:style w:type="character" w:styleId="Sledovanodkaz">
    <w:name w:val="FollowedHyperlink"/>
    <w:rsid w:val="00FA209D"/>
    <w:rPr>
      <w:color w:val="800080"/>
      <w:u w:val="single"/>
    </w:rPr>
  </w:style>
  <w:style w:type="paragraph" w:customStyle="1" w:styleId="xl22">
    <w:name w:val="xl22"/>
    <w:basedOn w:val="Normln"/>
    <w:rsid w:val="00FA20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Book Antiqua" w:hAnsi="Book Antiqua"/>
      <w:b/>
      <w:bCs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styleId="AdresaHTML">
    <w:name w:val="HTML Address"/>
    <w:basedOn w:val="Normln"/>
    <w:rsid w:val="00FA209D"/>
    <w:rPr>
      <w:i/>
      <w:iCs/>
    </w:rPr>
  </w:style>
  <w:style w:type="paragraph" w:styleId="Adresanaoblku">
    <w:name w:val="envelope address"/>
    <w:basedOn w:val="Normln"/>
    <w:rsid w:val="00FA209D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slovanseznam">
    <w:name w:val="List Number"/>
    <w:basedOn w:val="Normln"/>
    <w:rsid w:val="00FA209D"/>
    <w:pPr>
      <w:numPr>
        <w:numId w:val="3"/>
      </w:numPr>
    </w:pPr>
  </w:style>
  <w:style w:type="paragraph" w:styleId="slovanseznam2">
    <w:name w:val="List Number 2"/>
    <w:basedOn w:val="Normln"/>
    <w:rsid w:val="00FA209D"/>
    <w:pPr>
      <w:numPr>
        <w:numId w:val="4"/>
      </w:numPr>
    </w:pPr>
  </w:style>
  <w:style w:type="paragraph" w:styleId="slovanseznam3">
    <w:name w:val="List Number 3"/>
    <w:basedOn w:val="Normln"/>
    <w:rsid w:val="00FA209D"/>
    <w:pPr>
      <w:numPr>
        <w:numId w:val="5"/>
      </w:numPr>
    </w:pPr>
  </w:style>
  <w:style w:type="paragraph" w:styleId="slovanseznam4">
    <w:name w:val="List Number 4"/>
    <w:basedOn w:val="Normln"/>
    <w:rsid w:val="00FA209D"/>
    <w:pPr>
      <w:numPr>
        <w:numId w:val="6"/>
      </w:numPr>
    </w:pPr>
  </w:style>
  <w:style w:type="paragraph" w:styleId="slovanseznam5">
    <w:name w:val="List Number 5"/>
    <w:basedOn w:val="Normln"/>
    <w:rsid w:val="00FA209D"/>
    <w:pPr>
      <w:numPr>
        <w:numId w:val="7"/>
      </w:numPr>
    </w:pPr>
  </w:style>
  <w:style w:type="paragraph" w:styleId="Datum">
    <w:name w:val="Date"/>
    <w:basedOn w:val="Normln"/>
    <w:next w:val="Normln"/>
    <w:rsid w:val="00FA209D"/>
  </w:style>
  <w:style w:type="paragraph" w:styleId="FormtovanvHTML">
    <w:name w:val="HTML Preformatted"/>
    <w:basedOn w:val="Normln"/>
    <w:rsid w:val="00FA209D"/>
    <w:rPr>
      <w:rFonts w:ascii="Courier New" w:hAnsi="Courier New" w:cs="Courier New"/>
    </w:rPr>
  </w:style>
  <w:style w:type="paragraph" w:styleId="Rejstk1">
    <w:name w:val="index 1"/>
    <w:basedOn w:val="Normln"/>
    <w:next w:val="Normln"/>
    <w:autoRedefine/>
    <w:semiHidden/>
    <w:rsid w:val="00FA209D"/>
    <w:pPr>
      <w:ind w:left="200" w:hanging="200"/>
    </w:pPr>
  </w:style>
  <w:style w:type="paragraph" w:styleId="Nadpispoznmky">
    <w:name w:val="Note Heading"/>
    <w:basedOn w:val="Normln"/>
    <w:next w:val="Normln"/>
    <w:rsid w:val="00FA209D"/>
  </w:style>
  <w:style w:type="paragraph" w:styleId="Normlnodsazen">
    <w:name w:val="Normal Indent"/>
    <w:basedOn w:val="Normln"/>
    <w:rsid w:val="00FA209D"/>
    <w:pPr>
      <w:ind w:left="708"/>
    </w:pPr>
  </w:style>
  <w:style w:type="paragraph" w:styleId="Osloven">
    <w:name w:val="Salutation"/>
    <w:basedOn w:val="Normln"/>
    <w:next w:val="Normln"/>
    <w:rsid w:val="00FA209D"/>
  </w:style>
  <w:style w:type="paragraph" w:styleId="Podpis">
    <w:name w:val="Signature"/>
    <w:basedOn w:val="Normln"/>
    <w:rsid w:val="00FA209D"/>
    <w:pPr>
      <w:ind w:left="4252"/>
    </w:pPr>
  </w:style>
  <w:style w:type="paragraph" w:styleId="Podpise-mailu">
    <w:name w:val="E-mail Signature"/>
    <w:basedOn w:val="Normln"/>
    <w:rsid w:val="00FA209D"/>
  </w:style>
  <w:style w:type="paragraph" w:styleId="Podtitul">
    <w:name w:val="Subtitle"/>
    <w:basedOn w:val="Normln"/>
    <w:qFormat/>
    <w:rsid w:val="00FA209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Pokraovnseznamu">
    <w:name w:val="List Continue"/>
    <w:basedOn w:val="Normln"/>
    <w:rsid w:val="00FA209D"/>
    <w:pPr>
      <w:spacing w:after="120"/>
      <w:ind w:left="283"/>
    </w:pPr>
  </w:style>
  <w:style w:type="paragraph" w:styleId="Pokraovnseznamu2">
    <w:name w:val="List Continue 2"/>
    <w:basedOn w:val="Normln"/>
    <w:rsid w:val="00FA209D"/>
    <w:pPr>
      <w:spacing w:after="120"/>
      <w:ind w:left="566"/>
    </w:pPr>
  </w:style>
  <w:style w:type="paragraph" w:styleId="Pokraovnseznamu3">
    <w:name w:val="List Continue 3"/>
    <w:basedOn w:val="Normln"/>
    <w:rsid w:val="00FA209D"/>
    <w:pPr>
      <w:spacing w:after="120"/>
      <w:ind w:left="849"/>
    </w:pPr>
  </w:style>
  <w:style w:type="paragraph" w:styleId="Pokraovnseznamu4">
    <w:name w:val="List Continue 4"/>
    <w:basedOn w:val="Normln"/>
    <w:rsid w:val="00FA209D"/>
    <w:pPr>
      <w:spacing w:after="120"/>
      <w:ind w:left="1132"/>
    </w:pPr>
  </w:style>
  <w:style w:type="paragraph" w:styleId="Pokraovnseznamu5">
    <w:name w:val="List Continue 5"/>
    <w:basedOn w:val="Normln"/>
    <w:rsid w:val="00FA209D"/>
    <w:pPr>
      <w:spacing w:after="120"/>
      <w:ind w:left="1415"/>
    </w:pPr>
  </w:style>
  <w:style w:type="paragraph" w:styleId="Seznam">
    <w:name w:val="List"/>
    <w:basedOn w:val="Normln"/>
    <w:rsid w:val="00FA209D"/>
    <w:pPr>
      <w:ind w:left="283" w:hanging="283"/>
    </w:pPr>
  </w:style>
  <w:style w:type="paragraph" w:styleId="Seznam2">
    <w:name w:val="List 2"/>
    <w:basedOn w:val="Normln"/>
    <w:rsid w:val="00FA209D"/>
    <w:pPr>
      <w:ind w:left="566" w:hanging="283"/>
    </w:pPr>
  </w:style>
  <w:style w:type="paragraph" w:styleId="Seznam3">
    <w:name w:val="List 3"/>
    <w:basedOn w:val="Normln"/>
    <w:rsid w:val="00FA209D"/>
    <w:pPr>
      <w:ind w:left="849" w:hanging="283"/>
    </w:pPr>
  </w:style>
  <w:style w:type="paragraph" w:styleId="Seznam4">
    <w:name w:val="List 4"/>
    <w:basedOn w:val="Normln"/>
    <w:rsid w:val="00FA209D"/>
    <w:pPr>
      <w:ind w:left="1132" w:hanging="283"/>
    </w:pPr>
  </w:style>
  <w:style w:type="paragraph" w:styleId="Seznam5">
    <w:name w:val="List 5"/>
    <w:basedOn w:val="Normln"/>
    <w:rsid w:val="00FA209D"/>
    <w:pPr>
      <w:ind w:left="1415" w:hanging="283"/>
    </w:pPr>
  </w:style>
  <w:style w:type="paragraph" w:styleId="Seznamsodrkami">
    <w:name w:val="List Bullet"/>
    <w:basedOn w:val="Normln"/>
    <w:autoRedefine/>
    <w:rsid w:val="00FA209D"/>
    <w:pPr>
      <w:numPr>
        <w:numId w:val="8"/>
      </w:numPr>
    </w:pPr>
  </w:style>
  <w:style w:type="paragraph" w:styleId="Seznamsodrkami2">
    <w:name w:val="List Bullet 2"/>
    <w:basedOn w:val="Normln"/>
    <w:autoRedefine/>
    <w:rsid w:val="00FA209D"/>
    <w:pPr>
      <w:numPr>
        <w:numId w:val="9"/>
      </w:numPr>
    </w:pPr>
  </w:style>
  <w:style w:type="paragraph" w:styleId="Seznamsodrkami3">
    <w:name w:val="List Bullet 3"/>
    <w:basedOn w:val="Normln"/>
    <w:autoRedefine/>
    <w:rsid w:val="00FA209D"/>
    <w:pPr>
      <w:numPr>
        <w:numId w:val="10"/>
      </w:numPr>
    </w:pPr>
  </w:style>
  <w:style w:type="paragraph" w:styleId="Seznamsodrkami4">
    <w:name w:val="List Bullet 4"/>
    <w:basedOn w:val="Normln"/>
    <w:autoRedefine/>
    <w:rsid w:val="00FA209D"/>
    <w:pPr>
      <w:numPr>
        <w:numId w:val="11"/>
      </w:numPr>
    </w:pPr>
  </w:style>
  <w:style w:type="paragraph" w:styleId="Seznamsodrkami5">
    <w:name w:val="List Bullet 5"/>
    <w:basedOn w:val="Normln"/>
    <w:autoRedefine/>
    <w:rsid w:val="00FA209D"/>
    <w:pPr>
      <w:numPr>
        <w:numId w:val="12"/>
      </w:numPr>
    </w:pPr>
  </w:style>
  <w:style w:type="paragraph" w:styleId="Zhlavzprvy">
    <w:name w:val="Message Header"/>
    <w:basedOn w:val="Normln"/>
    <w:rsid w:val="00FA20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Zkladntext-prvnodsazen">
    <w:name w:val="Body Text First Indent"/>
    <w:basedOn w:val="Zkladntext"/>
    <w:rsid w:val="00FA209D"/>
    <w:pPr>
      <w:spacing w:after="120"/>
      <w:ind w:firstLine="210"/>
    </w:pPr>
  </w:style>
  <w:style w:type="paragraph" w:styleId="Zkladntext-prvnodsazen2">
    <w:name w:val="Body Text First Indent 2"/>
    <w:basedOn w:val="Zkladntextodsazen"/>
    <w:rsid w:val="00FA209D"/>
    <w:pPr>
      <w:spacing w:after="120" w:line="240" w:lineRule="auto"/>
      <w:ind w:firstLine="210"/>
      <w:jc w:val="left"/>
    </w:pPr>
    <w:rPr>
      <w:rFonts w:ascii="MS Serif" w:hAnsi="MS Serif"/>
      <w:color w:val="auto"/>
      <w:sz w:val="20"/>
    </w:rPr>
  </w:style>
  <w:style w:type="paragraph" w:styleId="Zvr">
    <w:name w:val="Closing"/>
    <w:basedOn w:val="Normln"/>
    <w:rsid w:val="00FA209D"/>
    <w:pPr>
      <w:ind w:left="4252"/>
    </w:pPr>
  </w:style>
  <w:style w:type="paragraph" w:styleId="Zptenadresanaoblku">
    <w:name w:val="envelope return"/>
    <w:basedOn w:val="Normln"/>
    <w:rsid w:val="00FA209D"/>
    <w:rPr>
      <w:rFonts w:ascii="Arial" w:hAnsi="Arial" w:cs="Arial"/>
    </w:rPr>
  </w:style>
  <w:style w:type="paragraph" w:customStyle="1" w:styleId="Default">
    <w:name w:val="Default"/>
    <w:rsid w:val="00FA209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Odkaznakoment">
    <w:name w:val="annotation reference"/>
    <w:semiHidden/>
    <w:rsid w:val="00FA209D"/>
    <w:rPr>
      <w:sz w:val="16"/>
      <w:szCs w:val="16"/>
    </w:rPr>
  </w:style>
  <w:style w:type="paragraph" w:customStyle="1" w:styleId="Pa8">
    <w:name w:val="Pa8"/>
    <w:basedOn w:val="Normln"/>
    <w:next w:val="Normln"/>
    <w:rsid w:val="00DF7E81"/>
    <w:pPr>
      <w:autoSpaceDE w:val="0"/>
      <w:autoSpaceDN w:val="0"/>
      <w:adjustRightInd w:val="0"/>
      <w:spacing w:before="100" w:line="211" w:lineRule="atLeast"/>
    </w:pPr>
    <w:rPr>
      <w:rFonts w:ascii="Adobe Garamond Pro" w:hAnsi="Adobe Garamond Pro"/>
      <w:noProof w:val="0"/>
      <w:sz w:val="24"/>
      <w:szCs w:val="24"/>
      <w14:shadow w14:blurRad="0" w14:dist="0" w14:dir="0" w14:sx="0" w14:sy="0" w14:kx="0" w14:ky="0" w14:algn="none">
        <w14:srgbClr w14:val="000000"/>
      </w14:shadow>
    </w:rPr>
  </w:style>
  <w:style w:type="paragraph" w:styleId="Pedmtkomente">
    <w:name w:val="annotation subject"/>
    <w:basedOn w:val="Textkomente"/>
    <w:next w:val="Textkomente"/>
    <w:semiHidden/>
    <w:rsid w:val="00B46667"/>
    <w:rPr>
      <w:b/>
      <w:bCs/>
    </w:rPr>
  </w:style>
  <w:style w:type="paragraph" w:styleId="Textbubliny">
    <w:name w:val="Balloon Text"/>
    <w:basedOn w:val="Normln"/>
    <w:semiHidden/>
    <w:rsid w:val="00B46667"/>
    <w:rPr>
      <w:rFonts w:ascii="Tahoma" w:hAnsi="Tahoma" w:cs="Tahoma"/>
      <w:sz w:val="16"/>
      <w:szCs w:val="16"/>
    </w:rPr>
  </w:style>
  <w:style w:type="paragraph" w:customStyle="1" w:styleId="Normlnodsazen1">
    <w:name w:val="Normální odsazený1"/>
    <w:basedOn w:val="Normln"/>
    <w:rsid w:val="00EA6C01"/>
    <w:pPr>
      <w:keepLines/>
      <w:suppressAutoHyphens/>
      <w:overflowPunct w:val="0"/>
      <w:autoSpaceDE w:val="0"/>
      <w:spacing w:after="120"/>
      <w:ind w:left="1134"/>
      <w:jc w:val="both"/>
      <w:textAlignment w:val="baseline"/>
    </w:pPr>
    <w:rPr>
      <w:rFonts w:ascii="Times New Roman" w:hAnsi="Times New Roman"/>
      <w:noProof w:val="0"/>
      <w:sz w:val="24"/>
      <w:lang w:eastAsia="zh-CN"/>
      <w14:shadow w14:blurRad="0" w14:dist="0" w14:dir="0" w14:sx="0" w14:sy="0" w14:kx="0" w14:ky="0" w14:algn="none">
        <w14:srgbClr w14:val="000000"/>
      </w14:shadow>
    </w:rPr>
  </w:style>
  <w:style w:type="character" w:customStyle="1" w:styleId="apple-converted-space">
    <w:name w:val="apple-converted-space"/>
    <w:basedOn w:val="Standardnpsmoodstavce"/>
    <w:rsid w:val="00FD1EFB"/>
  </w:style>
  <w:style w:type="paragraph" w:styleId="Odstavecseseznamem">
    <w:name w:val="List Paragraph"/>
    <w:basedOn w:val="Normln"/>
    <w:uiPriority w:val="34"/>
    <w:qFormat/>
    <w:rsid w:val="00D4120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25AC1"/>
    <w:rPr>
      <w:rFonts w:ascii="Arial" w:hAnsi="Arial"/>
      <w:b/>
      <w:kern w:val="28"/>
      <w:sz w:val="28"/>
    </w:rPr>
  </w:style>
  <w:style w:type="character" w:customStyle="1" w:styleId="ZpatChar">
    <w:name w:val="Zápatí Char"/>
    <w:basedOn w:val="Standardnpsmoodstavce"/>
    <w:link w:val="Zpat"/>
    <w:uiPriority w:val="99"/>
    <w:rsid w:val="00CC1C51"/>
    <w:rPr>
      <w:rFonts w:ascii="MS Serif" w:hAnsi="MS Serif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6B400-2572-450D-A9E2-EE1A680E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8854</Words>
  <Characters>52240</Characters>
  <Application>Microsoft Office Word</Application>
  <DocSecurity>0</DocSecurity>
  <Lines>435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VIII</vt:lpstr>
    </vt:vector>
  </TitlesOfParts>
  <Company>SZÚ</Company>
  <LinksUpToDate>false</LinksUpToDate>
  <CharactersWithSpaces>60973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helena</dc:creator>
  <cp:lastModifiedBy>Řezáčová Veronika</cp:lastModifiedBy>
  <cp:revision>2</cp:revision>
  <cp:lastPrinted>2018-10-03T12:52:00Z</cp:lastPrinted>
  <dcterms:created xsi:type="dcterms:W3CDTF">2019-12-17T09:52:00Z</dcterms:created>
  <dcterms:modified xsi:type="dcterms:W3CDTF">2019-12-17T09:52:00Z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MZP/2019/780/2403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MZP/2019/780/2324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19.11.2019</vt:lpwstr>
  </property>
  <property fmtid="{D5CDD505-2E9C-101B-9397-08002B2CF9AE}" pid="11" name="DisplayName_CJCol">
    <vt:lpwstr>&lt;TABLE&gt;&lt;TR&gt;&lt;TD&gt;Č.j.:&lt;/TD&gt;&lt;TD&gt;MZP/2019/780/2403&lt;/TD&gt;&lt;/TR&gt;&lt;TR&gt;&lt;TD&gt;&lt;/TD&gt;&lt;TD&gt;&lt;/TD&gt;&lt;/TR&gt;&lt;/TABLE&gt;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Odbor ochrany ovzduší</vt:lpwstr>
  </property>
  <property fmtid="{D5CDD505-2E9C-101B-9397-08002B2CF9AE}" pid="14" name="DisplayName_UserPoriz_Pisemnost">
    <vt:lpwstr>Mgr. Vojtěch Stráník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ENV/2019/112840</vt:lpwstr>
  </property>
  <property fmtid="{D5CDD505-2E9C-101B-9397-08002B2CF9AE}" pid="17" name="Key_BarCode_Pisemnost">
    <vt:lpwstr>*B000476250*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A/10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ZN/MZP/2019/780/250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Informace o kvalitě ovzduší a spojených zdravotních rizicích v roce 2018 - vláda</vt:lpwstr>
  </property>
  <property fmtid="{D5CDD505-2E9C-101B-9397-08002B2CF9AE}" pid="36" name="Zkratka_SpisovyUzel_PoziceZodpo_Pisemnost">
    <vt:lpwstr>780</vt:lpwstr>
  </property>
</Properties>
</file>