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b/>
        </w:rPr>
        <w:tag w:val="oznaceniDokumentu"/>
        <w:id w:val="-1578812355"/>
        <w:placeholder>
          <w:docPart w:val="00183694B5CC45F497168F470EEEB230"/>
        </w:placeholder>
        <w:dropDownList>
          <w:listItem w:displayText=" " w:value=" "/>
          <w:listItem w:displayText="PRO VNITŘNÍ POTŘEBU" w:value="PRO VNITŘNÍ POTŘEBU"/>
          <w:listItem w:displayText="CITLIVÉ" w:value="CITLIVÉ"/>
          <w:listItem w:displayText="VELMI CITLIVÉ" w:value="VELMI CITLIVÉ"/>
        </w:dropDownList>
      </w:sdtPr>
      <w:sdtEndPr/>
      <w:sdtContent>
        <w:p w:rsidR="00DD79C7" w:rsidRPr="000C2032" w:rsidRDefault="006A0C51" w:rsidP="000C2032">
          <w:pPr>
            <w:pStyle w:val="Bezmezer"/>
            <w:spacing w:before="120" w:line="312" w:lineRule="auto"/>
            <w:jc w:val="right"/>
            <w:rPr>
              <w:rFonts w:ascii="Times New Roman" w:eastAsia="Times New Roman" w:hAnsi="Times New Roman"/>
              <w:b/>
              <w:lang w:eastAsia="cs-CZ"/>
            </w:rPr>
          </w:pPr>
          <w:r w:rsidRPr="000C2032">
            <w:rPr>
              <w:b/>
            </w:rPr>
            <w:t xml:space="preserve"> </w:t>
          </w:r>
        </w:p>
      </w:sdtContent>
    </w:sdt>
    <w:p w:rsidR="00887ECA" w:rsidRPr="000C2032" w:rsidRDefault="00C35A3D" w:rsidP="000C2032">
      <w:pPr>
        <w:spacing w:before="120" w:line="312" w:lineRule="auto"/>
        <w:jc w:val="right"/>
        <w:rPr>
          <w:rFonts w:ascii="Arial" w:hAnsi="Arial" w:cs="Arial"/>
          <w:sz w:val="22"/>
          <w:szCs w:val="22"/>
        </w:rPr>
      </w:pPr>
      <w:r w:rsidRPr="000C2032">
        <w:rPr>
          <w:rFonts w:ascii="Arial" w:hAnsi="Arial" w:cs="Arial"/>
          <w:bCs/>
          <w:sz w:val="22"/>
          <w:szCs w:val="22"/>
        </w:rPr>
        <w:fldChar w:fldCharType="begin">
          <w:ffData>
            <w:name w:val=""/>
            <w:enabled/>
            <w:calcOnExit w:val="0"/>
            <w:textInput>
              <w:default w:val="Vložte římské číslo dle čísla na obálce"/>
            </w:textInput>
          </w:ffData>
        </w:fldChar>
      </w:r>
      <w:r w:rsidRPr="000C2032">
        <w:rPr>
          <w:rFonts w:ascii="Arial" w:hAnsi="Arial" w:cs="Arial"/>
          <w:bCs/>
          <w:sz w:val="22"/>
          <w:szCs w:val="22"/>
        </w:rPr>
        <w:instrText xml:space="preserve"> FORMTEXT </w:instrText>
      </w:r>
      <w:r w:rsidRPr="000C2032">
        <w:rPr>
          <w:rFonts w:ascii="Arial" w:hAnsi="Arial" w:cs="Arial"/>
          <w:bCs/>
          <w:sz w:val="22"/>
          <w:szCs w:val="22"/>
        </w:rPr>
      </w:r>
      <w:r w:rsidRPr="000C2032">
        <w:rPr>
          <w:rFonts w:ascii="Arial" w:hAnsi="Arial" w:cs="Arial"/>
          <w:bCs/>
          <w:sz w:val="22"/>
          <w:szCs w:val="22"/>
        </w:rPr>
        <w:fldChar w:fldCharType="separate"/>
      </w:r>
      <w:r w:rsidR="003F6AD5" w:rsidRPr="000C2032">
        <w:rPr>
          <w:rFonts w:ascii="Arial" w:hAnsi="Arial" w:cs="Arial"/>
          <w:bCs/>
          <w:noProof/>
          <w:sz w:val="22"/>
          <w:szCs w:val="22"/>
        </w:rPr>
        <w:t>II.</w:t>
      </w:r>
      <w:r w:rsidRPr="000C2032">
        <w:rPr>
          <w:rFonts w:ascii="Arial" w:hAnsi="Arial" w:cs="Arial"/>
          <w:bCs/>
          <w:sz w:val="22"/>
          <w:szCs w:val="22"/>
        </w:rPr>
        <w:fldChar w:fldCharType="end"/>
      </w:r>
    </w:p>
    <w:p w:rsidR="002A672E" w:rsidRPr="000C2032" w:rsidRDefault="0040404C" w:rsidP="000C2032">
      <w:pPr>
        <w:spacing w:before="120" w:line="312" w:lineRule="auto"/>
        <w:jc w:val="center"/>
        <w:rPr>
          <w:rFonts w:ascii="Arial" w:hAnsi="Arial" w:cs="Arial"/>
          <w:b/>
          <w:sz w:val="22"/>
          <w:szCs w:val="22"/>
        </w:rPr>
      </w:pPr>
      <w:r w:rsidRPr="000C2032">
        <w:rPr>
          <w:rFonts w:ascii="Arial" w:hAnsi="Arial" w:cs="Arial"/>
          <w:b/>
          <w:sz w:val="22"/>
          <w:szCs w:val="22"/>
        </w:rPr>
        <w:t>PŘEDKLÁDACÍ ZPRÁVA</w:t>
      </w:r>
    </w:p>
    <w:p w:rsidR="000C2032" w:rsidRDefault="000C2032" w:rsidP="000C2032">
      <w:pPr>
        <w:spacing w:before="120" w:line="312" w:lineRule="auto"/>
        <w:jc w:val="both"/>
        <w:rPr>
          <w:rFonts w:ascii="Arial" w:hAnsi="Arial" w:cs="Arial"/>
          <w:bCs/>
          <w:sz w:val="22"/>
          <w:szCs w:val="22"/>
        </w:rPr>
      </w:pPr>
    </w:p>
    <w:p w:rsidR="000C2032" w:rsidRPr="000C2032" w:rsidRDefault="000C2032" w:rsidP="000C2032">
      <w:pPr>
        <w:spacing w:before="120" w:line="312" w:lineRule="auto"/>
        <w:jc w:val="both"/>
        <w:rPr>
          <w:rFonts w:ascii="Arial" w:hAnsi="Arial" w:cs="Arial"/>
          <w:bCs/>
          <w:sz w:val="22"/>
          <w:szCs w:val="22"/>
        </w:rPr>
      </w:pPr>
      <w:r w:rsidRPr="000C2032">
        <w:rPr>
          <w:rFonts w:ascii="Arial" w:hAnsi="Arial" w:cs="Arial"/>
          <w:bCs/>
          <w:sz w:val="22"/>
          <w:szCs w:val="22"/>
        </w:rPr>
        <w:t xml:space="preserve">Agrese Ruska vůči Ukrajině, sankce uvalené EU nebo jejími mezinárodními partnery a protiopatření přijatá Ruskem vyvolaly značné hospodářské nejistoty. V současné situaci jsou roční ceny elektřiny i plynu a povolenek na historických maximech. výrobci elektrické energie sice na jednu stranu benefitují (prodávají budoucí produkci za vysoké ceny), na druhou stranu však tato situace klade na všechny subjekty nakupující na burze, zejména pak pro obchodníky s elektřinou a plynem, a to včetně těch, kteří mají ze zákona vykonávat dodavatele poslední instance, extrémní nároky co do rozsahu a výše požadovaného finančního zajištění. </w:t>
      </w:r>
    </w:p>
    <w:p w:rsidR="000C2032" w:rsidRPr="000C2032" w:rsidRDefault="000C2032" w:rsidP="000C2032">
      <w:pPr>
        <w:spacing w:before="120" w:line="312" w:lineRule="auto"/>
        <w:jc w:val="both"/>
        <w:rPr>
          <w:rFonts w:ascii="Arial" w:hAnsi="Arial" w:cs="Arial"/>
          <w:bCs/>
          <w:sz w:val="22"/>
          <w:szCs w:val="22"/>
        </w:rPr>
      </w:pPr>
      <w:r w:rsidRPr="000C2032">
        <w:rPr>
          <w:rFonts w:ascii="Arial" w:hAnsi="Arial" w:cs="Arial"/>
          <w:bCs/>
          <w:sz w:val="22"/>
          <w:szCs w:val="22"/>
        </w:rPr>
        <w:t>Velká část obchodů se realizuje na burzách nebo obchodech s tzv. margins (finančním zajištěním obchodů). To znamená, že se v rámci tzv. variation margin musí zaplatit rozdíl mezi cenou původního prodeje a současnou tržní cenou. Vedle variation margin je třeba na burzách ještě platit tzv. Initial margin, která je splatná při samotném uzavření obchodu a představuje pro burzu zajištění mezi dvěma platbami variation margin resp. rezervu na uzavření obchodní pozice v případě, že výrobce variation margin nezaplatí. V případě, že výrobce variation či initial margin nezaplatí, zruší burza nebo obchodní protistrana daný obchod a využije již poskytnuté variation a initial margins k nákupu elektřiny od jiného výrobce. Tyto margins zajišťují to, že při pohybech na trhu nemá žádná ze stran obchodu motiv obchod zrušit (např. prodávající v případě vzestupu cen), a současně to, že v případě bankrotu protistrany má druhá – nebankrotující – strana obchodu možnost bez finanční ztráty najít novou protistranu za aktuální tržní cenu. Jedná se tedy o systém, který snímá z účastníků trhu riziko selhání protistrany.  Oba tyto marginy jsou po splnění dodávky účastníkovi trhu vráceny.</w:t>
      </w:r>
    </w:p>
    <w:p w:rsidR="000C2032" w:rsidRPr="000C2032" w:rsidRDefault="000C2032" w:rsidP="000C2032">
      <w:pPr>
        <w:spacing w:before="120" w:line="312" w:lineRule="auto"/>
        <w:jc w:val="both"/>
        <w:rPr>
          <w:rFonts w:ascii="Arial" w:hAnsi="Arial" w:cs="Arial"/>
          <w:bCs/>
          <w:sz w:val="22"/>
          <w:szCs w:val="22"/>
        </w:rPr>
      </w:pPr>
      <w:r w:rsidRPr="000C2032">
        <w:rPr>
          <w:rFonts w:ascii="Arial" w:hAnsi="Arial" w:cs="Arial"/>
          <w:bCs/>
          <w:sz w:val="22"/>
          <w:szCs w:val="22"/>
        </w:rPr>
        <w:t>V současné situaci extrémně rostoucích cen energií ale dochází k komu, že potřeba platit tyto margins je neúnosná zejména pro obchodníky s elektřinou, ale i pro výrobce, kteří mají prodané velké množství své budoucí produkce. S ohledem na velmi těžko predikovatelný mezinárodní vývoj a přetrvávající volatilitu cen energií, lze i v nadcházejícím období očekávat, že i ti nejsilnější obchodníci s elektřinou či výrobci budou čelit vysokým požadavkům na likviditu v řádech miliard EUR, které při tak významné události na trhu, jako je typicky zastavení dodávek plynu, mohou vzrůst nad možnosti dostát svým závazkům marginy složit, navíc v extrémně krátké lhůtě jednoho dne. Tyto požadavky jsou v takovém rozsahu, že ani komerční banky nejsou schopny je v důsledku regulace finančního trhu vykrýt svými finančními nástroji. Platební neschopnost (byť krátkodobá) může způsobit akceleraci jiných dluhů a vést tak k fatálním důsledkům výrobců a dodavatelů energií samotných. Není vyloučena situace, že trh s energiemi bude zcela paralyzován a s ním pak i celé národní hospodářství.</w:t>
      </w:r>
    </w:p>
    <w:p w:rsidR="00DC7284" w:rsidRDefault="000C2032" w:rsidP="000C2032">
      <w:pPr>
        <w:spacing w:before="120" w:line="312" w:lineRule="auto"/>
        <w:jc w:val="both"/>
        <w:rPr>
          <w:rFonts w:ascii="Arial" w:hAnsi="Arial" w:cs="Arial"/>
          <w:bCs/>
          <w:sz w:val="22"/>
          <w:szCs w:val="22"/>
        </w:rPr>
      </w:pPr>
      <w:r w:rsidRPr="000C2032">
        <w:rPr>
          <w:rFonts w:ascii="Arial" w:hAnsi="Arial" w:cs="Arial"/>
          <w:bCs/>
          <w:sz w:val="22"/>
          <w:szCs w:val="22"/>
        </w:rPr>
        <w:t xml:space="preserve">V souladu se zahraniční zkušeností je zřejmé, že ve stávající situaci v oblasti margin calls je jediným realistickým řešením angažmá státu, který jediný může reagovat na prakticky neomezený růst cen a s nimi neomezený růst požadavků na margining. Zejména scénář </w:t>
      </w:r>
      <w:r w:rsidRPr="000C2032">
        <w:rPr>
          <w:rFonts w:ascii="Arial" w:hAnsi="Arial" w:cs="Arial"/>
          <w:bCs/>
          <w:sz w:val="22"/>
          <w:szCs w:val="22"/>
        </w:rPr>
        <w:lastRenderedPageBreak/>
        <w:t xml:space="preserve">kompletního zastavení dodávek plynu z Ruska pak může být spojen s prakticky a v krátkém horizontu se shora neomezenými cenami energií a v konečném důsledku vést k realizaci výše popsaných scénářů s neodvratitelnými dopady do národního hospodářství. </w:t>
      </w:r>
    </w:p>
    <w:p w:rsidR="00582DE9" w:rsidRPr="000C2032" w:rsidRDefault="000C2032" w:rsidP="000C2032">
      <w:pPr>
        <w:spacing w:before="120" w:line="312" w:lineRule="auto"/>
        <w:jc w:val="both"/>
        <w:rPr>
          <w:rFonts w:ascii="Arial" w:hAnsi="Arial" w:cs="Arial"/>
          <w:bCs/>
          <w:sz w:val="22"/>
          <w:szCs w:val="22"/>
        </w:rPr>
      </w:pPr>
      <w:r w:rsidRPr="000C2032">
        <w:rPr>
          <w:rFonts w:ascii="Arial" w:hAnsi="Arial" w:cs="Arial"/>
          <w:bCs/>
          <w:sz w:val="22"/>
          <w:szCs w:val="22"/>
        </w:rPr>
        <w:t xml:space="preserve">Navrhuje se proto, </w:t>
      </w:r>
      <w:r w:rsidR="00DC7284">
        <w:rPr>
          <w:rFonts w:ascii="Arial" w:hAnsi="Arial" w:cs="Arial"/>
          <w:bCs/>
          <w:sz w:val="22"/>
          <w:szCs w:val="22"/>
        </w:rPr>
        <w:t xml:space="preserve">zavést </w:t>
      </w:r>
      <w:r w:rsidR="00DC7284" w:rsidRPr="00DC7284">
        <w:rPr>
          <w:rFonts w:ascii="Arial" w:hAnsi="Arial" w:cs="Arial"/>
          <w:bCs/>
          <w:sz w:val="22"/>
          <w:szCs w:val="22"/>
        </w:rPr>
        <w:t>schéma poskytování úvěrů k odvrácení škod v národním hospodářství ve smyslu ustanovení § 35 odst. 5 zákona č. 218/2000 Sb., o rozpočtových pravidlech a o změně některých souvisejících zákonů (rozpočtová pravidla), výrobcům působícím na trhu s</w:t>
      </w:r>
      <w:r w:rsidR="00DC7284">
        <w:rPr>
          <w:rFonts w:ascii="Arial" w:hAnsi="Arial" w:cs="Arial"/>
          <w:bCs/>
          <w:sz w:val="22"/>
          <w:szCs w:val="22"/>
        </w:rPr>
        <w:t> </w:t>
      </w:r>
      <w:r w:rsidR="00DC7284" w:rsidRPr="00DC7284">
        <w:rPr>
          <w:rFonts w:ascii="Arial" w:hAnsi="Arial" w:cs="Arial"/>
          <w:bCs/>
          <w:sz w:val="22"/>
          <w:szCs w:val="22"/>
        </w:rPr>
        <w:t>energiemi</w:t>
      </w:r>
      <w:r w:rsidR="00DC7284">
        <w:rPr>
          <w:rFonts w:ascii="Arial" w:hAnsi="Arial" w:cs="Arial"/>
          <w:bCs/>
          <w:sz w:val="22"/>
          <w:szCs w:val="22"/>
        </w:rPr>
        <w:t>.</w:t>
      </w:r>
      <w:r w:rsidR="009C78D1" w:rsidRPr="000C2032">
        <w:rPr>
          <w:rFonts w:ascii="Arial" w:hAnsi="Arial" w:cs="Arial"/>
          <w:bCs/>
          <w:sz w:val="22"/>
          <w:szCs w:val="22"/>
        </w:rPr>
        <w:fldChar w:fldCharType="begin">
          <w:ffData>
            <w:name w:val="Text10"/>
            <w:enabled/>
            <w:calcOnExit w:val="0"/>
            <w:textInput/>
          </w:ffData>
        </w:fldChar>
      </w:r>
      <w:r w:rsidR="009C78D1" w:rsidRPr="000C2032">
        <w:rPr>
          <w:rFonts w:ascii="Arial" w:hAnsi="Arial" w:cs="Arial"/>
          <w:bCs/>
          <w:sz w:val="22"/>
          <w:szCs w:val="22"/>
        </w:rPr>
        <w:instrText xml:space="preserve"> FORMTEXT </w:instrText>
      </w:r>
      <w:r w:rsidR="005D05CC">
        <w:rPr>
          <w:rFonts w:ascii="Arial" w:hAnsi="Arial" w:cs="Arial"/>
          <w:bCs/>
          <w:sz w:val="22"/>
          <w:szCs w:val="22"/>
        </w:rPr>
      </w:r>
      <w:r w:rsidR="005D05CC">
        <w:rPr>
          <w:rFonts w:ascii="Arial" w:hAnsi="Arial" w:cs="Arial"/>
          <w:bCs/>
          <w:sz w:val="22"/>
          <w:szCs w:val="22"/>
        </w:rPr>
        <w:fldChar w:fldCharType="separate"/>
      </w:r>
      <w:r w:rsidR="009C78D1" w:rsidRPr="000C2032">
        <w:rPr>
          <w:rFonts w:ascii="Arial" w:hAnsi="Arial" w:cs="Arial"/>
          <w:bCs/>
          <w:sz w:val="22"/>
          <w:szCs w:val="22"/>
        </w:rPr>
        <w:fldChar w:fldCharType="end"/>
      </w:r>
    </w:p>
    <w:sectPr w:rsidR="00582DE9" w:rsidRPr="000C2032" w:rsidSect="00582DE9">
      <w:footerReference w:type="default" r:id="rId6"/>
      <w:pgSz w:w="11906" w:h="16838"/>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AD5" w:rsidRDefault="003F6AD5">
      <w:r>
        <w:separator/>
      </w:r>
    </w:p>
  </w:endnote>
  <w:endnote w:type="continuationSeparator" w:id="0">
    <w:p w:rsidR="003F6AD5" w:rsidRDefault="003F6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DE9" w:rsidRPr="00582DE9" w:rsidRDefault="00582DE9" w:rsidP="00582DE9">
    <w:pPr>
      <w:pStyle w:val="Podnadpis"/>
      <w:rPr>
        <w:rFonts w:ascii="Arial" w:hAnsi="Arial" w:cs="Arial"/>
        <w:sz w:val="22"/>
        <w:szCs w:val="22"/>
      </w:rPr>
    </w:pPr>
    <w:r w:rsidRPr="00CA4A8C">
      <w:rPr>
        <w:rFonts w:ascii="Arial" w:hAnsi="Arial" w:cs="Arial"/>
        <w:sz w:val="22"/>
        <w:szCs w:val="22"/>
      </w:rPr>
      <w:t xml:space="preserve">Stránka </w:t>
    </w:r>
    <w:r w:rsidRPr="00CA4A8C">
      <w:rPr>
        <w:rFonts w:ascii="Arial" w:hAnsi="Arial" w:cs="Arial"/>
        <w:sz w:val="22"/>
        <w:szCs w:val="22"/>
      </w:rPr>
      <w:fldChar w:fldCharType="begin"/>
    </w:r>
    <w:r w:rsidRPr="00CA4A8C">
      <w:rPr>
        <w:rFonts w:ascii="Arial" w:hAnsi="Arial" w:cs="Arial"/>
        <w:sz w:val="22"/>
        <w:szCs w:val="22"/>
      </w:rPr>
      <w:instrText>PAGE</w:instrText>
    </w:r>
    <w:r w:rsidRPr="00CA4A8C">
      <w:rPr>
        <w:rFonts w:ascii="Arial" w:hAnsi="Arial" w:cs="Arial"/>
        <w:sz w:val="22"/>
        <w:szCs w:val="22"/>
      </w:rPr>
      <w:fldChar w:fldCharType="separate"/>
    </w:r>
    <w:r w:rsidR="005D05CC">
      <w:rPr>
        <w:rFonts w:ascii="Arial" w:hAnsi="Arial" w:cs="Arial"/>
        <w:noProof/>
        <w:sz w:val="22"/>
        <w:szCs w:val="22"/>
      </w:rPr>
      <w:t>2</w:t>
    </w:r>
    <w:r w:rsidRPr="00CA4A8C">
      <w:rPr>
        <w:rFonts w:ascii="Arial" w:hAnsi="Arial" w:cs="Arial"/>
        <w:sz w:val="22"/>
        <w:szCs w:val="22"/>
      </w:rPr>
      <w:fldChar w:fldCharType="end"/>
    </w:r>
    <w:r w:rsidRPr="00CA4A8C">
      <w:rPr>
        <w:rFonts w:ascii="Arial" w:hAnsi="Arial" w:cs="Arial"/>
        <w:sz w:val="22"/>
        <w:szCs w:val="22"/>
      </w:rPr>
      <w:t xml:space="preserve"> (celkem </w:t>
    </w:r>
    <w:r w:rsidRPr="00CA4A8C">
      <w:rPr>
        <w:rFonts w:ascii="Arial" w:hAnsi="Arial" w:cs="Arial"/>
        <w:sz w:val="22"/>
        <w:szCs w:val="22"/>
      </w:rPr>
      <w:fldChar w:fldCharType="begin"/>
    </w:r>
    <w:r w:rsidRPr="00CA4A8C">
      <w:rPr>
        <w:rFonts w:ascii="Arial" w:hAnsi="Arial" w:cs="Arial"/>
        <w:sz w:val="22"/>
        <w:szCs w:val="22"/>
      </w:rPr>
      <w:instrText>NUMPAGES</w:instrText>
    </w:r>
    <w:r w:rsidRPr="00CA4A8C">
      <w:rPr>
        <w:rFonts w:ascii="Arial" w:hAnsi="Arial" w:cs="Arial"/>
        <w:sz w:val="22"/>
        <w:szCs w:val="22"/>
      </w:rPr>
      <w:fldChar w:fldCharType="separate"/>
    </w:r>
    <w:r w:rsidR="005D05CC">
      <w:rPr>
        <w:rFonts w:ascii="Arial" w:hAnsi="Arial" w:cs="Arial"/>
        <w:noProof/>
        <w:sz w:val="22"/>
        <w:szCs w:val="22"/>
      </w:rPr>
      <w:t>2</w:t>
    </w:r>
    <w:r w:rsidRPr="00CA4A8C">
      <w:rPr>
        <w:rFonts w:ascii="Arial" w:hAnsi="Arial" w:cs="Arial"/>
        <w:sz w:val="22"/>
        <w:szCs w:val="22"/>
      </w:rPr>
      <w:fldChar w:fldCharType="end"/>
    </w:r>
    <w:r w:rsidRPr="00CA4A8C">
      <w:rPr>
        <w:rFonts w:ascii="Arial" w:hAnsi="Arial" w:cs="Arial"/>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AD5" w:rsidRDefault="003F6AD5">
      <w:r>
        <w:separator/>
      </w:r>
    </w:p>
  </w:footnote>
  <w:footnote w:type="continuationSeparator" w:id="0">
    <w:p w:rsidR="003F6AD5" w:rsidRDefault="003F6A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D5"/>
    <w:rsid w:val="000353F8"/>
    <w:rsid w:val="000368B3"/>
    <w:rsid w:val="000438F0"/>
    <w:rsid w:val="000A09A4"/>
    <w:rsid w:val="000C2032"/>
    <w:rsid w:val="000C6DE7"/>
    <w:rsid w:val="000E0B3C"/>
    <w:rsid w:val="000E170B"/>
    <w:rsid w:val="000F7E17"/>
    <w:rsid w:val="0017769F"/>
    <w:rsid w:val="00193610"/>
    <w:rsid w:val="001B7406"/>
    <w:rsid w:val="001E0BBF"/>
    <w:rsid w:val="00216D41"/>
    <w:rsid w:val="002331DE"/>
    <w:rsid w:val="00240B7D"/>
    <w:rsid w:val="002440BD"/>
    <w:rsid w:val="002A672E"/>
    <w:rsid w:val="002B6C17"/>
    <w:rsid w:val="002C0431"/>
    <w:rsid w:val="003130CC"/>
    <w:rsid w:val="00342072"/>
    <w:rsid w:val="00361DDC"/>
    <w:rsid w:val="00371422"/>
    <w:rsid w:val="003A59AF"/>
    <w:rsid w:val="003A6008"/>
    <w:rsid w:val="003F0CA0"/>
    <w:rsid w:val="003F6AD5"/>
    <w:rsid w:val="0040404C"/>
    <w:rsid w:val="00406C16"/>
    <w:rsid w:val="00421876"/>
    <w:rsid w:val="00422CA2"/>
    <w:rsid w:val="00517DCD"/>
    <w:rsid w:val="00543A82"/>
    <w:rsid w:val="005476CA"/>
    <w:rsid w:val="00560822"/>
    <w:rsid w:val="0056661A"/>
    <w:rsid w:val="00574B2B"/>
    <w:rsid w:val="00582DE9"/>
    <w:rsid w:val="005A6304"/>
    <w:rsid w:val="005D05CC"/>
    <w:rsid w:val="006858E5"/>
    <w:rsid w:val="00696458"/>
    <w:rsid w:val="006A0C51"/>
    <w:rsid w:val="006B1262"/>
    <w:rsid w:val="006D0316"/>
    <w:rsid w:val="006E70BC"/>
    <w:rsid w:val="007A0E35"/>
    <w:rsid w:val="007F16DF"/>
    <w:rsid w:val="00804CE1"/>
    <w:rsid w:val="0085300A"/>
    <w:rsid w:val="00887ECA"/>
    <w:rsid w:val="008B13A3"/>
    <w:rsid w:val="008B303C"/>
    <w:rsid w:val="008C1953"/>
    <w:rsid w:val="008E5504"/>
    <w:rsid w:val="008F6257"/>
    <w:rsid w:val="00942359"/>
    <w:rsid w:val="00944039"/>
    <w:rsid w:val="00990E91"/>
    <w:rsid w:val="009C78D1"/>
    <w:rsid w:val="009F4360"/>
    <w:rsid w:val="00A0291F"/>
    <w:rsid w:val="00A21197"/>
    <w:rsid w:val="00A8681C"/>
    <w:rsid w:val="00A90BF6"/>
    <w:rsid w:val="00A97659"/>
    <w:rsid w:val="00AB5907"/>
    <w:rsid w:val="00AC4CBB"/>
    <w:rsid w:val="00B30632"/>
    <w:rsid w:val="00B52072"/>
    <w:rsid w:val="00BE6F48"/>
    <w:rsid w:val="00C066CA"/>
    <w:rsid w:val="00C110F9"/>
    <w:rsid w:val="00C35A3D"/>
    <w:rsid w:val="00C83033"/>
    <w:rsid w:val="00C95DCC"/>
    <w:rsid w:val="00C9742C"/>
    <w:rsid w:val="00CB4C0B"/>
    <w:rsid w:val="00CE46C7"/>
    <w:rsid w:val="00D8204E"/>
    <w:rsid w:val="00D9250E"/>
    <w:rsid w:val="00DA3CB5"/>
    <w:rsid w:val="00DA45D9"/>
    <w:rsid w:val="00DC7284"/>
    <w:rsid w:val="00DD79C7"/>
    <w:rsid w:val="00E0734D"/>
    <w:rsid w:val="00E553A4"/>
    <w:rsid w:val="00E757D9"/>
    <w:rsid w:val="00EB11BC"/>
    <w:rsid w:val="00ED4EBD"/>
    <w:rsid w:val="00F05218"/>
    <w:rsid w:val="00FD45EB"/>
    <w:rsid w:val="00FE27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stroke weight="1.5pt"/>
    </o:shapedefaults>
    <o:shapelayout v:ext="edit">
      <o:idmap v:ext="edit" data="1"/>
    </o:shapelayout>
  </w:shapeDefaults>
  <w:decimalSymbol w:val=","/>
  <w:listSeparator w:val=";"/>
  <w15:chartTrackingRefBased/>
  <w15:docId w15:val="{14236C64-856A-4EEF-801E-34271DD2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7A0E35"/>
    <w:rPr>
      <w:rFonts w:ascii="Tahoma" w:hAnsi="Tahoma" w:cs="Tahoma"/>
      <w:sz w:val="16"/>
      <w:szCs w:val="16"/>
    </w:rPr>
  </w:style>
  <w:style w:type="paragraph" w:styleId="Zhlav">
    <w:name w:val="header"/>
    <w:basedOn w:val="Normln"/>
    <w:rsid w:val="00C110F9"/>
    <w:pPr>
      <w:tabs>
        <w:tab w:val="center" w:pos="4536"/>
        <w:tab w:val="right" w:pos="9072"/>
      </w:tabs>
    </w:pPr>
  </w:style>
  <w:style w:type="paragraph" w:styleId="Zpat">
    <w:name w:val="footer"/>
    <w:basedOn w:val="Normln"/>
    <w:rsid w:val="00C110F9"/>
    <w:pPr>
      <w:tabs>
        <w:tab w:val="center" w:pos="4536"/>
        <w:tab w:val="right" w:pos="9072"/>
      </w:tabs>
    </w:pPr>
  </w:style>
  <w:style w:type="paragraph" w:customStyle="1" w:styleId="Char4CharCharCharCharCharCharCharCharCharCharCharCharCharCharCharCharCharCharCharCharCharCharCharChar">
    <w:name w:val="Char4 Char Char Char Char Char Char Char Char Char Char Char Char Char Char Char Char Char Char Char Char Char Char Char Char"/>
    <w:basedOn w:val="Normln"/>
    <w:rsid w:val="00BE6F48"/>
    <w:pPr>
      <w:spacing w:after="160" w:line="240" w:lineRule="exact"/>
    </w:pPr>
    <w:rPr>
      <w:rFonts w:ascii="Times New Roman Bold" w:hAnsi="Times New Roman Bold"/>
      <w:sz w:val="22"/>
      <w:szCs w:val="26"/>
      <w:lang w:val="sk-SK" w:eastAsia="en-US"/>
    </w:rPr>
  </w:style>
  <w:style w:type="paragraph" w:styleId="Podnadpis">
    <w:name w:val="Subtitle"/>
    <w:basedOn w:val="Normln"/>
    <w:next w:val="Normln"/>
    <w:link w:val="PodnadpisChar"/>
    <w:uiPriority w:val="11"/>
    <w:qFormat/>
    <w:rsid w:val="00582DE9"/>
    <w:pPr>
      <w:spacing w:after="60"/>
      <w:jc w:val="center"/>
      <w:outlineLvl w:val="1"/>
    </w:pPr>
    <w:rPr>
      <w:rFonts w:ascii="Cambria" w:hAnsi="Cambria"/>
    </w:rPr>
  </w:style>
  <w:style w:type="character" w:customStyle="1" w:styleId="PodnadpisChar">
    <w:name w:val="Podnadpis Char"/>
    <w:link w:val="Podnadpis"/>
    <w:uiPriority w:val="11"/>
    <w:rsid w:val="00582DE9"/>
    <w:rPr>
      <w:rFonts w:ascii="Cambria" w:hAnsi="Cambria"/>
      <w:sz w:val="24"/>
      <w:szCs w:val="24"/>
    </w:rPr>
  </w:style>
  <w:style w:type="paragraph" w:styleId="Bezmezer">
    <w:name w:val="No Spacing"/>
    <w:uiPriority w:val="1"/>
    <w:qFormat/>
    <w:rsid w:val="00DD79C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38380">
      <w:bodyDiv w:val="1"/>
      <w:marLeft w:val="0"/>
      <w:marRight w:val="0"/>
      <w:marTop w:val="0"/>
      <w:marBottom w:val="0"/>
      <w:divBdr>
        <w:top w:val="none" w:sz="0" w:space="0" w:color="auto"/>
        <w:left w:val="none" w:sz="0" w:space="0" w:color="auto"/>
        <w:bottom w:val="none" w:sz="0" w:space="0" w:color="auto"/>
        <w:right w:val="none" w:sz="0" w:space="0" w:color="auto"/>
      </w:divBdr>
    </w:div>
    <w:div w:id="148616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Sablony\02%20Parlament%20a%20vl&#225;da\e-KLEP\P-12%20P&#345;edkl&#225;dac&#237;%20zpr&#225;v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183694B5CC45F497168F470EEEB230"/>
        <w:category>
          <w:name w:val="Obecné"/>
          <w:gallery w:val="placeholder"/>
        </w:category>
        <w:types>
          <w:type w:val="bbPlcHdr"/>
        </w:types>
        <w:behaviors>
          <w:behavior w:val="content"/>
        </w:behaviors>
        <w:guid w:val="{B683F260-1E16-4BB5-8E98-57BAF348EE78}"/>
      </w:docPartPr>
      <w:docPartBody>
        <w:p w:rsidR="006323C8" w:rsidRDefault="006323C8">
          <w:pPr>
            <w:pStyle w:val="00183694B5CC45F497168F470EEEB230"/>
          </w:pPr>
          <w:r>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3C8"/>
    <w:rsid w:val="006323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style>
  <w:style w:type="paragraph" w:customStyle="1" w:styleId="00183694B5CC45F497168F470EEEB230">
    <w:name w:val="00183694B5CC45F497168F470EEEB2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P-12 Předkládací zpráva.dotm</Template>
  <TotalTime>0</TotalTime>
  <Pages>2</Pages>
  <Words>550</Words>
  <Characters>3181</Characters>
  <Application>Microsoft Office Word</Application>
  <DocSecurity>0</DocSecurity>
  <Lines>26</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"[Klepněte sem a vložte římské číslo dle čísla na obálce</vt:lpstr>
      <vt:lpstr>"[Klepněte sem a vložte římské číslo dle čísla na obálce</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"[Klepněte sem a vložte římské číslo dle čísla na obálce</dc:title>
  <dc:subject/>
  <dc:creator>Střeštíková Hana</dc:creator>
  <cp:keywords/>
  <cp:lastModifiedBy>Střeštíková Hana</cp:lastModifiedBy>
  <cp:revision>2</cp:revision>
  <cp:lastPrinted>2004-05-12T10:49:00Z</cp:lastPrinted>
  <dcterms:created xsi:type="dcterms:W3CDTF">2022-07-21T06:41:00Z</dcterms:created>
  <dcterms:modified xsi:type="dcterms:W3CDTF">2022-07-21T06:41:00Z</dcterms:modified>
</cp:coreProperties>
</file>