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21C1D" w14:textId="52B5E46C" w:rsidR="00CE1255" w:rsidRDefault="000B3434" w:rsidP="007E5E74">
      <w:pPr>
        <w:jc w:val="right"/>
        <w:rPr>
          <w:b/>
          <w:bCs/>
          <w:caps/>
        </w:rPr>
      </w:pPr>
      <w:bookmarkStart w:id="0" w:name="_GoBack"/>
      <w:bookmarkEnd w:id="0"/>
      <w:r>
        <w:rPr>
          <w:b/>
          <w:bCs/>
          <w:caps/>
        </w:rPr>
        <w:t>III.</w:t>
      </w:r>
    </w:p>
    <w:p w14:paraId="22FD4008" w14:textId="77777777" w:rsidR="00CE1255" w:rsidRDefault="00CE1255" w:rsidP="00CE1255">
      <w:pPr>
        <w:jc w:val="center"/>
        <w:rPr>
          <w:b/>
          <w:bCs/>
          <w:caps/>
        </w:rPr>
      </w:pPr>
    </w:p>
    <w:p w14:paraId="009F7F71" w14:textId="3CB3C9C2" w:rsidR="001B38A1" w:rsidRDefault="00865A15" w:rsidP="00865A15">
      <w:pPr>
        <w:rPr>
          <w:b/>
          <w:bCs/>
        </w:rPr>
      </w:pPr>
      <w:bookmarkStart w:id="1" w:name="_Hlk107211377"/>
      <w:r w:rsidRPr="00865A15">
        <w:rPr>
          <w:rFonts w:cs="Arial"/>
          <w:b/>
          <w:bCs/>
        </w:rPr>
        <w:t>Schéma poskytování úvěrů k odvrácení škod v národním hospodářství ve smyslu ustanovení § 35 odst. 5 zákona č. 218/2000 Sb., o rozpočtových pravidlech a o změně některých souvisejících zákonů (rozpočtová pravidla), výrobcům působícím na trhu s energiemi</w:t>
      </w:r>
    </w:p>
    <w:bookmarkEnd w:id="1"/>
    <w:p w14:paraId="26CDA042" w14:textId="77777777" w:rsidR="001B38A1" w:rsidRPr="000719E5" w:rsidRDefault="001B38A1" w:rsidP="001B38A1">
      <w:pPr>
        <w:pStyle w:val="Odstavecseseznamem"/>
        <w:numPr>
          <w:ilvl w:val="0"/>
          <w:numId w:val="3"/>
        </w:numPr>
        <w:rPr>
          <w:b/>
          <w:bCs/>
          <w:u w:val="single"/>
        </w:rPr>
      </w:pPr>
      <w:r w:rsidRPr="000719E5">
        <w:rPr>
          <w:b/>
          <w:bCs/>
          <w:u w:val="single"/>
        </w:rPr>
        <w:t>Úvod</w:t>
      </w:r>
    </w:p>
    <w:p w14:paraId="3989D4FA" w14:textId="77777777" w:rsidR="001B38A1" w:rsidRPr="00627A24" w:rsidRDefault="001B38A1" w:rsidP="001B38A1">
      <w:pPr>
        <w:jc w:val="both"/>
        <w:rPr>
          <w:iCs/>
        </w:rPr>
      </w:pPr>
      <w:r w:rsidRPr="000719E5">
        <w:rPr>
          <w:iCs/>
        </w:rPr>
        <w:t xml:space="preserve">Agrese Ruska vůči Ukrajině, sankce uvalené západními zeměmi nebo jejími mezinárodními partnery a protiopatření přijatá Ruskem vyvolaly značné hospodářské nejistoty, narušily obchodní toky a dodavatelské řetězce a vedly k mimořádně velkému a neočekávanému zvýšení cen, zejména </w:t>
      </w:r>
      <w:r w:rsidRPr="000719E5">
        <w:rPr>
          <w:iCs/>
        </w:rPr>
        <w:br/>
        <w:t>u zemního plynu a elektřiny. V souhrnu tyto účinky způsobily vážné narušení hospodářství ve všech členských státech Evropské unie. Narušení dodavatelského řetězce a zvýšená nejistota mají přímé nebo nepřímé účinky, které dopadají na většinu odvětví národního hospodářství. Rostoucí ceny energií navíc ovlivňují prakticky všechny hospodářské činnosti. Podle údajů Eurostatu tvoří elektřina v České republice přibližně pětinu veškerého užití energetické spotřeby. Z toho průmysl spotřebovává přibližně 40 %, domácnosti pak 28 %, což implikuje význam tohoto druhu energie pro průmyslově orientovanou ekonomiku.</w:t>
      </w:r>
    </w:p>
    <w:p w14:paraId="77BC3BDB" w14:textId="77777777" w:rsidR="001B38A1" w:rsidRDefault="001B38A1" w:rsidP="001B38A1">
      <w:pPr>
        <w:pStyle w:val="Odstavecseseznamem"/>
        <w:ind w:left="1080"/>
        <w:rPr>
          <w:b/>
          <w:bCs/>
          <w:u w:val="single"/>
        </w:rPr>
      </w:pPr>
    </w:p>
    <w:p w14:paraId="0B5133E0" w14:textId="77777777" w:rsidR="001B38A1" w:rsidRPr="0051798F" w:rsidRDefault="001B38A1" w:rsidP="001B38A1">
      <w:pPr>
        <w:pStyle w:val="Odstavecseseznamem"/>
        <w:numPr>
          <w:ilvl w:val="0"/>
          <w:numId w:val="3"/>
        </w:numPr>
        <w:rPr>
          <w:b/>
          <w:bCs/>
          <w:u w:val="single"/>
        </w:rPr>
      </w:pPr>
      <w:r w:rsidRPr="0051798F">
        <w:rPr>
          <w:b/>
          <w:bCs/>
          <w:u w:val="single"/>
        </w:rPr>
        <w:t xml:space="preserve">Popis systému obchodování </w:t>
      </w:r>
    </w:p>
    <w:p w14:paraId="453FE0D5" w14:textId="77777777" w:rsidR="001B38A1" w:rsidRDefault="001B38A1" w:rsidP="001B38A1">
      <w:pPr>
        <w:jc w:val="both"/>
      </w:pPr>
      <w:r>
        <w:t xml:space="preserve">V současné situaci jsou roční ceny elektřiny (i plynu a povolenek) na historických maximech, z čehož výrobci elektrické energie sice na jednu stranu benefitují (prodávají budoucí produkci za vysoké ceny), </w:t>
      </w:r>
      <w:r>
        <w:br/>
        <w:t xml:space="preserve">na druhou stranu však tato situace klade na výrobce extrémní nároky co do finančního zajištění. To paradoxně může vést k situaci, že se výrobce elektřiny, který je jinak v zisku, dostane neposkytnutím dostatečného finančního zajištění do finančního defaultu a může zkrachovat. </w:t>
      </w:r>
    </w:p>
    <w:p w14:paraId="3EA117A8" w14:textId="77777777" w:rsidR="001B38A1" w:rsidRDefault="001B38A1" w:rsidP="001B38A1">
      <w:pPr>
        <w:jc w:val="both"/>
      </w:pPr>
      <w:r>
        <w:t xml:space="preserve">Velká část obchodů se totiž realizuje na burzách nebo obchodech s tzv. margins (finančním zajištěním obchodů). To znamená, že ke každé MWh hodině prodané za nižší než současnou cenu elektřiny, musí výrobce v rámci tzv. variation margin zaplatit rozdíl mezi cenou původního prodeje a současnou tržní cenou. Pokud tedy výrobce prodal svou budoucí produkci na konkrétní den za 60 EUR/MWh a současná tržní cena ve stejný den by byla 160 EUR/MWh, musí výrobce zaplatit v rámci variation margin 100 EUR za každou prodanou MWh. Je standardem, že velcí výrobci prodávají část své výroby až na dva roky dopředu. </w:t>
      </w:r>
    </w:p>
    <w:p w14:paraId="45155E6C" w14:textId="77777777" w:rsidR="001B38A1" w:rsidRDefault="001B38A1" w:rsidP="001B38A1">
      <w:pPr>
        <w:jc w:val="both"/>
      </w:pPr>
      <w:r>
        <w:t>Vedle variation margin je třeba na burzách ještě platit tzv. Initial margin, která je splatná při samotném uzavření obchodu a představuje pro burzu zajištění mezi dvěma platbami variation margin resp. rezervu na uzavření obchodní pozice v případě, že výrobce variation margin nezaplatí.</w:t>
      </w:r>
    </w:p>
    <w:p w14:paraId="5FD43FA2" w14:textId="77777777" w:rsidR="001B38A1" w:rsidRDefault="001B38A1" w:rsidP="001B38A1">
      <w:pPr>
        <w:jc w:val="both"/>
      </w:pPr>
      <w:r>
        <w:t>V případě, že výrobce variation či initial margin nezaplatí, zruší burza nebo obchodní protistrana daný obchod a využije již poskytnuté variation a initial margins k nákupu elektřiny od jiného výrobce.</w:t>
      </w:r>
    </w:p>
    <w:p w14:paraId="6C9A00FE" w14:textId="77777777" w:rsidR="001B38A1" w:rsidRDefault="001B38A1" w:rsidP="001B38A1">
      <w:pPr>
        <w:jc w:val="both"/>
      </w:pPr>
      <w:r>
        <w:t>Tyto margins zajišťují to, že při pohybech na trhu nemá žádná ze stran obchodu motiv obchod zrušit (např. prodávající v případě vzestupu cen), a současně to, že v případě bankrotu protistrany má druhá – nebankrotující – strana obchodu možnost bez finanční ztráty najít novou protistranu za aktuální tržní cenu. Jedná se tedy o systém, který snímá z účastníků trhu riziko selhání protistrany.  Oba tyto marginy jsou po splnění dodávky účastníkovi trhu vráceny.</w:t>
      </w:r>
    </w:p>
    <w:p w14:paraId="6B24F3A0" w14:textId="77777777" w:rsidR="001B38A1" w:rsidRDefault="001B38A1" w:rsidP="001B38A1">
      <w:pPr>
        <w:jc w:val="both"/>
      </w:pPr>
      <w:r>
        <w:lastRenderedPageBreak/>
        <w:t xml:space="preserve">Požadavky na variation margin (tzv variation margin calls) se i při setrvání cen na vysokých úrovních efektivně eliminují tím, jak je postupně podkladová komodita (tj. elektřina) vyrobena a dodána protistraně. Pochopitelně, v případě poklesu tržních cen, dojde i k poklesu margin calls. </w:t>
      </w:r>
    </w:p>
    <w:p w14:paraId="03A33BF0" w14:textId="77777777" w:rsidR="001B38A1" w:rsidRDefault="001B38A1" w:rsidP="001B38A1">
      <w:pPr>
        <w:jc w:val="both"/>
      </w:pPr>
      <w:r>
        <w:t xml:space="preserve">Obdoba variation margins se uplatňuje i při bilaterálním obchodování ve formě tzv. trade collaterals v rámci tzv. Credit Support Agreement/Annex („CSA“). </w:t>
      </w:r>
    </w:p>
    <w:p w14:paraId="283F0E93" w14:textId="77777777" w:rsidR="001B38A1" w:rsidRDefault="001B38A1" w:rsidP="001B38A1">
      <w:pPr>
        <w:jc w:val="both"/>
      </w:pPr>
      <w:r>
        <w:t xml:space="preserve">Za normálních okolností se jedná o efektivní způsob ošetření kreditního rizika. </w:t>
      </w:r>
    </w:p>
    <w:p w14:paraId="161EF393" w14:textId="77777777" w:rsidR="001B38A1" w:rsidRDefault="001B38A1" w:rsidP="001B38A1">
      <w:pPr>
        <w:jc w:val="both"/>
      </w:pPr>
      <w:r>
        <w:t xml:space="preserve">V současné situaci extrémně rostoucích cen elektřiny ale dochází k komu, že potřeba platit tyto margins je neúnosná zejména pro výrobce, kteří mají prodané velké množství své budoucí produkce, platí díky tomu extrémně vysoké margin calls, přičemž – paradoxně – právě jejich schopnost dodat nasmlouvané množství elektřiny ze svých elektráren současným vývojem na komoditních trzích není dotčena a riziko jejich bankrotu – pokud odhlédneme od tlaku na likviditu v souvislosti s margin calls – je naopak minimální. </w:t>
      </w:r>
    </w:p>
    <w:p w14:paraId="3C72FD88" w14:textId="77777777" w:rsidR="001B38A1" w:rsidRPr="00107FDB" w:rsidRDefault="001B38A1" w:rsidP="001B38A1">
      <w:pPr>
        <w:jc w:val="both"/>
      </w:pPr>
    </w:p>
    <w:p w14:paraId="22752DEA" w14:textId="77777777" w:rsidR="001B38A1" w:rsidRPr="0051798F" w:rsidRDefault="001B38A1" w:rsidP="001B38A1">
      <w:pPr>
        <w:pStyle w:val="Odstavecseseznamem"/>
        <w:numPr>
          <w:ilvl w:val="0"/>
          <w:numId w:val="3"/>
        </w:numPr>
        <w:jc w:val="both"/>
        <w:rPr>
          <w:u w:val="single"/>
        </w:rPr>
      </w:pPr>
      <w:r w:rsidRPr="0051798F">
        <w:rPr>
          <w:b/>
          <w:bCs/>
          <w:u w:val="single"/>
        </w:rPr>
        <w:t>Odhad objemů margins, které výrobci elektřiny v ČR v současnosti financují</w:t>
      </w:r>
    </w:p>
    <w:p w14:paraId="046F25E1" w14:textId="77777777" w:rsidR="001B38A1" w:rsidRDefault="001B38A1" w:rsidP="001B38A1">
      <w:pPr>
        <w:jc w:val="both"/>
      </w:pPr>
      <w:r>
        <w:t xml:space="preserve">Předpokládáme, že výrobci elektřiny v ČR již v současnosti v různých formách margins drží odhadem minimálně 3 mld. EUR, což představuje ohromnou zátěž na jejich finanční stabilitu. Tato hodnota však může rychle (v řádu dnů) narůst o dalších 5-10 mld. EUR.  Z části bude tento nárůst pokrytý finanční rezervami a komerčními úvěry, které mají výrobci připravené, nicméně v případě nárůst na horními limitu intervalu, již není situace zvládnutelná bez zásahu státu ani pro tak silné firmy jako je například ČEZ. Máme za to, že při zohlednění finančních rezerv a komerčních úvěrů, které mají výrobci již připravené, by nejhorší scénář popisovaný níže vyžadoval dodatečné financování v objemu 3-5 mld. EUR. </w:t>
      </w:r>
    </w:p>
    <w:p w14:paraId="370CE13C" w14:textId="77777777" w:rsidR="001B38A1" w:rsidRDefault="001B38A1" w:rsidP="001B38A1">
      <w:pPr>
        <w:jc w:val="both"/>
      </w:pPr>
      <w:r>
        <w:t xml:space="preserve">Následující tabulka ukazuje na modelových scénářích, o kolik by se potřeba dodatečné peněžní likvidity zvýšila v případě negativního tržního vývoje.  </w:t>
      </w:r>
    </w:p>
    <w:p w14:paraId="042992FE" w14:textId="77777777" w:rsidR="001B38A1" w:rsidRDefault="001B38A1" w:rsidP="001B38A1">
      <w:r>
        <w:br w:type="page"/>
      </w:r>
    </w:p>
    <w:p w14:paraId="49F8C5BB" w14:textId="77777777" w:rsidR="001B38A1" w:rsidRPr="00B61C2B" w:rsidRDefault="001B38A1" w:rsidP="001B38A1">
      <w:pPr>
        <w:jc w:val="both"/>
        <w:rPr>
          <w:sz w:val="16"/>
          <w:szCs w:val="16"/>
        </w:rPr>
      </w:pPr>
    </w:p>
    <w:tbl>
      <w:tblPr>
        <w:tblStyle w:val="Mkatabulky"/>
        <w:tblW w:w="9644" w:type="dxa"/>
        <w:tblLook w:val="04A0" w:firstRow="1" w:lastRow="0" w:firstColumn="1" w:lastColumn="0" w:noHBand="0" w:noVBand="1"/>
      </w:tblPr>
      <w:tblGrid>
        <w:gridCol w:w="1309"/>
        <w:gridCol w:w="1502"/>
        <w:gridCol w:w="1295"/>
        <w:gridCol w:w="1295"/>
        <w:gridCol w:w="1351"/>
        <w:gridCol w:w="1325"/>
        <w:gridCol w:w="1567"/>
      </w:tblGrid>
      <w:tr w:rsidR="001B38A1" w:rsidRPr="00B61C2B" w14:paraId="685087D8" w14:textId="77777777" w:rsidTr="00960FD5">
        <w:trPr>
          <w:trHeight w:val="1368"/>
        </w:trPr>
        <w:tc>
          <w:tcPr>
            <w:tcW w:w="1309" w:type="dxa"/>
            <w:tcBorders>
              <w:top w:val="single" w:sz="4" w:space="0" w:color="auto"/>
              <w:left w:val="single" w:sz="4" w:space="0" w:color="auto"/>
              <w:bottom w:val="double" w:sz="4" w:space="0" w:color="auto"/>
              <w:right w:val="single" w:sz="4" w:space="0" w:color="auto"/>
            </w:tcBorders>
          </w:tcPr>
          <w:p w14:paraId="67C67E42" w14:textId="77777777" w:rsidR="001B38A1" w:rsidRPr="000719E5" w:rsidRDefault="001B38A1" w:rsidP="00960FD5">
            <w:pPr>
              <w:spacing w:line="360" w:lineRule="auto"/>
              <w:rPr>
                <w:b/>
                <w:bCs/>
                <w:sz w:val="18"/>
                <w:szCs w:val="18"/>
              </w:rPr>
            </w:pPr>
          </w:p>
          <w:p w14:paraId="44E69653" w14:textId="77777777" w:rsidR="001B38A1" w:rsidRPr="000719E5" w:rsidRDefault="001B38A1" w:rsidP="00960FD5">
            <w:pPr>
              <w:spacing w:line="360" w:lineRule="auto"/>
              <w:rPr>
                <w:b/>
                <w:bCs/>
                <w:sz w:val="18"/>
                <w:szCs w:val="18"/>
              </w:rPr>
            </w:pPr>
            <w:r w:rsidRPr="000719E5">
              <w:rPr>
                <w:b/>
                <w:bCs/>
                <w:sz w:val="18"/>
                <w:szCs w:val="18"/>
              </w:rPr>
              <w:t>Scénář</w:t>
            </w:r>
          </w:p>
        </w:tc>
        <w:tc>
          <w:tcPr>
            <w:tcW w:w="6768" w:type="dxa"/>
            <w:gridSpan w:val="5"/>
            <w:tcBorders>
              <w:top w:val="single" w:sz="4" w:space="0" w:color="auto"/>
              <w:left w:val="single" w:sz="4" w:space="0" w:color="auto"/>
              <w:bottom w:val="double" w:sz="4" w:space="0" w:color="auto"/>
              <w:right w:val="single" w:sz="4" w:space="0" w:color="auto"/>
            </w:tcBorders>
          </w:tcPr>
          <w:p w14:paraId="5D21BAA7" w14:textId="77777777" w:rsidR="001B38A1" w:rsidRPr="000719E5" w:rsidRDefault="001B38A1" w:rsidP="00960FD5">
            <w:pPr>
              <w:spacing w:line="360" w:lineRule="auto"/>
              <w:rPr>
                <w:b/>
                <w:bCs/>
                <w:sz w:val="18"/>
                <w:szCs w:val="18"/>
              </w:rPr>
            </w:pPr>
          </w:p>
          <w:p w14:paraId="720283F6" w14:textId="77777777" w:rsidR="001B38A1" w:rsidRPr="000719E5" w:rsidRDefault="001B38A1" w:rsidP="00960FD5">
            <w:pPr>
              <w:spacing w:line="360" w:lineRule="auto"/>
              <w:rPr>
                <w:b/>
                <w:bCs/>
                <w:sz w:val="18"/>
                <w:szCs w:val="18"/>
              </w:rPr>
            </w:pPr>
            <w:r w:rsidRPr="000719E5">
              <w:rPr>
                <w:b/>
                <w:bCs/>
                <w:sz w:val="18"/>
                <w:szCs w:val="18"/>
              </w:rPr>
              <w:t xml:space="preserve">Ceny jednotlivých komodit v daném scénáři </w:t>
            </w:r>
          </w:p>
        </w:tc>
        <w:tc>
          <w:tcPr>
            <w:tcW w:w="1567" w:type="dxa"/>
            <w:tcBorders>
              <w:top w:val="single" w:sz="4" w:space="0" w:color="auto"/>
              <w:left w:val="single" w:sz="4" w:space="0" w:color="auto"/>
              <w:bottom w:val="double" w:sz="4" w:space="0" w:color="auto"/>
              <w:right w:val="single" w:sz="4" w:space="0" w:color="auto"/>
            </w:tcBorders>
            <w:hideMark/>
          </w:tcPr>
          <w:p w14:paraId="658D78C3" w14:textId="77777777" w:rsidR="001B38A1" w:rsidRPr="000719E5" w:rsidRDefault="001B38A1" w:rsidP="00960FD5">
            <w:pPr>
              <w:spacing w:line="204" w:lineRule="auto"/>
              <w:rPr>
                <w:b/>
                <w:bCs/>
                <w:sz w:val="18"/>
                <w:szCs w:val="18"/>
              </w:rPr>
            </w:pPr>
            <w:r w:rsidRPr="000719E5">
              <w:rPr>
                <w:b/>
                <w:bCs/>
                <w:sz w:val="18"/>
                <w:szCs w:val="18"/>
              </w:rPr>
              <w:t>Požadavek</w:t>
            </w:r>
          </w:p>
          <w:p w14:paraId="7F5ECF8A" w14:textId="77777777" w:rsidR="001B38A1" w:rsidRPr="000719E5" w:rsidRDefault="001B38A1" w:rsidP="00960FD5">
            <w:pPr>
              <w:spacing w:line="204" w:lineRule="auto"/>
              <w:rPr>
                <w:sz w:val="18"/>
                <w:szCs w:val="18"/>
                <w:vertAlign w:val="superscript"/>
              </w:rPr>
            </w:pPr>
            <w:r w:rsidRPr="000719E5">
              <w:rPr>
                <w:b/>
                <w:bCs/>
                <w:sz w:val="18"/>
                <w:szCs w:val="18"/>
              </w:rPr>
              <w:t>na financování margins výrobců</w:t>
            </w:r>
            <w:r w:rsidRPr="000719E5">
              <w:rPr>
                <w:sz w:val="18"/>
                <w:szCs w:val="18"/>
                <w:vertAlign w:val="superscript"/>
              </w:rPr>
              <w:t>**</w:t>
            </w:r>
          </w:p>
          <w:p w14:paraId="734CE740" w14:textId="77777777" w:rsidR="001B38A1" w:rsidRPr="000719E5" w:rsidRDefault="001B38A1" w:rsidP="00960FD5">
            <w:pPr>
              <w:spacing w:line="204" w:lineRule="auto"/>
              <w:rPr>
                <w:b/>
                <w:bCs/>
                <w:sz w:val="18"/>
                <w:szCs w:val="18"/>
              </w:rPr>
            </w:pPr>
            <w:r w:rsidRPr="000719E5">
              <w:rPr>
                <w:sz w:val="18"/>
                <w:szCs w:val="18"/>
              </w:rPr>
              <w:t>mld EUR</w:t>
            </w:r>
          </w:p>
        </w:tc>
      </w:tr>
      <w:tr w:rsidR="001B38A1" w:rsidRPr="00B61C2B" w14:paraId="5E1EB480" w14:textId="77777777" w:rsidTr="00960FD5">
        <w:trPr>
          <w:trHeight w:val="1347"/>
        </w:trPr>
        <w:tc>
          <w:tcPr>
            <w:tcW w:w="1309" w:type="dxa"/>
            <w:tcBorders>
              <w:top w:val="double" w:sz="4" w:space="0" w:color="auto"/>
              <w:left w:val="single" w:sz="4" w:space="0" w:color="auto"/>
              <w:bottom w:val="double" w:sz="4" w:space="0" w:color="auto"/>
              <w:right w:val="single" w:sz="4" w:space="0" w:color="auto"/>
            </w:tcBorders>
          </w:tcPr>
          <w:p w14:paraId="74786493" w14:textId="77777777" w:rsidR="001B38A1" w:rsidRPr="000719E5" w:rsidRDefault="001B38A1" w:rsidP="00960FD5">
            <w:pPr>
              <w:rPr>
                <w:sz w:val="18"/>
                <w:szCs w:val="18"/>
              </w:rPr>
            </w:pPr>
          </w:p>
        </w:tc>
        <w:tc>
          <w:tcPr>
            <w:tcW w:w="1502" w:type="dxa"/>
            <w:tcBorders>
              <w:top w:val="double" w:sz="4" w:space="0" w:color="auto"/>
              <w:left w:val="single" w:sz="4" w:space="0" w:color="auto"/>
              <w:bottom w:val="double" w:sz="4" w:space="0" w:color="auto"/>
              <w:right w:val="single" w:sz="4" w:space="0" w:color="auto"/>
            </w:tcBorders>
            <w:hideMark/>
          </w:tcPr>
          <w:p w14:paraId="49B745F3" w14:textId="77777777" w:rsidR="001B38A1" w:rsidRPr="000719E5" w:rsidRDefault="001B38A1" w:rsidP="00960FD5">
            <w:pPr>
              <w:rPr>
                <w:sz w:val="18"/>
                <w:szCs w:val="18"/>
                <w:vertAlign w:val="superscript"/>
              </w:rPr>
            </w:pPr>
            <w:r w:rsidRPr="000719E5">
              <w:rPr>
                <w:b/>
                <w:bCs/>
                <w:sz w:val="18"/>
                <w:szCs w:val="18"/>
              </w:rPr>
              <w:t>Cena elektřiny</w:t>
            </w:r>
            <w:r w:rsidRPr="000719E5">
              <w:rPr>
                <w:sz w:val="18"/>
                <w:szCs w:val="18"/>
              </w:rPr>
              <w:t xml:space="preserve"> s dodáním ve zbytku </w:t>
            </w:r>
            <w:r w:rsidRPr="000719E5">
              <w:rPr>
                <w:b/>
                <w:bCs/>
                <w:sz w:val="18"/>
                <w:szCs w:val="18"/>
              </w:rPr>
              <w:t>2022</w:t>
            </w:r>
            <w:r w:rsidRPr="000719E5">
              <w:rPr>
                <w:b/>
                <w:bCs/>
                <w:sz w:val="18"/>
                <w:szCs w:val="18"/>
                <w:vertAlign w:val="superscript"/>
              </w:rPr>
              <w:t>*</w:t>
            </w:r>
            <w:r w:rsidRPr="000719E5">
              <w:rPr>
                <w:sz w:val="18"/>
                <w:szCs w:val="18"/>
                <w:vertAlign w:val="superscript"/>
              </w:rPr>
              <w:t xml:space="preserve"> </w:t>
            </w:r>
          </w:p>
          <w:p w14:paraId="17036082" w14:textId="77777777" w:rsidR="001B38A1" w:rsidRPr="000719E5" w:rsidRDefault="001B38A1" w:rsidP="00960FD5">
            <w:pPr>
              <w:rPr>
                <w:sz w:val="18"/>
                <w:szCs w:val="18"/>
              </w:rPr>
            </w:pPr>
            <w:r w:rsidRPr="000719E5">
              <w:rPr>
                <w:sz w:val="18"/>
                <w:szCs w:val="18"/>
              </w:rPr>
              <w:t>Eur/Mwh</w:t>
            </w:r>
          </w:p>
        </w:tc>
        <w:tc>
          <w:tcPr>
            <w:tcW w:w="1295" w:type="dxa"/>
            <w:tcBorders>
              <w:top w:val="double" w:sz="4" w:space="0" w:color="auto"/>
              <w:left w:val="single" w:sz="4" w:space="0" w:color="auto"/>
              <w:bottom w:val="double" w:sz="4" w:space="0" w:color="auto"/>
              <w:right w:val="single" w:sz="4" w:space="0" w:color="auto"/>
            </w:tcBorders>
            <w:hideMark/>
          </w:tcPr>
          <w:p w14:paraId="779A1DE9" w14:textId="77777777" w:rsidR="001B38A1" w:rsidRPr="000719E5" w:rsidRDefault="001B38A1" w:rsidP="00960FD5">
            <w:pPr>
              <w:rPr>
                <w:sz w:val="18"/>
                <w:szCs w:val="18"/>
              </w:rPr>
            </w:pPr>
            <w:r w:rsidRPr="000719E5">
              <w:rPr>
                <w:b/>
                <w:bCs/>
                <w:sz w:val="18"/>
                <w:szCs w:val="18"/>
              </w:rPr>
              <w:t>Cena elektřiny</w:t>
            </w:r>
            <w:r w:rsidRPr="000719E5">
              <w:rPr>
                <w:sz w:val="18"/>
                <w:szCs w:val="18"/>
              </w:rPr>
              <w:t xml:space="preserve"> s dodáním ve </w:t>
            </w:r>
            <w:r w:rsidRPr="000719E5">
              <w:rPr>
                <w:b/>
                <w:bCs/>
                <w:sz w:val="18"/>
                <w:szCs w:val="18"/>
              </w:rPr>
              <w:t>2023</w:t>
            </w:r>
            <w:r w:rsidRPr="000719E5">
              <w:rPr>
                <w:b/>
                <w:bCs/>
                <w:sz w:val="18"/>
                <w:szCs w:val="18"/>
                <w:vertAlign w:val="superscript"/>
              </w:rPr>
              <w:t>*</w:t>
            </w:r>
          </w:p>
          <w:p w14:paraId="6E7A66CF" w14:textId="77777777" w:rsidR="001B38A1" w:rsidRPr="000719E5" w:rsidRDefault="001B38A1" w:rsidP="00960FD5">
            <w:pPr>
              <w:rPr>
                <w:sz w:val="18"/>
                <w:szCs w:val="18"/>
              </w:rPr>
            </w:pPr>
            <w:r w:rsidRPr="000719E5">
              <w:rPr>
                <w:sz w:val="18"/>
                <w:szCs w:val="18"/>
              </w:rPr>
              <w:t>Eur/Mwh</w:t>
            </w:r>
          </w:p>
        </w:tc>
        <w:tc>
          <w:tcPr>
            <w:tcW w:w="1295" w:type="dxa"/>
            <w:tcBorders>
              <w:top w:val="double" w:sz="4" w:space="0" w:color="auto"/>
              <w:left w:val="single" w:sz="4" w:space="0" w:color="auto"/>
              <w:bottom w:val="double" w:sz="4" w:space="0" w:color="auto"/>
              <w:right w:val="single" w:sz="4" w:space="0" w:color="auto"/>
            </w:tcBorders>
            <w:hideMark/>
          </w:tcPr>
          <w:p w14:paraId="68C6F414" w14:textId="77777777" w:rsidR="001B38A1" w:rsidRPr="000719E5" w:rsidRDefault="001B38A1" w:rsidP="00960FD5">
            <w:pPr>
              <w:rPr>
                <w:sz w:val="18"/>
                <w:szCs w:val="18"/>
              </w:rPr>
            </w:pPr>
            <w:r w:rsidRPr="000719E5">
              <w:rPr>
                <w:b/>
                <w:bCs/>
                <w:sz w:val="18"/>
                <w:szCs w:val="18"/>
              </w:rPr>
              <w:t>Cena plynu</w:t>
            </w:r>
            <w:r w:rsidRPr="000719E5">
              <w:rPr>
                <w:sz w:val="18"/>
                <w:szCs w:val="18"/>
              </w:rPr>
              <w:t xml:space="preserve"> s dodáním ve zbytku </w:t>
            </w:r>
            <w:r w:rsidRPr="000719E5">
              <w:rPr>
                <w:b/>
                <w:bCs/>
                <w:sz w:val="18"/>
                <w:szCs w:val="18"/>
              </w:rPr>
              <w:t>2022</w:t>
            </w:r>
            <w:r w:rsidRPr="000719E5">
              <w:rPr>
                <w:b/>
                <w:bCs/>
                <w:sz w:val="18"/>
                <w:szCs w:val="18"/>
                <w:vertAlign w:val="superscript"/>
              </w:rPr>
              <w:t>*</w:t>
            </w:r>
          </w:p>
          <w:p w14:paraId="338E9E39" w14:textId="77777777" w:rsidR="001B38A1" w:rsidRPr="000719E5" w:rsidRDefault="001B38A1" w:rsidP="00960FD5">
            <w:pPr>
              <w:rPr>
                <w:sz w:val="18"/>
                <w:szCs w:val="18"/>
              </w:rPr>
            </w:pPr>
            <w:r w:rsidRPr="000719E5">
              <w:rPr>
                <w:sz w:val="18"/>
                <w:szCs w:val="18"/>
              </w:rPr>
              <w:t>Eur/Mwh</w:t>
            </w:r>
          </w:p>
        </w:tc>
        <w:tc>
          <w:tcPr>
            <w:tcW w:w="1351" w:type="dxa"/>
            <w:tcBorders>
              <w:top w:val="double" w:sz="4" w:space="0" w:color="auto"/>
              <w:left w:val="single" w:sz="4" w:space="0" w:color="auto"/>
              <w:bottom w:val="double" w:sz="4" w:space="0" w:color="auto"/>
              <w:right w:val="single" w:sz="4" w:space="0" w:color="auto"/>
            </w:tcBorders>
            <w:hideMark/>
          </w:tcPr>
          <w:p w14:paraId="0158CD53" w14:textId="77777777" w:rsidR="001B38A1" w:rsidRPr="000719E5" w:rsidRDefault="001B38A1" w:rsidP="00960FD5">
            <w:pPr>
              <w:rPr>
                <w:sz w:val="18"/>
                <w:szCs w:val="18"/>
              </w:rPr>
            </w:pPr>
            <w:r w:rsidRPr="000719E5">
              <w:rPr>
                <w:b/>
                <w:bCs/>
                <w:sz w:val="18"/>
                <w:szCs w:val="18"/>
              </w:rPr>
              <w:t>Cena plynu</w:t>
            </w:r>
            <w:r w:rsidRPr="000719E5">
              <w:rPr>
                <w:sz w:val="18"/>
                <w:szCs w:val="18"/>
              </w:rPr>
              <w:t xml:space="preserve"> s dodáním ve </w:t>
            </w:r>
            <w:r w:rsidRPr="000719E5">
              <w:rPr>
                <w:b/>
                <w:bCs/>
                <w:sz w:val="18"/>
                <w:szCs w:val="18"/>
              </w:rPr>
              <w:t>2023</w:t>
            </w:r>
            <w:r w:rsidRPr="000719E5">
              <w:rPr>
                <w:b/>
                <w:bCs/>
                <w:sz w:val="18"/>
                <w:szCs w:val="18"/>
                <w:vertAlign w:val="superscript"/>
              </w:rPr>
              <w:t>*</w:t>
            </w:r>
          </w:p>
          <w:p w14:paraId="46C989BF" w14:textId="77777777" w:rsidR="001B38A1" w:rsidRPr="000719E5" w:rsidRDefault="001B38A1" w:rsidP="00960FD5">
            <w:pPr>
              <w:rPr>
                <w:sz w:val="18"/>
                <w:szCs w:val="18"/>
              </w:rPr>
            </w:pPr>
            <w:r w:rsidRPr="000719E5">
              <w:rPr>
                <w:sz w:val="18"/>
                <w:szCs w:val="18"/>
              </w:rPr>
              <w:t>Eur/Mwh</w:t>
            </w:r>
          </w:p>
        </w:tc>
        <w:tc>
          <w:tcPr>
            <w:tcW w:w="1322" w:type="dxa"/>
            <w:tcBorders>
              <w:top w:val="double" w:sz="4" w:space="0" w:color="auto"/>
              <w:left w:val="single" w:sz="4" w:space="0" w:color="auto"/>
              <w:bottom w:val="double" w:sz="4" w:space="0" w:color="auto"/>
              <w:right w:val="single" w:sz="4" w:space="0" w:color="auto"/>
            </w:tcBorders>
          </w:tcPr>
          <w:p w14:paraId="3CB63EC0" w14:textId="77777777" w:rsidR="001B38A1" w:rsidRPr="000719E5" w:rsidRDefault="001B38A1" w:rsidP="00960FD5">
            <w:pPr>
              <w:rPr>
                <w:b/>
                <w:bCs/>
                <w:sz w:val="18"/>
                <w:szCs w:val="18"/>
              </w:rPr>
            </w:pPr>
            <w:r w:rsidRPr="000719E5">
              <w:rPr>
                <w:b/>
                <w:bCs/>
                <w:sz w:val="18"/>
                <w:szCs w:val="18"/>
              </w:rPr>
              <w:t>Povolenka</w:t>
            </w:r>
          </w:p>
          <w:p w14:paraId="3692334D" w14:textId="77777777" w:rsidR="001B38A1" w:rsidRPr="000719E5" w:rsidRDefault="001B38A1" w:rsidP="00960FD5">
            <w:pPr>
              <w:rPr>
                <w:sz w:val="18"/>
                <w:szCs w:val="18"/>
              </w:rPr>
            </w:pPr>
          </w:p>
          <w:p w14:paraId="21C6EBDD" w14:textId="77777777" w:rsidR="001B38A1" w:rsidRPr="000719E5" w:rsidRDefault="001B38A1" w:rsidP="00960FD5">
            <w:pPr>
              <w:rPr>
                <w:sz w:val="18"/>
                <w:szCs w:val="18"/>
              </w:rPr>
            </w:pPr>
          </w:p>
          <w:p w14:paraId="67533D6C" w14:textId="77777777" w:rsidR="001B38A1" w:rsidRPr="000719E5" w:rsidRDefault="001B38A1" w:rsidP="00960FD5">
            <w:pPr>
              <w:rPr>
                <w:sz w:val="18"/>
                <w:szCs w:val="18"/>
              </w:rPr>
            </w:pPr>
            <w:r w:rsidRPr="000719E5">
              <w:rPr>
                <w:sz w:val="18"/>
                <w:szCs w:val="18"/>
              </w:rPr>
              <w:t>Eur/tuna</w:t>
            </w:r>
          </w:p>
        </w:tc>
        <w:tc>
          <w:tcPr>
            <w:tcW w:w="1567" w:type="dxa"/>
            <w:tcBorders>
              <w:top w:val="double" w:sz="4" w:space="0" w:color="auto"/>
              <w:left w:val="single" w:sz="4" w:space="0" w:color="auto"/>
              <w:bottom w:val="double" w:sz="4" w:space="0" w:color="auto"/>
              <w:right w:val="single" w:sz="4" w:space="0" w:color="auto"/>
            </w:tcBorders>
          </w:tcPr>
          <w:p w14:paraId="7F6844A7" w14:textId="77777777" w:rsidR="001B38A1" w:rsidRPr="000719E5" w:rsidRDefault="001B38A1" w:rsidP="00960FD5">
            <w:pPr>
              <w:rPr>
                <w:sz w:val="18"/>
                <w:szCs w:val="18"/>
              </w:rPr>
            </w:pPr>
          </w:p>
        </w:tc>
      </w:tr>
      <w:tr w:rsidR="001B38A1" w:rsidRPr="00B61C2B" w14:paraId="00A7E2C1" w14:textId="77777777" w:rsidTr="00960FD5">
        <w:trPr>
          <w:trHeight w:val="539"/>
        </w:trPr>
        <w:tc>
          <w:tcPr>
            <w:tcW w:w="1309" w:type="dxa"/>
            <w:tcBorders>
              <w:top w:val="double" w:sz="4" w:space="0" w:color="auto"/>
              <w:left w:val="single" w:sz="4" w:space="0" w:color="auto"/>
              <w:bottom w:val="single" w:sz="4" w:space="0" w:color="auto"/>
              <w:right w:val="single" w:sz="4" w:space="0" w:color="auto"/>
            </w:tcBorders>
            <w:hideMark/>
          </w:tcPr>
          <w:p w14:paraId="5AFF79D3" w14:textId="77777777" w:rsidR="001B38A1" w:rsidRPr="000719E5" w:rsidRDefault="001B38A1" w:rsidP="00960FD5">
            <w:pPr>
              <w:rPr>
                <w:sz w:val="18"/>
                <w:szCs w:val="18"/>
              </w:rPr>
            </w:pPr>
            <w:r w:rsidRPr="000719E5">
              <w:rPr>
                <w:sz w:val="18"/>
                <w:szCs w:val="18"/>
              </w:rPr>
              <w:t xml:space="preserve">Souč. trh </w:t>
            </w:r>
          </w:p>
        </w:tc>
        <w:tc>
          <w:tcPr>
            <w:tcW w:w="1502" w:type="dxa"/>
            <w:tcBorders>
              <w:top w:val="double" w:sz="4" w:space="0" w:color="auto"/>
              <w:left w:val="single" w:sz="4" w:space="0" w:color="auto"/>
              <w:bottom w:val="single" w:sz="4" w:space="0" w:color="auto"/>
              <w:right w:val="single" w:sz="4" w:space="0" w:color="auto"/>
            </w:tcBorders>
            <w:hideMark/>
          </w:tcPr>
          <w:p w14:paraId="15F18000" w14:textId="77777777" w:rsidR="001B38A1" w:rsidRPr="000719E5" w:rsidRDefault="001B38A1" w:rsidP="00960FD5">
            <w:pPr>
              <w:rPr>
                <w:sz w:val="18"/>
                <w:szCs w:val="18"/>
              </w:rPr>
            </w:pPr>
            <w:r w:rsidRPr="000719E5">
              <w:rPr>
                <w:sz w:val="18"/>
                <w:szCs w:val="18"/>
              </w:rPr>
              <w:t>235</w:t>
            </w:r>
          </w:p>
        </w:tc>
        <w:tc>
          <w:tcPr>
            <w:tcW w:w="1295" w:type="dxa"/>
            <w:tcBorders>
              <w:top w:val="double" w:sz="4" w:space="0" w:color="auto"/>
              <w:left w:val="single" w:sz="4" w:space="0" w:color="auto"/>
              <w:bottom w:val="single" w:sz="4" w:space="0" w:color="auto"/>
              <w:right w:val="single" w:sz="4" w:space="0" w:color="auto"/>
            </w:tcBorders>
            <w:hideMark/>
          </w:tcPr>
          <w:p w14:paraId="6CC84C80" w14:textId="77777777" w:rsidR="001B38A1" w:rsidRPr="000719E5" w:rsidRDefault="001B38A1" w:rsidP="00960FD5">
            <w:pPr>
              <w:rPr>
                <w:sz w:val="18"/>
                <w:szCs w:val="18"/>
              </w:rPr>
            </w:pPr>
            <w:r w:rsidRPr="000719E5">
              <w:rPr>
                <w:sz w:val="18"/>
                <w:szCs w:val="18"/>
              </w:rPr>
              <w:t>245</w:t>
            </w:r>
          </w:p>
        </w:tc>
        <w:tc>
          <w:tcPr>
            <w:tcW w:w="1295" w:type="dxa"/>
            <w:tcBorders>
              <w:top w:val="double" w:sz="4" w:space="0" w:color="auto"/>
              <w:left w:val="single" w:sz="4" w:space="0" w:color="auto"/>
              <w:bottom w:val="single" w:sz="4" w:space="0" w:color="auto"/>
              <w:right w:val="single" w:sz="4" w:space="0" w:color="auto"/>
            </w:tcBorders>
            <w:hideMark/>
          </w:tcPr>
          <w:p w14:paraId="5B2BB5CC" w14:textId="77777777" w:rsidR="001B38A1" w:rsidRPr="000719E5" w:rsidRDefault="001B38A1" w:rsidP="00960FD5">
            <w:pPr>
              <w:rPr>
                <w:sz w:val="18"/>
                <w:szCs w:val="18"/>
              </w:rPr>
            </w:pPr>
            <w:r w:rsidRPr="000719E5">
              <w:rPr>
                <w:sz w:val="18"/>
                <w:szCs w:val="18"/>
              </w:rPr>
              <w:t>90</w:t>
            </w:r>
          </w:p>
        </w:tc>
        <w:tc>
          <w:tcPr>
            <w:tcW w:w="1351" w:type="dxa"/>
            <w:tcBorders>
              <w:top w:val="double" w:sz="4" w:space="0" w:color="auto"/>
              <w:left w:val="single" w:sz="4" w:space="0" w:color="auto"/>
              <w:bottom w:val="single" w:sz="4" w:space="0" w:color="auto"/>
              <w:right w:val="single" w:sz="4" w:space="0" w:color="auto"/>
            </w:tcBorders>
            <w:hideMark/>
          </w:tcPr>
          <w:p w14:paraId="36EA3125" w14:textId="77777777" w:rsidR="001B38A1" w:rsidRPr="000719E5" w:rsidRDefault="001B38A1" w:rsidP="00960FD5">
            <w:pPr>
              <w:rPr>
                <w:sz w:val="18"/>
                <w:szCs w:val="18"/>
              </w:rPr>
            </w:pPr>
            <w:r w:rsidRPr="000719E5">
              <w:rPr>
                <w:sz w:val="18"/>
                <w:szCs w:val="18"/>
              </w:rPr>
              <w:t>80</w:t>
            </w:r>
          </w:p>
        </w:tc>
        <w:tc>
          <w:tcPr>
            <w:tcW w:w="1322" w:type="dxa"/>
            <w:tcBorders>
              <w:top w:val="double" w:sz="4" w:space="0" w:color="auto"/>
              <w:left w:val="single" w:sz="4" w:space="0" w:color="auto"/>
              <w:bottom w:val="single" w:sz="4" w:space="0" w:color="auto"/>
              <w:right w:val="single" w:sz="4" w:space="0" w:color="auto"/>
            </w:tcBorders>
            <w:hideMark/>
          </w:tcPr>
          <w:p w14:paraId="516C30B5" w14:textId="77777777" w:rsidR="001B38A1" w:rsidRPr="000719E5" w:rsidRDefault="001B38A1" w:rsidP="00960FD5">
            <w:pPr>
              <w:rPr>
                <w:sz w:val="18"/>
                <w:szCs w:val="18"/>
              </w:rPr>
            </w:pPr>
            <w:r w:rsidRPr="000719E5">
              <w:rPr>
                <w:sz w:val="18"/>
                <w:szCs w:val="18"/>
              </w:rPr>
              <w:t>84</w:t>
            </w:r>
          </w:p>
        </w:tc>
        <w:tc>
          <w:tcPr>
            <w:tcW w:w="1567" w:type="dxa"/>
            <w:tcBorders>
              <w:top w:val="double" w:sz="4" w:space="0" w:color="auto"/>
              <w:left w:val="single" w:sz="4" w:space="0" w:color="auto"/>
              <w:bottom w:val="single" w:sz="4" w:space="0" w:color="auto"/>
              <w:right w:val="single" w:sz="4" w:space="0" w:color="auto"/>
            </w:tcBorders>
            <w:hideMark/>
          </w:tcPr>
          <w:p w14:paraId="3E95688B" w14:textId="77777777" w:rsidR="001B38A1" w:rsidRPr="000719E5" w:rsidRDefault="001B38A1" w:rsidP="00960FD5">
            <w:pPr>
              <w:rPr>
                <w:sz w:val="18"/>
                <w:szCs w:val="18"/>
              </w:rPr>
            </w:pPr>
            <w:r w:rsidRPr="000719E5">
              <w:rPr>
                <w:sz w:val="18"/>
                <w:szCs w:val="18"/>
              </w:rPr>
              <w:t>2,9 - 5,8</w:t>
            </w:r>
          </w:p>
          <w:p w14:paraId="04D87FB5" w14:textId="77777777" w:rsidR="001B38A1" w:rsidRPr="000719E5" w:rsidRDefault="001B38A1" w:rsidP="00960FD5">
            <w:pPr>
              <w:rPr>
                <w:sz w:val="18"/>
                <w:szCs w:val="18"/>
              </w:rPr>
            </w:pPr>
          </w:p>
        </w:tc>
      </w:tr>
      <w:tr w:rsidR="001B38A1" w:rsidRPr="00B61C2B" w14:paraId="43FC6AAC" w14:textId="77777777" w:rsidTr="00960FD5">
        <w:trPr>
          <w:trHeight w:val="269"/>
        </w:trPr>
        <w:tc>
          <w:tcPr>
            <w:tcW w:w="1309" w:type="dxa"/>
            <w:tcBorders>
              <w:top w:val="single" w:sz="4" w:space="0" w:color="auto"/>
              <w:left w:val="single" w:sz="4" w:space="0" w:color="auto"/>
              <w:bottom w:val="single" w:sz="4" w:space="0" w:color="auto"/>
              <w:right w:val="single" w:sz="4" w:space="0" w:color="auto"/>
            </w:tcBorders>
            <w:hideMark/>
          </w:tcPr>
          <w:p w14:paraId="43B2A8BB" w14:textId="77777777" w:rsidR="001B38A1" w:rsidRPr="000719E5" w:rsidRDefault="001B38A1" w:rsidP="00960FD5">
            <w:pPr>
              <w:rPr>
                <w:sz w:val="18"/>
                <w:szCs w:val="18"/>
              </w:rPr>
            </w:pPr>
            <w:r w:rsidRPr="000719E5">
              <w:rPr>
                <w:sz w:val="18"/>
                <w:szCs w:val="18"/>
              </w:rPr>
              <w:t>Scénář 1</w:t>
            </w:r>
          </w:p>
        </w:tc>
        <w:tc>
          <w:tcPr>
            <w:tcW w:w="1502" w:type="dxa"/>
            <w:tcBorders>
              <w:top w:val="single" w:sz="4" w:space="0" w:color="auto"/>
              <w:left w:val="single" w:sz="4" w:space="0" w:color="auto"/>
              <w:bottom w:val="single" w:sz="4" w:space="0" w:color="auto"/>
              <w:right w:val="single" w:sz="4" w:space="0" w:color="auto"/>
            </w:tcBorders>
            <w:hideMark/>
          </w:tcPr>
          <w:p w14:paraId="37FFE4A1" w14:textId="77777777" w:rsidR="001B38A1" w:rsidRPr="000719E5" w:rsidRDefault="001B38A1" w:rsidP="00960FD5">
            <w:pPr>
              <w:rPr>
                <w:sz w:val="18"/>
                <w:szCs w:val="18"/>
              </w:rPr>
            </w:pPr>
            <w:r w:rsidRPr="000719E5">
              <w:rPr>
                <w:sz w:val="18"/>
                <w:szCs w:val="18"/>
              </w:rPr>
              <w:t>650</w:t>
            </w:r>
          </w:p>
        </w:tc>
        <w:tc>
          <w:tcPr>
            <w:tcW w:w="1295" w:type="dxa"/>
            <w:tcBorders>
              <w:top w:val="single" w:sz="4" w:space="0" w:color="auto"/>
              <w:left w:val="single" w:sz="4" w:space="0" w:color="auto"/>
              <w:bottom w:val="single" w:sz="4" w:space="0" w:color="auto"/>
              <w:right w:val="single" w:sz="4" w:space="0" w:color="auto"/>
            </w:tcBorders>
            <w:hideMark/>
          </w:tcPr>
          <w:p w14:paraId="6EF2B97F" w14:textId="77777777" w:rsidR="001B38A1" w:rsidRPr="000719E5" w:rsidRDefault="001B38A1" w:rsidP="00960FD5">
            <w:pPr>
              <w:rPr>
                <w:sz w:val="18"/>
                <w:szCs w:val="18"/>
              </w:rPr>
            </w:pPr>
            <w:r w:rsidRPr="000719E5">
              <w:rPr>
                <w:sz w:val="18"/>
                <w:szCs w:val="18"/>
              </w:rPr>
              <w:t>290</w:t>
            </w:r>
          </w:p>
        </w:tc>
        <w:tc>
          <w:tcPr>
            <w:tcW w:w="1295" w:type="dxa"/>
            <w:tcBorders>
              <w:top w:val="single" w:sz="4" w:space="0" w:color="auto"/>
              <w:left w:val="single" w:sz="4" w:space="0" w:color="auto"/>
              <w:bottom w:val="single" w:sz="4" w:space="0" w:color="auto"/>
              <w:right w:val="single" w:sz="4" w:space="0" w:color="auto"/>
            </w:tcBorders>
            <w:hideMark/>
          </w:tcPr>
          <w:p w14:paraId="70C32223" w14:textId="77777777" w:rsidR="001B38A1" w:rsidRPr="000719E5" w:rsidRDefault="001B38A1" w:rsidP="00960FD5">
            <w:pPr>
              <w:rPr>
                <w:sz w:val="18"/>
                <w:szCs w:val="18"/>
              </w:rPr>
            </w:pPr>
            <w:r w:rsidRPr="000719E5">
              <w:rPr>
                <w:sz w:val="18"/>
                <w:szCs w:val="18"/>
              </w:rPr>
              <w:t>300</w:t>
            </w:r>
          </w:p>
        </w:tc>
        <w:tc>
          <w:tcPr>
            <w:tcW w:w="1351" w:type="dxa"/>
            <w:tcBorders>
              <w:top w:val="single" w:sz="4" w:space="0" w:color="auto"/>
              <w:left w:val="single" w:sz="4" w:space="0" w:color="auto"/>
              <w:bottom w:val="single" w:sz="4" w:space="0" w:color="auto"/>
              <w:right w:val="single" w:sz="4" w:space="0" w:color="auto"/>
            </w:tcBorders>
            <w:hideMark/>
          </w:tcPr>
          <w:p w14:paraId="0901933A" w14:textId="77777777" w:rsidR="001B38A1" w:rsidRPr="000719E5" w:rsidRDefault="001B38A1" w:rsidP="00960FD5">
            <w:pPr>
              <w:rPr>
                <w:sz w:val="18"/>
                <w:szCs w:val="18"/>
              </w:rPr>
            </w:pPr>
            <w:r w:rsidRPr="000719E5">
              <w:rPr>
                <w:sz w:val="18"/>
                <w:szCs w:val="18"/>
              </w:rPr>
              <w:t>125</w:t>
            </w:r>
          </w:p>
        </w:tc>
        <w:tc>
          <w:tcPr>
            <w:tcW w:w="1322" w:type="dxa"/>
            <w:tcBorders>
              <w:top w:val="single" w:sz="4" w:space="0" w:color="auto"/>
              <w:left w:val="single" w:sz="4" w:space="0" w:color="auto"/>
              <w:bottom w:val="single" w:sz="4" w:space="0" w:color="auto"/>
              <w:right w:val="single" w:sz="4" w:space="0" w:color="auto"/>
            </w:tcBorders>
            <w:hideMark/>
          </w:tcPr>
          <w:p w14:paraId="1C79CAF3" w14:textId="77777777" w:rsidR="001B38A1" w:rsidRPr="000719E5" w:rsidRDefault="001B38A1" w:rsidP="00960FD5">
            <w:pPr>
              <w:rPr>
                <w:sz w:val="18"/>
                <w:szCs w:val="18"/>
              </w:rPr>
            </w:pPr>
            <w:r w:rsidRPr="000719E5">
              <w:rPr>
                <w:sz w:val="18"/>
                <w:szCs w:val="18"/>
              </w:rPr>
              <w:t>70</w:t>
            </w:r>
          </w:p>
        </w:tc>
        <w:tc>
          <w:tcPr>
            <w:tcW w:w="1567" w:type="dxa"/>
            <w:tcBorders>
              <w:top w:val="single" w:sz="4" w:space="0" w:color="auto"/>
              <w:left w:val="single" w:sz="4" w:space="0" w:color="auto"/>
              <w:bottom w:val="single" w:sz="4" w:space="0" w:color="auto"/>
              <w:right w:val="single" w:sz="4" w:space="0" w:color="auto"/>
            </w:tcBorders>
            <w:hideMark/>
          </w:tcPr>
          <w:p w14:paraId="076B8C92" w14:textId="77777777" w:rsidR="001B38A1" w:rsidRPr="000719E5" w:rsidRDefault="001B38A1" w:rsidP="00960FD5">
            <w:pPr>
              <w:rPr>
                <w:rFonts w:ascii="Calibri" w:hAnsi="Calibri" w:cs="Calibri"/>
                <w:color w:val="000000"/>
                <w:sz w:val="18"/>
                <w:szCs w:val="18"/>
              </w:rPr>
            </w:pPr>
            <w:r w:rsidRPr="000719E5">
              <w:rPr>
                <w:rFonts w:ascii="Calibri" w:hAnsi="Calibri" w:cs="Calibri"/>
                <w:color w:val="000000"/>
                <w:sz w:val="18"/>
                <w:szCs w:val="18"/>
              </w:rPr>
              <w:t>5 - 10</w:t>
            </w:r>
          </w:p>
        </w:tc>
      </w:tr>
      <w:tr w:rsidR="001B38A1" w:rsidRPr="00B61C2B" w14:paraId="50D71175" w14:textId="77777777" w:rsidTr="00960FD5">
        <w:trPr>
          <w:trHeight w:val="269"/>
        </w:trPr>
        <w:tc>
          <w:tcPr>
            <w:tcW w:w="1309" w:type="dxa"/>
            <w:tcBorders>
              <w:top w:val="single" w:sz="4" w:space="0" w:color="auto"/>
              <w:left w:val="single" w:sz="4" w:space="0" w:color="auto"/>
              <w:bottom w:val="single" w:sz="4" w:space="0" w:color="auto"/>
              <w:right w:val="single" w:sz="4" w:space="0" w:color="auto"/>
            </w:tcBorders>
            <w:hideMark/>
          </w:tcPr>
          <w:p w14:paraId="459513B6" w14:textId="77777777" w:rsidR="001B38A1" w:rsidRPr="000719E5" w:rsidRDefault="001B38A1" w:rsidP="00960FD5">
            <w:pPr>
              <w:rPr>
                <w:sz w:val="18"/>
                <w:szCs w:val="18"/>
              </w:rPr>
            </w:pPr>
            <w:r w:rsidRPr="000719E5">
              <w:rPr>
                <w:sz w:val="18"/>
                <w:szCs w:val="18"/>
              </w:rPr>
              <w:t>Scénář 2</w:t>
            </w:r>
          </w:p>
        </w:tc>
        <w:tc>
          <w:tcPr>
            <w:tcW w:w="1502" w:type="dxa"/>
            <w:tcBorders>
              <w:top w:val="single" w:sz="4" w:space="0" w:color="auto"/>
              <w:left w:val="single" w:sz="4" w:space="0" w:color="auto"/>
              <w:bottom w:val="single" w:sz="4" w:space="0" w:color="auto"/>
              <w:right w:val="single" w:sz="4" w:space="0" w:color="auto"/>
            </w:tcBorders>
            <w:hideMark/>
          </w:tcPr>
          <w:p w14:paraId="0322150C" w14:textId="77777777" w:rsidR="001B38A1" w:rsidRPr="000719E5" w:rsidRDefault="001B38A1" w:rsidP="00960FD5">
            <w:pPr>
              <w:rPr>
                <w:sz w:val="18"/>
                <w:szCs w:val="18"/>
              </w:rPr>
            </w:pPr>
            <w:r w:rsidRPr="000719E5">
              <w:rPr>
                <w:sz w:val="18"/>
                <w:szCs w:val="18"/>
              </w:rPr>
              <w:t>650</w:t>
            </w:r>
          </w:p>
        </w:tc>
        <w:tc>
          <w:tcPr>
            <w:tcW w:w="1295" w:type="dxa"/>
            <w:tcBorders>
              <w:top w:val="single" w:sz="4" w:space="0" w:color="auto"/>
              <w:left w:val="single" w:sz="4" w:space="0" w:color="auto"/>
              <w:bottom w:val="single" w:sz="4" w:space="0" w:color="auto"/>
              <w:right w:val="single" w:sz="4" w:space="0" w:color="auto"/>
            </w:tcBorders>
            <w:hideMark/>
          </w:tcPr>
          <w:p w14:paraId="4D8E1E5D" w14:textId="77777777" w:rsidR="001B38A1" w:rsidRPr="000719E5" w:rsidRDefault="001B38A1" w:rsidP="00960FD5">
            <w:pPr>
              <w:rPr>
                <w:sz w:val="18"/>
                <w:szCs w:val="18"/>
              </w:rPr>
            </w:pPr>
            <w:r w:rsidRPr="000719E5">
              <w:rPr>
                <w:sz w:val="18"/>
                <w:szCs w:val="18"/>
              </w:rPr>
              <w:t>290</w:t>
            </w:r>
          </w:p>
        </w:tc>
        <w:tc>
          <w:tcPr>
            <w:tcW w:w="1295" w:type="dxa"/>
            <w:tcBorders>
              <w:top w:val="single" w:sz="4" w:space="0" w:color="auto"/>
              <w:left w:val="single" w:sz="4" w:space="0" w:color="auto"/>
              <w:bottom w:val="single" w:sz="4" w:space="0" w:color="auto"/>
              <w:right w:val="single" w:sz="4" w:space="0" w:color="auto"/>
            </w:tcBorders>
            <w:hideMark/>
          </w:tcPr>
          <w:p w14:paraId="602FA7AF" w14:textId="77777777" w:rsidR="001B38A1" w:rsidRPr="000719E5" w:rsidRDefault="001B38A1" w:rsidP="00960FD5">
            <w:pPr>
              <w:rPr>
                <w:sz w:val="18"/>
                <w:szCs w:val="18"/>
              </w:rPr>
            </w:pPr>
            <w:r w:rsidRPr="000719E5">
              <w:rPr>
                <w:sz w:val="18"/>
                <w:szCs w:val="18"/>
              </w:rPr>
              <w:t>300</w:t>
            </w:r>
          </w:p>
        </w:tc>
        <w:tc>
          <w:tcPr>
            <w:tcW w:w="1351" w:type="dxa"/>
            <w:tcBorders>
              <w:top w:val="single" w:sz="4" w:space="0" w:color="auto"/>
              <w:left w:val="single" w:sz="4" w:space="0" w:color="auto"/>
              <w:bottom w:val="single" w:sz="4" w:space="0" w:color="auto"/>
              <w:right w:val="single" w:sz="4" w:space="0" w:color="auto"/>
            </w:tcBorders>
            <w:hideMark/>
          </w:tcPr>
          <w:p w14:paraId="1F40C383" w14:textId="77777777" w:rsidR="001B38A1" w:rsidRPr="000719E5" w:rsidRDefault="001B38A1" w:rsidP="00960FD5">
            <w:pPr>
              <w:rPr>
                <w:sz w:val="18"/>
                <w:szCs w:val="18"/>
              </w:rPr>
            </w:pPr>
            <w:r w:rsidRPr="000719E5">
              <w:rPr>
                <w:sz w:val="18"/>
                <w:szCs w:val="18"/>
              </w:rPr>
              <w:t>125</w:t>
            </w:r>
          </w:p>
        </w:tc>
        <w:tc>
          <w:tcPr>
            <w:tcW w:w="1322" w:type="dxa"/>
            <w:tcBorders>
              <w:top w:val="single" w:sz="4" w:space="0" w:color="auto"/>
              <w:left w:val="single" w:sz="4" w:space="0" w:color="auto"/>
              <w:bottom w:val="single" w:sz="4" w:space="0" w:color="auto"/>
              <w:right w:val="single" w:sz="4" w:space="0" w:color="auto"/>
            </w:tcBorders>
            <w:hideMark/>
          </w:tcPr>
          <w:p w14:paraId="12993163" w14:textId="77777777" w:rsidR="001B38A1" w:rsidRPr="000719E5" w:rsidRDefault="001B38A1" w:rsidP="00960FD5">
            <w:pPr>
              <w:rPr>
                <w:sz w:val="18"/>
                <w:szCs w:val="18"/>
              </w:rPr>
            </w:pPr>
            <w:r w:rsidRPr="000719E5">
              <w:rPr>
                <w:sz w:val="18"/>
                <w:szCs w:val="18"/>
              </w:rPr>
              <w:t>50</w:t>
            </w:r>
          </w:p>
        </w:tc>
        <w:tc>
          <w:tcPr>
            <w:tcW w:w="1567" w:type="dxa"/>
            <w:tcBorders>
              <w:top w:val="single" w:sz="4" w:space="0" w:color="auto"/>
              <w:left w:val="single" w:sz="4" w:space="0" w:color="auto"/>
              <w:bottom w:val="single" w:sz="4" w:space="0" w:color="auto"/>
              <w:right w:val="single" w:sz="4" w:space="0" w:color="auto"/>
            </w:tcBorders>
            <w:hideMark/>
          </w:tcPr>
          <w:p w14:paraId="1A0870AB" w14:textId="77777777" w:rsidR="001B38A1" w:rsidRPr="000719E5" w:rsidRDefault="001B38A1" w:rsidP="00960FD5">
            <w:pPr>
              <w:rPr>
                <w:rFonts w:ascii="Calibri" w:hAnsi="Calibri" w:cs="Calibri"/>
                <w:color w:val="000000"/>
                <w:sz w:val="18"/>
                <w:szCs w:val="18"/>
              </w:rPr>
            </w:pPr>
            <w:r w:rsidRPr="000719E5">
              <w:rPr>
                <w:rFonts w:ascii="Calibri" w:hAnsi="Calibri" w:cs="Calibri"/>
                <w:color w:val="000000"/>
                <w:sz w:val="18"/>
                <w:szCs w:val="18"/>
              </w:rPr>
              <w:t>5,9 - 11,7</w:t>
            </w:r>
          </w:p>
        </w:tc>
      </w:tr>
      <w:tr w:rsidR="001B38A1" w:rsidRPr="00B61C2B" w14:paraId="12A03040" w14:textId="77777777" w:rsidTr="00960FD5">
        <w:trPr>
          <w:trHeight w:val="248"/>
        </w:trPr>
        <w:tc>
          <w:tcPr>
            <w:tcW w:w="1309" w:type="dxa"/>
            <w:tcBorders>
              <w:top w:val="single" w:sz="4" w:space="0" w:color="auto"/>
              <w:left w:val="single" w:sz="4" w:space="0" w:color="auto"/>
              <w:bottom w:val="single" w:sz="4" w:space="0" w:color="auto"/>
              <w:right w:val="single" w:sz="4" w:space="0" w:color="auto"/>
            </w:tcBorders>
            <w:hideMark/>
          </w:tcPr>
          <w:p w14:paraId="65C59E54" w14:textId="77777777" w:rsidR="001B38A1" w:rsidRPr="000719E5" w:rsidRDefault="001B38A1" w:rsidP="00960FD5">
            <w:pPr>
              <w:rPr>
                <w:sz w:val="18"/>
                <w:szCs w:val="18"/>
              </w:rPr>
            </w:pPr>
            <w:r w:rsidRPr="000719E5">
              <w:rPr>
                <w:sz w:val="18"/>
                <w:szCs w:val="18"/>
              </w:rPr>
              <w:t>Scénář 3</w:t>
            </w:r>
          </w:p>
        </w:tc>
        <w:tc>
          <w:tcPr>
            <w:tcW w:w="1502" w:type="dxa"/>
            <w:tcBorders>
              <w:top w:val="single" w:sz="4" w:space="0" w:color="auto"/>
              <w:left w:val="single" w:sz="4" w:space="0" w:color="auto"/>
              <w:bottom w:val="single" w:sz="4" w:space="0" w:color="auto"/>
              <w:right w:val="single" w:sz="4" w:space="0" w:color="auto"/>
            </w:tcBorders>
            <w:hideMark/>
          </w:tcPr>
          <w:p w14:paraId="6957DAC6" w14:textId="77777777" w:rsidR="001B38A1" w:rsidRPr="000719E5" w:rsidRDefault="001B38A1" w:rsidP="00960FD5">
            <w:pPr>
              <w:rPr>
                <w:sz w:val="18"/>
                <w:szCs w:val="18"/>
              </w:rPr>
            </w:pPr>
            <w:r w:rsidRPr="000719E5">
              <w:rPr>
                <w:sz w:val="18"/>
                <w:szCs w:val="18"/>
              </w:rPr>
              <w:t>1050</w:t>
            </w:r>
          </w:p>
        </w:tc>
        <w:tc>
          <w:tcPr>
            <w:tcW w:w="1295" w:type="dxa"/>
            <w:tcBorders>
              <w:top w:val="single" w:sz="4" w:space="0" w:color="auto"/>
              <w:left w:val="single" w:sz="4" w:space="0" w:color="auto"/>
              <w:bottom w:val="single" w:sz="4" w:space="0" w:color="auto"/>
              <w:right w:val="single" w:sz="4" w:space="0" w:color="auto"/>
            </w:tcBorders>
            <w:hideMark/>
          </w:tcPr>
          <w:p w14:paraId="6A70CB19" w14:textId="77777777" w:rsidR="001B38A1" w:rsidRPr="000719E5" w:rsidRDefault="001B38A1" w:rsidP="00960FD5">
            <w:pPr>
              <w:rPr>
                <w:sz w:val="18"/>
                <w:szCs w:val="18"/>
              </w:rPr>
            </w:pPr>
            <w:r w:rsidRPr="000719E5">
              <w:rPr>
                <w:sz w:val="18"/>
                <w:szCs w:val="18"/>
              </w:rPr>
              <w:t>400</w:t>
            </w:r>
          </w:p>
        </w:tc>
        <w:tc>
          <w:tcPr>
            <w:tcW w:w="1295" w:type="dxa"/>
            <w:tcBorders>
              <w:top w:val="single" w:sz="4" w:space="0" w:color="auto"/>
              <w:left w:val="single" w:sz="4" w:space="0" w:color="auto"/>
              <w:bottom w:val="single" w:sz="4" w:space="0" w:color="auto"/>
              <w:right w:val="single" w:sz="4" w:space="0" w:color="auto"/>
            </w:tcBorders>
            <w:hideMark/>
          </w:tcPr>
          <w:p w14:paraId="042C70E0" w14:textId="77777777" w:rsidR="001B38A1" w:rsidRPr="000719E5" w:rsidRDefault="001B38A1" w:rsidP="00960FD5">
            <w:pPr>
              <w:rPr>
                <w:sz w:val="18"/>
                <w:szCs w:val="18"/>
              </w:rPr>
            </w:pPr>
            <w:r w:rsidRPr="000719E5">
              <w:rPr>
                <w:sz w:val="18"/>
                <w:szCs w:val="18"/>
              </w:rPr>
              <w:t>500</w:t>
            </w:r>
          </w:p>
        </w:tc>
        <w:tc>
          <w:tcPr>
            <w:tcW w:w="1351" w:type="dxa"/>
            <w:tcBorders>
              <w:top w:val="single" w:sz="4" w:space="0" w:color="auto"/>
              <w:left w:val="single" w:sz="4" w:space="0" w:color="auto"/>
              <w:bottom w:val="single" w:sz="4" w:space="0" w:color="auto"/>
              <w:right w:val="single" w:sz="4" w:space="0" w:color="auto"/>
            </w:tcBorders>
            <w:hideMark/>
          </w:tcPr>
          <w:p w14:paraId="37F2FF57" w14:textId="77777777" w:rsidR="001B38A1" w:rsidRPr="000719E5" w:rsidRDefault="001B38A1" w:rsidP="00960FD5">
            <w:pPr>
              <w:rPr>
                <w:sz w:val="18"/>
                <w:szCs w:val="18"/>
              </w:rPr>
            </w:pPr>
            <w:r w:rsidRPr="000719E5">
              <w:rPr>
                <w:sz w:val="18"/>
                <w:szCs w:val="18"/>
              </w:rPr>
              <w:t>180</w:t>
            </w:r>
          </w:p>
        </w:tc>
        <w:tc>
          <w:tcPr>
            <w:tcW w:w="1322" w:type="dxa"/>
            <w:tcBorders>
              <w:top w:val="single" w:sz="4" w:space="0" w:color="auto"/>
              <w:left w:val="single" w:sz="4" w:space="0" w:color="auto"/>
              <w:bottom w:val="single" w:sz="4" w:space="0" w:color="auto"/>
              <w:right w:val="single" w:sz="4" w:space="0" w:color="auto"/>
            </w:tcBorders>
            <w:hideMark/>
          </w:tcPr>
          <w:p w14:paraId="003A8EC4" w14:textId="77777777" w:rsidR="001B38A1" w:rsidRPr="000719E5" w:rsidRDefault="001B38A1" w:rsidP="00960FD5">
            <w:pPr>
              <w:rPr>
                <w:sz w:val="18"/>
                <w:szCs w:val="18"/>
              </w:rPr>
            </w:pPr>
            <w:r w:rsidRPr="000719E5">
              <w:rPr>
                <w:sz w:val="18"/>
                <w:szCs w:val="18"/>
              </w:rPr>
              <w:t>55</w:t>
            </w:r>
          </w:p>
        </w:tc>
        <w:tc>
          <w:tcPr>
            <w:tcW w:w="1567" w:type="dxa"/>
            <w:tcBorders>
              <w:top w:val="single" w:sz="4" w:space="0" w:color="auto"/>
              <w:left w:val="single" w:sz="4" w:space="0" w:color="auto"/>
              <w:bottom w:val="single" w:sz="4" w:space="0" w:color="auto"/>
              <w:right w:val="single" w:sz="4" w:space="0" w:color="auto"/>
            </w:tcBorders>
            <w:hideMark/>
          </w:tcPr>
          <w:p w14:paraId="6183A6BB" w14:textId="77777777" w:rsidR="001B38A1" w:rsidRPr="000719E5" w:rsidRDefault="001B38A1" w:rsidP="00960FD5">
            <w:pPr>
              <w:rPr>
                <w:rFonts w:ascii="Calibri" w:hAnsi="Calibri" w:cs="Calibri"/>
                <w:color w:val="000000"/>
                <w:sz w:val="18"/>
                <w:szCs w:val="18"/>
              </w:rPr>
            </w:pPr>
            <w:r w:rsidRPr="000719E5">
              <w:rPr>
                <w:rFonts w:ascii="Calibri" w:hAnsi="Calibri" w:cs="Calibri"/>
                <w:color w:val="000000"/>
                <w:sz w:val="18"/>
                <w:szCs w:val="18"/>
              </w:rPr>
              <w:t>7,3 - 14,5</w:t>
            </w:r>
          </w:p>
        </w:tc>
      </w:tr>
      <w:tr w:rsidR="001B38A1" w:rsidRPr="00B61C2B" w14:paraId="28E51616" w14:textId="77777777" w:rsidTr="00960FD5">
        <w:trPr>
          <w:trHeight w:val="269"/>
        </w:trPr>
        <w:tc>
          <w:tcPr>
            <w:tcW w:w="1309" w:type="dxa"/>
            <w:tcBorders>
              <w:top w:val="single" w:sz="4" w:space="0" w:color="auto"/>
              <w:left w:val="single" w:sz="4" w:space="0" w:color="auto"/>
              <w:bottom w:val="double" w:sz="4" w:space="0" w:color="auto"/>
              <w:right w:val="single" w:sz="4" w:space="0" w:color="auto"/>
            </w:tcBorders>
            <w:hideMark/>
          </w:tcPr>
          <w:p w14:paraId="2667C0B9" w14:textId="77777777" w:rsidR="001B38A1" w:rsidRPr="000719E5" w:rsidRDefault="001B38A1" w:rsidP="00960FD5">
            <w:pPr>
              <w:rPr>
                <w:sz w:val="18"/>
                <w:szCs w:val="18"/>
              </w:rPr>
            </w:pPr>
            <w:r w:rsidRPr="000719E5">
              <w:rPr>
                <w:sz w:val="18"/>
                <w:szCs w:val="18"/>
              </w:rPr>
              <w:t>Scénář 4</w:t>
            </w:r>
          </w:p>
        </w:tc>
        <w:tc>
          <w:tcPr>
            <w:tcW w:w="1502" w:type="dxa"/>
            <w:tcBorders>
              <w:top w:val="single" w:sz="4" w:space="0" w:color="auto"/>
              <w:left w:val="single" w:sz="4" w:space="0" w:color="auto"/>
              <w:bottom w:val="double" w:sz="4" w:space="0" w:color="auto"/>
              <w:right w:val="single" w:sz="4" w:space="0" w:color="auto"/>
            </w:tcBorders>
            <w:hideMark/>
          </w:tcPr>
          <w:p w14:paraId="755938E5" w14:textId="77777777" w:rsidR="001B38A1" w:rsidRPr="000719E5" w:rsidRDefault="001B38A1" w:rsidP="00960FD5">
            <w:pPr>
              <w:rPr>
                <w:sz w:val="18"/>
                <w:szCs w:val="18"/>
              </w:rPr>
            </w:pPr>
            <w:r w:rsidRPr="000719E5">
              <w:rPr>
                <w:sz w:val="18"/>
                <w:szCs w:val="18"/>
              </w:rPr>
              <w:t>1050</w:t>
            </w:r>
          </w:p>
        </w:tc>
        <w:tc>
          <w:tcPr>
            <w:tcW w:w="1295" w:type="dxa"/>
            <w:tcBorders>
              <w:top w:val="single" w:sz="4" w:space="0" w:color="auto"/>
              <w:left w:val="single" w:sz="4" w:space="0" w:color="auto"/>
              <w:bottom w:val="double" w:sz="4" w:space="0" w:color="auto"/>
              <w:right w:val="single" w:sz="4" w:space="0" w:color="auto"/>
            </w:tcBorders>
            <w:hideMark/>
          </w:tcPr>
          <w:p w14:paraId="7AE8922A" w14:textId="77777777" w:rsidR="001B38A1" w:rsidRPr="000719E5" w:rsidRDefault="001B38A1" w:rsidP="00960FD5">
            <w:pPr>
              <w:rPr>
                <w:sz w:val="18"/>
                <w:szCs w:val="18"/>
              </w:rPr>
            </w:pPr>
            <w:r w:rsidRPr="000719E5">
              <w:rPr>
                <w:sz w:val="18"/>
                <w:szCs w:val="18"/>
              </w:rPr>
              <w:t>400</w:t>
            </w:r>
          </w:p>
        </w:tc>
        <w:tc>
          <w:tcPr>
            <w:tcW w:w="1295" w:type="dxa"/>
            <w:tcBorders>
              <w:top w:val="single" w:sz="4" w:space="0" w:color="auto"/>
              <w:left w:val="single" w:sz="4" w:space="0" w:color="auto"/>
              <w:bottom w:val="double" w:sz="4" w:space="0" w:color="auto"/>
              <w:right w:val="single" w:sz="4" w:space="0" w:color="auto"/>
            </w:tcBorders>
            <w:hideMark/>
          </w:tcPr>
          <w:p w14:paraId="473C4187" w14:textId="77777777" w:rsidR="001B38A1" w:rsidRPr="000719E5" w:rsidRDefault="001B38A1" w:rsidP="00960FD5">
            <w:pPr>
              <w:rPr>
                <w:sz w:val="18"/>
                <w:szCs w:val="18"/>
              </w:rPr>
            </w:pPr>
            <w:r w:rsidRPr="000719E5">
              <w:rPr>
                <w:sz w:val="18"/>
                <w:szCs w:val="18"/>
              </w:rPr>
              <w:t>500</w:t>
            </w:r>
          </w:p>
        </w:tc>
        <w:tc>
          <w:tcPr>
            <w:tcW w:w="1351" w:type="dxa"/>
            <w:tcBorders>
              <w:top w:val="single" w:sz="4" w:space="0" w:color="auto"/>
              <w:left w:val="single" w:sz="4" w:space="0" w:color="auto"/>
              <w:bottom w:val="double" w:sz="4" w:space="0" w:color="auto"/>
              <w:right w:val="single" w:sz="4" w:space="0" w:color="auto"/>
            </w:tcBorders>
            <w:hideMark/>
          </w:tcPr>
          <w:p w14:paraId="6DAAC403" w14:textId="77777777" w:rsidR="001B38A1" w:rsidRPr="000719E5" w:rsidRDefault="001B38A1" w:rsidP="00960FD5">
            <w:pPr>
              <w:rPr>
                <w:sz w:val="18"/>
                <w:szCs w:val="18"/>
              </w:rPr>
            </w:pPr>
            <w:r w:rsidRPr="000719E5">
              <w:rPr>
                <w:sz w:val="18"/>
                <w:szCs w:val="18"/>
              </w:rPr>
              <w:t>180</w:t>
            </w:r>
          </w:p>
        </w:tc>
        <w:tc>
          <w:tcPr>
            <w:tcW w:w="1322" w:type="dxa"/>
            <w:tcBorders>
              <w:top w:val="single" w:sz="4" w:space="0" w:color="auto"/>
              <w:left w:val="single" w:sz="4" w:space="0" w:color="auto"/>
              <w:bottom w:val="double" w:sz="4" w:space="0" w:color="auto"/>
              <w:right w:val="single" w:sz="4" w:space="0" w:color="auto"/>
            </w:tcBorders>
            <w:hideMark/>
          </w:tcPr>
          <w:p w14:paraId="4B2E9D7A" w14:textId="77777777" w:rsidR="001B38A1" w:rsidRPr="000719E5" w:rsidRDefault="001B38A1" w:rsidP="00960FD5">
            <w:pPr>
              <w:rPr>
                <w:sz w:val="18"/>
                <w:szCs w:val="18"/>
              </w:rPr>
            </w:pPr>
            <w:r w:rsidRPr="000719E5">
              <w:rPr>
                <w:sz w:val="18"/>
                <w:szCs w:val="18"/>
              </w:rPr>
              <w:t>35</w:t>
            </w:r>
          </w:p>
        </w:tc>
        <w:tc>
          <w:tcPr>
            <w:tcW w:w="1567" w:type="dxa"/>
            <w:tcBorders>
              <w:top w:val="single" w:sz="4" w:space="0" w:color="auto"/>
              <w:left w:val="single" w:sz="4" w:space="0" w:color="auto"/>
              <w:bottom w:val="double" w:sz="4" w:space="0" w:color="auto"/>
              <w:right w:val="single" w:sz="4" w:space="0" w:color="auto"/>
            </w:tcBorders>
            <w:hideMark/>
          </w:tcPr>
          <w:p w14:paraId="565C2ADC" w14:textId="77777777" w:rsidR="001B38A1" w:rsidRPr="000719E5" w:rsidRDefault="001B38A1" w:rsidP="00960FD5">
            <w:pPr>
              <w:rPr>
                <w:rFonts w:ascii="Calibri" w:hAnsi="Calibri" w:cs="Calibri"/>
                <w:color w:val="000000"/>
                <w:sz w:val="18"/>
                <w:szCs w:val="18"/>
              </w:rPr>
            </w:pPr>
            <w:r w:rsidRPr="000719E5">
              <w:rPr>
                <w:rFonts w:ascii="Calibri" w:hAnsi="Calibri" w:cs="Calibri"/>
                <w:color w:val="000000"/>
                <w:sz w:val="18"/>
                <w:szCs w:val="18"/>
              </w:rPr>
              <w:t>8,1 - 16,3</w:t>
            </w:r>
          </w:p>
        </w:tc>
      </w:tr>
      <w:tr w:rsidR="001B38A1" w:rsidRPr="00B61C2B" w14:paraId="67C0B55D" w14:textId="77777777" w:rsidTr="00960FD5">
        <w:trPr>
          <w:trHeight w:val="1886"/>
        </w:trPr>
        <w:tc>
          <w:tcPr>
            <w:tcW w:w="1309" w:type="dxa"/>
            <w:tcBorders>
              <w:top w:val="double" w:sz="4" w:space="0" w:color="auto"/>
              <w:left w:val="single" w:sz="4" w:space="0" w:color="auto"/>
              <w:bottom w:val="single" w:sz="4" w:space="0" w:color="auto"/>
              <w:right w:val="single" w:sz="4" w:space="0" w:color="auto"/>
            </w:tcBorders>
            <w:hideMark/>
          </w:tcPr>
          <w:p w14:paraId="778D0D80" w14:textId="77777777" w:rsidR="001B38A1" w:rsidRPr="000719E5" w:rsidRDefault="001B38A1" w:rsidP="00960FD5">
            <w:pPr>
              <w:rPr>
                <w:sz w:val="18"/>
                <w:szCs w:val="18"/>
              </w:rPr>
            </w:pPr>
            <w:r w:rsidRPr="000719E5">
              <w:rPr>
                <w:sz w:val="18"/>
                <w:szCs w:val="18"/>
              </w:rPr>
              <w:t xml:space="preserve">Dodatečná likvidita nad rámec současného trhu nutná k pokrytí scénáře 4 </w:t>
            </w:r>
          </w:p>
        </w:tc>
        <w:tc>
          <w:tcPr>
            <w:tcW w:w="1502" w:type="dxa"/>
            <w:tcBorders>
              <w:top w:val="double" w:sz="4" w:space="0" w:color="auto"/>
              <w:left w:val="single" w:sz="4" w:space="0" w:color="auto"/>
              <w:bottom w:val="single" w:sz="4" w:space="0" w:color="auto"/>
              <w:right w:val="single" w:sz="4" w:space="0" w:color="auto"/>
            </w:tcBorders>
          </w:tcPr>
          <w:p w14:paraId="794BDA96" w14:textId="77777777" w:rsidR="001B38A1" w:rsidRPr="000719E5" w:rsidRDefault="001B38A1" w:rsidP="00960FD5">
            <w:pPr>
              <w:jc w:val="both"/>
              <w:rPr>
                <w:sz w:val="18"/>
                <w:szCs w:val="18"/>
              </w:rPr>
            </w:pPr>
          </w:p>
        </w:tc>
        <w:tc>
          <w:tcPr>
            <w:tcW w:w="1295" w:type="dxa"/>
            <w:tcBorders>
              <w:top w:val="double" w:sz="4" w:space="0" w:color="auto"/>
              <w:left w:val="single" w:sz="4" w:space="0" w:color="auto"/>
              <w:bottom w:val="single" w:sz="4" w:space="0" w:color="auto"/>
              <w:right w:val="single" w:sz="4" w:space="0" w:color="auto"/>
            </w:tcBorders>
          </w:tcPr>
          <w:p w14:paraId="6E0DACB1" w14:textId="77777777" w:rsidR="001B38A1" w:rsidRPr="000719E5" w:rsidRDefault="001B38A1" w:rsidP="00960FD5">
            <w:pPr>
              <w:jc w:val="both"/>
              <w:rPr>
                <w:sz w:val="18"/>
                <w:szCs w:val="18"/>
              </w:rPr>
            </w:pPr>
          </w:p>
        </w:tc>
        <w:tc>
          <w:tcPr>
            <w:tcW w:w="1295" w:type="dxa"/>
            <w:tcBorders>
              <w:top w:val="double" w:sz="4" w:space="0" w:color="auto"/>
              <w:left w:val="single" w:sz="4" w:space="0" w:color="auto"/>
              <w:bottom w:val="single" w:sz="4" w:space="0" w:color="auto"/>
              <w:right w:val="single" w:sz="4" w:space="0" w:color="auto"/>
            </w:tcBorders>
          </w:tcPr>
          <w:p w14:paraId="1DA6FA6A" w14:textId="77777777" w:rsidR="001B38A1" w:rsidRPr="000719E5" w:rsidRDefault="001B38A1" w:rsidP="00960FD5">
            <w:pPr>
              <w:jc w:val="both"/>
              <w:rPr>
                <w:sz w:val="18"/>
                <w:szCs w:val="18"/>
              </w:rPr>
            </w:pPr>
          </w:p>
        </w:tc>
        <w:tc>
          <w:tcPr>
            <w:tcW w:w="1351" w:type="dxa"/>
            <w:tcBorders>
              <w:top w:val="double" w:sz="4" w:space="0" w:color="auto"/>
              <w:left w:val="single" w:sz="4" w:space="0" w:color="auto"/>
              <w:bottom w:val="single" w:sz="4" w:space="0" w:color="auto"/>
              <w:right w:val="single" w:sz="4" w:space="0" w:color="auto"/>
            </w:tcBorders>
          </w:tcPr>
          <w:p w14:paraId="29E16E94" w14:textId="77777777" w:rsidR="001B38A1" w:rsidRPr="000719E5" w:rsidRDefault="001B38A1" w:rsidP="00960FD5">
            <w:pPr>
              <w:jc w:val="both"/>
              <w:rPr>
                <w:sz w:val="18"/>
                <w:szCs w:val="18"/>
              </w:rPr>
            </w:pPr>
          </w:p>
        </w:tc>
        <w:tc>
          <w:tcPr>
            <w:tcW w:w="1322" w:type="dxa"/>
            <w:tcBorders>
              <w:top w:val="double" w:sz="4" w:space="0" w:color="auto"/>
              <w:left w:val="single" w:sz="4" w:space="0" w:color="auto"/>
              <w:bottom w:val="single" w:sz="4" w:space="0" w:color="auto"/>
              <w:right w:val="single" w:sz="4" w:space="0" w:color="auto"/>
            </w:tcBorders>
          </w:tcPr>
          <w:p w14:paraId="485BF4D6" w14:textId="77777777" w:rsidR="001B38A1" w:rsidRPr="000719E5" w:rsidRDefault="001B38A1" w:rsidP="00960FD5">
            <w:pPr>
              <w:jc w:val="both"/>
              <w:rPr>
                <w:sz w:val="18"/>
                <w:szCs w:val="18"/>
              </w:rPr>
            </w:pPr>
          </w:p>
        </w:tc>
        <w:tc>
          <w:tcPr>
            <w:tcW w:w="1567" w:type="dxa"/>
            <w:tcBorders>
              <w:top w:val="double" w:sz="4" w:space="0" w:color="auto"/>
              <w:left w:val="single" w:sz="4" w:space="0" w:color="auto"/>
              <w:bottom w:val="single" w:sz="4" w:space="0" w:color="auto"/>
              <w:right w:val="single" w:sz="4" w:space="0" w:color="auto"/>
            </w:tcBorders>
            <w:vAlign w:val="center"/>
            <w:hideMark/>
          </w:tcPr>
          <w:p w14:paraId="0ACCA41D" w14:textId="77777777" w:rsidR="001B38A1" w:rsidRPr="000719E5" w:rsidRDefault="001B38A1" w:rsidP="00960FD5">
            <w:pPr>
              <w:rPr>
                <w:rFonts w:ascii="Calibri" w:hAnsi="Calibri" w:cs="Calibri"/>
                <w:color w:val="000000"/>
                <w:sz w:val="18"/>
                <w:szCs w:val="18"/>
              </w:rPr>
            </w:pPr>
            <w:r w:rsidRPr="000719E5">
              <w:rPr>
                <w:rFonts w:ascii="Calibri" w:hAnsi="Calibri" w:cs="Calibri"/>
                <w:color w:val="000000"/>
                <w:sz w:val="18"/>
                <w:szCs w:val="18"/>
              </w:rPr>
              <w:t>~ 5-10</w:t>
            </w:r>
          </w:p>
        </w:tc>
      </w:tr>
    </w:tbl>
    <w:p w14:paraId="66FA9FE7" w14:textId="77777777" w:rsidR="001B38A1" w:rsidRPr="000719E5" w:rsidRDefault="001B38A1" w:rsidP="001B38A1">
      <w:pPr>
        <w:jc w:val="both"/>
        <w:rPr>
          <w:sz w:val="18"/>
          <w:szCs w:val="18"/>
        </w:rPr>
      </w:pPr>
      <w:r w:rsidRPr="000719E5">
        <w:rPr>
          <w:sz w:val="18"/>
          <w:szCs w:val="18"/>
        </w:rPr>
        <w:t xml:space="preserve">* </w:t>
      </w:r>
      <w:r w:rsidRPr="000719E5">
        <w:rPr>
          <w:i/>
          <w:iCs/>
          <w:sz w:val="18"/>
          <w:szCs w:val="18"/>
        </w:rPr>
        <w:t>Cena plynu přímo ovlivňuje cenu elektřiny. Na jednotku vyrobené elektřiny je potřeba 2 jednotky plynu. Růst cen plynu 100 EUR/MWh tedy povede k růstu ceny elektřiny o 200 EUR/MWh</w:t>
      </w:r>
      <w:r w:rsidRPr="000719E5">
        <w:rPr>
          <w:sz w:val="18"/>
          <w:szCs w:val="18"/>
        </w:rPr>
        <w:t xml:space="preserve"> </w:t>
      </w:r>
    </w:p>
    <w:p w14:paraId="37D54912" w14:textId="77777777" w:rsidR="001B38A1" w:rsidRPr="000719E5" w:rsidRDefault="001B38A1" w:rsidP="001B38A1">
      <w:pPr>
        <w:jc w:val="both"/>
        <w:rPr>
          <w:i/>
          <w:iCs/>
          <w:sz w:val="18"/>
          <w:szCs w:val="18"/>
        </w:rPr>
      </w:pPr>
      <w:r w:rsidRPr="000719E5">
        <w:rPr>
          <w:sz w:val="18"/>
          <w:szCs w:val="18"/>
          <w:vertAlign w:val="superscript"/>
        </w:rPr>
        <w:t xml:space="preserve">** </w:t>
      </w:r>
      <w:r w:rsidRPr="000719E5">
        <w:rPr>
          <w:i/>
          <w:iCs/>
          <w:sz w:val="18"/>
          <w:szCs w:val="18"/>
        </w:rPr>
        <w:t xml:space="preserve">Jedná se o expertní odhad účastníků trhu s energiemi založený na zkušenostech výkyvů cen na trzích. Například dne 7. března 2022 se cena elektřiny na burze EEX začínala obchodovat za cenu 700 EUR/MWh.   </w:t>
      </w:r>
    </w:p>
    <w:p w14:paraId="0C60FD73" w14:textId="77777777" w:rsidR="001B38A1" w:rsidRDefault="001B38A1" w:rsidP="001B38A1">
      <w:pPr>
        <w:jc w:val="both"/>
        <w:rPr>
          <w:i/>
          <w:iCs/>
          <w:sz w:val="16"/>
          <w:szCs w:val="16"/>
        </w:rPr>
      </w:pPr>
    </w:p>
    <w:p w14:paraId="7FE7EA4F" w14:textId="77777777" w:rsidR="001B38A1" w:rsidRDefault="001B38A1" w:rsidP="001B38A1">
      <w:pPr>
        <w:jc w:val="both"/>
      </w:pPr>
      <w:r w:rsidRPr="003E574F">
        <w:t>Pro ilustraci volatility cen plynu uvádíme níže graf vývoje ceny plynu s dodávkou ve třetím čtvrtletí 2022 a ceny elektřiny s dodávkou ve stejném období. Zobrazené cenové vrcholy pochází ze začátku března a byly reakcí na zostření bojů na Ukrajině.</w:t>
      </w:r>
      <w:r>
        <w:t xml:space="preserve"> </w:t>
      </w:r>
      <w:r w:rsidRPr="006B7F67">
        <w:t>Podobné, ne-li rozsáhlejší, výkyvy se dají očekávat při výrazném omezení, případně úplném zastavení dodávek plynu.</w:t>
      </w:r>
      <w:r>
        <w:t xml:space="preserve"> </w:t>
      </w:r>
    </w:p>
    <w:p w14:paraId="7F14C81D" w14:textId="77777777" w:rsidR="001B38A1" w:rsidRPr="00FF6188" w:rsidRDefault="001B38A1" w:rsidP="001B38A1">
      <w:pPr>
        <w:jc w:val="both"/>
        <w:rPr>
          <w:i/>
          <w:iCs/>
          <w:sz w:val="18"/>
          <w:szCs w:val="18"/>
        </w:rPr>
      </w:pPr>
      <w:r w:rsidRPr="00FF6188">
        <w:rPr>
          <w:i/>
          <w:iCs/>
          <w:sz w:val="18"/>
          <w:szCs w:val="18"/>
        </w:rPr>
        <w:t>Graf: Cena plynu s dodávkou v</w:t>
      </w:r>
      <w:r>
        <w:rPr>
          <w:i/>
          <w:iCs/>
          <w:sz w:val="18"/>
          <w:szCs w:val="18"/>
        </w:rPr>
        <w:t>e třetím čtvrtletí</w:t>
      </w:r>
      <w:r w:rsidRPr="00FF6188">
        <w:rPr>
          <w:i/>
          <w:iCs/>
          <w:sz w:val="18"/>
          <w:szCs w:val="18"/>
        </w:rPr>
        <w:t xml:space="preserve"> 2022, EUR/MWh</w:t>
      </w:r>
    </w:p>
    <w:p w14:paraId="5B4E04A2" w14:textId="77777777" w:rsidR="001B38A1" w:rsidRPr="00584F7F" w:rsidRDefault="001B38A1" w:rsidP="001B38A1">
      <w:pPr>
        <w:jc w:val="both"/>
      </w:pPr>
      <w:r w:rsidRPr="00103940">
        <w:rPr>
          <w:noProof/>
          <w:lang w:eastAsia="cs-CZ"/>
        </w:rPr>
        <mc:AlternateContent>
          <mc:Choice Requires="wps">
            <w:drawing>
              <wp:anchor distT="0" distB="0" distL="114300" distR="114300" simplePos="0" relativeHeight="251675648" behindDoc="0" locked="0" layoutInCell="1" allowOverlap="1" wp14:anchorId="17C381D5" wp14:editId="42587D47">
                <wp:simplePos x="0" y="0"/>
                <wp:positionH relativeFrom="column">
                  <wp:posOffset>2948304</wp:posOffset>
                </wp:positionH>
                <wp:positionV relativeFrom="paragraph">
                  <wp:posOffset>671830</wp:posOffset>
                </wp:positionV>
                <wp:extent cx="1190625" cy="0"/>
                <wp:effectExtent l="0" t="0" r="0" b="0"/>
                <wp:wrapNone/>
                <wp:docPr id="7" name="Přímá spojnice 7"/>
                <wp:cNvGraphicFramePr/>
                <a:graphic xmlns:a="http://schemas.openxmlformats.org/drawingml/2006/main">
                  <a:graphicData uri="http://schemas.microsoft.com/office/word/2010/wordprocessingShape">
                    <wps:wsp>
                      <wps:cNvCnPr/>
                      <wps:spPr>
                        <a:xfrm flipH="1" flipV="1">
                          <a:off x="0" y="0"/>
                          <a:ext cx="11906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EA9EB" id="Přímá spojnice 7"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5pt,52.9pt" to="325.9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j5QEAAJsDAAAOAAAAZHJzL2Uyb0RvYy54bWysU0tu2zAQ3RfoHQjua8kG8hMsZxEj7SJI&#10;DTTJfkKREgv+wGEt+yhd9gA9RdB7dUg5htPuimpBzHA4j/Men5bXO2vYVkbU3rV8Pqs5k074Tru+&#10;5Y8Ptx8uOcMErgPjnWz5XiK/Xr1/txxDIxd+8KaTkRGIw2YMLR9SCk1VoRikBZz5IB0VlY8WEqWx&#10;r7oII6FbUy3q+rwafexC9EIi0u56KvJVwVdKivRZKZSJmZbTbKmssazPea1WS2j6CGHQ4jAG/MMU&#10;FrSjS49Qa0jAvkX9F5TVInr0Ks2Et5VXSgtZOBCbef0Hmy8DBFm4kDgYjjLh/4MV99tNZLpr+QVn&#10;Diw90ebX95ef9uUHw+C/OpqPXWSZxoANnb5xm3jIMGxi5rxT0TJldPhEDuAlespRrhFDtity749y&#10;y11igjbn86v6fHHGmXitVRNYbgwR00fpLctBy412WQloYHuHiQago69H8rbzt9qY8prGsbHlV2cF&#10;GchTykCiS2wgluh6zsD0ZFaRYkFEb3SXuzMO7vHGRLYF8gvZrPPjA43LmQFMVCAO5cuC0ARvWvM4&#10;a8Bhai6lyV5WJ/K40bbll6fdxuUbZXHpgVQWeZI1R8++2xe1q5yRA8qlB7dmi53mFJ/+U6vfAAAA&#10;//8DAFBLAwQUAAYACAAAACEAHUOMLtoAAAALAQAADwAAAGRycy9kb3ducmV2LnhtbExPTU/DMAy9&#10;I/EfIiNxY2mhq0rXdOJD487YhVvWeG21xqmSbAv/HiMhwc32e34fzTrZSZzRh9GRgnyRgUDqnBmp&#10;V7D72NxVIELUZPTkCBV8YYB1e33V6Nq4C73jeRt7wSIUaq1giHGupQzdgFaHhZuRGDs4b3Xk1ffS&#10;eH1hcTvJ+ywrpdUjscOgZ3wZsDtuT5ZjyOej3BG+fZZzStVjkVf+daPU7U16WoGImOIfGX7i8w+0&#10;nGnvTmSCmBQUZfHAVAayJXdgRrnMedj/XmTbyP8d2m8AAAD//wMAUEsBAi0AFAAGAAgAAAAhALaD&#10;OJL+AAAA4QEAABMAAAAAAAAAAAAAAAAAAAAAAFtDb250ZW50X1R5cGVzXS54bWxQSwECLQAUAAYA&#10;CAAAACEAOP0h/9YAAACUAQAACwAAAAAAAAAAAAAAAAAvAQAAX3JlbHMvLnJlbHNQSwECLQAUAAYA&#10;CAAAACEALP3Ho+UBAACbAwAADgAAAAAAAAAAAAAAAAAuAgAAZHJzL2Uyb0RvYy54bWxQSwECLQAU&#10;AAYACAAAACEAHUOMLtoAAAALAQAADwAAAAAAAAAAAAAAAAA/BAAAZHJzL2Rvd25yZXYueG1sUEsF&#10;BgAAAAAEAAQA8wAAAEYFAAAAAA==&#10;" strokecolor="windowText">
                <v:stroke joinstyle="miter"/>
              </v:line>
            </w:pict>
          </mc:Fallback>
        </mc:AlternateContent>
      </w:r>
      <w:r>
        <w:rPr>
          <w:noProof/>
          <w:lang w:eastAsia="cs-CZ"/>
        </w:rPr>
        <mc:AlternateContent>
          <mc:Choice Requires="wps">
            <w:drawing>
              <wp:anchor distT="0" distB="0" distL="114300" distR="114300" simplePos="0" relativeHeight="251673600" behindDoc="0" locked="0" layoutInCell="1" allowOverlap="1" wp14:anchorId="57CAEFC6" wp14:editId="1F5D56BF">
                <wp:simplePos x="0" y="0"/>
                <wp:positionH relativeFrom="column">
                  <wp:posOffset>2062480</wp:posOffset>
                </wp:positionH>
                <wp:positionV relativeFrom="paragraph">
                  <wp:posOffset>1496695</wp:posOffset>
                </wp:positionV>
                <wp:extent cx="561975" cy="4763"/>
                <wp:effectExtent l="0" t="0" r="28575" b="33655"/>
                <wp:wrapNone/>
                <wp:docPr id="9" name="Přímá spojnice 9"/>
                <wp:cNvGraphicFramePr/>
                <a:graphic xmlns:a="http://schemas.openxmlformats.org/drawingml/2006/main">
                  <a:graphicData uri="http://schemas.microsoft.com/office/word/2010/wordprocessingShape">
                    <wps:wsp>
                      <wps:cNvCnPr/>
                      <wps:spPr>
                        <a:xfrm flipH="1" flipV="1">
                          <a:off x="0" y="0"/>
                          <a:ext cx="561975"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BC8788" id="Přímá spojnice 9"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162.4pt,117.85pt" to="206.6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3w5wEAAJ0DAAAOAAAAZHJzL2Uyb0RvYy54bWysU8uO0zAU3SPxD5b3NG2hnWnUdBZTDSwQ&#10;VGKY/R3Hboz8kq9p2k9hyQfwFSP+i2snVB3YIbKw7sP35J6Tk/XN0Rp2kBG1dw2fTaacSSd8q92+&#10;4Z/v715dc4YJXAvGO9nwk0R+s3n5Yt2HWs59500rIyMQh3UfGt6lFOqqQtFJCzjxQTpqKh8tJErj&#10;vmoj9IRuTTWfTpdV72MbohcSkarbock3BV8pKdJHpVAmZhpOu6VyxnI+5rParKHeRwidFuMa8A9b&#10;WNCOXnqG2kIC9jXqv6CsFtGjV2kivK28UlrIwoHYzKZ/sPnUQZCFC4mD4SwT/j9Y8eGwi0y3DV9x&#10;5sDSJ9r9/Pb0wz59Zxj8F0f7sVWWqQ9Y0+1bt4tjhmEXM+ejipYpo8M7cgAv0UOOco8YsmOR+3SW&#10;Wx4TE1RcLGerqwVnglpvrpav81uqAS6PhojprfSW5aDhRrusBdRweI9puPr7Si47f6eNoTrUxrGe&#10;CC3mGRzIVcpAotAG4oluzxmYPdlVpFgQ0Rvd5uk8jCe8NZEdgBxDRmt9f08Lc2YAEzWIRXnGZZ+N&#10;5nW2gN0wXFr5GtRWJ3K50bbh15fTxuWuLD4dSWWZB2Fz9OjbU9G7yhl5oCg0+jWb7DKn+PKv2vwC&#10;AAD//wMAUEsDBBQABgAIAAAAIQC417Dk3gAAAAsBAAAPAAAAZHJzL2Rvd25yZXYueG1sTI9Lb8Iw&#10;EITvlfofrK3UW3FepCGNg/oQvZdy6c3ESxIRryPbgPvva07luLOzM98266AndkbrRkMC0kUCDKkz&#10;aqRewO5781QBc16SkpMhFPCLDtbt/V0ja2Uu9IXnre9ZDCFXSwGD93PNuesG1NItzIwUdwdjtfRx&#10;tD1XVl5iuJ54liQl13Kk2DDIGd8H7I7bk44Y/O3Id4SfP+UcQrUq0sp+bIR4fAivL8A8Bv9vhit+&#10;vIE2Mu3NiZRjk4A8KyK6F5Dly2dg0VGkeQ5sf1XKJfC24bc/tH8AAAD//wMAUEsBAi0AFAAGAAgA&#10;AAAhALaDOJL+AAAA4QEAABMAAAAAAAAAAAAAAAAAAAAAAFtDb250ZW50X1R5cGVzXS54bWxQSwEC&#10;LQAUAAYACAAAACEAOP0h/9YAAACUAQAACwAAAAAAAAAAAAAAAAAvAQAAX3JlbHMvLnJlbHNQSwEC&#10;LQAUAAYACAAAACEANpJ98OcBAACdAwAADgAAAAAAAAAAAAAAAAAuAgAAZHJzL2Uyb0RvYy54bWxQ&#10;SwECLQAUAAYACAAAACEAuNew5N4AAAALAQAADwAAAAAAAAAAAAAAAABBBAAAZHJzL2Rvd25yZXYu&#10;eG1sUEsFBgAAAAAEAAQA8wAAAEwFAAAAAA==&#10;" strokecolor="windowText">
                <v:stroke joinstyle="miter"/>
              </v:line>
            </w:pict>
          </mc:Fallback>
        </mc:AlternateContent>
      </w:r>
      <w:r>
        <w:rPr>
          <w:noProof/>
          <w:lang w:eastAsia="cs-CZ"/>
        </w:rPr>
        <mc:AlternateContent>
          <mc:Choice Requires="wps">
            <w:drawing>
              <wp:anchor distT="0" distB="0" distL="114300" distR="114300" simplePos="0" relativeHeight="251672576" behindDoc="0" locked="0" layoutInCell="1" allowOverlap="1" wp14:anchorId="5AD5B2BB" wp14:editId="53368580">
                <wp:simplePos x="0" y="0"/>
                <wp:positionH relativeFrom="column">
                  <wp:posOffset>2614295</wp:posOffset>
                </wp:positionH>
                <wp:positionV relativeFrom="paragraph">
                  <wp:posOffset>1315085</wp:posOffset>
                </wp:positionV>
                <wp:extent cx="1019175" cy="276225"/>
                <wp:effectExtent l="0" t="0" r="28575" b="28575"/>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6225"/>
                        </a:xfrm>
                        <a:prstGeom prst="rect">
                          <a:avLst/>
                        </a:prstGeom>
                        <a:solidFill>
                          <a:srgbClr val="FFFFFF"/>
                        </a:solidFill>
                        <a:ln w="9525">
                          <a:solidFill>
                            <a:srgbClr val="000000"/>
                          </a:solidFill>
                          <a:miter lim="800000"/>
                          <a:headEnd/>
                          <a:tailEnd/>
                        </a:ln>
                      </wps:spPr>
                      <wps:txbx>
                        <w:txbxContent>
                          <w:p w14:paraId="50888CEA" w14:textId="77777777" w:rsidR="001B38A1" w:rsidRDefault="001B38A1" w:rsidP="001B38A1">
                            <w:r>
                              <w:t>75 EUR/MWh</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D5B2BB" id="_x0000_t202" coordsize="21600,21600" o:spt="202" path="m,l,21600r21600,l21600,xe">
                <v:stroke joinstyle="miter"/>
                <v:path gradientshapeok="t" o:connecttype="rect"/>
              </v:shapetype>
              <v:shape id="Textové pole 2" o:spid="_x0000_s1026" type="#_x0000_t202" style="position:absolute;left:0;text-align:left;margin-left:205.85pt;margin-top:103.55pt;width:80.2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DoLQIAAFEEAAAOAAAAZHJzL2Uyb0RvYy54bWysVNtu2zAMfR+wfxD0vviCpGmMOEWXLsOA&#10;7gK0+wBFlmNhkqhJSuzuj/Yd/bFRcppmF+xhmB8EMaQODw/JLK8GrchBOC/B1LSY5JQIw6GRZlfT&#10;z/ebV5eU+MBMwxQYUdMH4enV6uWLZW8rUUIHqhGOIIjxVW9r2oVgqyzzvBOa+QlYYdDZgtMsoOl2&#10;WeNYj+haZWWeX2Q9uMY64MJ7/PVmdNJVwm9bwcPHtvUiEFVT5BbS6dK5jWe2WrJq55jtJD/SYP/A&#10;QjNpMOkJ6oYFRvZO/galJXfgoQ0TDjqDtpVcpBqwmiL/pZq7jlmRakFxvD3J5P8fLP9w+OSIbLB3&#10;JSWGaezRvRgCHB6/EwtKkDJq1FtfYeidxeAwvIYB41O93t4C/+KJgXXHzE5cOwd9J1iDHIv4Mjt7&#10;OuL4CLLt30ODudg+QAIaWqejgCgJQXTs1cOpP8iH8JgyLxbFfEYJR185vyjLWUrBqqfX1vnwVoAm&#10;8VJTh/1P6Oxw60Nkw6qnkJjMg5LNRiqVDLfbrpUjB4azsknfEf2nMGVIX9PFDHP/HSJP358gtAw4&#10;9Erqml6eglgVZXtjmjSSgUk13pGyMkcdo3SjiGHYDqlt05ggaryF5gGFdTDOOO4kXjpw3yjpcb5r&#10;6r/umROUqHcGm7MoptO4EMmYzuYlGu7csz33MMMRqqaBkvG6DmmJogIGrrGJrUz6PjM5Usa5TbIf&#10;dywuxrmdop7/CVY/AAAA//8DAFBLAwQUAAYACAAAACEAjdMkA+EAAAALAQAADwAAAGRycy9kb3du&#10;cmV2LnhtbEyPy07DMBBF90j8gzVIbBC1E9qkhDgVQgLBDgqCrRtPkwg/gu2m4e8ZVrCcmaM759ab&#10;2Ro2YYiDdxKyhQCGrvV6cJ2Et9f7yzWwmJTTyniHEr4xwqY5PalVpf3RveC0TR2jEBcrJaFPaaw4&#10;j22PVsWFH9HRbe+DVYnG0HEd1JHCreG5EAW3anD0oVcj3vXYfm4PVsJ6+Th9xKer5/e22JvrdFFO&#10;D19ByvOz+fYGWMI5/cHwq0/q0JDTzh+cjsxIWGZZSaiEXJQZMCJWZZ4D29FmJQrgTc3/d2h+AAAA&#10;//8DAFBLAQItABQABgAIAAAAIQC2gziS/gAAAOEBAAATAAAAAAAAAAAAAAAAAAAAAABbQ29udGVu&#10;dF9UeXBlc10ueG1sUEsBAi0AFAAGAAgAAAAhADj9If/WAAAAlAEAAAsAAAAAAAAAAAAAAAAALwEA&#10;AF9yZWxzLy5yZWxzUEsBAi0AFAAGAAgAAAAhANAKgOgtAgAAUQQAAA4AAAAAAAAAAAAAAAAALgIA&#10;AGRycy9lMm9Eb2MueG1sUEsBAi0AFAAGAAgAAAAhAI3TJAPhAAAACwEAAA8AAAAAAAAAAAAAAAAA&#10;hwQAAGRycy9kb3ducmV2LnhtbFBLBQYAAAAABAAEAPMAAACVBQAAAAA=&#10;">
                <v:textbox>
                  <w:txbxContent>
                    <w:p w14:paraId="50888CEA" w14:textId="77777777" w:rsidR="001B38A1" w:rsidRDefault="001B38A1" w:rsidP="001B38A1">
                      <w:r>
                        <w:t>75 EUR/</w:t>
                      </w:r>
                      <w:proofErr w:type="spellStart"/>
                      <w:r>
                        <w:t>MWh</w:t>
                      </w:r>
                      <w:proofErr w:type="spellEnd"/>
                    </w:p>
                  </w:txbxContent>
                </v:textbox>
              </v:shape>
            </w:pict>
          </mc:Fallback>
        </mc:AlternateContent>
      </w:r>
      <w:r w:rsidRPr="00103940">
        <w:rPr>
          <w:noProof/>
          <w:lang w:eastAsia="cs-CZ"/>
        </w:rPr>
        <mc:AlternateContent>
          <mc:Choice Requires="wps">
            <w:drawing>
              <wp:anchor distT="0" distB="0" distL="114300" distR="114300" simplePos="0" relativeHeight="251674624" behindDoc="0" locked="0" layoutInCell="1" allowOverlap="1" wp14:anchorId="6DAC69F8" wp14:editId="0A6A5392">
                <wp:simplePos x="0" y="0"/>
                <wp:positionH relativeFrom="column">
                  <wp:posOffset>3862706</wp:posOffset>
                </wp:positionH>
                <wp:positionV relativeFrom="paragraph">
                  <wp:posOffset>391795</wp:posOffset>
                </wp:positionV>
                <wp:extent cx="1143000" cy="276225"/>
                <wp:effectExtent l="0" t="0" r="19050" b="28575"/>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solidFill>
                          <a:srgbClr val="FFFFFF"/>
                        </a:solidFill>
                        <a:ln w="9525">
                          <a:solidFill>
                            <a:srgbClr val="000000"/>
                          </a:solidFill>
                          <a:miter lim="800000"/>
                          <a:headEnd/>
                          <a:tailEnd/>
                        </a:ln>
                      </wps:spPr>
                      <wps:txbx>
                        <w:txbxContent>
                          <w:p w14:paraId="176D3E4D" w14:textId="77777777" w:rsidR="001B38A1" w:rsidRDefault="001B38A1" w:rsidP="001B38A1">
                            <w:r>
                              <w:t>200 EUR/MWh</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AC69F8" id="_x0000_s1027" type="#_x0000_t202" style="position:absolute;left:0;text-align:left;margin-left:304.15pt;margin-top:30.85pt;width:90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TLwIAAFEEAAAOAAAAZHJzL2Uyb0RvYy54bWysVF1u2zAMfh+wOwh6X5x4SdMacYouXYYB&#10;3Q/Q7gCMLMfCZFGTlNjZjXaOXWyUnKbpBuxhWB4EMaQ+fvxIenHdt5rtpfMKTcknozFn0gislNmW&#10;/MvD+tUlZz6AqUCjkSU/SM+vly9fLDpbyBwb1JV0jECMLzpb8iYEW2SZF41swY/QSkPOGl0LgUy3&#10;zSoHHaG3OsvH44usQ1dZh0J6T//eDk6+TPh1LUX4VNdeBqZLTtxCOl06N/HMlgsotg5so8SRBvwD&#10;ixaUoaQnqFsIwHZO/QHVKuHQYx1GAtsM61oJmWqgaibj36q5b8DKVAuJ4+1JJv//YMXH/WfHVEW9&#10;m3NmoKUePcg+4P7nD2ZRS5ZHjTrrCwq9txQc+jfYU3yq19s7FF89M7hqwGzljXPYNRIq4jiJL7Oz&#10;pwOOjyCb7gNWlAt2ARNQX7s2CkiSMEKnXh1O/SE+TMSUk+nr8Zhcgnz5/CLPZykFFI+vrfPhncSW&#10;xUvJHfU/ocP+zofIBorHkJjMo1bVWmmdDLfdrLRje6BZWaffEf1ZmDasK/nVjHL/HYKYRrJD1mcQ&#10;rQo09Fq1Jb88BUERZXtrKnoARQClhztR1uaoY5RuEDH0mz61LSkQNd5gdSBhHQ4zTjtJlwbdd846&#10;mu+S+287cJIz/d5Qc64m02lciGRMZ/OcDHfu2Zx7wAiCKnngbLiuQlqiSNXgDTWxVknfJyZHyjS3&#10;SfbjjsXFOLdT1NOXYPkLAAD//wMAUEsDBBQABgAIAAAAIQAaE/1A3wAAAAoBAAAPAAAAZHJzL2Rv&#10;d25yZXYueG1sTI/LTsMwEEX3SPyDNUhsELXbQhJCnAohgWAHbQVbN3aTCHscbDcNf890Bbt5HN05&#10;U60mZ9loQuw9SpjPBDCDjdc9thK2m6frAlhMCrWyHo2EHxNhVZ+fVarU/ojvZlynllEIxlJJ6FIa&#10;Ss5j0xmn4swPBmm398GpRG1ouQ7qSOHO8oUQGXeqR7rQqcE8dqb5Wh+chOLmZfyMr8u3jybb27t0&#10;lY/P30HKy4vp4R5YMlP6g+GkT+pQk9POH1BHZiVkolgSSsU8B0ZAXpwGOyLF7QJ4XfH/L9S/AAAA&#10;//8DAFBLAQItABQABgAIAAAAIQC2gziS/gAAAOEBAAATAAAAAAAAAAAAAAAAAAAAAABbQ29udGVu&#10;dF9UeXBlc10ueG1sUEsBAi0AFAAGAAgAAAAhADj9If/WAAAAlAEAAAsAAAAAAAAAAAAAAAAALwEA&#10;AF9yZWxzLy5yZWxzUEsBAi0AFAAGAAgAAAAhAKaj+lMvAgAAUQQAAA4AAAAAAAAAAAAAAAAALgIA&#10;AGRycy9lMm9Eb2MueG1sUEsBAi0AFAAGAAgAAAAhABoT/UDfAAAACgEAAA8AAAAAAAAAAAAAAAAA&#10;iQQAAGRycy9kb3ducmV2LnhtbFBLBQYAAAAABAAEAPMAAACVBQAAAAA=&#10;">
                <v:textbox>
                  <w:txbxContent>
                    <w:p w14:paraId="176D3E4D" w14:textId="77777777" w:rsidR="001B38A1" w:rsidRDefault="001B38A1" w:rsidP="001B38A1">
                      <w:r>
                        <w:t>200 EUR/</w:t>
                      </w:r>
                      <w:proofErr w:type="spellStart"/>
                      <w:r>
                        <w:t>MWh</w:t>
                      </w:r>
                      <w:proofErr w:type="spellEnd"/>
                    </w:p>
                  </w:txbxContent>
                </v:textbox>
              </v:shape>
            </w:pict>
          </mc:Fallback>
        </mc:AlternateContent>
      </w:r>
      <w:r w:rsidRPr="00833A57">
        <w:rPr>
          <w:noProof/>
          <w:lang w:eastAsia="cs-CZ"/>
        </w:rPr>
        <w:drawing>
          <wp:inline distT="0" distB="0" distL="0" distR="0" wp14:anchorId="2C14C0E9" wp14:editId="33397F51">
            <wp:extent cx="5760720" cy="1786255"/>
            <wp:effectExtent l="0" t="0" r="0" b="444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786255"/>
                    </a:xfrm>
                    <a:prstGeom prst="rect">
                      <a:avLst/>
                    </a:prstGeom>
                  </pic:spPr>
                </pic:pic>
              </a:graphicData>
            </a:graphic>
          </wp:inline>
        </w:drawing>
      </w:r>
    </w:p>
    <w:p w14:paraId="5B149DAE" w14:textId="77777777" w:rsidR="001B38A1" w:rsidRDefault="001B38A1" w:rsidP="001B38A1">
      <w:pPr>
        <w:jc w:val="both"/>
        <w:rPr>
          <w:i/>
          <w:iCs/>
          <w:sz w:val="18"/>
          <w:szCs w:val="18"/>
        </w:rPr>
      </w:pPr>
    </w:p>
    <w:p w14:paraId="40F20C74" w14:textId="77777777" w:rsidR="001B38A1" w:rsidRDefault="001B38A1" w:rsidP="001B38A1">
      <w:pPr>
        <w:jc w:val="both"/>
        <w:rPr>
          <w:i/>
          <w:iCs/>
          <w:sz w:val="18"/>
          <w:szCs w:val="18"/>
        </w:rPr>
      </w:pPr>
    </w:p>
    <w:p w14:paraId="20D49BBA" w14:textId="77777777" w:rsidR="001B38A1" w:rsidRPr="007C7E82" w:rsidRDefault="001B38A1" w:rsidP="001B38A1">
      <w:pPr>
        <w:jc w:val="both"/>
        <w:rPr>
          <w:i/>
          <w:iCs/>
          <w:sz w:val="18"/>
          <w:szCs w:val="18"/>
        </w:rPr>
      </w:pPr>
      <w:r w:rsidRPr="007C7E82">
        <w:rPr>
          <w:i/>
          <w:iCs/>
          <w:sz w:val="18"/>
          <w:szCs w:val="18"/>
        </w:rPr>
        <w:t xml:space="preserve">Graf: Cena </w:t>
      </w:r>
      <w:r>
        <w:rPr>
          <w:i/>
          <w:iCs/>
          <w:sz w:val="18"/>
          <w:szCs w:val="18"/>
        </w:rPr>
        <w:t>elektřiny</w:t>
      </w:r>
      <w:r w:rsidRPr="007C7E82">
        <w:rPr>
          <w:i/>
          <w:iCs/>
          <w:sz w:val="18"/>
          <w:szCs w:val="18"/>
        </w:rPr>
        <w:t xml:space="preserve"> s dodávkou v</w:t>
      </w:r>
      <w:r>
        <w:rPr>
          <w:i/>
          <w:iCs/>
          <w:sz w:val="18"/>
          <w:szCs w:val="18"/>
        </w:rPr>
        <w:t>e třetím čtvrtletí</w:t>
      </w:r>
      <w:r w:rsidRPr="007C7E82">
        <w:rPr>
          <w:i/>
          <w:iCs/>
          <w:sz w:val="18"/>
          <w:szCs w:val="18"/>
        </w:rPr>
        <w:t xml:space="preserve"> 2022, EUR/MWh</w:t>
      </w:r>
    </w:p>
    <w:p w14:paraId="17670364" w14:textId="77777777" w:rsidR="001B38A1" w:rsidRDefault="001B38A1" w:rsidP="001B38A1">
      <w:pPr>
        <w:jc w:val="both"/>
      </w:pPr>
      <w:r>
        <w:rPr>
          <w:noProof/>
          <w:lang w:eastAsia="cs-CZ"/>
        </w:rPr>
        <mc:AlternateContent>
          <mc:Choice Requires="wpg">
            <w:drawing>
              <wp:anchor distT="0" distB="0" distL="114300" distR="114300" simplePos="0" relativeHeight="251670528" behindDoc="0" locked="0" layoutInCell="1" allowOverlap="1" wp14:anchorId="3FD603A4" wp14:editId="105693C8">
                <wp:simplePos x="0" y="0"/>
                <wp:positionH relativeFrom="margin">
                  <wp:align>center</wp:align>
                </wp:positionH>
                <wp:positionV relativeFrom="paragraph">
                  <wp:posOffset>2305685</wp:posOffset>
                </wp:positionV>
                <wp:extent cx="1590675" cy="280983"/>
                <wp:effectExtent l="0" t="0" r="28575" b="24130"/>
                <wp:wrapNone/>
                <wp:docPr id="18" name="Skupina 18"/>
                <wp:cNvGraphicFramePr/>
                <a:graphic xmlns:a="http://schemas.openxmlformats.org/drawingml/2006/main">
                  <a:graphicData uri="http://schemas.microsoft.com/office/word/2010/wordprocessingGroup">
                    <wpg:wgp>
                      <wpg:cNvGrpSpPr/>
                      <wpg:grpSpPr>
                        <a:xfrm>
                          <a:off x="0" y="0"/>
                          <a:ext cx="1590675" cy="280988"/>
                          <a:chOff x="0" y="0"/>
                          <a:chExt cx="1590675" cy="280983"/>
                        </a:xfrm>
                      </wpg:grpSpPr>
                      <wps:wsp>
                        <wps:cNvPr id="19" name="Textové pole 2"/>
                        <wps:cNvSpPr txBox="1">
                          <a:spLocks noChangeArrowheads="1"/>
                        </wps:cNvSpPr>
                        <wps:spPr bwMode="auto">
                          <a:xfrm>
                            <a:off x="509482" y="4758"/>
                            <a:ext cx="1081193" cy="276225"/>
                          </a:xfrm>
                          <a:prstGeom prst="rect">
                            <a:avLst/>
                          </a:prstGeom>
                          <a:solidFill>
                            <a:srgbClr val="FFFFFF"/>
                          </a:solidFill>
                          <a:ln w="9525">
                            <a:solidFill>
                              <a:srgbClr val="000000"/>
                            </a:solidFill>
                            <a:miter lim="800000"/>
                            <a:headEnd/>
                            <a:tailEnd/>
                          </a:ln>
                        </wps:spPr>
                        <wps:txbx>
                          <w:txbxContent>
                            <w:p w14:paraId="588EAF92" w14:textId="77777777" w:rsidR="001B38A1" w:rsidRDefault="001B38A1" w:rsidP="001B38A1">
                              <w:r>
                                <w:t>230 EUR/MWh</w:t>
                              </w:r>
                            </w:p>
                          </w:txbxContent>
                        </wps:txbx>
                        <wps:bodyPr rot="0" vert="horz" wrap="square" lIns="91440" tIns="45720" rIns="91440" bIns="45720" anchor="t" anchorCtr="0">
                          <a:noAutofit/>
                        </wps:bodyPr>
                      </wps:wsp>
                      <wps:wsp>
                        <wps:cNvPr id="20" name="Přímá spojnice 20"/>
                        <wps:cNvCnPr/>
                        <wps:spPr>
                          <a:xfrm flipH="1" flipV="1">
                            <a:off x="0" y="0"/>
                            <a:ext cx="561975" cy="4763"/>
                          </a:xfrm>
                          <a:prstGeom prst="line">
                            <a:avLst/>
                          </a:prstGeom>
                          <a:noFill/>
                          <a:ln w="9525"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D603A4" id="Skupina 18" o:spid="_x0000_s1028" style="position:absolute;left:0;text-align:left;margin-left:0;margin-top:181.55pt;width:125.25pt;height:22.1pt;z-index:251670528;mso-position-horizontal:center;mso-position-horizontal-relative:margin;mso-width-relative:margin" coordsize="15906,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iSAMAAJoHAAAOAAAAZHJzL2Uyb0RvYy54bWy0Vc1y0zAQvjPDO2h0p3bS/NlTp1P6BzMF&#10;OtPCXZFlW1SWhKTECW/CkSMHnqLDe7GSnTTp36EMPtiSVv60++23q4PDZS3QghnLlcxwby/GiEmq&#10;ci7LDH++Pnszwcg6InMilGQZXjGLD6evXx00OmV9VSmRM4MARNq00RmunNNpFFlasZrYPaWZBGOh&#10;TE0cTE0Z5YY0gF6LqB/Ho6hRJtdGUWYtrJ60RjwN+EXBqPtUFJY5JDIMvrnwNuE98+9oekDS0hBd&#10;cdq5QV7gRU24hEM3UCfEETQ3/AFUzalRVhVuj6o6UkXBKQsxQDS9+F4050bNdYilTJtSb2gCau/x&#10;9GJY+nFxaRDPIXeQKUlqyNHVzVxzSRCsAD2NLlPYdW70lb403ULZznzEy8LU/guxoGUgdrUhli0d&#10;orDYGybxaDzEiIKtP4mTSYAmKa0gPQ9+o9Xpkz/ue5+i9bGR927jTKNBRPaOJ/tvPF1VRLNAv/UM&#10;rHlK1jxdQ3hqcfsLaSUY6rdkha2eKeSWb5WPPejC6gtFbyyS6rgismRHxqimYiQHH3shJO88nOJ/&#10;9aTb1HqQWfNB5ZATMncqAN2jexgng0kfI+B1MB52rG5ojye9XrLf0T4e9fvDHfZIqo1150zVyA8y&#10;bKBewilkcWFdS/R6i8+xVYLnZ1yIMDHl7FgYtCBQW2fh6dB3tgmJmgwnQzj7eYg4PI9B1NxBkxC8&#10;zvBks4mknr5TmYObJHWEi3YM2hASJLKmsCXTLWfLIPORP8DbZipfAcFGtT0BehgMKmW+Y9RAP8iw&#10;/TYnhmEk3ktIUtIbDHwDCZPBcNyHidm2zLYtRFKAyrDDqB0eu9B0vKtSHUEyCx74vfOkcxn02/r3&#10;34XsI2gL/vLPj9vf9e1PZLX6KqEjIbB1NIEkj2VX960mfQxehagQXL/z8g2jL2upP9cIhqNesu4D&#10;g/Fot5gfyFFw6euPpE/IUSqvxZD/LZUh6rNXCALk01pDa7OyhDyIEm4o6swjMlzZjZDhbslV40sb&#10;Mk+sAwO0s43qQF076vbVcUJs1VZBMHnmSPqoZjttkpSFq6mrsV2ltroEjKDgIIfQ5eACCI2vu6z8&#10;DbM9D/vvrtTpXwAAAP//AwBQSwMEFAAGAAgAAAAhALSyVcTgAAAACAEAAA8AAABkcnMvZG93bnJl&#10;di54bWxMj0FLw0AUhO+C/2F5gje7m8bUErMppainItgK0ttr8pqEZt+G7DZJ/73ryR6HGWa+yVaT&#10;acVAvWssa4hmCgRxYcuGKw3f+/enJQjnkUtsLZOGKzlY5fd3GaalHfmLhp2vRChhl6KG2vsuldIV&#10;NRl0M9sRB+9ke4M+yL6SZY9jKDetnCu1kAYbDgs1drSpqTjvLkbDx4jjOo7ehu35tLke9snnzzYi&#10;rR8fpvUrCE+T/w/DH35AhzwwHe2FSydaDeGI1xAv4ghEsOeJSkAcNTyrlxhknsnbA/kvAAAA//8D&#10;AFBLAQItABQABgAIAAAAIQC2gziS/gAAAOEBAAATAAAAAAAAAAAAAAAAAAAAAABbQ29udGVudF9U&#10;eXBlc10ueG1sUEsBAi0AFAAGAAgAAAAhADj9If/WAAAAlAEAAAsAAAAAAAAAAAAAAAAALwEAAF9y&#10;ZWxzLy5yZWxzUEsBAi0AFAAGAAgAAAAhAD8VGmJIAwAAmgcAAA4AAAAAAAAAAAAAAAAALgIAAGRy&#10;cy9lMm9Eb2MueG1sUEsBAi0AFAAGAAgAAAAhALSyVcTgAAAACAEAAA8AAAAAAAAAAAAAAAAAogUA&#10;AGRycy9kb3ducmV2LnhtbFBLBQYAAAAABAAEAPMAAACvBgAAAAA=&#10;">
                <v:shape id="_x0000_s1029" type="#_x0000_t202" style="position:absolute;left:5094;top:47;width:1081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588EAF92" w14:textId="77777777" w:rsidR="001B38A1" w:rsidRDefault="001B38A1" w:rsidP="001B38A1">
                        <w:r>
                          <w:t>230 EUR/</w:t>
                        </w:r>
                        <w:proofErr w:type="spellStart"/>
                        <w:r>
                          <w:t>MWh</w:t>
                        </w:r>
                        <w:proofErr w:type="spellEnd"/>
                      </w:p>
                    </w:txbxContent>
                  </v:textbox>
                </v:shape>
                <v:line id="Přímá spojnice 20" o:spid="_x0000_s1030" style="position:absolute;flip:x y;visibility:visible;mso-wrap-style:square" from="0,0" to="56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uwwAAANsAAAAPAAAAZHJzL2Rvd25yZXYueG1sRI9NawIx&#10;EIbvhf6HMAVvNauIyNYoIrR6EIof0OuwGTeLm8mSRHf9951DocfhnfeZeZbrwbfqQTE1gQ1MxgUo&#10;4irYhmsDl/Pn+wJUysgW28Bk4EkJ1qvXlyWWNvR8pMcp10ognEo04HLuSq1T5chjGoeOWLJriB6z&#10;jLHWNmIvcN/qaVHMtceG5YLDjraOqtvp7oUSr/rw/bXd72bn3k30T9XNnwdjRm/D5gNUpiH/L/+1&#10;99bAVL4XF/EAvfoFAAD//wMAUEsBAi0AFAAGAAgAAAAhANvh9svuAAAAhQEAABMAAAAAAAAAAAAA&#10;AAAAAAAAAFtDb250ZW50X1R5cGVzXS54bWxQSwECLQAUAAYACAAAACEAWvQsW78AAAAVAQAACwAA&#10;AAAAAAAAAAAAAAAfAQAAX3JlbHMvLnJlbHNQSwECLQAUAAYACAAAACEA1kD/rsMAAADbAAAADwAA&#10;AAAAAAAAAAAAAAAHAgAAZHJzL2Rvd25yZXYueG1sUEsFBgAAAAADAAMAtwAAAPcCAAAAAA==&#10;" strokecolor="windowText">
                  <v:stroke joinstyle="miter"/>
                </v:line>
                <w10:wrap anchorx="margin"/>
              </v:group>
            </w:pict>
          </mc:Fallback>
        </mc:AlternateContent>
      </w:r>
      <w:r>
        <w:rPr>
          <w:noProof/>
          <w:lang w:eastAsia="cs-CZ"/>
        </w:rPr>
        <mc:AlternateContent>
          <mc:Choice Requires="wps">
            <w:drawing>
              <wp:anchor distT="0" distB="0" distL="114300" distR="114300" simplePos="0" relativeHeight="251676672" behindDoc="0" locked="0" layoutInCell="1" allowOverlap="1" wp14:anchorId="64701407" wp14:editId="3ABD4F79">
                <wp:simplePos x="0" y="0"/>
                <wp:positionH relativeFrom="column">
                  <wp:posOffset>762000</wp:posOffset>
                </wp:positionH>
                <wp:positionV relativeFrom="paragraph">
                  <wp:posOffset>662305</wp:posOffset>
                </wp:positionV>
                <wp:extent cx="1137920" cy="276225"/>
                <wp:effectExtent l="0" t="0" r="24130" b="28575"/>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276225"/>
                        </a:xfrm>
                        <a:prstGeom prst="rect">
                          <a:avLst/>
                        </a:prstGeom>
                        <a:solidFill>
                          <a:srgbClr val="FFFFFF"/>
                        </a:solidFill>
                        <a:ln w="9525">
                          <a:solidFill>
                            <a:srgbClr val="000000"/>
                          </a:solidFill>
                          <a:miter lim="800000"/>
                          <a:headEnd/>
                          <a:tailEnd/>
                        </a:ln>
                      </wps:spPr>
                      <wps:txbx>
                        <w:txbxContent>
                          <w:p w14:paraId="0FEFF369" w14:textId="77777777" w:rsidR="001B38A1" w:rsidRDefault="001B38A1" w:rsidP="001B38A1">
                            <w:r>
                              <w:t>410 EUR/MWh</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01407" id="_x0000_s1031" type="#_x0000_t202" style="position:absolute;left:0;text-align:left;margin-left:60pt;margin-top:52.15pt;width:89.6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zhLQIAAFEEAAAOAAAAZHJzL2Uyb0RvYy54bWysVEtu2zAQ3RfoHQjua1mqHceC5SB16qJA&#10;+gGSHoCiKIsoyWFJ2lJ6o56jF+uQchz3gy6KckGQmuGbN29mtLoatCIH4bwEU9F8MqVEGA6NNLuK&#10;frrfvrikxAdmGqbAiIo+CE+v1s+frXpbigI6UI1wBEGML3tb0S4EW2aZ553QzE/ACoPGFpxmAa9u&#10;lzWO9YiuVVZMpxdZD66xDrjwHr/ejEa6TvhtK3j40LZeBKIqitxC2l3a67hn6xUrd47ZTvIjDfYP&#10;LDSTBoOeoG5YYGTv5G9QWnIHHtow4aAzaFvJRcoBs8mnv2Rz1zErUi4ojrcnmfz/g+XvDx8dkU1F&#10;i5wSwzTW6F4MAQ7fvxELSpAiatRbX6LrnUXnMLyCAWud8vX2FvhnTwxsOmZ24to56DvBGuSYx5fZ&#10;2dMRx0eQun8HDcZi+wAJaGidjgKiJATRsVYPp/ogH8JjyPzlYlmgiaOtWFwUxTyFYOXja+t8eCNA&#10;k3ioqMP6J3R2uPUhsmHlo0sM5kHJZiuVShe3qzfKkQPDXtmmdUT/yU0Z0ld0OcfYf4eYpvUnCC0D&#10;Nr2SuqKXJydWRtlemya1ZGBSjWekrMxRxyjdKGIY6iGVbREDRI1raB5QWAdjj+NM4qED95WSHvu7&#10;ov7LnjlBiXprsDjLfDaLA5Eus/kiyurOLfW5hRmOUBUNlIzHTUhDFBUwcI1FbGXS94nJkTL2bZL9&#10;OGNxMM7vyevpT7D+AQAA//8DAFBLAwQUAAYACAAAACEAK9Ygq98AAAALAQAADwAAAGRycy9kb3du&#10;cmV2LnhtbEyPQU/DMAyF70j8h8hIXBBL6aqtLU0nhASC2xgIrlnjtRWNU5KsK/8ec4Kbn/30/L1q&#10;M9tBTOhD70jBzSIBgdQ401Or4O314ToHEaImowdHqOAbA2zq87NKl8ad6AWnXWwFh1AotYIuxrGU&#10;MjQdWh0WbkTi28F5qyNL30rj9YnD7SDTJFlJq3viD50e8b7D5nN3tAry7Gn6CM/L7XuzOgxFvFpP&#10;j19eqcuL+e4WRMQ5/pnhF5/RoWamvTuSCWJgzfFs5SHJliDYkRZFCmLPm2ydg6wr+b9D/QMAAP//&#10;AwBQSwECLQAUAAYACAAAACEAtoM4kv4AAADhAQAAEwAAAAAAAAAAAAAAAAAAAAAAW0NvbnRlbnRf&#10;VHlwZXNdLnhtbFBLAQItABQABgAIAAAAIQA4/SH/1gAAAJQBAAALAAAAAAAAAAAAAAAAAC8BAABf&#10;cmVscy8ucmVsc1BLAQItABQABgAIAAAAIQBKaTzhLQIAAFEEAAAOAAAAAAAAAAAAAAAAAC4CAABk&#10;cnMvZTJvRG9jLnhtbFBLAQItABQABgAIAAAAIQAr1iCr3wAAAAsBAAAPAAAAAAAAAAAAAAAAAIcE&#10;AABkcnMvZG93bnJldi54bWxQSwUGAAAAAAQABADzAAAAkwUAAAAA&#10;">
                <v:textbox>
                  <w:txbxContent>
                    <w:p w14:paraId="0FEFF369" w14:textId="77777777" w:rsidR="001B38A1" w:rsidRDefault="001B38A1" w:rsidP="001B38A1">
                      <w:r>
                        <w:t>410 EUR/</w:t>
                      </w:r>
                      <w:proofErr w:type="spellStart"/>
                      <w:r>
                        <w:t>MWh</w:t>
                      </w:r>
                      <w:proofErr w:type="spellEnd"/>
                    </w:p>
                  </w:txbxContent>
                </v:textbox>
              </v:shape>
            </w:pict>
          </mc:Fallback>
        </mc:AlternateContent>
      </w:r>
      <w:r>
        <w:rPr>
          <w:noProof/>
          <w:lang w:eastAsia="cs-CZ"/>
        </w:rPr>
        <mc:AlternateContent>
          <mc:Choice Requires="wps">
            <w:drawing>
              <wp:anchor distT="0" distB="0" distL="114300" distR="114300" simplePos="0" relativeHeight="251671552" behindDoc="0" locked="0" layoutInCell="1" allowOverlap="1" wp14:anchorId="0B9EA343" wp14:editId="5FE9EDB2">
                <wp:simplePos x="0" y="0"/>
                <wp:positionH relativeFrom="column">
                  <wp:posOffset>252095</wp:posOffset>
                </wp:positionH>
                <wp:positionV relativeFrom="paragraph">
                  <wp:posOffset>662305</wp:posOffset>
                </wp:positionV>
                <wp:extent cx="561975" cy="4763"/>
                <wp:effectExtent l="0" t="0" r="28575" b="33655"/>
                <wp:wrapNone/>
                <wp:docPr id="22" name="Přímá spojnice 22"/>
                <wp:cNvGraphicFramePr/>
                <a:graphic xmlns:a="http://schemas.openxmlformats.org/drawingml/2006/main">
                  <a:graphicData uri="http://schemas.microsoft.com/office/word/2010/wordprocessingShape">
                    <wps:wsp>
                      <wps:cNvCnPr/>
                      <wps:spPr>
                        <a:xfrm flipH="1" flipV="1">
                          <a:off x="0" y="0"/>
                          <a:ext cx="561975"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B8A482" id="Přímá spojnice 22"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19.85pt,52.15pt" to="64.1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H6QEAAJ8DAAAOAAAAZHJzL2Uyb0RvYy54bWysU8uO0zAU3SPxD5b3NG2hnZmo6SymGlgg&#10;qMTA/o5jJ0Z+ydc07aew5AP4ihH/xbUTqgI7RBbWffie3HNysrk9WsMOMqL2ruGL2Zwz6YRvtesa&#10;/vHh/sU1Z5jAtWC8kw0/SeS32+fPNkOo5dL33rQyMgJxWA+h4X1Koa4qFL20gDMfpKOm8tFCojR2&#10;VRthIHRrquV8vq4GH9sQvZCIVN2NTb4t+EpJkd4rhTIx03DaLZUzlvMxn9V2A3UXIfRaTGvAP2xh&#10;QTt66RlqBwnYl6j/grJaRI9epZnwtvJKaSELB2KzmP/B5kMPQRYuJA6Gs0z4/2DFu8M+Mt02fLnk&#10;zIGlb7T/8fXpu336xjD4z44WZNQjoYaANd2/c/s4ZRj2MbM+qmiZMjq8IQ/wEn3KUe4RR3Ysgp/O&#10;gstjYoKKq/Xi5mrFmaDWq6v1y/yWaoTLoyFiei29ZTlouNEuqwE1HN5iGq/+upLLzt9rY6gOtXFs&#10;aPjNapnBgXylDCQKbSCm6DrOwHRkWJFiQURvdJun8zCe8M5EdgDyDFmt9cMDLcyZAUzUIBblmZb9&#10;bTSvswPsx+HSytegtjqRz422Db++nDYud2Vx6kQqyzwKm6NH356K3lXOyAVFocmx2WaXOcWX/9X2&#10;JwAAAP//AwBQSwMEFAAGAAgAAAAhAD9m4/7cAAAACgEAAA8AAABkcnMvZG93bnJldi54bWxMj81u&#10;wjAQhO+V+g7WVuqtOAmUhhAH9Uf0XsqlNxMvSUS8jmID7tt3cyrHnZ2d/abcRNuLC46+c6QgnSUg&#10;kGpnOmoU7L+3TzkIHzQZ3TtCBb/oYVPd35W6MO5KX3jZhUZwCPlCK2hDGAopfd2i1X7mBiTeHd1o&#10;deBxbKQZ9ZXDbS+zJFlKqzviD60e8L3F+rQ7W8aQbye5J/z8WQ4x5qtFmo8fW6UeH+LrGkTAGP7N&#10;MOHzDVTMdHBnMl70CuarF3aynizmICZDlmcgDpPynIKsSnlbofoDAAD//wMAUEsBAi0AFAAGAAgA&#10;AAAhALaDOJL+AAAA4QEAABMAAAAAAAAAAAAAAAAAAAAAAFtDb250ZW50X1R5cGVzXS54bWxQSwEC&#10;LQAUAAYACAAAACEAOP0h/9YAAACUAQAACwAAAAAAAAAAAAAAAAAvAQAAX3JlbHMvLnJlbHNQSwEC&#10;LQAUAAYACAAAACEAMvsBh+kBAACfAwAADgAAAAAAAAAAAAAAAAAuAgAAZHJzL2Uyb0RvYy54bWxQ&#10;SwECLQAUAAYACAAAACEAP2bj/twAAAAKAQAADwAAAAAAAAAAAAAAAABDBAAAZHJzL2Rvd25yZXYu&#10;eG1sUEsFBgAAAAAEAAQA8wAAAEwFAAAAAA==&#10;" strokecolor="windowText">
                <v:stroke joinstyle="miter"/>
              </v:line>
            </w:pict>
          </mc:Fallback>
        </mc:AlternateContent>
      </w:r>
      <w:r w:rsidRPr="00833A57">
        <w:rPr>
          <w:noProof/>
          <w:lang w:eastAsia="cs-CZ"/>
        </w:rPr>
        <w:drawing>
          <wp:inline distT="0" distB="0" distL="0" distR="0" wp14:anchorId="2C50B3E3" wp14:editId="2F11C65C">
            <wp:extent cx="5760720" cy="26543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654300"/>
                    </a:xfrm>
                    <a:prstGeom prst="rect">
                      <a:avLst/>
                    </a:prstGeom>
                  </pic:spPr>
                </pic:pic>
              </a:graphicData>
            </a:graphic>
          </wp:inline>
        </w:drawing>
      </w:r>
    </w:p>
    <w:p w14:paraId="65F9DE7B" w14:textId="77777777" w:rsidR="001B38A1" w:rsidRDefault="001B38A1" w:rsidP="001B38A1">
      <w:pPr>
        <w:jc w:val="both"/>
      </w:pPr>
    </w:p>
    <w:p w14:paraId="3DD8F5A4" w14:textId="77777777" w:rsidR="001B38A1" w:rsidRPr="008438E0" w:rsidRDefault="001B38A1" w:rsidP="001B38A1">
      <w:pPr>
        <w:pStyle w:val="Odstavecseseznamem"/>
        <w:numPr>
          <w:ilvl w:val="0"/>
          <w:numId w:val="3"/>
        </w:numPr>
        <w:jc w:val="both"/>
        <w:rPr>
          <w:b/>
          <w:bCs/>
          <w:u w:val="single"/>
        </w:rPr>
      </w:pPr>
      <w:r>
        <w:rPr>
          <w:b/>
          <w:bCs/>
          <w:u w:val="single"/>
        </w:rPr>
        <w:t xml:space="preserve"> </w:t>
      </w:r>
      <w:r w:rsidRPr="00230081">
        <w:rPr>
          <w:b/>
          <w:u w:val="single"/>
        </w:rPr>
        <w:t>Extrémně volatilní</w:t>
      </w:r>
      <w:r w:rsidRPr="00230081">
        <w:rPr>
          <w:b/>
          <w:bCs/>
          <w:u w:val="single"/>
        </w:rPr>
        <w:t xml:space="preserve"> trh</w:t>
      </w:r>
      <w:r w:rsidRPr="008438E0">
        <w:rPr>
          <w:b/>
          <w:bCs/>
          <w:u w:val="single"/>
        </w:rPr>
        <w:t xml:space="preserve"> s energiemi zásadně ovlivní národní hospodářství </w:t>
      </w:r>
    </w:p>
    <w:p w14:paraId="47547011" w14:textId="77777777" w:rsidR="001B38A1" w:rsidRDefault="001B38A1" w:rsidP="001B38A1">
      <w:pPr>
        <w:jc w:val="both"/>
      </w:pPr>
      <w:r>
        <w:t xml:space="preserve">I v budoucnu budou v prvé řadě i ti nejsilnější výrobci čelit vysokým požadavkům na likviditu v řádech miliard EUR, které při tak významné události na trhu, jako je typicky zastavení dodávek plynu, mohou vzrůst nad možnosti dostát svým závazkům marginy složit, navíc v extrémně krátké lhůtě jednoho dne. Tyto požadavky jsou v takovém rozsahu, že ani komerční banky nejsou schopny je v důsledku regulace finančního trhu vykrýt svými finančními nástroji. Platební neschopnost (byť krátkodobá) může způsobit akceleraci jiných dluhů a vést tak k fatálním důsledkům výrobců samotných. S vědomím, že někteří z nich jsou současně dodavateli poslední instance, není vyloučena situace, že trh s energiemi bude zcela paralyzován a sním tak i celé národní hospodářství. Pro jeho obnovení pak bude potřeba použít podobných nástrojů, jaké se historicky použily při záchraně systémových finančních institucí. Tyto nástroje bývají pro státy vždy enormně nákladné. Nelze přehlížet ani skutečnost, že zejména významní výrobci působící na trhu s energiemi jsou současně významnými dlužníky finančních institucí působících v České republice (i mimo ni). Je tedy zřejmé, že krizí vzniklou na energetickém trhu bude dotčen i trh finanční. </w:t>
      </w:r>
    </w:p>
    <w:p w14:paraId="0D5C0DB4" w14:textId="77777777" w:rsidR="001B38A1" w:rsidRDefault="001B38A1" w:rsidP="001B38A1">
      <w:pPr>
        <w:jc w:val="both"/>
      </w:pPr>
      <w:r>
        <w:t xml:space="preserve">Popisovaná hrozba dopadá na všechny významné energetické společnosti v Evropě, proto se zástupci evropských obchodníků s elektřinou sdružení v EFET (Evropské sdružení obchodníků s elektřinou) snažili najít centralizované řešení na úrovni Evropských finančních institucí. ECB sice potvrdila, že problém považuje za extrémně vážný a ujistila EFET, že bude podporovat jednání o nalezení řešení, ale zároveň jasně konstatovala, že k řešení problémů na komoditních trzích nemá mandát a odkázala </w:t>
      </w:r>
      <w:r>
        <w:br/>
        <w:t xml:space="preserve">na řešení na národní úrovni.  </w:t>
      </w:r>
    </w:p>
    <w:p w14:paraId="1F86577C" w14:textId="77777777" w:rsidR="001B38A1" w:rsidRDefault="001B38A1" w:rsidP="001B38A1">
      <w:pPr>
        <w:jc w:val="both"/>
      </w:pPr>
      <w:r>
        <w:t>Z veřejných zdrojů jsou tak známé případy, kdy společnost Uniper (s 3x vyšší výrobní kapacitou než ČEZ, a.s.) byla nucena složit 11 mld. EUR, tento závazek nakonec zafinancovala mimo jiné půjčkou od německé státní rozvojové banky KfW. Po této zkušenosti vláda v Německu vydala záruku 100mld EUR ve prospěch tamější státní rozvojové banky KfW, aby mohla získat financování margins pro tamější energetické firmy. O pomoc „své vlády“ požádaly rovněž významné energetiky ve Švýcarsku, Francii či dalších státech.</w:t>
      </w:r>
    </w:p>
    <w:p w14:paraId="7FD6E026" w14:textId="77777777" w:rsidR="001B38A1" w:rsidRPr="00DA0E2F" w:rsidRDefault="001B38A1" w:rsidP="001B38A1">
      <w:pPr>
        <w:jc w:val="both"/>
      </w:pPr>
      <w:r>
        <w:t xml:space="preserve">  </w:t>
      </w:r>
    </w:p>
    <w:p w14:paraId="7162032B" w14:textId="77777777" w:rsidR="001B38A1" w:rsidRPr="00D56806" w:rsidRDefault="001B38A1" w:rsidP="001B38A1">
      <w:pPr>
        <w:pStyle w:val="Odstavecseseznamem"/>
        <w:numPr>
          <w:ilvl w:val="0"/>
          <w:numId w:val="3"/>
        </w:numPr>
        <w:jc w:val="both"/>
      </w:pPr>
      <w:r w:rsidRPr="00142125">
        <w:rPr>
          <w:b/>
          <w:bCs/>
          <w:u w:val="single"/>
        </w:rPr>
        <w:t xml:space="preserve">Řešení v rámci českého právního řádu </w:t>
      </w:r>
      <w:r w:rsidRPr="000F165A">
        <w:t xml:space="preserve"> </w:t>
      </w:r>
    </w:p>
    <w:p w14:paraId="58208214" w14:textId="77777777" w:rsidR="001B38A1" w:rsidRDefault="001B38A1" w:rsidP="001B38A1">
      <w:pPr>
        <w:jc w:val="both"/>
      </w:pPr>
      <w:r>
        <w:t xml:space="preserve">V souladu se zahraniční zkušeností je zřejmé, že ve stávající situaci v oblasti margin calls je jediným realistickým řešením angažmá státu, který jediný může reagovat na prakticky neomezený růst cen a s nimi neomezený růst požadavků na margining. Zejména scénář kompletního zastavení dodávek plynu z Ruska pak může být spojen s prakticky a v krátkém horizontu se shora neomezenými cenami energií a v konečném důsledku vést k realizaci výše popsaných scénářů s neodvratitelnými dopady do národního hospodářství. </w:t>
      </w:r>
    </w:p>
    <w:p w14:paraId="722B2409" w14:textId="77777777" w:rsidR="001B38A1" w:rsidRDefault="001B38A1" w:rsidP="001B38A1">
      <w:pPr>
        <w:jc w:val="both"/>
      </w:pPr>
      <w:r w:rsidRPr="002E0DDA">
        <w:t xml:space="preserve">Zákon č. 218/2000 sb., o rozpočtových pravidlech ve svém § 35 odst. 5 mimo jiné stanoví, že </w:t>
      </w:r>
      <w:r w:rsidRPr="002E0DDA">
        <w:rPr>
          <w:b/>
          <w:bCs/>
        </w:rPr>
        <w:t>Ministerstvo financí je oprávněno ze státní pokladny poskytovat zápůjčky nebo úvěry, rozhodne-li vláda, že zápůjčka nebo úvěr jsou nezbytné k odvrácení škod v národním hospodářství</w:t>
      </w:r>
      <w:r w:rsidRPr="002E0DDA">
        <w:t>.</w:t>
      </w:r>
      <w:r>
        <w:t xml:space="preserve"> </w:t>
      </w:r>
    </w:p>
    <w:p w14:paraId="7C126740" w14:textId="54015B00" w:rsidR="001B38A1" w:rsidRDefault="001B38A1" w:rsidP="001B38A1">
      <w:pPr>
        <w:jc w:val="both"/>
      </w:pPr>
      <w:r>
        <w:t>Z ustanovení § 35 odst. 6 téhož zákona</w:t>
      </w:r>
      <w:r w:rsidR="00785EED">
        <w:t xml:space="preserve"> vyplývá</w:t>
      </w:r>
      <w:r>
        <w:t>, že tako poskytnutý úvěr není výdajem státního rozpočtu, stejně jako nejsou splátky tohoto úvěru příjmem státního rozpočtu. Příjmem státního rozpočtu jsou nicméně úroky a jiné příjmy z tohoto úvěru.</w:t>
      </w:r>
    </w:p>
    <w:p w14:paraId="690FF75C" w14:textId="77777777" w:rsidR="001B38A1" w:rsidRDefault="001B38A1" w:rsidP="001B38A1">
      <w:pPr>
        <w:jc w:val="both"/>
      </w:pPr>
      <w:r>
        <w:t xml:space="preserve">Navrhuje se, aby vláda rozhodla, že Ministerstvo financí je oprávněno za účelem odvrácení škod v národním hospodářství poskytnout úvěr za podmínek, které zaručí, že úvěr bude použit výhradně na úzce vymezené účely řešící problematiku marginingu a současně bude strukturován tak, aby jako nástroj pomoci nastoupil tehdy, když všechny ostatní možnosti řešení přestanou být dostupné.  </w:t>
      </w:r>
    </w:p>
    <w:p w14:paraId="24918108" w14:textId="77777777" w:rsidR="001B38A1" w:rsidRDefault="001B38A1" w:rsidP="001B38A1">
      <w:pPr>
        <w:jc w:val="both"/>
      </w:pPr>
      <w:bookmarkStart w:id="2" w:name="_Hlk104148797"/>
      <w:r w:rsidRPr="006B7F67">
        <w:t xml:space="preserve">Ministerstvo financí </w:t>
      </w:r>
      <w:r w:rsidRPr="002E0DDA">
        <w:t>je oprávněno požadovat odpovídající zajištění závazku dlužníka z úvěrové smlouvy, a to například v podobě zástavy akcií dlužníka. Zajištění závazku nebude zpravidla Ministerstvo financí požadovat</w:t>
      </w:r>
      <w:r w:rsidRPr="006B7F67">
        <w:t xml:space="preserve"> v případě, že dlužník má rating BBB+ nebo příznivější.</w:t>
      </w:r>
      <w:r>
        <w:t xml:space="preserve"> Za rating je považován rating emitenta vydaný Standard and Poors, Moody´s nebo Fitch; v případě existence více ratingů od více ratingových agentur se použije nejhorší z nich.</w:t>
      </w:r>
    </w:p>
    <w:bookmarkEnd w:id="2"/>
    <w:p w14:paraId="7D0FC600" w14:textId="77777777" w:rsidR="001B38A1" w:rsidRPr="000719E5" w:rsidRDefault="001B38A1" w:rsidP="001B38A1">
      <w:pPr>
        <w:pStyle w:val="Normlnweb"/>
        <w:jc w:val="both"/>
        <w:rPr>
          <w:rFonts w:asciiTheme="minorHAnsi" w:hAnsiTheme="minorHAnsi" w:cstheme="minorHAnsi"/>
          <w:color w:val="000000"/>
          <w:sz w:val="22"/>
          <w:szCs w:val="22"/>
        </w:rPr>
      </w:pPr>
      <w:r w:rsidRPr="000719E5">
        <w:rPr>
          <w:rFonts w:asciiTheme="minorHAnsi" w:hAnsiTheme="minorHAnsi" w:cstheme="minorHAnsi"/>
          <w:sz w:val="22"/>
          <w:szCs w:val="22"/>
        </w:rPr>
        <w:t xml:space="preserve">V podmínkách úvěru jsou současně zohledněny podmínky obsažené </w:t>
      </w:r>
      <w:r w:rsidRPr="009F705B">
        <w:rPr>
          <w:rFonts w:asciiTheme="minorHAnsi" w:hAnsiTheme="minorHAnsi" w:cstheme="minorHAnsi"/>
          <w:b/>
          <w:sz w:val="22"/>
          <w:szCs w:val="22"/>
        </w:rPr>
        <w:t xml:space="preserve">ve sdělení Komise - Dočasný krizový rámec pro opatření státní podpory na podporu hospodářství po agresi Ruska vůči Ukrajině </w:t>
      </w:r>
      <w:r w:rsidRPr="009F705B">
        <w:rPr>
          <w:rFonts w:asciiTheme="minorHAnsi" w:hAnsiTheme="minorHAnsi" w:cstheme="minorHAnsi"/>
          <w:b/>
          <w:sz w:val="22"/>
          <w:szCs w:val="22"/>
        </w:rPr>
        <w:br/>
        <w:t>č. (2022/C 131 I/01) ze dne 24. března 2022</w:t>
      </w:r>
      <w:r w:rsidRPr="000719E5">
        <w:rPr>
          <w:rFonts w:asciiTheme="minorHAnsi" w:hAnsiTheme="minorHAnsi" w:cstheme="minorHAnsi"/>
          <w:sz w:val="22"/>
          <w:szCs w:val="22"/>
        </w:rPr>
        <w:t xml:space="preserve"> (dále jen „Rámec“). Přijetím Rámce Evropská </w:t>
      </w:r>
      <w:r w:rsidRPr="000719E5">
        <w:rPr>
          <w:rStyle w:val="Zdraznn"/>
          <w:rFonts w:asciiTheme="minorHAnsi" w:hAnsiTheme="minorHAnsi" w:cstheme="minorHAnsi"/>
          <w:i w:val="0"/>
          <w:color w:val="000000"/>
          <w:sz w:val="22"/>
          <w:szCs w:val="22"/>
        </w:rPr>
        <w:t>Komise členským státům umožnila využít k řešení bezprecedentní situace flexibilitu, již pravidla veřejné podpory nabízejí,</w:t>
      </w:r>
      <w:r w:rsidRPr="000719E5">
        <w:rPr>
          <w:rFonts w:asciiTheme="minorHAnsi" w:hAnsiTheme="minorHAnsi" w:cstheme="minorHAnsi"/>
          <w:color w:val="000000"/>
          <w:sz w:val="22"/>
          <w:szCs w:val="22"/>
        </w:rPr>
        <w:t> </w:t>
      </w:r>
      <w:r w:rsidRPr="000719E5">
        <w:rPr>
          <w:rStyle w:val="Zdraznn"/>
          <w:rFonts w:asciiTheme="minorHAnsi" w:hAnsiTheme="minorHAnsi" w:cstheme="minorHAnsi"/>
          <w:i w:val="0"/>
          <w:color w:val="000000"/>
          <w:sz w:val="22"/>
          <w:szCs w:val="22"/>
        </w:rPr>
        <w:t>a zároveň zajistí ochranu rovných podmínek na jednotném trhu. Dočasný krizový rámec tak doplňuje stávající soubor nástrojů veřejné podpory o řadu dalších možností</w:t>
      </w:r>
    </w:p>
    <w:p w14:paraId="612BF3BF" w14:textId="77777777" w:rsidR="001B38A1" w:rsidRDefault="001B38A1" w:rsidP="001B38A1">
      <w:pPr>
        <w:jc w:val="both"/>
      </w:pPr>
      <w:r>
        <w:t>S</w:t>
      </w:r>
      <w:r w:rsidRPr="00FA4A1E">
        <w:t xml:space="preserve">hodně s Rámcem </w:t>
      </w:r>
      <w:r>
        <w:t>Ministerstvo financí</w:t>
      </w:r>
      <w:r w:rsidRPr="00FA4A1E">
        <w:t xml:space="preserve"> konstatuje, že ruská agrese proti Ukrajině, sankce uložené Evropskou unií a příslušná protiopatření například Ruska, ovlivňují reálnou ekonomiku</w:t>
      </w:r>
      <w:r>
        <w:t>. Vzhledem k výše uvedenému se tak n</w:t>
      </w:r>
      <w:r w:rsidRPr="00FA4A1E">
        <w:t xml:space="preserve">avrhují </w:t>
      </w:r>
      <w:r w:rsidRPr="002E0DDA">
        <w:t>opatření na podporu likvidity ve formě úvěrů v souladu s částí 2.3 „Podpora likvidity ve formě subvencovaných úvěrů“</w:t>
      </w:r>
      <w:r w:rsidRPr="002E0DDA">
        <w:rPr>
          <w:rStyle w:val="Znakapoznpodarou"/>
        </w:rPr>
        <w:footnoteReference w:id="1"/>
      </w:r>
      <w:r w:rsidRPr="002E0DDA">
        <w:t xml:space="preserve"> Rámce,</w:t>
      </w:r>
      <w:r>
        <w:t xml:space="preserve"> a to za podmínek uvedených dále.</w:t>
      </w:r>
    </w:p>
    <w:p w14:paraId="6E32C911" w14:textId="77777777" w:rsidR="001B38A1" w:rsidRPr="00C430EA" w:rsidRDefault="001B38A1" w:rsidP="001B38A1">
      <w:pPr>
        <w:jc w:val="both"/>
        <w:rPr>
          <w:rFonts w:cstheme="minorHAnsi"/>
          <w:b/>
        </w:rPr>
      </w:pPr>
      <w:r w:rsidRPr="000719E5">
        <w:rPr>
          <w:rStyle w:val="Siln"/>
          <w:rFonts w:cstheme="minorHAnsi"/>
          <w:b w:val="0"/>
          <w:color w:val="414042"/>
          <w:bdr w:val="none" w:sz="0" w:space="0" w:color="auto" w:frame="1"/>
          <w:shd w:val="clear" w:color="auto" w:fill="FFFFFF"/>
        </w:rPr>
        <w:t>Podporu poskytovanou na základě dočasného krizového rámce musí poskytovatel notifikovat Evropské komisi, prostřednictvím Úřadu pro ochranu hospodářské soutěže.</w:t>
      </w:r>
      <w:r w:rsidRPr="00C430EA">
        <w:rPr>
          <w:rStyle w:val="Siln"/>
          <w:rFonts w:cstheme="minorHAnsi"/>
          <w:b w:val="0"/>
          <w:color w:val="414042"/>
          <w:bdr w:val="none" w:sz="0" w:space="0" w:color="auto" w:frame="1"/>
          <w:shd w:val="clear" w:color="auto" w:fill="FFFFFF"/>
        </w:rPr>
        <w:t> </w:t>
      </w:r>
    </w:p>
    <w:p w14:paraId="2D58737C" w14:textId="77777777" w:rsidR="001B38A1" w:rsidRPr="00466F13" w:rsidRDefault="001B38A1" w:rsidP="001B38A1">
      <w:pPr>
        <w:pStyle w:val="Odstavecseseznamem"/>
        <w:numPr>
          <w:ilvl w:val="0"/>
          <w:numId w:val="3"/>
        </w:numPr>
        <w:jc w:val="both"/>
        <w:rPr>
          <w:b/>
          <w:bCs/>
          <w:u w:val="single"/>
        </w:rPr>
      </w:pPr>
      <w:r w:rsidRPr="00283470">
        <w:rPr>
          <w:b/>
          <w:bCs/>
          <w:u w:val="single"/>
        </w:rPr>
        <w:t>Podmínky úvěru</w:t>
      </w:r>
    </w:p>
    <w:p w14:paraId="35531B83" w14:textId="77777777" w:rsidR="001B38A1" w:rsidRDefault="001B38A1" w:rsidP="001B38A1">
      <w:pPr>
        <w:jc w:val="both"/>
      </w:pPr>
      <w:r>
        <w:t>Podmínky úvěru jsou následující: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1B38A1" w14:paraId="7CA98022" w14:textId="77777777" w:rsidTr="00960FD5">
        <w:tc>
          <w:tcPr>
            <w:tcW w:w="1696" w:type="dxa"/>
          </w:tcPr>
          <w:p w14:paraId="505344A9" w14:textId="77777777" w:rsidR="001B38A1" w:rsidRPr="00E74725" w:rsidRDefault="001B38A1" w:rsidP="00960FD5">
            <w:pPr>
              <w:rPr>
                <w:b/>
                <w:bCs/>
              </w:rPr>
            </w:pPr>
            <w:r w:rsidRPr="00E74725">
              <w:rPr>
                <w:b/>
                <w:bCs/>
              </w:rPr>
              <w:t>Účel úvěru</w:t>
            </w:r>
          </w:p>
        </w:tc>
        <w:tc>
          <w:tcPr>
            <w:tcW w:w="7366" w:type="dxa"/>
          </w:tcPr>
          <w:p w14:paraId="257DD998" w14:textId="530D040A" w:rsidR="001B38A1" w:rsidRDefault="001B38A1" w:rsidP="00960FD5">
            <w:r>
              <w:t>Financování požadavků „margins“ vyžadovaných komoditními burzami a/nebo profesionálními protistranami na velkoobchodním trhu</w:t>
            </w:r>
            <w:r w:rsidR="00785EED">
              <w:t>,</w:t>
            </w:r>
            <w:r>
              <w:t xml:space="preserve"> a to vždy v souvislosti s obchodováním s elektřinou, plynem a/nebo povolenkami </w:t>
            </w:r>
          </w:p>
          <w:p w14:paraId="681159A8" w14:textId="77777777" w:rsidR="001B38A1" w:rsidRDefault="001B38A1" w:rsidP="00960FD5"/>
        </w:tc>
      </w:tr>
      <w:tr w:rsidR="001B38A1" w:rsidRPr="009E7475" w14:paraId="7E5CA0D5" w14:textId="77777777" w:rsidTr="00960FD5">
        <w:tc>
          <w:tcPr>
            <w:tcW w:w="1696" w:type="dxa"/>
          </w:tcPr>
          <w:p w14:paraId="0DA58D18" w14:textId="77777777" w:rsidR="001B38A1" w:rsidRPr="00E74725" w:rsidRDefault="001B38A1" w:rsidP="00960FD5">
            <w:pPr>
              <w:rPr>
                <w:b/>
                <w:bCs/>
              </w:rPr>
            </w:pPr>
            <w:r>
              <w:rPr>
                <w:b/>
                <w:bCs/>
              </w:rPr>
              <w:t xml:space="preserve"> </w:t>
            </w:r>
          </w:p>
        </w:tc>
        <w:tc>
          <w:tcPr>
            <w:tcW w:w="7366" w:type="dxa"/>
          </w:tcPr>
          <w:p w14:paraId="23228532" w14:textId="77777777" w:rsidR="001B38A1" w:rsidRPr="009E7475" w:rsidRDefault="001B38A1" w:rsidP="00960FD5"/>
        </w:tc>
      </w:tr>
      <w:tr w:rsidR="001B38A1" w14:paraId="34B0FA55" w14:textId="77777777" w:rsidTr="00960FD5">
        <w:tc>
          <w:tcPr>
            <w:tcW w:w="1696" w:type="dxa"/>
          </w:tcPr>
          <w:p w14:paraId="42930B22" w14:textId="77777777" w:rsidR="001B38A1" w:rsidRPr="00945A0F" w:rsidRDefault="001B38A1" w:rsidP="00960FD5">
            <w:pPr>
              <w:rPr>
                <w:b/>
                <w:bCs/>
                <w:highlight w:val="yellow"/>
              </w:rPr>
            </w:pPr>
            <w:r w:rsidRPr="008E316D">
              <w:rPr>
                <w:b/>
                <w:bCs/>
              </w:rPr>
              <w:t xml:space="preserve">Oprávnění příjemci </w:t>
            </w:r>
          </w:p>
        </w:tc>
        <w:tc>
          <w:tcPr>
            <w:tcW w:w="7366" w:type="dxa"/>
          </w:tcPr>
          <w:p w14:paraId="1E1EE5A7" w14:textId="5C3B3196" w:rsidR="001B38A1" w:rsidRDefault="001B38A1" w:rsidP="00960FD5">
            <w:bookmarkStart w:id="3" w:name="_Hlk101536647"/>
            <w:bookmarkStart w:id="4" w:name="_Hlk107297257"/>
            <w:r w:rsidRPr="00F86601">
              <w:t xml:space="preserve">Účastník trhu s elektřinou, který provozuje zařízení pro výrobu elektřiny v ČR </w:t>
            </w:r>
            <w:r w:rsidRPr="00F86601">
              <w:br/>
              <w:t>o celkové instalované kapacitě vyšší než [1</w:t>
            </w:r>
            <w:r w:rsidR="00F86601" w:rsidRPr="00F86601">
              <w:t>0</w:t>
            </w:r>
            <w:r w:rsidRPr="00F86601">
              <w:t xml:space="preserve">0] MW a zároveň realizuje či zprostředkovává prodej elektřiny </w:t>
            </w:r>
            <w:bookmarkEnd w:id="3"/>
            <w:r w:rsidRPr="00F86601">
              <w:t>vyrobené v ČR v objemu, který na zbytek roku 2022 a rok 2023 převyšuje [1] TWh. Z</w:t>
            </w:r>
            <w:r>
              <w:t>a oprávněného příjemce se považuje také účetně konsolidovaná skupina majetkově propojených osob splňující výše uvedené podmínky.</w:t>
            </w:r>
          </w:p>
          <w:bookmarkEnd w:id="4"/>
          <w:p w14:paraId="225D0A64" w14:textId="77777777" w:rsidR="001B38A1" w:rsidRDefault="001B38A1" w:rsidP="00960FD5"/>
          <w:p w14:paraId="6664662F" w14:textId="77777777" w:rsidR="001B38A1" w:rsidRDefault="001B38A1" w:rsidP="00960FD5"/>
        </w:tc>
      </w:tr>
      <w:tr w:rsidR="001B38A1" w14:paraId="3D7A2FFD" w14:textId="77777777" w:rsidTr="00960FD5">
        <w:tc>
          <w:tcPr>
            <w:tcW w:w="1696" w:type="dxa"/>
          </w:tcPr>
          <w:p w14:paraId="04805FE1" w14:textId="77777777" w:rsidR="001B38A1" w:rsidRDefault="001B38A1" w:rsidP="00960FD5">
            <w:pPr>
              <w:rPr>
                <w:b/>
                <w:bCs/>
              </w:rPr>
            </w:pPr>
            <w:r w:rsidRPr="00E74725">
              <w:rPr>
                <w:b/>
                <w:bCs/>
              </w:rPr>
              <w:t xml:space="preserve">Celkový objem </w:t>
            </w:r>
          </w:p>
          <w:p w14:paraId="4BEAFBC7" w14:textId="77777777" w:rsidR="001B38A1" w:rsidRDefault="001B38A1" w:rsidP="00960FD5">
            <w:pPr>
              <w:rPr>
                <w:b/>
                <w:bCs/>
              </w:rPr>
            </w:pPr>
          </w:p>
          <w:p w14:paraId="10C9CE3F" w14:textId="77777777" w:rsidR="001B38A1" w:rsidRPr="00E74725" w:rsidRDefault="001B38A1" w:rsidP="00960FD5">
            <w:pPr>
              <w:rPr>
                <w:b/>
                <w:bCs/>
              </w:rPr>
            </w:pPr>
            <w:r>
              <w:rPr>
                <w:b/>
                <w:bCs/>
              </w:rPr>
              <w:t>Alokace</w:t>
            </w:r>
          </w:p>
        </w:tc>
        <w:tc>
          <w:tcPr>
            <w:tcW w:w="7366" w:type="dxa"/>
          </w:tcPr>
          <w:p w14:paraId="28FA0F45" w14:textId="77777777" w:rsidR="001B38A1" w:rsidRDefault="001B38A1" w:rsidP="00960FD5">
            <w:r>
              <w:t>Max 5 mld. EUR</w:t>
            </w:r>
          </w:p>
          <w:p w14:paraId="1C288F61" w14:textId="77777777" w:rsidR="001B38A1" w:rsidRDefault="001B38A1" w:rsidP="00960FD5"/>
          <w:p w14:paraId="5B113063" w14:textId="77777777" w:rsidR="001B38A1" w:rsidRDefault="001B38A1" w:rsidP="00960FD5">
            <w:r>
              <w:t>Dle podílu na trhu</w:t>
            </w:r>
          </w:p>
        </w:tc>
      </w:tr>
      <w:tr w:rsidR="001B38A1" w14:paraId="1996766C" w14:textId="77777777" w:rsidTr="00960FD5">
        <w:tc>
          <w:tcPr>
            <w:tcW w:w="1696" w:type="dxa"/>
          </w:tcPr>
          <w:p w14:paraId="138FD794" w14:textId="77777777" w:rsidR="001B38A1" w:rsidRPr="00E74725" w:rsidRDefault="001B38A1" w:rsidP="00960FD5">
            <w:pPr>
              <w:rPr>
                <w:b/>
                <w:bCs/>
              </w:rPr>
            </w:pPr>
          </w:p>
        </w:tc>
        <w:tc>
          <w:tcPr>
            <w:tcW w:w="7366" w:type="dxa"/>
          </w:tcPr>
          <w:p w14:paraId="104DF401" w14:textId="77777777" w:rsidR="001B38A1" w:rsidRDefault="001B38A1" w:rsidP="00960FD5"/>
        </w:tc>
      </w:tr>
      <w:tr w:rsidR="001B38A1" w14:paraId="4EFF42C5" w14:textId="77777777" w:rsidTr="00960FD5">
        <w:tc>
          <w:tcPr>
            <w:tcW w:w="1696" w:type="dxa"/>
          </w:tcPr>
          <w:p w14:paraId="3C49DF95" w14:textId="77777777" w:rsidR="001B38A1" w:rsidRPr="00E74725" w:rsidRDefault="001B38A1" w:rsidP="00960FD5">
            <w:pPr>
              <w:rPr>
                <w:b/>
                <w:bCs/>
              </w:rPr>
            </w:pPr>
            <w:r w:rsidRPr="00E74725">
              <w:rPr>
                <w:b/>
                <w:bCs/>
              </w:rPr>
              <w:t>Měna</w:t>
            </w:r>
          </w:p>
        </w:tc>
        <w:tc>
          <w:tcPr>
            <w:tcW w:w="7366" w:type="dxa"/>
          </w:tcPr>
          <w:p w14:paraId="79132281" w14:textId="77777777" w:rsidR="001B38A1" w:rsidRDefault="001B38A1" w:rsidP="00960FD5">
            <w:r>
              <w:t>EUR</w:t>
            </w:r>
          </w:p>
          <w:p w14:paraId="6E1FA4B9" w14:textId="77777777" w:rsidR="001B38A1" w:rsidRDefault="001B38A1" w:rsidP="00960FD5"/>
        </w:tc>
      </w:tr>
      <w:tr w:rsidR="001B38A1" w14:paraId="20D855BD" w14:textId="77777777" w:rsidTr="00960FD5">
        <w:tc>
          <w:tcPr>
            <w:tcW w:w="1696" w:type="dxa"/>
          </w:tcPr>
          <w:p w14:paraId="31B15942" w14:textId="77777777" w:rsidR="001B38A1" w:rsidRPr="00E74725" w:rsidRDefault="001B38A1" w:rsidP="00960FD5">
            <w:pPr>
              <w:rPr>
                <w:b/>
                <w:bCs/>
              </w:rPr>
            </w:pPr>
            <w:r w:rsidRPr="00E74725">
              <w:rPr>
                <w:b/>
                <w:bCs/>
              </w:rPr>
              <w:t>Úroková sazba</w:t>
            </w:r>
          </w:p>
        </w:tc>
        <w:tc>
          <w:tcPr>
            <w:tcW w:w="7366" w:type="dxa"/>
          </w:tcPr>
          <w:p w14:paraId="7BB9FCB5" w14:textId="77777777" w:rsidR="001B38A1" w:rsidRPr="00152F17" w:rsidRDefault="001B38A1" w:rsidP="00960FD5">
            <w:pPr>
              <w:rPr>
                <w:rFonts w:cstheme="minorHAnsi"/>
              </w:rPr>
            </w:pPr>
            <w:r>
              <w:rPr>
                <w:rFonts w:cstheme="minorHAnsi"/>
              </w:rPr>
              <w:t>Dle podmínek na trhu (aktuální předpoklad 3% - 5% p.a.)</w:t>
            </w:r>
          </w:p>
          <w:p w14:paraId="2920B3C0" w14:textId="77777777" w:rsidR="001B38A1" w:rsidRDefault="001B38A1" w:rsidP="00960FD5">
            <w:r>
              <w:t xml:space="preserve">  </w:t>
            </w:r>
          </w:p>
          <w:p w14:paraId="669C9A4C" w14:textId="77777777" w:rsidR="001B38A1" w:rsidRDefault="001B38A1" w:rsidP="00960FD5"/>
        </w:tc>
      </w:tr>
      <w:tr w:rsidR="001B38A1" w:rsidRPr="0050314B" w14:paraId="7FA4C39A" w14:textId="77777777" w:rsidTr="00960FD5">
        <w:tc>
          <w:tcPr>
            <w:tcW w:w="1696" w:type="dxa"/>
          </w:tcPr>
          <w:p w14:paraId="265DFE5E" w14:textId="77777777" w:rsidR="001B38A1" w:rsidRPr="0050314B" w:rsidRDefault="001B38A1" w:rsidP="00960FD5">
            <w:pPr>
              <w:rPr>
                <w:b/>
                <w:bCs/>
              </w:rPr>
            </w:pPr>
            <w:r w:rsidRPr="0050314B">
              <w:rPr>
                <w:b/>
                <w:bCs/>
              </w:rPr>
              <w:t xml:space="preserve">Splatnost </w:t>
            </w:r>
          </w:p>
        </w:tc>
        <w:tc>
          <w:tcPr>
            <w:tcW w:w="7366" w:type="dxa"/>
          </w:tcPr>
          <w:p w14:paraId="7EF4134B" w14:textId="77777777" w:rsidR="001B38A1" w:rsidRDefault="001B38A1" w:rsidP="00960FD5">
            <w:r>
              <w:t xml:space="preserve">úvěr do výše 15% obratu až na 3 roky, </w:t>
            </w:r>
          </w:p>
          <w:p w14:paraId="74951875" w14:textId="77777777" w:rsidR="001B38A1" w:rsidRDefault="001B38A1" w:rsidP="00960FD5">
            <w:r>
              <w:t>u dalších úvěrů maximálně 6 měsíců, které však lze poskytnou opakovaně, pokud riziková situace na trhu bude trvat</w:t>
            </w:r>
          </w:p>
          <w:p w14:paraId="16D83638" w14:textId="77777777" w:rsidR="001B38A1" w:rsidRPr="0050314B" w:rsidRDefault="001B38A1" w:rsidP="00960FD5"/>
        </w:tc>
      </w:tr>
      <w:tr w:rsidR="001B38A1" w14:paraId="15663DD4" w14:textId="77777777" w:rsidTr="00960FD5">
        <w:tc>
          <w:tcPr>
            <w:tcW w:w="1696" w:type="dxa"/>
          </w:tcPr>
          <w:p w14:paraId="6EF0F32A" w14:textId="77777777" w:rsidR="001B38A1" w:rsidRPr="00E74725" w:rsidRDefault="001B38A1" w:rsidP="00960FD5">
            <w:pPr>
              <w:rPr>
                <w:b/>
                <w:bCs/>
              </w:rPr>
            </w:pPr>
            <w:r>
              <w:rPr>
                <w:b/>
                <w:bCs/>
              </w:rPr>
              <w:t xml:space="preserve"> </w:t>
            </w:r>
          </w:p>
        </w:tc>
        <w:tc>
          <w:tcPr>
            <w:tcW w:w="7366" w:type="dxa"/>
          </w:tcPr>
          <w:p w14:paraId="2CAD74CA" w14:textId="77777777" w:rsidR="001B38A1" w:rsidRDefault="001B38A1" w:rsidP="00960FD5">
            <w:r>
              <w:t xml:space="preserve"> </w:t>
            </w:r>
          </w:p>
        </w:tc>
      </w:tr>
      <w:tr w:rsidR="001B38A1" w14:paraId="13613B83" w14:textId="77777777" w:rsidTr="00960FD5">
        <w:tc>
          <w:tcPr>
            <w:tcW w:w="1696" w:type="dxa"/>
          </w:tcPr>
          <w:p w14:paraId="0E5EBCB2" w14:textId="77777777" w:rsidR="001B38A1" w:rsidRPr="00E74725" w:rsidRDefault="001B38A1" w:rsidP="00960FD5">
            <w:pPr>
              <w:rPr>
                <w:b/>
                <w:bCs/>
              </w:rPr>
            </w:pPr>
            <w:r>
              <w:rPr>
                <w:b/>
                <w:bCs/>
              </w:rPr>
              <w:t>Zajištění</w:t>
            </w:r>
          </w:p>
        </w:tc>
        <w:tc>
          <w:tcPr>
            <w:tcW w:w="7366" w:type="dxa"/>
          </w:tcPr>
          <w:p w14:paraId="6379A180" w14:textId="77777777" w:rsidR="001B38A1" w:rsidRDefault="001B38A1" w:rsidP="00960FD5">
            <w:r>
              <w:t>Žádné pro entity s ratingem BBB+ a lepším</w:t>
            </w:r>
          </w:p>
          <w:p w14:paraId="4C35851D" w14:textId="77777777" w:rsidR="001B38A1" w:rsidRDefault="001B38A1" w:rsidP="00960FD5">
            <w:r>
              <w:t xml:space="preserve">Akcie nebo majetek dlužníka pro entity s ratingem BBB a horším, případně </w:t>
            </w:r>
            <w:r>
              <w:br/>
              <w:t>bez ratingu</w:t>
            </w:r>
          </w:p>
          <w:p w14:paraId="3C408CAA" w14:textId="77777777" w:rsidR="001B38A1" w:rsidRDefault="001B38A1" w:rsidP="00960FD5">
            <w:r>
              <w:t xml:space="preserve">Pro účely tohoto ustanovení je za rating považován rating emitenta vydaný Standard and Poors, Moody´s nebo Fitch; v případě existence více ratingů </w:t>
            </w:r>
            <w:r>
              <w:br/>
              <w:t>od více ratingových agentur se použije nejhorší z nich.</w:t>
            </w:r>
          </w:p>
        </w:tc>
      </w:tr>
    </w:tbl>
    <w:p w14:paraId="1434DDB2" w14:textId="77777777" w:rsidR="001B38A1" w:rsidRDefault="001B38A1" w:rsidP="001B38A1">
      <w:pPr>
        <w:jc w:val="both"/>
        <w:rPr>
          <w:b/>
          <w:bCs/>
        </w:rPr>
      </w:pPr>
    </w:p>
    <w:p w14:paraId="4B29A59E" w14:textId="77777777" w:rsidR="001B38A1" w:rsidRPr="00666DF7" w:rsidRDefault="001B38A1" w:rsidP="001B38A1">
      <w:pPr>
        <w:pStyle w:val="StylI"/>
        <w:numPr>
          <w:ilvl w:val="0"/>
          <w:numId w:val="0"/>
        </w:numPr>
        <w:rPr>
          <w:rFonts w:asciiTheme="minorHAnsi" w:hAnsiTheme="minorHAnsi" w:cstheme="minorHAnsi"/>
          <w:bCs/>
        </w:rPr>
      </w:pPr>
    </w:p>
    <w:p w14:paraId="48FE6363" w14:textId="77777777" w:rsidR="001B38A1" w:rsidRPr="005F565F" w:rsidRDefault="001B38A1" w:rsidP="00B61C2B">
      <w:pPr>
        <w:rPr>
          <w:b/>
          <w:bCs/>
        </w:rPr>
      </w:pPr>
    </w:p>
    <w:sectPr w:rsidR="001B38A1" w:rsidRPr="005F565F">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C6A9" w16cex:dateUtc="2022-06-06T16:32:00Z"/>
  <w16cex:commentExtensible w16cex:durableId="2648C6D9" w16cex:dateUtc="2022-06-06T16:32:00Z"/>
  <w16cex:commentExtensible w16cex:durableId="2648C7A7" w16cex:dateUtc="2022-06-06T16:36:00Z"/>
  <w16cex:commentExtensible w16cex:durableId="2648C83F" w16cex:dateUtc="2022-06-06T16: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86C7" w14:textId="77777777" w:rsidR="00DE6C5E" w:rsidRDefault="00DE6C5E" w:rsidP="008D33E0">
      <w:pPr>
        <w:spacing w:after="0" w:line="240" w:lineRule="auto"/>
      </w:pPr>
      <w:r>
        <w:separator/>
      </w:r>
    </w:p>
  </w:endnote>
  <w:endnote w:type="continuationSeparator" w:id="0">
    <w:p w14:paraId="6032D93C" w14:textId="77777777" w:rsidR="00DE6C5E" w:rsidRDefault="00DE6C5E" w:rsidP="008D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Defaul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915053"/>
      <w:docPartObj>
        <w:docPartGallery w:val="Page Numbers (Bottom of Page)"/>
        <w:docPartUnique/>
      </w:docPartObj>
    </w:sdtPr>
    <w:sdtEndPr/>
    <w:sdtContent>
      <w:p w14:paraId="16598DA6" w14:textId="1F943631" w:rsidR="00984EE1" w:rsidRDefault="00984EE1">
        <w:pPr>
          <w:pStyle w:val="Zpat"/>
          <w:jc w:val="right"/>
        </w:pPr>
        <w:r>
          <w:fldChar w:fldCharType="begin"/>
        </w:r>
        <w:r>
          <w:instrText>PAGE   \* MERGEFORMAT</w:instrText>
        </w:r>
        <w:r>
          <w:fldChar w:fldCharType="separate"/>
        </w:r>
        <w:r w:rsidR="00A657FA">
          <w:rPr>
            <w:noProof/>
          </w:rPr>
          <w:t>1</w:t>
        </w:r>
        <w:r>
          <w:fldChar w:fldCharType="end"/>
        </w:r>
      </w:p>
    </w:sdtContent>
  </w:sdt>
  <w:p w14:paraId="049BCEE2" w14:textId="77777777" w:rsidR="00984EE1" w:rsidRDefault="00984E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DFF1" w14:textId="77777777" w:rsidR="00DE6C5E" w:rsidRDefault="00DE6C5E" w:rsidP="008D33E0">
      <w:pPr>
        <w:spacing w:after="0" w:line="240" w:lineRule="auto"/>
      </w:pPr>
      <w:r>
        <w:separator/>
      </w:r>
    </w:p>
  </w:footnote>
  <w:footnote w:type="continuationSeparator" w:id="0">
    <w:p w14:paraId="7D546D13" w14:textId="77777777" w:rsidR="00DE6C5E" w:rsidRDefault="00DE6C5E" w:rsidP="008D33E0">
      <w:pPr>
        <w:spacing w:after="0" w:line="240" w:lineRule="auto"/>
      </w:pPr>
      <w:r>
        <w:continuationSeparator/>
      </w:r>
    </w:p>
  </w:footnote>
  <w:footnote w:id="1">
    <w:p w14:paraId="57F3886B" w14:textId="77777777" w:rsidR="001B38A1" w:rsidRPr="000719E5" w:rsidRDefault="001B38A1" w:rsidP="001B38A1">
      <w:pPr>
        <w:pStyle w:val="oj-ti-grseq-1"/>
        <w:shd w:val="clear" w:color="auto" w:fill="FFFFFF"/>
        <w:spacing w:before="240" w:beforeAutospacing="0" w:after="120" w:afterAutospacing="0"/>
        <w:jc w:val="both"/>
        <w:rPr>
          <w:rFonts w:asciiTheme="minorHAnsi" w:hAnsiTheme="minorHAnsi" w:cstheme="minorHAnsi"/>
          <w:b/>
          <w:bCs/>
          <w:color w:val="000000"/>
          <w:sz w:val="16"/>
          <w:szCs w:val="16"/>
        </w:rPr>
      </w:pPr>
      <w:r w:rsidRPr="000719E5">
        <w:rPr>
          <w:rStyle w:val="Znakapoznpodarou"/>
        </w:rPr>
        <w:footnoteRef/>
      </w:r>
      <w:r w:rsidRPr="000719E5">
        <w:t xml:space="preserve"> </w:t>
      </w:r>
      <w:r w:rsidRPr="000719E5">
        <w:rPr>
          <w:rFonts w:asciiTheme="minorHAnsi" w:hAnsiTheme="minorHAnsi" w:cstheme="minorHAnsi"/>
          <w:b/>
          <w:bCs/>
          <w:color w:val="000000"/>
          <w:sz w:val="16"/>
          <w:szCs w:val="16"/>
        </w:rPr>
        <w:t>2.3.   Podpora likvidity ve formě subvencovaných úvěrů</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203"/>
        <w:gridCol w:w="8863"/>
      </w:tblGrid>
      <w:tr w:rsidR="001B38A1" w:rsidRPr="000719E5" w14:paraId="715C95DA" w14:textId="77777777" w:rsidTr="00C430EA">
        <w:trPr>
          <w:tblCellSpacing w:w="0" w:type="dxa"/>
        </w:trPr>
        <w:tc>
          <w:tcPr>
            <w:tcW w:w="0" w:type="auto"/>
            <w:shd w:val="clear" w:color="auto" w:fill="FFFFFF"/>
            <w:hideMark/>
          </w:tcPr>
          <w:p w14:paraId="34C55846" w14:textId="77777777" w:rsidR="001B38A1" w:rsidRPr="000719E5" w:rsidRDefault="001B38A1" w:rsidP="00C430EA">
            <w:pPr>
              <w:spacing w:after="0" w:line="240" w:lineRule="auto"/>
              <w:rPr>
                <w:rFonts w:eastAsia="Times New Roman" w:cstheme="minorHAnsi"/>
                <w:b/>
                <w:bCs/>
                <w:color w:val="000000"/>
                <w:sz w:val="16"/>
                <w:szCs w:val="16"/>
                <w:lang w:eastAsia="cs-CZ"/>
              </w:rPr>
            </w:pPr>
          </w:p>
        </w:tc>
        <w:tc>
          <w:tcPr>
            <w:tcW w:w="0" w:type="auto"/>
            <w:shd w:val="clear" w:color="auto" w:fill="FFFFFF"/>
            <w:hideMark/>
          </w:tcPr>
          <w:p w14:paraId="11D84262" w14:textId="77777777" w:rsidR="001B38A1" w:rsidRPr="000719E5" w:rsidRDefault="001B38A1" w:rsidP="00C430EA">
            <w:pPr>
              <w:spacing w:before="120" w:after="0" w:line="240" w:lineRule="auto"/>
              <w:jc w:val="both"/>
              <w:rPr>
                <w:rFonts w:eastAsia="Times New Roman" w:cstheme="minorHAnsi"/>
                <w:color w:val="000000"/>
                <w:sz w:val="16"/>
                <w:szCs w:val="16"/>
                <w:lang w:eastAsia="cs-CZ"/>
              </w:rPr>
            </w:pPr>
            <w:r w:rsidRPr="000719E5">
              <w:rPr>
                <w:rFonts w:eastAsia="Times New Roman" w:cstheme="minorHAnsi"/>
                <w:color w:val="000000"/>
                <w:sz w:val="16"/>
                <w:szCs w:val="16"/>
                <w:lang w:eastAsia="cs-CZ"/>
              </w:rPr>
              <w:t>48.</w:t>
            </w:r>
          </w:p>
        </w:tc>
        <w:tc>
          <w:tcPr>
            <w:tcW w:w="0" w:type="auto"/>
            <w:shd w:val="clear" w:color="auto" w:fill="FFFFFF"/>
            <w:hideMark/>
          </w:tcPr>
          <w:p w14:paraId="307771FC" w14:textId="77777777" w:rsidR="001B38A1" w:rsidRPr="000719E5" w:rsidRDefault="001B38A1" w:rsidP="00C430EA">
            <w:pPr>
              <w:spacing w:after="0" w:line="240" w:lineRule="auto"/>
              <w:rPr>
                <w:rFonts w:eastAsia="Times New Roman" w:cstheme="minorHAnsi"/>
                <w:color w:val="000000"/>
                <w:sz w:val="16"/>
                <w:szCs w:val="16"/>
                <w:lang w:eastAsia="cs-CZ"/>
              </w:rPr>
            </w:pPr>
            <w:r w:rsidRPr="000719E5">
              <w:rPr>
                <w:rFonts w:eastAsia="Times New Roman" w:cstheme="minorHAnsi"/>
                <w:color w:val="000000"/>
                <w:sz w:val="16"/>
                <w:szCs w:val="16"/>
                <w:lang w:eastAsia="cs-CZ"/>
              </w:rPr>
              <w:t>Aby se zajistil přístup k likviditě pro podniky, které jsou dotčeny stávající krizí, mohou být za současných okolností vhodným, nezbytným a cíleným řešením subvencované úrokové sazby na omezenou dobu a částku úvěru.</w:t>
            </w:r>
          </w:p>
        </w:tc>
      </w:tr>
    </w:tbl>
    <w:p w14:paraId="07EDCD13" w14:textId="77777777" w:rsidR="001B38A1" w:rsidRPr="000719E5" w:rsidRDefault="001B38A1" w:rsidP="001B38A1">
      <w:pPr>
        <w:spacing w:after="0" w:line="240" w:lineRule="auto"/>
        <w:rPr>
          <w:rFonts w:eastAsia="Times New Roman" w:cstheme="minorHAnsi"/>
          <w:vanish/>
          <w:sz w:val="16"/>
          <w:szCs w:val="16"/>
          <w:lang w:eastAsia="cs-CZ"/>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203"/>
        <w:gridCol w:w="8863"/>
      </w:tblGrid>
      <w:tr w:rsidR="001B38A1" w:rsidRPr="000719E5" w14:paraId="521CCA5E" w14:textId="77777777" w:rsidTr="00C430EA">
        <w:trPr>
          <w:tblCellSpacing w:w="0" w:type="dxa"/>
        </w:trPr>
        <w:tc>
          <w:tcPr>
            <w:tcW w:w="0" w:type="auto"/>
            <w:shd w:val="clear" w:color="auto" w:fill="FFFFFF"/>
            <w:hideMark/>
          </w:tcPr>
          <w:p w14:paraId="48E11590" w14:textId="77777777" w:rsidR="001B38A1" w:rsidRPr="000719E5" w:rsidRDefault="001B38A1" w:rsidP="00C430EA">
            <w:pPr>
              <w:spacing w:after="0" w:line="240" w:lineRule="auto"/>
              <w:rPr>
                <w:rFonts w:eastAsia="Times New Roman" w:cstheme="minorHAnsi"/>
                <w:sz w:val="16"/>
                <w:szCs w:val="16"/>
                <w:lang w:eastAsia="cs-CZ"/>
              </w:rPr>
            </w:pPr>
          </w:p>
        </w:tc>
        <w:tc>
          <w:tcPr>
            <w:tcW w:w="0" w:type="auto"/>
            <w:shd w:val="clear" w:color="auto" w:fill="FFFFFF"/>
            <w:hideMark/>
          </w:tcPr>
          <w:p w14:paraId="7E050FF9" w14:textId="77777777" w:rsidR="001B38A1" w:rsidRPr="000719E5" w:rsidRDefault="001B38A1" w:rsidP="00C430EA">
            <w:pPr>
              <w:spacing w:before="120" w:after="0" w:line="240" w:lineRule="auto"/>
              <w:jc w:val="both"/>
              <w:rPr>
                <w:rFonts w:eastAsia="Times New Roman" w:cstheme="minorHAnsi"/>
                <w:color w:val="000000"/>
                <w:sz w:val="16"/>
                <w:szCs w:val="16"/>
                <w:lang w:eastAsia="cs-CZ"/>
              </w:rPr>
            </w:pPr>
            <w:r w:rsidRPr="000719E5">
              <w:rPr>
                <w:rFonts w:eastAsia="Times New Roman" w:cstheme="minorHAnsi"/>
                <w:color w:val="000000"/>
                <w:sz w:val="16"/>
                <w:szCs w:val="16"/>
                <w:lang w:eastAsia="cs-CZ"/>
              </w:rPr>
              <w:t>49.</w:t>
            </w:r>
          </w:p>
        </w:tc>
        <w:tc>
          <w:tcPr>
            <w:tcW w:w="0" w:type="auto"/>
            <w:shd w:val="clear" w:color="auto" w:fill="FFFFFF"/>
            <w:hideMark/>
          </w:tcPr>
          <w:p w14:paraId="2342BB6B" w14:textId="77777777" w:rsidR="001B38A1" w:rsidRPr="000719E5" w:rsidRDefault="001B38A1" w:rsidP="00C430EA">
            <w:pPr>
              <w:spacing w:after="0" w:line="240" w:lineRule="auto"/>
              <w:rPr>
                <w:rFonts w:eastAsia="Times New Roman" w:cstheme="minorHAnsi"/>
                <w:color w:val="000000"/>
                <w:sz w:val="16"/>
                <w:szCs w:val="16"/>
                <w:lang w:eastAsia="cs-CZ"/>
              </w:rPr>
            </w:pPr>
            <w:r w:rsidRPr="000719E5">
              <w:rPr>
                <w:rFonts w:eastAsia="Times New Roman" w:cstheme="minorHAnsi"/>
                <w:color w:val="000000"/>
                <w:sz w:val="16"/>
                <w:szCs w:val="16"/>
                <w:lang w:eastAsia="cs-CZ"/>
              </w:rPr>
              <w:t>Pro stejnou jistinu úvěru se úvěry poskytnuté podle tohoto oddílu nekumulují s podporou poskytnutou podle oddílů2.2 tohoto sdělení a naopak. Úvěry a záruky poskytnuté podle tohoto sdělení lze kumulovat ve vztahu k různým úvěrům, ovšem za předpokladu, že celková částka úvěrů na příjemce nepřekročí prahové hodnoty stanovené v bodě 47 písm. d), resp. v bodě 50 písm. e). Příjemce může souběžně využít několik subvencovaných úvěrů podle tohoto oddílu za předpokladu, že celková částka úvěrů na příjemce nepřekročí stropy stanovené v bodě 50 písm. e).</w:t>
            </w:r>
          </w:p>
        </w:tc>
      </w:tr>
    </w:tbl>
    <w:p w14:paraId="358C5177" w14:textId="77777777" w:rsidR="001B38A1" w:rsidRPr="000719E5" w:rsidRDefault="001B38A1" w:rsidP="001B38A1">
      <w:pPr>
        <w:spacing w:after="0" w:line="240" w:lineRule="auto"/>
        <w:rPr>
          <w:rFonts w:eastAsia="Times New Roman" w:cstheme="minorHAnsi"/>
          <w:vanish/>
          <w:sz w:val="16"/>
          <w:szCs w:val="16"/>
          <w:lang w:eastAsia="cs-CZ"/>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203"/>
        <w:gridCol w:w="8863"/>
      </w:tblGrid>
      <w:tr w:rsidR="001B38A1" w:rsidRPr="00C430EA" w14:paraId="1BEBC9B1" w14:textId="77777777" w:rsidTr="00C430EA">
        <w:trPr>
          <w:tblCellSpacing w:w="0" w:type="dxa"/>
        </w:trPr>
        <w:tc>
          <w:tcPr>
            <w:tcW w:w="0" w:type="auto"/>
            <w:shd w:val="clear" w:color="auto" w:fill="FFFFFF"/>
            <w:hideMark/>
          </w:tcPr>
          <w:p w14:paraId="631E097C" w14:textId="77777777" w:rsidR="001B38A1" w:rsidRPr="000719E5" w:rsidRDefault="001B38A1" w:rsidP="00C430EA">
            <w:pPr>
              <w:spacing w:after="0" w:line="240" w:lineRule="auto"/>
              <w:rPr>
                <w:rFonts w:eastAsia="Times New Roman" w:cstheme="minorHAnsi"/>
                <w:sz w:val="16"/>
                <w:szCs w:val="16"/>
                <w:lang w:eastAsia="cs-CZ"/>
              </w:rPr>
            </w:pPr>
          </w:p>
        </w:tc>
        <w:tc>
          <w:tcPr>
            <w:tcW w:w="0" w:type="auto"/>
            <w:shd w:val="clear" w:color="auto" w:fill="FFFFFF"/>
            <w:hideMark/>
          </w:tcPr>
          <w:p w14:paraId="125ED049" w14:textId="77777777" w:rsidR="001B38A1" w:rsidRPr="000719E5" w:rsidRDefault="001B38A1" w:rsidP="00C430EA">
            <w:pPr>
              <w:spacing w:before="120" w:after="0" w:line="240" w:lineRule="auto"/>
              <w:jc w:val="both"/>
              <w:rPr>
                <w:rFonts w:eastAsia="Times New Roman" w:cstheme="minorHAnsi"/>
                <w:color w:val="000000"/>
                <w:sz w:val="16"/>
                <w:szCs w:val="16"/>
                <w:lang w:eastAsia="cs-CZ"/>
              </w:rPr>
            </w:pPr>
            <w:r w:rsidRPr="000719E5">
              <w:rPr>
                <w:rFonts w:eastAsia="Times New Roman" w:cstheme="minorHAnsi"/>
                <w:color w:val="000000"/>
                <w:sz w:val="16"/>
                <w:szCs w:val="16"/>
                <w:lang w:eastAsia="cs-CZ"/>
              </w:rPr>
              <w:t>50.</w:t>
            </w:r>
          </w:p>
        </w:tc>
        <w:tc>
          <w:tcPr>
            <w:tcW w:w="0" w:type="auto"/>
            <w:shd w:val="clear" w:color="auto" w:fill="FFFFFF"/>
            <w:hideMark/>
          </w:tcPr>
          <w:p w14:paraId="5A694C1F" w14:textId="77777777" w:rsidR="001B38A1" w:rsidRPr="000719E5" w:rsidRDefault="001B38A1" w:rsidP="00C430EA">
            <w:pPr>
              <w:spacing w:after="0" w:line="240" w:lineRule="auto"/>
              <w:rPr>
                <w:rFonts w:eastAsia="Times New Roman" w:cstheme="minorHAnsi"/>
                <w:color w:val="000000"/>
                <w:sz w:val="16"/>
                <w:szCs w:val="16"/>
                <w:lang w:eastAsia="cs-CZ"/>
              </w:rPr>
            </w:pPr>
            <w:r w:rsidRPr="000719E5">
              <w:rPr>
                <w:rFonts w:eastAsia="Times New Roman" w:cstheme="minorHAnsi"/>
                <w:color w:val="000000"/>
                <w:sz w:val="16"/>
                <w:szCs w:val="16"/>
                <w:lang w:eastAsia="cs-CZ"/>
              </w:rPr>
              <w:t>Komise bude státní podporu ve formě subvencovaných úvěrů v reakci na současnou krizi považovat za slučitelnou s vnitřním trhem na základě čl. 107 odst. 3 písm. b) SFEU za předpokladu, že jsou splněny následující podmínky:</w:t>
            </w:r>
          </w:p>
          <w:tbl>
            <w:tblPr>
              <w:tblW w:w="5000" w:type="pct"/>
              <w:tblCellSpacing w:w="0" w:type="dxa"/>
              <w:tblCellMar>
                <w:left w:w="0" w:type="dxa"/>
                <w:right w:w="0" w:type="dxa"/>
              </w:tblCellMar>
              <w:tblLook w:val="04A0" w:firstRow="1" w:lastRow="0" w:firstColumn="1" w:lastColumn="0" w:noHBand="0" w:noVBand="1"/>
            </w:tblPr>
            <w:tblGrid>
              <w:gridCol w:w="125"/>
              <w:gridCol w:w="8738"/>
            </w:tblGrid>
            <w:tr w:rsidR="001B38A1" w:rsidRPr="000719E5" w14:paraId="400458DF" w14:textId="77777777">
              <w:trPr>
                <w:tblCellSpacing w:w="0" w:type="dxa"/>
              </w:trPr>
              <w:tc>
                <w:tcPr>
                  <w:tcW w:w="0" w:type="auto"/>
                  <w:hideMark/>
                </w:tcPr>
                <w:p w14:paraId="149A25AB"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a.</w:t>
                  </w:r>
                </w:p>
              </w:tc>
              <w:tc>
                <w:tcPr>
                  <w:tcW w:w="0" w:type="auto"/>
                  <w:hideMark/>
                </w:tcPr>
                <w:p w14:paraId="78A3D3E1"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Úvěry nejsou poskytovány úvěrovým institucím nebo jiným finančním institucím.</w:t>
                  </w:r>
                </w:p>
              </w:tc>
            </w:tr>
            <w:tr w:rsidR="001B38A1" w:rsidRPr="000719E5" w14:paraId="694F365E" w14:textId="77777777">
              <w:trPr>
                <w:tblCellSpacing w:w="0" w:type="dxa"/>
              </w:trPr>
              <w:tc>
                <w:tcPr>
                  <w:tcW w:w="0" w:type="auto"/>
                  <w:hideMark/>
                </w:tcPr>
                <w:p w14:paraId="01D23FDA"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b.</w:t>
                  </w:r>
                </w:p>
              </w:tc>
              <w:tc>
                <w:tcPr>
                  <w:tcW w:w="0" w:type="auto"/>
                  <w:hideMark/>
                </w:tcPr>
                <w:p w14:paraId="79E843B1"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Úvěry lze poskytnout za snížené úrokové sazby, které se rovnají alespoň základní sazbě (jednoletá sazba IBOR nebo ekvivalentní sazba zveřejněná Komisí dostupné ke dni 1. února 2022 nebo v okamžiku oznámení plus rozpětí úvěrového rizika uvedené v tabulce níže: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47"/>
                    <w:gridCol w:w="2303"/>
                    <w:gridCol w:w="2486"/>
                    <w:gridCol w:w="2486"/>
                  </w:tblGrid>
                  <w:tr w:rsidR="001B38A1" w:rsidRPr="000719E5" w14:paraId="2FD064F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E79D1AA" w14:textId="77777777" w:rsidR="001B38A1" w:rsidRPr="000719E5" w:rsidRDefault="001B38A1" w:rsidP="00C430EA">
                        <w:pPr>
                          <w:spacing w:before="60" w:after="60" w:line="240" w:lineRule="auto"/>
                          <w:ind w:right="195"/>
                          <w:jc w:val="center"/>
                          <w:rPr>
                            <w:rFonts w:eastAsia="Times New Roman" w:cstheme="minorHAnsi"/>
                            <w:b/>
                            <w:bCs/>
                            <w:sz w:val="16"/>
                            <w:szCs w:val="16"/>
                            <w:lang w:eastAsia="cs-CZ"/>
                          </w:rPr>
                        </w:pPr>
                        <w:r w:rsidRPr="000719E5">
                          <w:rPr>
                            <w:rFonts w:eastAsia="Times New Roman" w:cstheme="minorHAnsi"/>
                            <w:b/>
                            <w:bCs/>
                            <w:sz w:val="16"/>
                            <w:szCs w:val="16"/>
                            <w:lang w:eastAsia="cs-CZ"/>
                          </w:rPr>
                          <w:t>Typ příjemce</w:t>
                        </w:r>
                      </w:p>
                    </w:tc>
                    <w:tc>
                      <w:tcPr>
                        <w:tcW w:w="0" w:type="auto"/>
                        <w:tcBorders>
                          <w:top w:val="single" w:sz="6" w:space="0" w:color="000000"/>
                          <w:left w:val="single" w:sz="6" w:space="0" w:color="000000"/>
                          <w:bottom w:val="single" w:sz="6" w:space="0" w:color="000000"/>
                          <w:right w:val="single" w:sz="6" w:space="0" w:color="000000"/>
                        </w:tcBorders>
                        <w:hideMark/>
                      </w:tcPr>
                      <w:p w14:paraId="026D5AFA" w14:textId="77777777" w:rsidR="001B38A1" w:rsidRPr="000719E5" w:rsidRDefault="001B38A1" w:rsidP="00C430EA">
                        <w:pPr>
                          <w:spacing w:before="60" w:after="60" w:line="240" w:lineRule="auto"/>
                          <w:ind w:right="195"/>
                          <w:jc w:val="center"/>
                          <w:rPr>
                            <w:rFonts w:eastAsia="Times New Roman" w:cstheme="minorHAnsi"/>
                            <w:b/>
                            <w:bCs/>
                            <w:sz w:val="16"/>
                            <w:szCs w:val="16"/>
                            <w:lang w:eastAsia="cs-CZ"/>
                          </w:rPr>
                        </w:pPr>
                        <w:r w:rsidRPr="000719E5">
                          <w:rPr>
                            <w:rFonts w:eastAsia="Times New Roman" w:cstheme="minorHAnsi"/>
                            <w:b/>
                            <w:bCs/>
                            <w:sz w:val="16"/>
                            <w:szCs w:val="16"/>
                            <w:lang w:eastAsia="cs-CZ"/>
                          </w:rPr>
                          <w:t>Rozpětí úvěrového rizika za 1. rok</w:t>
                        </w:r>
                      </w:p>
                    </w:tc>
                    <w:tc>
                      <w:tcPr>
                        <w:tcW w:w="0" w:type="auto"/>
                        <w:tcBorders>
                          <w:top w:val="single" w:sz="6" w:space="0" w:color="000000"/>
                          <w:left w:val="single" w:sz="6" w:space="0" w:color="000000"/>
                          <w:bottom w:val="single" w:sz="6" w:space="0" w:color="000000"/>
                          <w:right w:val="single" w:sz="6" w:space="0" w:color="000000"/>
                        </w:tcBorders>
                        <w:hideMark/>
                      </w:tcPr>
                      <w:p w14:paraId="3847D1BB" w14:textId="77777777" w:rsidR="001B38A1" w:rsidRPr="000719E5" w:rsidRDefault="001B38A1" w:rsidP="00C430EA">
                        <w:pPr>
                          <w:spacing w:before="60" w:after="60" w:line="240" w:lineRule="auto"/>
                          <w:ind w:right="195"/>
                          <w:jc w:val="center"/>
                          <w:rPr>
                            <w:rFonts w:eastAsia="Times New Roman" w:cstheme="minorHAnsi"/>
                            <w:b/>
                            <w:bCs/>
                            <w:sz w:val="16"/>
                            <w:szCs w:val="16"/>
                            <w:lang w:eastAsia="cs-CZ"/>
                          </w:rPr>
                        </w:pPr>
                        <w:r w:rsidRPr="000719E5">
                          <w:rPr>
                            <w:rFonts w:eastAsia="Times New Roman" w:cstheme="minorHAnsi"/>
                            <w:b/>
                            <w:bCs/>
                            <w:sz w:val="16"/>
                            <w:szCs w:val="16"/>
                            <w:lang w:eastAsia="cs-CZ"/>
                          </w:rPr>
                          <w:t>Rozpětí úvěrového rizika za 2.–3. rok</w:t>
                        </w:r>
                      </w:p>
                    </w:tc>
                    <w:tc>
                      <w:tcPr>
                        <w:tcW w:w="0" w:type="auto"/>
                        <w:tcBorders>
                          <w:top w:val="single" w:sz="6" w:space="0" w:color="000000"/>
                          <w:left w:val="single" w:sz="6" w:space="0" w:color="000000"/>
                          <w:bottom w:val="single" w:sz="6" w:space="0" w:color="000000"/>
                          <w:right w:val="single" w:sz="6" w:space="0" w:color="000000"/>
                        </w:tcBorders>
                        <w:hideMark/>
                      </w:tcPr>
                      <w:p w14:paraId="3645D385" w14:textId="77777777" w:rsidR="001B38A1" w:rsidRPr="000719E5" w:rsidRDefault="001B38A1" w:rsidP="00C430EA">
                        <w:pPr>
                          <w:spacing w:before="60" w:after="60" w:line="240" w:lineRule="auto"/>
                          <w:ind w:right="195"/>
                          <w:jc w:val="center"/>
                          <w:rPr>
                            <w:rFonts w:eastAsia="Times New Roman" w:cstheme="minorHAnsi"/>
                            <w:b/>
                            <w:bCs/>
                            <w:sz w:val="16"/>
                            <w:szCs w:val="16"/>
                            <w:lang w:eastAsia="cs-CZ"/>
                          </w:rPr>
                        </w:pPr>
                        <w:r w:rsidRPr="000719E5">
                          <w:rPr>
                            <w:rFonts w:eastAsia="Times New Roman" w:cstheme="minorHAnsi"/>
                            <w:b/>
                            <w:bCs/>
                            <w:sz w:val="16"/>
                            <w:szCs w:val="16"/>
                            <w:lang w:eastAsia="cs-CZ"/>
                          </w:rPr>
                          <w:t>Rozpětí úvěrového rizika za 4.–6. rok</w:t>
                        </w:r>
                      </w:p>
                    </w:tc>
                  </w:tr>
                  <w:tr w:rsidR="001B38A1" w:rsidRPr="000719E5" w14:paraId="71D0B1C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8BE34CA" w14:textId="77777777" w:rsidR="001B38A1" w:rsidRPr="000719E5" w:rsidRDefault="001B38A1" w:rsidP="00C430EA">
                        <w:pPr>
                          <w:spacing w:before="60" w:after="60" w:line="240" w:lineRule="auto"/>
                          <w:rPr>
                            <w:rFonts w:eastAsia="Times New Roman" w:cstheme="minorHAnsi"/>
                            <w:sz w:val="16"/>
                            <w:szCs w:val="16"/>
                            <w:lang w:eastAsia="cs-CZ"/>
                          </w:rPr>
                        </w:pPr>
                        <w:r w:rsidRPr="000719E5">
                          <w:rPr>
                            <w:rFonts w:eastAsia="Times New Roman" w:cstheme="minorHAnsi"/>
                            <w:sz w:val="16"/>
                            <w:szCs w:val="16"/>
                            <w:lang w:eastAsia="cs-CZ"/>
                          </w:rPr>
                          <w:t>Malé a střední podniky</w:t>
                        </w:r>
                      </w:p>
                    </w:tc>
                    <w:tc>
                      <w:tcPr>
                        <w:tcW w:w="0" w:type="auto"/>
                        <w:tcBorders>
                          <w:top w:val="single" w:sz="6" w:space="0" w:color="000000"/>
                          <w:left w:val="single" w:sz="6" w:space="0" w:color="000000"/>
                          <w:bottom w:val="single" w:sz="6" w:space="0" w:color="000000"/>
                          <w:right w:val="single" w:sz="6" w:space="0" w:color="000000"/>
                        </w:tcBorders>
                        <w:hideMark/>
                      </w:tcPr>
                      <w:p w14:paraId="63FC1A26" w14:textId="77777777" w:rsidR="001B38A1" w:rsidRPr="000719E5" w:rsidRDefault="001B38A1" w:rsidP="00666DF7">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25 bazických bodů</w:t>
                        </w:r>
                        <w:hyperlink r:id="rId1" w:anchor="ntr49-CI2022131CS.01000101-E0049" w:history="1">
                          <w:r w:rsidRPr="000719E5">
                            <w:rPr>
                              <w:rFonts w:eastAsia="Times New Roman" w:cstheme="minorHAnsi"/>
                              <w:color w:val="0000FF"/>
                              <w:sz w:val="16"/>
                              <w:szCs w:val="16"/>
                              <w:u w:val="single"/>
                              <w:lang w:eastAsia="cs-CZ"/>
                            </w:rPr>
                            <w:t> </w:t>
                          </w:r>
                        </w:hyperlink>
                      </w:p>
                    </w:tc>
                    <w:tc>
                      <w:tcPr>
                        <w:tcW w:w="0" w:type="auto"/>
                        <w:tcBorders>
                          <w:top w:val="single" w:sz="6" w:space="0" w:color="000000"/>
                          <w:left w:val="single" w:sz="6" w:space="0" w:color="000000"/>
                          <w:bottom w:val="single" w:sz="6" w:space="0" w:color="000000"/>
                          <w:right w:val="single" w:sz="6" w:space="0" w:color="000000"/>
                        </w:tcBorders>
                        <w:hideMark/>
                      </w:tcPr>
                      <w:p w14:paraId="59840BCE" w14:textId="77777777" w:rsidR="001B38A1" w:rsidRPr="000719E5" w:rsidRDefault="001B38A1" w:rsidP="00666DF7">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50 bazických bodů</w:t>
                        </w:r>
                        <w:hyperlink r:id="rId2" w:anchor="ntr49-CI2022131CS.01000101-E0049" w:history="1">
                          <w:r w:rsidRPr="000719E5">
                            <w:rPr>
                              <w:rFonts w:eastAsia="Times New Roman" w:cstheme="minorHAnsi"/>
                              <w:color w:val="0000FF"/>
                              <w:sz w:val="16"/>
                              <w:szCs w:val="16"/>
                              <w:u w:val="single"/>
                              <w:lang w:eastAsia="cs-CZ"/>
                            </w:rPr>
                            <w:t> </w:t>
                          </w:r>
                        </w:hyperlink>
                      </w:p>
                    </w:tc>
                    <w:tc>
                      <w:tcPr>
                        <w:tcW w:w="0" w:type="auto"/>
                        <w:tcBorders>
                          <w:top w:val="single" w:sz="6" w:space="0" w:color="000000"/>
                          <w:left w:val="single" w:sz="6" w:space="0" w:color="000000"/>
                          <w:bottom w:val="single" w:sz="6" w:space="0" w:color="000000"/>
                          <w:right w:val="single" w:sz="6" w:space="0" w:color="000000"/>
                        </w:tcBorders>
                        <w:hideMark/>
                      </w:tcPr>
                      <w:p w14:paraId="39C5BC2C" w14:textId="77777777" w:rsidR="001B38A1" w:rsidRPr="000719E5" w:rsidRDefault="001B38A1" w:rsidP="00C430EA">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100 bps</w:t>
                        </w:r>
                      </w:p>
                    </w:tc>
                  </w:tr>
                  <w:tr w:rsidR="001B38A1" w:rsidRPr="000719E5" w14:paraId="08AF4B8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E404E25" w14:textId="77777777" w:rsidR="001B38A1" w:rsidRPr="000719E5" w:rsidRDefault="001B38A1" w:rsidP="00C430EA">
                        <w:pPr>
                          <w:spacing w:before="60" w:after="60" w:line="240" w:lineRule="auto"/>
                          <w:rPr>
                            <w:rFonts w:eastAsia="Times New Roman" w:cstheme="minorHAnsi"/>
                            <w:sz w:val="16"/>
                            <w:szCs w:val="16"/>
                            <w:lang w:eastAsia="cs-CZ"/>
                          </w:rPr>
                        </w:pPr>
                        <w:r w:rsidRPr="000719E5">
                          <w:rPr>
                            <w:rFonts w:eastAsia="Times New Roman" w:cstheme="minorHAnsi"/>
                            <w:sz w:val="16"/>
                            <w:szCs w:val="16"/>
                            <w:lang w:eastAsia="cs-CZ"/>
                          </w:rPr>
                          <w:t>Velké podniky</w:t>
                        </w:r>
                      </w:p>
                    </w:tc>
                    <w:tc>
                      <w:tcPr>
                        <w:tcW w:w="0" w:type="auto"/>
                        <w:tcBorders>
                          <w:top w:val="single" w:sz="6" w:space="0" w:color="000000"/>
                          <w:left w:val="single" w:sz="6" w:space="0" w:color="000000"/>
                          <w:bottom w:val="single" w:sz="6" w:space="0" w:color="000000"/>
                          <w:right w:val="single" w:sz="6" w:space="0" w:color="000000"/>
                        </w:tcBorders>
                        <w:hideMark/>
                      </w:tcPr>
                      <w:p w14:paraId="3402C639" w14:textId="77777777" w:rsidR="001B38A1" w:rsidRPr="000719E5" w:rsidRDefault="001B38A1" w:rsidP="00C430EA">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50 bps</w:t>
                        </w:r>
                      </w:p>
                    </w:tc>
                    <w:tc>
                      <w:tcPr>
                        <w:tcW w:w="0" w:type="auto"/>
                        <w:tcBorders>
                          <w:top w:val="single" w:sz="6" w:space="0" w:color="000000"/>
                          <w:left w:val="single" w:sz="6" w:space="0" w:color="000000"/>
                          <w:bottom w:val="single" w:sz="6" w:space="0" w:color="000000"/>
                          <w:right w:val="single" w:sz="6" w:space="0" w:color="000000"/>
                        </w:tcBorders>
                        <w:hideMark/>
                      </w:tcPr>
                      <w:p w14:paraId="697B3805" w14:textId="77777777" w:rsidR="001B38A1" w:rsidRPr="000719E5" w:rsidRDefault="001B38A1" w:rsidP="00C430EA">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100 bps</w:t>
                        </w:r>
                      </w:p>
                    </w:tc>
                    <w:tc>
                      <w:tcPr>
                        <w:tcW w:w="0" w:type="auto"/>
                        <w:tcBorders>
                          <w:top w:val="single" w:sz="6" w:space="0" w:color="000000"/>
                          <w:left w:val="single" w:sz="6" w:space="0" w:color="000000"/>
                          <w:bottom w:val="single" w:sz="6" w:space="0" w:color="000000"/>
                          <w:right w:val="single" w:sz="6" w:space="0" w:color="000000"/>
                        </w:tcBorders>
                        <w:hideMark/>
                      </w:tcPr>
                      <w:p w14:paraId="37210450" w14:textId="77777777" w:rsidR="001B38A1" w:rsidRPr="000719E5" w:rsidRDefault="001B38A1" w:rsidP="00C430EA">
                        <w:pPr>
                          <w:spacing w:before="60" w:after="60" w:line="240" w:lineRule="auto"/>
                          <w:ind w:right="195"/>
                          <w:jc w:val="right"/>
                          <w:rPr>
                            <w:rFonts w:eastAsia="Times New Roman" w:cstheme="minorHAnsi"/>
                            <w:sz w:val="16"/>
                            <w:szCs w:val="16"/>
                            <w:lang w:eastAsia="cs-CZ"/>
                          </w:rPr>
                        </w:pPr>
                        <w:r w:rsidRPr="000719E5">
                          <w:rPr>
                            <w:rFonts w:eastAsia="Times New Roman" w:cstheme="minorHAnsi"/>
                            <w:sz w:val="16"/>
                            <w:szCs w:val="16"/>
                            <w:lang w:eastAsia="cs-CZ"/>
                          </w:rPr>
                          <w:t>200 bps</w:t>
                        </w:r>
                      </w:p>
                    </w:tc>
                  </w:tr>
                </w:tbl>
                <w:p w14:paraId="47F0508E" w14:textId="77777777" w:rsidR="001B38A1" w:rsidRPr="000719E5" w:rsidRDefault="001B38A1" w:rsidP="00C430EA">
                  <w:pPr>
                    <w:spacing w:after="0" w:line="240" w:lineRule="auto"/>
                    <w:rPr>
                      <w:rFonts w:eastAsia="Times New Roman" w:cstheme="minorHAnsi"/>
                      <w:sz w:val="16"/>
                      <w:szCs w:val="16"/>
                      <w:lang w:eastAsia="cs-CZ"/>
                    </w:rPr>
                  </w:pPr>
                </w:p>
              </w:tc>
            </w:tr>
          </w:tbl>
          <w:p w14:paraId="1EE5ABBD" w14:textId="77777777" w:rsidR="001B38A1" w:rsidRPr="000719E5" w:rsidRDefault="001B38A1" w:rsidP="00C430EA">
            <w:pPr>
              <w:spacing w:after="0" w:line="240" w:lineRule="auto"/>
              <w:rPr>
                <w:rFonts w:eastAsia="Times New Roman" w:cstheme="minorHAnsi"/>
                <w:vanish/>
                <w:color w:val="000000"/>
                <w:sz w:val="16"/>
                <w:szCs w:val="16"/>
                <w:lang w:eastAsia="cs-CZ"/>
              </w:rPr>
            </w:pPr>
          </w:p>
          <w:tbl>
            <w:tblPr>
              <w:tblW w:w="5000" w:type="pct"/>
              <w:tblCellSpacing w:w="0" w:type="dxa"/>
              <w:tblCellMar>
                <w:left w:w="0" w:type="dxa"/>
                <w:right w:w="0" w:type="dxa"/>
              </w:tblCellMar>
              <w:tblLook w:val="04A0" w:firstRow="1" w:lastRow="0" w:firstColumn="1" w:lastColumn="0" w:noHBand="0" w:noVBand="1"/>
            </w:tblPr>
            <w:tblGrid>
              <w:gridCol w:w="125"/>
              <w:gridCol w:w="8738"/>
            </w:tblGrid>
            <w:tr w:rsidR="001B38A1" w:rsidRPr="000719E5" w14:paraId="48760A31" w14:textId="77777777">
              <w:trPr>
                <w:tblCellSpacing w:w="0" w:type="dxa"/>
              </w:trPr>
              <w:tc>
                <w:tcPr>
                  <w:tcW w:w="0" w:type="auto"/>
                  <w:hideMark/>
                </w:tcPr>
                <w:p w14:paraId="6BFA213D"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c.</w:t>
                  </w:r>
                </w:p>
              </w:tc>
              <w:tc>
                <w:tcPr>
                  <w:tcW w:w="0" w:type="auto"/>
                  <w:hideMark/>
                </w:tcPr>
                <w:p w14:paraId="75DA081C" w14:textId="77777777" w:rsidR="001B38A1" w:rsidRPr="000719E5" w:rsidRDefault="001B38A1" w:rsidP="009C515D">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Na základě výše uvedené tabulky mohou členské státy oznámit alternativní režimy, přičemž lze modulovat splatnost úvěrů a úroveň rozpětí úvěrového rizika, např. pro celou dobu trvání úvěru lze použít paušální rozpětí úvěrového rizika, je-li vyšší než minimální rozpětí úvěrového rizika za 1. rok v případě všech kategorií příjemců, upravené v závislosti na splatnosti úvěru podle tohoto odstavce.</w:t>
                  </w:r>
                </w:p>
              </w:tc>
            </w:tr>
            <w:tr w:rsidR="001B38A1" w:rsidRPr="000719E5" w14:paraId="68197DB7" w14:textId="77777777">
              <w:trPr>
                <w:tblCellSpacing w:w="0" w:type="dxa"/>
              </w:trPr>
              <w:tc>
                <w:tcPr>
                  <w:tcW w:w="0" w:type="auto"/>
                  <w:hideMark/>
                </w:tcPr>
                <w:p w14:paraId="7371C28E"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d.</w:t>
                  </w:r>
                </w:p>
              </w:tc>
              <w:tc>
                <w:tcPr>
                  <w:tcW w:w="0" w:type="auto"/>
                  <w:hideMark/>
                </w:tcPr>
                <w:p w14:paraId="6E41A9BC"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Smlouvy o úvěru musí být podepsány nejpozději do 31. prosince 2022 a jsou omezeny na nejvýše šest let, nedojde-li ke změně podle bodu 50 písm. c).</w:t>
                  </w:r>
                </w:p>
              </w:tc>
            </w:tr>
            <w:tr w:rsidR="001B38A1" w:rsidRPr="000719E5" w14:paraId="3027B9FA" w14:textId="77777777">
              <w:trPr>
                <w:tblCellSpacing w:w="0" w:type="dxa"/>
              </w:trPr>
              <w:tc>
                <w:tcPr>
                  <w:tcW w:w="0" w:type="auto"/>
                  <w:hideMark/>
                </w:tcPr>
                <w:p w14:paraId="34F8CF64"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e.</w:t>
                  </w:r>
                </w:p>
              </w:tc>
              <w:tc>
                <w:tcPr>
                  <w:tcW w:w="0" w:type="auto"/>
                  <w:hideMark/>
                </w:tcPr>
                <w:p w14:paraId="4838F71C"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Celková výše úvěrů na jednoho příjemce nesmí překročit:</w:t>
                  </w:r>
                </w:p>
                <w:tbl>
                  <w:tblPr>
                    <w:tblW w:w="5000" w:type="pct"/>
                    <w:tblCellSpacing w:w="0" w:type="dxa"/>
                    <w:tblCellMar>
                      <w:left w:w="0" w:type="dxa"/>
                      <w:right w:w="0" w:type="dxa"/>
                    </w:tblCellMar>
                    <w:tblLook w:val="04A0" w:firstRow="1" w:lastRow="0" w:firstColumn="1" w:lastColumn="0" w:noHBand="0" w:noVBand="1"/>
                  </w:tblPr>
                  <w:tblGrid>
                    <w:gridCol w:w="208"/>
                    <w:gridCol w:w="8530"/>
                  </w:tblGrid>
                  <w:tr w:rsidR="001B38A1" w:rsidRPr="000719E5" w14:paraId="460D8093" w14:textId="77777777">
                    <w:trPr>
                      <w:tblCellSpacing w:w="0" w:type="dxa"/>
                    </w:trPr>
                    <w:tc>
                      <w:tcPr>
                        <w:tcW w:w="0" w:type="auto"/>
                        <w:hideMark/>
                      </w:tcPr>
                      <w:p w14:paraId="4C6CC776"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(i)</w:t>
                        </w:r>
                      </w:p>
                    </w:tc>
                    <w:tc>
                      <w:tcPr>
                        <w:tcW w:w="0" w:type="auto"/>
                        <w:hideMark/>
                      </w:tcPr>
                      <w:p w14:paraId="042CCEFD"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15 % průměrného celkového ročního obratu příjemce za poslední tři uzavřená účetní období nebo</w:t>
                        </w:r>
                      </w:p>
                    </w:tc>
                  </w:tr>
                  <w:tr w:rsidR="001B38A1" w:rsidRPr="000719E5" w14:paraId="39A5F839" w14:textId="77777777">
                    <w:trPr>
                      <w:tblCellSpacing w:w="0" w:type="dxa"/>
                    </w:trPr>
                    <w:tc>
                      <w:tcPr>
                        <w:tcW w:w="0" w:type="auto"/>
                        <w:hideMark/>
                      </w:tcPr>
                      <w:p w14:paraId="0F0A57E1"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(ii)</w:t>
                        </w:r>
                      </w:p>
                    </w:tc>
                    <w:tc>
                      <w:tcPr>
                        <w:tcW w:w="0" w:type="auto"/>
                        <w:hideMark/>
                      </w:tcPr>
                      <w:p w14:paraId="1ADA095D"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50 % nákladů na energii za 12 měsíců předcházejících měsíci, v němž byla podána žádost o podporu</w:t>
                        </w:r>
                      </w:p>
                    </w:tc>
                  </w:tr>
                  <w:tr w:rsidR="001B38A1" w:rsidRPr="000719E5" w14:paraId="6596D819" w14:textId="77777777">
                    <w:trPr>
                      <w:tblCellSpacing w:w="0" w:type="dxa"/>
                    </w:trPr>
                    <w:tc>
                      <w:tcPr>
                        <w:tcW w:w="0" w:type="auto"/>
                        <w:hideMark/>
                      </w:tcPr>
                      <w:p w14:paraId="2F306877"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(iii)</w:t>
                        </w:r>
                      </w:p>
                    </w:tc>
                    <w:tc>
                      <w:tcPr>
                        <w:tcW w:w="0" w:type="auto"/>
                        <w:hideMark/>
                      </w:tcPr>
                      <w:p w14:paraId="6F247B30" w14:textId="77777777" w:rsidR="001B38A1" w:rsidRPr="000719E5" w:rsidRDefault="001B38A1" w:rsidP="009C515D">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s náležitým odůvodněním poskytnutým členským státem Komisi (například v souvislosti s problémy, kterým příjemce během současné krize čelí), lze částku úvěru navýšit tak, aby pokryla potřebnou likviditu od okamžiku poskytnutí po nadcházejících 12 měsíců v případě malých a středních podniků  či nadcházejících 6 měsíců v případě velkých podniků. Potřeby likvidity, které jsou již pokryty opatřeními podpory podle dočasného rámce COVID-19, stávající sdělení nepokrývá. Potřeba likvidity by měla být stanovena prostřednictvím čestného prohlášení příjemce</w:t>
                        </w:r>
                        <w:r w:rsidRPr="000719E5">
                          <w:rPr>
                            <w:rFonts w:eastAsia="Times New Roman" w:cstheme="minorHAnsi"/>
                            <w:color w:val="0000FF"/>
                            <w:sz w:val="16"/>
                            <w:szCs w:val="16"/>
                            <w:u w:val="single"/>
                            <w:lang w:eastAsia="cs-CZ"/>
                          </w:rPr>
                          <w:t>)</w:t>
                        </w:r>
                        <w:r w:rsidRPr="000719E5">
                          <w:rPr>
                            <w:rFonts w:eastAsia="Times New Roman" w:cstheme="minorHAnsi"/>
                            <w:sz w:val="16"/>
                            <w:szCs w:val="16"/>
                            <w:lang w:eastAsia="cs-CZ"/>
                          </w:rPr>
                          <w:t>.</w:t>
                        </w:r>
                      </w:p>
                    </w:tc>
                  </w:tr>
                </w:tbl>
                <w:p w14:paraId="66ED1411" w14:textId="77777777" w:rsidR="001B38A1" w:rsidRPr="000719E5" w:rsidRDefault="001B38A1" w:rsidP="00C430EA">
                  <w:pPr>
                    <w:spacing w:after="0" w:line="240" w:lineRule="auto"/>
                    <w:rPr>
                      <w:rFonts w:eastAsia="Times New Roman" w:cstheme="minorHAnsi"/>
                      <w:sz w:val="16"/>
                      <w:szCs w:val="16"/>
                      <w:lang w:eastAsia="cs-CZ"/>
                    </w:rPr>
                  </w:pPr>
                </w:p>
              </w:tc>
            </w:tr>
            <w:tr w:rsidR="001B38A1" w:rsidRPr="000719E5" w14:paraId="53916904" w14:textId="77777777">
              <w:trPr>
                <w:tblCellSpacing w:w="0" w:type="dxa"/>
              </w:trPr>
              <w:tc>
                <w:tcPr>
                  <w:tcW w:w="0" w:type="auto"/>
                  <w:hideMark/>
                </w:tcPr>
                <w:p w14:paraId="7F167193"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f.</w:t>
                  </w:r>
                </w:p>
              </w:tc>
              <w:tc>
                <w:tcPr>
                  <w:tcW w:w="0" w:type="auto"/>
                  <w:hideMark/>
                </w:tcPr>
                <w:p w14:paraId="1B1018BA"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Úvěry se vztahují na investiční potřeby a/nebo na potřeby pracovního kapitálu.</w:t>
                  </w:r>
                </w:p>
              </w:tc>
            </w:tr>
            <w:tr w:rsidR="001B38A1" w:rsidRPr="00C430EA" w14:paraId="0CC663F2" w14:textId="77777777">
              <w:trPr>
                <w:tblCellSpacing w:w="0" w:type="dxa"/>
              </w:trPr>
              <w:tc>
                <w:tcPr>
                  <w:tcW w:w="0" w:type="auto"/>
                  <w:hideMark/>
                </w:tcPr>
                <w:p w14:paraId="0C76A94E" w14:textId="77777777" w:rsidR="001B38A1" w:rsidRPr="000719E5"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g.</w:t>
                  </w:r>
                </w:p>
              </w:tc>
              <w:tc>
                <w:tcPr>
                  <w:tcW w:w="0" w:type="auto"/>
                  <w:hideMark/>
                </w:tcPr>
                <w:p w14:paraId="3F49C990" w14:textId="77777777" w:rsidR="001B38A1" w:rsidRPr="00C430EA" w:rsidRDefault="001B38A1" w:rsidP="00C430EA">
                  <w:pPr>
                    <w:spacing w:before="120" w:after="0" w:line="240" w:lineRule="auto"/>
                    <w:jc w:val="both"/>
                    <w:rPr>
                      <w:rFonts w:eastAsia="Times New Roman" w:cstheme="minorHAnsi"/>
                      <w:sz w:val="16"/>
                      <w:szCs w:val="16"/>
                      <w:lang w:eastAsia="cs-CZ"/>
                    </w:rPr>
                  </w:pPr>
                  <w:r w:rsidRPr="000719E5">
                    <w:rPr>
                      <w:rFonts w:eastAsia="Times New Roman" w:cstheme="minorHAnsi"/>
                      <w:sz w:val="16"/>
                      <w:szCs w:val="16"/>
                      <w:lang w:eastAsia="cs-CZ"/>
                    </w:rPr>
                    <w:t>Úvěry mohou být poskytnuty konečným příjemcům přímo nebo prostřednictvím úvěrových institucí a jiných finančních institucí, jako jsou finanční zprostředkovatelé. V takovém případě by úvěrové instituce nebo jiné finanční instituce měly v co největší možné míře přenést výhody subvencovaných úrokových sazeb na konečné příjemce. Finanční zprostředkovatel musí být schopen prokázat, že provozuje mechanismus, který zajišťuje, aby výhody byly v co největším rozsahu postupovány konečným příjemcům, aniž by to bylo podmíněno poskytnutím subvencovaných úvěrů podle tohoto oddílu k refinancování stávajících úvěrů.</w:t>
                  </w:r>
                </w:p>
              </w:tc>
            </w:tr>
          </w:tbl>
          <w:p w14:paraId="31F4EB18" w14:textId="77777777" w:rsidR="001B38A1" w:rsidRPr="00C430EA" w:rsidRDefault="001B38A1" w:rsidP="00C430EA">
            <w:pPr>
              <w:spacing w:after="0" w:line="240" w:lineRule="auto"/>
              <w:rPr>
                <w:rFonts w:eastAsia="Times New Roman" w:cstheme="minorHAnsi"/>
                <w:color w:val="000000"/>
                <w:sz w:val="16"/>
                <w:szCs w:val="16"/>
                <w:lang w:eastAsia="cs-CZ"/>
              </w:rPr>
            </w:pPr>
          </w:p>
        </w:tc>
      </w:tr>
    </w:tbl>
    <w:p w14:paraId="3FA55A33" w14:textId="77777777" w:rsidR="001B38A1" w:rsidRPr="009C515D" w:rsidRDefault="001B38A1" w:rsidP="001B38A1">
      <w:pPr>
        <w:pStyle w:val="Textpoznpodarou"/>
        <w:rPr>
          <w:rFonts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4C66" w14:textId="77777777" w:rsidR="008D33E0" w:rsidRDefault="008D33E0">
    <w:pPr>
      <w:pStyle w:val="Zhlav"/>
    </w:pPr>
    <w:r>
      <w:rPr>
        <w:noProof/>
        <w:lang w:eastAsia="cs-CZ"/>
      </w:rPr>
      <mc:AlternateContent>
        <mc:Choice Requires="wps">
          <w:drawing>
            <wp:anchor distT="0" distB="0" distL="0" distR="0" simplePos="0" relativeHeight="251659264" behindDoc="0" locked="0" layoutInCell="1" allowOverlap="1" wp14:anchorId="6F1ABB8A" wp14:editId="6F998C19">
              <wp:simplePos x="635" y="635"/>
              <wp:positionH relativeFrom="rightMargin">
                <wp:align>right</wp:align>
              </wp:positionH>
              <wp:positionV relativeFrom="paragraph">
                <wp:posOffset>635</wp:posOffset>
              </wp:positionV>
              <wp:extent cx="443865" cy="443865"/>
              <wp:effectExtent l="0" t="0" r="0" b="4445"/>
              <wp:wrapSquare wrapText="bothSides"/>
              <wp:docPr id="2" name="Textové pole 2" descr="Interní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CD86A0" w14:textId="77777777" w:rsidR="008D33E0" w:rsidRPr="008D33E0" w:rsidRDefault="008D33E0">
                          <w:pPr>
                            <w:rPr>
                              <w:rFonts w:ascii="Default" w:eastAsia="Default" w:hAnsi="Default" w:cs="Default"/>
                              <w:color w:val="000000"/>
                              <w:sz w:val="20"/>
                              <w:szCs w:val="20"/>
                            </w:rPr>
                          </w:pPr>
                          <w:r w:rsidRPr="008D33E0">
                            <w:rPr>
                              <w:rFonts w:ascii="Default" w:eastAsia="Default" w:hAnsi="Default" w:cs="Default"/>
                              <w:color w:val="000000"/>
                              <w:sz w:val="20"/>
                              <w:szCs w:val="20"/>
                            </w:rPr>
                            <w:t>Interní / Internal</w:t>
                          </w:r>
                        </w:p>
                      </w:txbxContent>
                    </wps:txbx>
                    <wps:bodyPr rot="0" spcFirstLastPara="0" vertOverflow="overflow" horzOverflow="overflow" vert="horz" wrap="none" lIns="0" tIns="0" rIns="31750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1ABB8A" id="_x0000_t202" coordsize="21600,21600" o:spt="202" path="m,l,21600r21600,l21600,xe">
              <v:stroke joinstyle="miter"/>
              <v:path gradientshapeok="t" o:connecttype="rect"/>
            </v:shapetype>
            <v:shape id="_x0000_s1032" type="#_x0000_t202" alt="Interní / Intern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2BOAIAAFsEAAAOAAAAZHJzL2Uyb0RvYy54bWysVMtu2zAQvBfoPxC817KdRwMjcuAmSBEg&#10;SAIkQc40RdkCSC5BMpbcP+qhX5Ef65CSkjbtqeiFWu2uZrmzszo964xmO+VDQ7bks8mUM2UlVY3d&#10;lPzx4fLTCWchClsJTVaVfK8CP1t+/HDauoWa05Z0pTwDiA2L1pV8G6NbFEWQW2VEmJBTFsGavBER&#10;r35TVF60QDe6mE+nx0VLvnKepAoB3os+yJcZv66VjLd1HVRkuuS4W8ynz+c6ncXyVCw2XrhtI4dr&#10;iH+4hRGNRdFXqAsRBXv2zR9QppGeAtVxIskUVNeNVLkHdDObvuvmfiucyr2AnOBeaQr/D1be7O48&#10;a6qSzzmzwmBED6qLtHv5zhxpxeCuVJCg7MpG5e3LD1aw3hQ60de6sADKvQNO7L5QBxmM/gBnYqWr&#10;vUlP9MsQxyD2r+SjGpNwHh4enBwfcSYRGmygF28fOx/iV0WGJaPkHrPNlIvddYh96piSalm6bLTO&#10;89X2Nwcwk6dIN+9vmKzYrbuhnTVVe3TjqZdLcPKyQc1rEeKd8NAHGoDm4y2OWlNbchoszrbkv/3N&#10;n/IxNkQ5a6G3klssBGf6ymKcSZqj4bNxMPt8NIV7PbrtszknqHiGhXIymwj7qEez9mSesA2rVAgh&#10;YSXKlTyO5nnshY9tkmq1yklQoRPx2t47maATT4nEh+5JeDcwHTGiGxrFKBbvCO9z05fBrZ4jaM/T&#10;SJz2RA5UQ8F5nsO2pRX59T1nvf0Tlj8BAAD//wMAUEsDBBQABgAIAAAAIQDUkDck2wAAAAMBAAAP&#10;AAAAZHJzL2Rvd25yZXYueG1sTI/NTsMwEITvSLyDtUhcKmoDUkpDnKpCQuIAUv+EOG7iJYmw1yF2&#10;2/TtcU/0uDOjmW+LxeisONAQOs8a7qcKBHHtTceNht329e4JRIjIBq1n0nCiAIvy+qrA3Pgjr+mw&#10;iY1IJRxy1NDG2OdShrolh2Hqe+LkffvBYUzn0Egz4DGVOysflMqkw47TQos9vbRU/2z2TkOmfkdb&#10;vZ3evyYfq8knPq6kU0utb2/G5TOISGP8D8MZP6FDmZgqv2cThNWQHolnVSQvm89BVBpmSoEsC3nJ&#10;Xv4BAAD//wMAUEsBAi0AFAAGAAgAAAAhALaDOJL+AAAA4QEAABMAAAAAAAAAAAAAAAAAAAAAAFtD&#10;b250ZW50X1R5cGVzXS54bWxQSwECLQAUAAYACAAAACEAOP0h/9YAAACUAQAACwAAAAAAAAAAAAAA&#10;AAAvAQAAX3JlbHMvLnJlbHNQSwECLQAUAAYACAAAACEAZzj9gTgCAABbBAAADgAAAAAAAAAAAAAA&#10;AAAuAgAAZHJzL2Uyb0RvYy54bWxQSwECLQAUAAYACAAAACEA1JA3JNsAAAADAQAADwAAAAAAAAAA&#10;AAAAAACSBAAAZHJzL2Rvd25yZXYueG1sUEsFBgAAAAAEAAQA8wAAAJoFAAAAAA==&#10;" filled="f" stroked="f">
              <v:textbox style="mso-fit-shape-to-text:t" inset="0,0,25pt,0">
                <w:txbxContent>
                  <w:p w14:paraId="7DCD86A0" w14:textId="77777777" w:rsidR="008D33E0" w:rsidRPr="008D33E0" w:rsidRDefault="008D33E0">
                    <w:pPr>
                      <w:rPr>
                        <w:rFonts w:ascii="Default" w:eastAsia="Default" w:hAnsi="Default" w:cs="Default"/>
                        <w:color w:val="000000"/>
                        <w:sz w:val="20"/>
                        <w:szCs w:val="20"/>
                      </w:rPr>
                    </w:pPr>
                    <w:r w:rsidRPr="008D33E0">
                      <w:rPr>
                        <w:rFonts w:ascii="Default" w:eastAsia="Default" w:hAnsi="Default" w:cs="Default"/>
                        <w:color w:val="000000"/>
                        <w:sz w:val="20"/>
                        <w:szCs w:val="20"/>
                      </w:rPr>
                      <w:t xml:space="preserve">Interní / </w:t>
                    </w:r>
                    <w:proofErr w:type="spellStart"/>
                    <w:r w:rsidRPr="008D33E0">
                      <w:rPr>
                        <w:rFonts w:ascii="Default" w:eastAsia="Default" w:hAnsi="Default" w:cs="Default"/>
                        <w:color w:val="000000"/>
                        <w:sz w:val="20"/>
                        <w:szCs w:val="20"/>
                      </w:rPr>
                      <w:t>Internal</w:t>
                    </w:r>
                    <w:proofErr w:type="spellEnd"/>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026B" w14:textId="77777777" w:rsidR="008D33E0" w:rsidRDefault="001911EE" w:rsidP="00F14EC6">
    <w:pPr>
      <w:pStyle w:val="Zhlav"/>
      <w:jc w:val="right"/>
      <w:rPr>
        <w:i/>
        <w:iCs/>
        <w:sz w:val="20"/>
        <w:szCs w:val="20"/>
      </w:rPr>
    </w:pPr>
    <w:r>
      <w:rPr>
        <w:i/>
        <w:iCs/>
        <w:noProof/>
        <w:sz w:val="20"/>
        <w:szCs w:val="20"/>
        <w:lang w:eastAsia="cs-CZ"/>
      </w:rPr>
      <mc:AlternateContent>
        <mc:Choice Requires="wps">
          <w:drawing>
            <wp:anchor distT="0" distB="0" distL="114300" distR="114300" simplePos="0" relativeHeight="251660288" behindDoc="0" locked="0" layoutInCell="0" allowOverlap="1" wp14:anchorId="70A09BBB" wp14:editId="5C83507D">
              <wp:simplePos x="0" y="0"/>
              <wp:positionH relativeFrom="page">
                <wp:posOffset>0</wp:posOffset>
              </wp:positionH>
              <wp:positionV relativeFrom="page">
                <wp:posOffset>317500</wp:posOffset>
              </wp:positionV>
              <wp:extent cx="7560310" cy="273050"/>
              <wp:effectExtent l="0" t="0" r="0" b="12700"/>
              <wp:wrapNone/>
              <wp:docPr id="6" name="MSIPCM097042819b095a53dc0abe7c" descr="{&quot;HashCode&quot;:-16491029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CBCEA" w14:textId="77777777" w:rsidR="001911EE" w:rsidRPr="001911EE" w:rsidRDefault="001911EE" w:rsidP="00244974">
                          <w:pPr>
                            <w:spacing w:after="0"/>
                            <w:rPr>
                              <w:rFonts w:ascii="Calibri" w:hAnsi="Calibri" w:cs="Calibri"/>
                              <w:color w:val="000000"/>
                              <w:sz w:val="20"/>
                            </w:rPr>
                          </w:pPr>
                        </w:p>
                      </w:txbxContent>
                    </wps:txbx>
                    <wps:bodyPr rot="0" spcFirstLastPara="0" vertOverflow="overflow" horzOverflow="overflow" vert="horz" wrap="square" lIns="91440" tIns="0" rIns="38100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A09BBB" id="_x0000_t202" coordsize="21600,21600" o:spt="202" path="m,l,21600r21600,l21600,xe">
              <v:stroke joinstyle="miter"/>
              <v:path gradientshapeok="t" o:connecttype="rect"/>
            </v:shapetype>
            <v:shape id="MSIPCM097042819b095a53dc0abe7c" o:spid="_x0000_s1033" type="#_x0000_t202" alt="{&quot;HashCode&quot;:-1649102963,&quot;Height&quot;:841.0,&quot;Width&quot;:595.0,&quot;Placement&quot;:&quot;Header&quot;,&quot;Index&quot;:&quot;Primary&quot;,&quot;Section&quot;:1,&quot;Top&quot;:0.0,&quot;Left&quot;:0.0}" style="position:absolute;left:0;text-align:left;margin-left:0;margin-top:2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s5HAMAAD8GAAAOAAAAZHJzL2Uyb0RvYy54bWysVMtu4zYU3RfoPwhcdFVHlC0/5EYZJA7c&#10;BvDMGHCKrGmKiohKpIakY6WD+fceUpJnMu2iKLoh74v3eXiv33VNHb0IY6VWOUmuKImE4rqQ6jkn&#10;vz9uJysSWcdUwWqtRE5ehSXvbn784frcrsVUV7ouhIngRNn1uc1J5Vy7jmPLK9Ewe6VboaAstWmY&#10;A2ue48KwM7w3dTyldBGftSlao7mwFtL7Xklugv+yFNx9LEsrXFTnBLm5cJpwHv0Z31yz9bNhbSX5&#10;kAb7D1k0TCoEvbi6Z45FJyP/5qqR3GirS3fFdRPrspRchBpQTUK/q+ZQsVaEWtAc217aZP8/t/zD&#10;y95EssjJgkSKNRjR+8PDfvOeZkuaTldJdqTZnM1nBafsKJacRIWwHB38/NOnk3a//MZstdGF6Ln1&#10;JFmkWUKn2WL282Ag5HPlBvUqBUQGxZMsXDXI59n8It/XjItGqPHN6IYBKT09OHhQhegGB/21N7Jh&#10;5vWN1QEYADgHu2R4+6jbQUIvgXeiHGNC+MVj49zaNVp0aNEk193pDhgf5RZCP/KuNI2/McwIeqDs&#10;9YIs0bmIQ7icL+gsgYpDN13O6DxAL/76ujXW/Sp0E3kiJwZZB0Cxl511yASmo4kPpvRW1nVAb62i&#10;M8Y3g8s3GryolZcgCfgYqB6Vn7NkmtK7aTbZLlbLSbpN5xMMfDWhSXaXLWiapffbL95fkq4rWRRC&#10;7aQS4w9J0n+HwOGv9tgOf+RNqlbXsvB1+Nx8dZvaRC8MX/UIDPzhG40ivrGK36YT1KhuvEOVsZ9Z&#10;PxtPue7YBXxf5nbUxSvGaTTajInYlm8lYu+YdXtm8PshxEZzH3GUtUZv9UCRqNLmz3+Se3u0BFoS&#10;nbFNcmI/nZgRJKofFL5rlqQp3LrAgDCBmK0SSsEdR7E6NRuN8pOQViC9satHsjS6ecLGu/XhoGKK&#10;I2hO3EhuHDgosDG5uL0NNDZNy9xOHVruXY/NfuyemGkHvDm08YMeFw5bfwe73ta/VPr25HQpAyZ9&#10;g/t2YgSewZYKwxg2ql+D3/LB6uvev/kLAAD//wMAUEsDBBQABgAIAAAAIQDeIiDi3AAAAAcBAAAP&#10;AAAAZHJzL2Rvd25yZXYueG1sTI/BTsMwDIbvSLxDZCRuLClTB+uaTgjBCYmNsQdIG9MWEqdqsq17&#10;e7wTnCzr//X5c7mevBNHHGMfSEM2UyCQmmB7ajXsP1/vHkHEZMgaFwg1nDHCurq+Kk1hw4k+8LhL&#10;rWAIxcJo6FIaCilj06E3cRYGJM6+wuhN4nVspR3NieHeyXulFtKbnvhCZwZ87rD52R28huU2e/vO&#10;7Uae64fB5e+y3sxfRq1vb6anFYiEU/orw0Wf1aFipzocyEbhNPAjSUOueF7SbKkWIGpmzxXIqpT/&#10;/atfAAAA//8DAFBLAQItABQABgAIAAAAIQC2gziS/gAAAOEBAAATAAAAAAAAAAAAAAAAAAAAAABb&#10;Q29udGVudF9UeXBlc10ueG1sUEsBAi0AFAAGAAgAAAAhADj9If/WAAAAlAEAAAsAAAAAAAAAAAAA&#10;AAAALwEAAF9yZWxzLy5yZWxzUEsBAi0AFAAGAAgAAAAhAIJUWzkcAwAAPwYAAA4AAAAAAAAAAAAA&#10;AAAALgIAAGRycy9lMm9Eb2MueG1sUEsBAi0AFAAGAAgAAAAhAN4iIOLcAAAABwEAAA8AAAAAAAAA&#10;AAAAAAAAdgUAAGRycy9kb3ducmV2LnhtbFBLBQYAAAAABAAEAPMAAAB/BgAAAAA=&#10;" o:allowincell="f" filled="f" stroked="f" strokeweight=".5pt">
              <v:textbox inset=",0,30pt,0">
                <w:txbxContent>
                  <w:p w14:paraId="729CBCEA" w14:textId="77777777" w:rsidR="001911EE" w:rsidRPr="001911EE" w:rsidRDefault="001911EE" w:rsidP="00244974">
                    <w:pPr>
                      <w:spacing w:after="0"/>
                      <w:rPr>
                        <w:rFonts w:ascii="Calibri" w:hAnsi="Calibri" w:cs="Calibri"/>
                        <w:color w:val="000000"/>
                        <w:sz w:val="20"/>
                      </w:rPr>
                    </w:pPr>
                  </w:p>
                </w:txbxContent>
              </v:textbox>
              <w10:wrap anchorx="page" anchory="page"/>
            </v:shape>
          </w:pict>
        </mc:Fallback>
      </mc:AlternateContent>
    </w:r>
  </w:p>
  <w:p w14:paraId="57736E54" w14:textId="77777777" w:rsidR="00D668B5" w:rsidRDefault="00D668B5" w:rsidP="00F14EC6">
    <w:pPr>
      <w:pStyle w:val="Zhlav"/>
      <w:jc w:val="right"/>
      <w:rPr>
        <w:i/>
        <w:iCs/>
        <w:sz w:val="20"/>
        <w:szCs w:val="20"/>
      </w:rPr>
    </w:pPr>
  </w:p>
  <w:p w14:paraId="025C73D9" w14:textId="77777777" w:rsidR="0040505F" w:rsidRPr="00F14EC6" w:rsidRDefault="0040505F" w:rsidP="00F14EC6">
    <w:pPr>
      <w:pStyle w:val="Zhlav"/>
      <w:jc w:val="right"/>
      <w:rPr>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92D8" w14:textId="77777777" w:rsidR="008D33E0" w:rsidRDefault="008D33E0">
    <w:pPr>
      <w:pStyle w:val="Zhlav"/>
    </w:pPr>
    <w:r>
      <w:rPr>
        <w:noProof/>
        <w:lang w:eastAsia="cs-CZ"/>
      </w:rPr>
      <mc:AlternateContent>
        <mc:Choice Requires="wps">
          <w:drawing>
            <wp:anchor distT="0" distB="0" distL="0" distR="0" simplePos="0" relativeHeight="251658240" behindDoc="0" locked="0" layoutInCell="1" allowOverlap="1" wp14:anchorId="34B3B97B" wp14:editId="6DDF7700">
              <wp:simplePos x="635" y="635"/>
              <wp:positionH relativeFrom="rightMargin">
                <wp:align>right</wp:align>
              </wp:positionH>
              <wp:positionV relativeFrom="paragraph">
                <wp:posOffset>635</wp:posOffset>
              </wp:positionV>
              <wp:extent cx="443865" cy="443865"/>
              <wp:effectExtent l="0" t="0" r="0" b="4445"/>
              <wp:wrapSquare wrapText="bothSides"/>
              <wp:docPr id="1" name="Textové pole 1" descr="Interní /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D2D39B" w14:textId="77777777" w:rsidR="008D33E0" w:rsidRPr="008D33E0" w:rsidRDefault="008D33E0">
                          <w:pPr>
                            <w:rPr>
                              <w:rFonts w:ascii="Default" w:eastAsia="Default" w:hAnsi="Default" w:cs="Default"/>
                              <w:color w:val="000000"/>
                              <w:sz w:val="20"/>
                              <w:szCs w:val="20"/>
                            </w:rPr>
                          </w:pPr>
                          <w:r w:rsidRPr="008D33E0">
                            <w:rPr>
                              <w:rFonts w:ascii="Default" w:eastAsia="Default" w:hAnsi="Default" w:cs="Default"/>
                              <w:color w:val="000000"/>
                              <w:sz w:val="20"/>
                              <w:szCs w:val="20"/>
                            </w:rPr>
                            <w:t>Interní / Internal</w:t>
                          </w:r>
                        </w:p>
                      </w:txbxContent>
                    </wps:txbx>
                    <wps:bodyPr rot="0" spcFirstLastPara="0" vertOverflow="overflow" horzOverflow="overflow" vert="horz" wrap="none" lIns="0" tIns="0" rIns="31750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B3B97B" id="_x0000_t202" coordsize="21600,21600" o:spt="202" path="m,l,21600r21600,l21600,xe">
              <v:stroke joinstyle="miter"/>
              <v:path gradientshapeok="t" o:connecttype="rect"/>
            </v:shapetype>
            <v:shape id="Textové pole 1" o:spid="_x0000_s1034" type="#_x0000_t202" alt="Interní / Intern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mWOgIAAGIEAAAOAAAAZHJzL2Uyb0RvYy54bWysVMtu2zAQvBfoPxC817LzaiBYDtwELgIE&#10;SQAnyJmmqFgAxSVI2pL7Rz30K/JjHVJS0qY9Fb1Qq9nV7O7sUvOLrtFsr5yvyRR8NplypoyksjbP&#10;BX98WH0658wHYUqhyaiCH5TnF4uPH+atzdURbUmXyjGQGJ+3tuDbEGyeZV5uVSP8hKwycFbkGhHw&#10;6p6z0okW7I3OjqbTs6wlV1pHUnkP9Kp38kXiryolw11VeRWYLjhqC+l06dzEM1vMRf7shN3WcihD&#10;/EMVjagNkr5SXYkg2M7Vf1A1tXTkqQoTSU1GVVVLlXpAN7Ppu27WW2FV6gXiePsqk/9/tPJ2f+9Y&#10;XWJ2nBnRYEQPqgu0f/nOLGnFAJfKS0h2bYJy5uUHy1hvCh3la63PwbK24AndF+oi1YB7gFGVrnJN&#10;fKJfBj8GcXgVH9mYBHhycnx+dsqZhGuwwZK9fWydD18VNSwaBXeYbZJc7G986EPHkJjL0KrWGrjI&#10;tfkNAGdEslh5X2G0QrfpkhBHY/UbKg9oylG/Nd7KVY3UN8KHe+GwJugDqx/ucFSa2oLTYHG2Jfft&#10;b3iMx/Tg5azF2hXc4F5wpq8Npho3dDRcMo5nn0+ngDcjbHbNJWGZMRcUlEy4XdCjWTlqnnApljER&#10;XMJIpCt4GM3L0O8/LpVUy2UKwjJaEW7M2spIHeWKWj50T8LZQfCASd3SuJMif6d7Hxu/9Ha5C1A/&#10;DSVK2ws5KI5FTmMdLl28Kb++p6i3X8PiJwAAAP//AwBQSwMEFAAGAAgAAAAhANSQNyTbAAAAAwEA&#10;AA8AAABkcnMvZG93bnJldi54bWxMj81OwzAQhO9IvIO1SFwqagNSSkOcqkJC4gBS/4Q4buIlibDX&#10;IXbb9O1xT/S4M6OZb4vF6Kw40BA6zxrupwoEce1Nx42G3fb17glEiMgGrWfScKIAi/L6qsDc+COv&#10;6bCJjUglHHLU0MbY51KGuiWHYep74uR9+8FhTOfQSDPgMZU7Kx+UyqTDjtNCiz29tFT/bPZOQ6Z+&#10;R1u9nd6/Jh+rySc+rqRTS61vb8blM4hIY/wPwxk/oUOZmCq/ZxOE1ZAeiWdVJC+bz0FUGmZKgSwL&#10;ecle/gEAAP//AwBQSwECLQAUAAYACAAAACEAtoM4kv4AAADhAQAAEwAAAAAAAAAAAAAAAAAAAAAA&#10;W0NvbnRlbnRfVHlwZXNdLnhtbFBLAQItABQABgAIAAAAIQA4/SH/1gAAAJQBAAALAAAAAAAAAAAA&#10;AAAAAC8BAABfcmVscy8ucmVsc1BLAQItABQABgAIAAAAIQBB8PmWOgIAAGIEAAAOAAAAAAAAAAAA&#10;AAAAAC4CAABkcnMvZTJvRG9jLnhtbFBLAQItABQABgAIAAAAIQDUkDck2wAAAAMBAAAPAAAAAAAA&#10;AAAAAAAAAJQEAABkcnMvZG93bnJldi54bWxQSwUGAAAAAAQABADzAAAAnAUAAAAA&#10;" filled="f" stroked="f">
              <v:textbox style="mso-fit-shape-to-text:t" inset="0,0,25pt,0">
                <w:txbxContent>
                  <w:p w14:paraId="15D2D39B" w14:textId="77777777" w:rsidR="008D33E0" w:rsidRPr="008D33E0" w:rsidRDefault="008D33E0">
                    <w:pPr>
                      <w:rPr>
                        <w:rFonts w:ascii="Default" w:eastAsia="Default" w:hAnsi="Default" w:cs="Default"/>
                        <w:color w:val="000000"/>
                        <w:sz w:val="20"/>
                        <w:szCs w:val="20"/>
                      </w:rPr>
                    </w:pPr>
                    <w:r w:rsidRPr="008D33E0">
                      <w:rPr>
                        <w:rFonts w:ascii="Default" w:eastAsia="Default" w:hAnsi="Default" w:cs="Default"/>
                        <w:color w:val="000000"/>
                        <w:sz w:val="20"/>
                        <w:szCs w:val="20"/>
                      </w:rPr>
                      <w:t xml:space="preserve">Interní / </w:t>
                    </w:r>
                    <w:proofErr w:type="spellStart"/>
                    <w:r w:rsidRPr="008D33E0">
                      <w:rPr>
                        <w:rFonts w:ascii="Default" w:eastAsia="Default" w:hAnsi="Default" w:cs="Default"/>
                        <w:color w:val="000000"/>
                        <w:sz w:val="20"/>
                        <w:szCs w:val="20"/>
                      </w:rPr>
                      <w:t>Internal</w:t>
                    </w:r>
                    <w:proofErr w:type="spellEnd"/>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2623"/>
    <w:multiLevelType w:val="hybridMultilevel"/>
    <w:tmpl w:val="ABC6536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1F6B0C8C"/>
    <w:multiLevelType w:val="hybridMultilevel"/>
    <w:tmpl w:val="2C040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430C90"/>
    <w:multiLevelType w:val="multilevel"/>
    <w:tmpl w:val="76C84B24"/>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016F93"/>
    <w:multiLevelType w:val="hybridMultilevel"/>
    <w:tmpl w:val="4D0AE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641120"/>
    <w:multiLevelType w:val="hybridMultilevel"/>
    <w:tmpl w:val="1C8C7E98"/>
    <w:lvl w:ilvl="0" w:tplc="FA7C288E">
      <w:start w:val="1"/>
      <w:numFmt w:val="decimal"/>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5" w15:restartNumberingAfterBreak="0">
    <w:nsid w:val="6AD54CFC"/>
    <w:multiLevelType w:val="hybridMultilevel"/>
    <w:tmpl w:val="15B8B974"/>
    <w:lvl w:ilvl="0" w:tplc="549A1E0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3671086"/>
    <w:multiLevelType w:val="multilevel"/>
    <w:tmpl w:val="76C84B24"/>
    <w:numStyleLink w:val="StylI-aa"/>
  </w:abstractNum>
  <w:num w:numId="1">
    <w:abstractNumId w:val="1"/>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 w:ilvl="0">
        <w:start w:val="1"/>
        <w:numFmt w:val="upperRoman"/>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lvlText w:val="%3)"/>
        <w:lvlJc w:val="left"/>
        <w:pPr>
          <w:ind w:left="504" w:hanging="504"/>
        </w:pPr>
        <w:rPr>
          <w:rFonts w:hint="default"/>
        </w:rPr>
      </w:lvl>
    </w:lvlOverride>
    <w:lvlOverride w:ilvl="3">
      <w:lvl w:ilvl="3">
        <w:start w:val="1"/>
        <w:numFmt w:val="lowerLetter"/>
        <w:lvlText w:val="%3%4)"/>
        <w:lvlJc w:val="left"/>
        <w:pPr>
          <w:ind w:left="790"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lvlOverride w:ilvl="0">
      <w:lvl w:ilvl="0">
        <w:start w:val="1"/>
        <w:numFmt w:val="upperRoman"/>
        <w:pStyle w:val="StylI"/>
        <w:lvlText w:val="%1."/>
        <w:lvlJc w:val="left"/>
        <w:pPr>
          <w:ind w:left="360" w:hanging="360"/>
        </w:pPr>
        <w:rPr>
          <w:rFonts w:ascii="Arial" w:hAnsi="Arial" w:hint="default"/>
          <w:sz w:val="22"/>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38"/>
    <w:rsid w:val="00003144"/>
    <w:rsid w:val="000071A2"/>
    <w:rsid w:val="0001085E"/>
    <w:rsid w:val="00013269"/>
    <w:rsid w:val="00014EA4"/>
    <w:rsid w:val="000168BF"/>
    <w:rsid w:val="00041A7D"/>
    <w:rsid w:val="00045B3A"/>
    <w:rsid w:val="00051AF7"/>
    <w:rsid w:val="00052715"/>
    <w:rsid w:val="00065908"/>
    <w:rsid w:val="00071DE6"/>
    <w:rsid w:val="00072B44"/>
    <w:rsid w:val="00075FD8"/>
    <w:rsid w:val="00080B47"/>
    <w:rsid w:val="0008418B"/>
    <w:rsid w:val="000A1B9F"/>
    <w:rsid w:val="000A4888"/>
    <w:rsid w:val="000A7456"/>
    <w:rsid w:val="000B0E5B"/>
    <w:rsid w:val="000B1BA3"/>
    <w:rsid w:val="000B3434"/>
    <w:rsid w:val="000B67D8"/>
    <w:rsid w:val="000B70E7"/>
    <w:rsid w:val="000C7F01"/>
    <w:rsid w:val="000D720C"/>
    <w:rsid w:val="000E163F"/>
    <w:rsid w:val="000E3E3A"/>
    <w:rsid w:val="000F0B2F"/>
    <w:rsid w:val="000F165A"/>
    <w:rsid w:val="000F4154"/>
    <w:rsid w:val="000F62BB"/>
    <w:rsid w:val="00100787"/>
    <w:rsid w:val="0010110D"/>
    <w:rsid w:val="00103940"/>
    <w:rsid w:val="00103F20"/>
    <w:rsid w:val="00107FDB"/>
    <w:rsid w:val="0013169D"/>
    <w:rsid w:val="00132434"/>
    <w:rsid w:val="00133F89"/>
    <w:rsid w:val="00140264"/>
    <w:rsid w:val="00142125"/>
    <w:rsid w:val="00143814"/>
    <w:rsid w:val="0015037B"/>
    <w:rsid w:val="00151600"/>
    <w:rsid w:val="001900F6"/>
    <w:rsid w:val="001911EE"/>
    <w:rsid w:val="001A2D44"/>
    <w:rsid w:val="001A6583"/>
    <w:rsid w:val="001B38A1"/>
    <w:rsid w:val="001D36DE"/>
    <w:rsid w:val="001D654A"/>
    <w:rsid w:val="001D71F4"/>
    <w:rsid w:val="001E1270"/>
    <w:rsid w:val="001E1F45"/>
    <w:rsid w:val="001E3912"/>
    <w:rsid w:val="002032BE"/>
    <w:rsid w:val="002044CB"/>
    <w:rsid w:val="00206062"/>
    <w:rsid w:val="00221B89"/>
    <w:rsid w:val="00223B6E"/>
    <w:rsid w:val="00227A96"/>
    <w:rsid w:val="00230081"/>
    <w:rsid w:val="00234C5A"/>
    <w:rsid w:val="002375DF"/>
    <w:rsid w:val="0023761E"/>
    <w:rsid w:val="0024436C"/>
    <w:rsid w:val="00244974"/>
    <w:rsid w:val="002450CE"/>
    <w:rsid w:val="00247D93"/>
    <w:rsid w:val="00256C15"/>
    <w:rsid w:val="002619EC"/>
    <w:rsid w:val="00263CAF"/>
    <w:rsid w:val="00263FC9"/>
    <w:rsid w:val="00264632"/>
    <w:rsid w:val="0027289D"/>
    <w:rsid w:val="00273225"/>
    <w:rsid w:val="00277A71"/>
    <w:rsid w:val="00277C28"/>
    <w:rsid w:val="00283470"/>
    <w:rsid w:val="002843B5"/>
    <w:rsid w:val="00290060"/>
    <w:rsid w:val="002916E4"/>
    <w:rsid w:val="002B01FA"/>
    <w:rsid w:val="002C04BC"/>
    <w:rsid w:val="002C225E"/>
    <w:rsid w:val="002C7D4D"/>
    <w:rsid w:val="002D5EB0"/>
    <w:rsid w:val="002E17AB"/>
    <w:rsid w:val="002E778D"/>
    <w:rsid w:val="002F1300"/>
    <w:rsid w:val="002F2922"/>
    <w:rsid w:val="002F3AF9"/>
    <w:rsid w:val="002F47FD"/>
    <w:rsid w:val="002F77B2"/>
    <w:rsid w:val="003011DE"/>
    <w:rsid w:val="003035A2"/>
    <w:rsid w:val="00305A08"/>
    <w:rsid w:val="00307DF5"/>
    <w:rsid w:val="003101AD"/>
    <w:rsid w:val="00323521"/>
    <w:rsid w:val="00324838"/>
    <w:rsid w:val="00327FCD"/>
    <w:rsid w:val="003374F4"/>
    <w:rsid w:val="0035182A"/>
    <w:rsid w:val="00352B74"/>
    <w:rsid w:val="00377562"/>
    <w:rsid w:val="00381A76"/>
    <w:rsid w:val="00383C23"/>
    <w:rsid w:val="003874DD"/>
    <w:rsid w:val="003921C8"/>
    <w:rsid w:val="00392E60"/>
    <w:rsid w:val="003933C5"/>
    <w:rsid w:val="0039566A"/>
    <w:rsid w:val="00397D9E"/>
    <w:rsid w:val="003A2945"/>
    <w:rsid w:val="003B2151"/>
    <w:rsid w:val="003B3C15"/>
    <w:rsid w:val="003B6FC6"/>
    <w:rsid w:val="003C0073"/>
    <w:rsid w:val="003D3500"/>
    <w:rsid w:val="003E574F"/>
    <w:rsid w:val="00400EA1"/>
    <w:rsid w:val="00402D8E"/>
    <w:rsid w:val="0040505F"/>
    <w:rsid w:val="00405B15"/>
    <w:rsid w:val="004139D6"/>
    <w:rsid w:val="004166F7"/>
    <w:rsid w:val="00421AA5"/>
    <w:rsid w:val="00426255"/>
    <w:rsid w:val="00426275"/>
    <w:rsid w:val="00426B86"/>
    <w:rsid w:val="00430DA0"/>
    <w:rsid w:val="004312BD"/>
    <w:rsid w:val="0043195A"/>
    <w:rsid w:val="00434374"/>
    <w:rsid w:val="004349A2"/>
    <w:rsid w:val="00434B28"/>
    <w:rsid w:val="00440B3C"/>
    <w:rsid w:val="00441067"/>
    <w:rsid w:val="0044260A"/>
    <w:rsid w:val="00443DC5"/>
    <w:rsid w:val="004565C0"/>
    <w:rsid w:val="00460F0D"/>
    <w:rsid w:val="0046197B"/>
    <w:rsid w:val="0046229F"/>
    <w:rsid w:val="00466F13"/>
    <w:rsid w:val="00475846"/>
    <w:rsid w:val="004761AA"/>
    <w:rsid w:val="00480947"/>
    <w:rsid w:val="00487112"/>
    <w:rsid w:val="004A0F40"/>
    <w:rsid w:val="004B3378"/>
    <w:rsid w:val="004C1992"/>
    <w:rsid w:val="004C7EB2"/>
    <w:rsid w:val="004D4F9D"/>
    <w:rsid w:val="004E1EEB"/>
    <w:rsid w:val="004E3C34"/>
    <w:rsid w:val="004E561A"/>
    <w:rsid w:val="004E64AD"/>
    <w:rsid w:val="004F1561"/>
    <w:rsid w:val="00501565"/>
    <w:rsid w:val="00503053"/>
    <w:rsid w:val="00505700"/>
    <w:rsid w:val="00510799"/>
    <w:rsid w:val="005114FE"/>
    <w:rsid w:val="00512A93"/>
    <w:rsid w:val="0051798F"/>
    <w:rsid w:val="00522208"/>
    <w:rsid w:val="005618FF"/>
    <w:rsid w:val="00566B3E"/>
    <w:rsid w:val="00571E71"/>
    <w:rsid w:val="005754FF"/>
    <w:rsid w:val="005822BF"/>
    <w:rsid w:val="00583495"/>
    <w:rsid w:val="00583E69"/>
    <w:rsid w:val="00584F7F"/>
    <w:rsid w:val="00595F07"/>
    <w:rsid w:val="0059613A"/>
    <w:rsid w:val="005A40D3"/>
    <w:rsid w:val="005B07DB"/>
    <w:rsid w:val="005C2A6F"/>
    <w:rsid w:val="005D09D2"/>
    <w:rsid w:val="005D4F09"/>
    <w:rsid w:val="005F07C7"/>
    <w:rsid w:val="005F16F0"/>
    <w:rsid w:val="005F1C74"/>
    <w:rsid w:val="005F565F"/>
    <w:rsid w:val="006018DA"/>
    <w:rsid w:val="0060543A"/>
    <w:rsid w:val="00605706"/>
    <w:rsid w:val="006121DB"/>
    <w:rsid w:val="006128B7"/>
    <w:rsid w:val="00615D4B"/>
    <w:rsid w:val="00616AB5"/>
    <w:rsid w:val="006248B6"/>
    <w:rsid w:val="00624C72"/>
    <w:rsid w:val="00627A24"/>
    <w:rsid w:val="00634B8C"/>
    <w:rsid w:val="00635127"/>
    <w:rsid w:val="00641138"/>
    <w:rsid w:val="00642134"/>
    <w:rsid w:val="00643384"/>
    <w:rsid w:val="006467E8"/>
    <w:rsid w:val="006608A6"/>
    <w:rsid w:val="006643E9"/>
    <w:rsid w:val="006702DC"/>
    <w:rsid w:val="006731C9"/>
    <w:rsid w:val="00683249"/>
    <w:rsid w:val="006833E1"/>
    <w:rsid w:val="00686EFD"/>
    <w:rsid w:val="00694CB0"/>
    <w:rsid w:val="006A127B"/>
    <w:rsid w:val="006A725B"/>
    <w:rsid w:val="006A7CA2"/>
    <w:rsid w:val="006B19C6"/>
    <w:rsid w:val="006B308D"/>
    <w:rsid w:val="006B311F"/>
    <w:rsid w:val="006B41FF"/>
    <w:rsid w:val="006B7331"/>
    <w:rsid w:val="006B7F67"/>
    <w:rsid w:val="006F0A46"/>
    <w:rsid w:val="006F3D46"/>
    <w:rsid w:val="006F463E"/>
    <w:rsid w:val="006F4F33"/>
    <w:rsid w:val="006F6809"/>
    <w:rsid w:val="006F7804"/>
    <w:rsid w:val="00702562"/>
    <w:rsid w:val="00714058"/>
    <w:rsid w:val="0072205F"/>
    <w:rsid w:val="007233F5"/>
    <w:rsid w:val="00723B85"/>
    <w:rsid w:val="0072445D"/>
    <w:rsid w:val="007258BC"/>
    <w:rsid w:val="00732D91"/>
    <w:rsid w:val="00737EB6"/>
    <w:rsid w:val="00745C83"/>
    <w:rsid w:val="0076150D"/>
    <w:rsid w:val="007676DB"/>
    <w:rsid w:val="0076776A"/>
    <w:rsid w:val="0077012D"/>
    <w:rsid w:val="00773CC6"/>
    <w:rsid w:val="00783D49"/>
    <w:rsid w:val="0078531D"/>
    <w:rsid w:val="0078594D"/>
    <w:rsid w:val="00785EED"/>
    <w:rsid w:val="00790DE8"/>
    <w:rsid w:val="007B3A91"/>
    <w:rsid w:val="007B3B38"/>
    <w:rsid w:val="007C0A71"/>
    <w:rsid w:val="007C6E3E"/>
    <w:rsid w:val="007C77F8"/>
    <w:rsid w:val="007D46A9"/>
    <w:rsid w:val="007E3ECD"/>
    <w:rsid w:val="007E5E74"/>
    <w:rsid w:val="007E75E4"/>
    <w:rsid w:val="00804AFF"/>
    <w:rsid w:val="00813CE2"/>
    <w:rsid w:val="00814432"/>
    <w:rsid w:val="00821890"/>
    <w:rsid w:val="0082231D"/>
    <w:rsid w:val="00823555"/>
    <w:rsid w:val="008272AA"/>
    <w:rsid w:val="00833A57"/>
    <w:rsid w:val="00840296"/>
    <w:rsid w:val="008438E0"/>
    <w:rsid w:val="008474D6"/>
    <w:rsid w:val="0085424D"/>
    <w:rsid w:val="008566B5"/>
    <w:rsid w:val="008644D5"/>
    <w:rsid w:val="00865A15"/>
    <w:rsid w:val="00872339"/>
    <w:rsid w:val="00875B90"/>
    <w:rsid w:val="00882EBF"/>
    <w:rsid w:val="00896CCC"/>
    <w:rsid w:val="008A0F32"/>
    <w:rsid w:val="008A6996"/>
    <w:rsid w:val="008C647C"/>
    <w:rsid w:val="008D33E0"/>
    <w:rsid w:val="008D3C24"/>
    <w:rsid w:val="008E20F6"/>
    <w:rsid w:val="008F62BC"/>
    <w:rsid w:val="00907F0B"/>
    <w:rsid w:val="009241B8"/>
    <w:rsid w:val="009322CF"/>
    <w:rsid w:val="00934718"/>
    <w:rsid w:val="00935585"/>
    <w:rsid w:val="009357E6"/>
    <w:rsid w:val="00950090"/>
    <w:rsid w:val="009550B5"/>
    <w:rsid w:val="00961BDF"/>
    <w:rsid w:val="0096474C"/>
    <w:rsid w:val="00974AC6"/>
    <w:rsid w:val="00983020"/>
    <w:rsid w:val="00984EE1"/>
    <w:rsid w:val="009944BF"/>
    <w:rsid w:val="009A0714"/>
    <w:rsid w:val="009A1298"/>
    <w:rsid w:val="009A2ED5"/>
    <w:rsid w:val="009B1F31"/>
    <w:rsid w:val="009B38CE"/>
    <w:rsid w:val="009C515D"/>
    <w:rsid w:val="009E09D1"/>
    <w:rsid w:val="009E3651"/>
    <w:rsid w:val="009F09F0"/>
    <w:rsid w:val="009F31EC"/>
    <w:rsid w:val="009F7257"/>
    <w:rsid w:val="00A02D8A"/>
    <w:rsid w:val="00A07CE0"/>
    <w:rsid w:val="00A26281"/>
    <w:rsid w:val="00A263BB"/>
    <w:rsid w:val="00A26A4F"/>
    <w:rsid w:val="00A32E04"/>
    <w:rsid w:val="00A32F55"/>
    <w:rsid w:val="00A37BFE"/>
    <w:rsid w:val="00A4194D"/>
    <w:rsid w:val="00A550DF"/>
    <w:rsid w:val="00A57C7C"/>
    <w:rsid w:val="00A657FA"/>
    <w:rsid w:val="00A665B5"/>
    <w:rsid w:val="00A71A9E"/>
    <w:rsid w:val="00A71FDB"/>
    <w:rsid w:val="00A74AE6"/>
    <w:rsid w:val="00A75529"/>
    <w:rsid w:val="00A8318C"/>
    <w:rsid w:val="00A86FEA"/>
    <w:rsid w:val="00A9526D"/>
    <w:rsid w:val="00A966BA"/>
    <w:rsid w:val="00AA29DD"/>
    <w:rsid w:val="00AA6381"/>
    <w:rsid w:val="00AC0488"/>
    <w:rsid w:val="00AC0F6E"/>
    <w:rsid w:val="00AC3A8F"/>
    <w:rsid w:val="00AD541F"/>
    <w:rsid w:val="00AF3D9C"/>
    <w:rsid w:val="00AF50F3"/>
    <w:rsid w:val="00AF6AF1"/>
    <w:rsid w:val="00AF6C29"/>
    <w:rsid w:val="00B0102F"/>
    <w:rsid w:val="00B06DAA"/>
    <w:rsid w:val="00B130CE"/>
    <w:rsid w:val="00B23179"/>
    <w:rsid w:val="00B3005B"/>
    <w:rsid w:val="00B3624B"/>
    <w:rsid w:val="00B43947"/>
    <w:rsid w:val="00B4715F"/>
    <w:rsid w:val="00B54487"/>
    <w:rsid w:val="00B54F71"/>
    <w:rsid w:val="00B55E66"/>
    <w:rsid w:val="00B61C2B"/>
    <w:rsid w:val="00B61FCF"/>
    <w:rsid w:val="00B644A9"/>
    <w:rsid w:val="00B73C03"/>
    <w:rsid w:val="00B76219"/>
    <w:rsid w:val="00B76524"/>
    <w:rsid w:val="00B815D4"/>
    <w:rsid w:val="00B81BD4"/>
    <w:rsid w:val="00B903A3"/>
    <w:rsid w:val="00B964CE"/>
    <w:rsid w:val="00BA5DA6"/>
    <w:rsid w:val="00BC6C89"/>
    <w:rsid w:val="00BD281F"/>
    <w:rsid w:val="00BD2E13"/>
    <w:rsid w:val="00BD78A1"/>
    <w:rsid w:val="00BE0097"/>
    <w:rsid w:val="00BE1985"/>
    <w:rsid w:val="00BE7C35"/>
    <w:rsid w:val="00BE7C5E"/>
    <w:rsid w:val="00BF0889"/>
    <w:rsid w:val="00BF3F80"/>
    <w:rsid w:val="00BF59E5"/>
    <w:rsid w:val="00BF7194"/>
    <w:rsid w:val="00C00EDC"/>
    <w:rsid w:val="00C14028"/>
    <w:rsid w:val="00C2407C"/>
    <w:rsid w:val="00C32E1E"/>
    <w:rsid w:val="00C430EA"/>
    <w:rsid w:val="00C51AFF"/>
    <w:rsid w:val="00C546BE"/>
    <w:rsid w:val="00C61B48"/>
    <w:rsid w:val="00C63157"/>
    <w:rsid w:val="00C711AD"/>
    <w:rsid w:val="00C8117D"/>
    <w:rsid w:val="00C976A9"/>
    <w:rsid w:val="00CA1F87"/>
    <w:rsid w:val="00CA58A4"/>
    <w:rsid w:val="00CA7D50"/>
    <w:rsid w:val="00CB1DCB"/>
    <w:rsid w:val="00CB2BF8"/>
    <w:rsid w:val="00CB2C5B"/>
    <w:rsid w:val="00CB3BFE"/>
    <w:rsid w:val="00CB492B"/>
    <w:rsid w:val="00CC57EF"/>
    <w:rsid w:val="00CD6472"/>
    <w:rsid w:val="00CE1255"/>
    <w:rsid w:val="00CE160A"/>
    <w:rsid w:val="00CE33D1"/>
    <w:rsid w:val="00CF50C6"/>
    <w:rsid w:val="00D061A8"/>
    <w:rsid w:val="00D20F6C"/>
    <w:rsid w:val="00D2115A"/>
    <w:rsid w:val="00D25714"/>
    <w:rsid w:val="00D31E25"/>
    <w:rsid w:val="00D41A19"/>
    <w:rsid w:val="00D53DF4"/>
    <w:rsid w:val="00D564CE"/>
    <w:rsid w:val="00D56806"/>
    <w:rsid w:val="00D614D6"/>
    <w:rsid w:val="00D628A9"/>
    <w:rsid w:val="00D648A6"/>
    <w:rsid w:val="00D668B5"/>
    <w:rsid w:val="00D766E4"/>
    <w:rsid w:val="00D82439"/>
    <w:rsid w:val="00D83832"/>
    <w:rsid w:val="00DA0CA0"/>
    <w:rsid w:val="00DA0E2F"/>
    <w:rsid w:val="00DA6EE3"/>
    <w:rsid w:val="00DB0D4A"/>
    <w:rsid w:val="00DB4F08"/>
    <w:rsid w:val="00DB6D66"/>
    <w:rsid w:val="00DC54DE"/>
    <w:rsid w:val="00DD18C3"/>
    <w:rsid w:val="00DD3C11"/>
    <w:rsid w:val="00DE6C5E"/>
    <w:rsid w:val="00E053A1"/>
    <w:rsid w:val="00E15D91"/>
    <w:rsid w:val="00E210A2"/>
    <w:rsid w:val="00E27832"/>
    <w:rsid w:val="00E471F9"/>
    <w:rsid w:val="00E52DC4"/>
    <w:rsid w:val="00E60F57"/>
    <w:rsid w:val="00E733A1"/>
    <w:rsid w:val="00E73ACC"/>
    <w:rsid w:val="00E82108"/>
    <w:rsid w:val="00E862D1"/>
    <w:rsid w:val="00EA32F1"/>
    <w:rsid w:val="00EA57D0"/>
    <w:rsid w:val="00EA6B55"/>
    <w:rsid w:val="00EB5185"/>
    <w:rsid w:val="00EC3DF1"/>
    <w:rsid w:val="00ED57E5"/>
    <w:rsid w:val="00ED5AC5"/>
    <w:rsid w:val="00EE71EF"/>
    <w:rsid w:val="00F0061D"/>
    <w:rsid w:val="00F02322"/>
    <w:rsid w:val="00F024E3"/>
    <w:rsid w:val="00F04417"/>
    <w:rsid w:val="00F10930"/>
    <w:rsid w:val="00F12D5C"/>
    <w:rsid w:val="00F130C4"/>
    <w:rsid w:val="00F135A9"/>
    <w:rsid w:val="00F14EC6"/>
    <w:rsid w:val="00F261A2"/>
    <w:rsid w:val="00F30BA4"/>
    <w:rsid w:val="00F514C7"/>
    <w:rsid w:val="00F54091"/>
    <w:rsid w:val="00F555E1"/>
    <w:rsid w:val="00F60968"/>
    <w:rsid w:val="00F75E43"/>
    <w:rsid w:val="00F7613F"/>
    <w:rsid w:val="00F77244"/>
    <w:rsid w:val="00F8211E"/>
    <w:rsid w:val="00F86490"/>
    <w:rsid w:val="00F86601"/>
    <w:rsid w:val="00F86B47"/>
    <w:rsid w:val="00F97909"/>
    <w:rsid w:val="00FA07E9"/>
    <w:rsid w:val="00FA181F"/>
    <w:rsid w:val="00FA2751"/>
    <w:rsid w:val="00FA4A1E"/>
    <w:rsid w:val="00FB1C38"/>
    <w:rsid w:val="00FB2293"/>
    <w:rsid w:val="00FB2A97"/>
    <w:rsid w:val="00FC586C"/>
    <w:rsid w:val="00FD0120"/>
    <w:rsid w:val="00FE6365"/>
    <w:rsid w:val="00FF1267"/>
    <w:rsid w:val="00FF2E96"/>
    <w:rsid w:val="00FF6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5C3903"/>
  <w15:chartTrackingRefBased/>
  <w15:docId w15:val="{17CA5B46-4142-49D6-93F7-F4F27EA5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33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3E0"/>
  </w:style>
  <w:style w:type="paragraph" w:styleId="Zpat">
    <w:name w:val="footer"/>
    <w:basedOn w:val="Normln"/>
    <w:link w:val="ZpatChar"/>
    <w:uiPriority w:val="99"/>
    <w:unhideWhenUsed/>
    <w:rsid w:val="008D33E0"/>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3E0"/>
  </w:style>
  <w:style w:type="paragraph" w:styleId="Odstavecseseznamem">
    <w:name w:val="List Paragraph"/>
    <w:basedOn w:val="Normln"/>
    <w:uiPriority w:val="34"/>
    <w:qFormat/>
    <w:rsid w:val="00FA2751"/>
    <w:pPr>
      <w:ind w:left="720"/>
      <w:contextualSpacing/>
    </w:pPr>
  </w:style>
  <w:style w:type="character" w:styleId="Odkaznakoment">
    <w:name w:val="annotation reference"/>
    <w:basedOn w:val="Standardnpsmoodstavce"/>
    <w:uiPriority w:val="99"/>
    <w:semiHidden/>
    <w:unhideWhenUsed/>
    <w:rsid w:val="003A2945"/>
    <w:rPr>
      <w:sz w:val="16"/>
      <w:szCs w:val="16"/>
    </w:rPr>
  </w:style>
  <w:style w:type="paragraph" w:styleId="Textkomente">
    <w:name w:val="annotation text"/>
    <w:basedOn w:val="Normln"/>
    <w:link w:val="TextkomenteChar"/>
    <w:uiPriority w:val="99"/>
    <w:semiHidden/>
    <w:unhideWhenUsed/>
    <w:rsid w:val="003A2945"/>
    <w:pPr>
      <w:spacing w:line="240" w:lineRule="auto"/>
    </w:pPr>
    <w:rPr>
      <w:sz w:val="20"/>
      <w:szCs w:val="20"/>
    </w:rPr>
  </w:style>
  <w:style w:type="character" w:customStyle="1" w:styleId="TextkomenteChar">
    <w:name w:val="Text komentáře Char"/>
    <w:basedOn w:val="Standardnpsmoodstavce"/>
    <w:link w:val="Textkomente"/>
    <w:uiPriority w:val="99"/>
    <w:semiHidden/>
    <w:rsid w:val="003A2945"/>
    <w:rPr>
      <w:sz w:val="20"/>
      <w:szCs w:val="20"/>
    </w:rPr>
  </w:style>
  <w:style w:type="paragraph" w:styleId="Pedmtkomente">
    <w:name w:val="annotation subject"/>
    <w:basedOn w:val="Textkomente"/>
    <w:next w:val="Textkomente"/>
    <w:link w:val="PedmtkomenteChar"/>
    <w:uiPriority w:val="99"/>
    <w:semiHidden/>
    <w:unhideWhenUsed/>
    <w:rsid w:val="003A2945"/>
    <w:rPr>
      <w:b/>
      <w:bCs/>
    </w:rPr>
  </w:style>
  <w:style w:type="character" w:customStyle="1" w:styleId="PedmtkomenteChar">
    <w:name w:val="Předmět komentáře Char"/>
    <w:basedOn w:val="TextkomenteChar"/>
    <w:link w:val="Pedmtkomente"/>
    <w:uiPriority w:val="99"/>
    <w:semiHidden/>
    <w:rsid w:val="003A2945"/>
    <w:rPr>
      <w:b/>
      <w:bCs/>
      <w:sz w:val="20"/>
      <w:szCs w:val="20"/>
    </w:rPr>
  </w:style>
  <w:style w:type="table" w:styleId="Mkatabulky">
    <w:name w:val="Table Grid"/>
    <w:basedOn w:val="Normlntabulka"/>
    <w:uiPriority w:val="39"/>
    <w:rsid w:val="00421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7012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2D"/>
    <w:rPr>
      <w:sz w:val="20"/>
      <w:szCs w:val="20"/>
    </w:rPr>
  </w:style>
  <w:style w:type="character" w:styleId="Znakapoznpodarou">
    <w:name w:val="footnote reference"/>
    <w:basedOn w:val="Standardnpsmoodstavce"/>
    <w:uiPriority w:val="99"/>
    <w:semiHidden/>
    <w:unhideWhenUsed/>
    <w:rsid w:val="0077012D"/>
    <w:rPr>
      <w:vertAlign w:val="superscript"/>
    </w:rPr>
  </w:style>
  <w:style w:type="paragraph" w:styleId="Revize">
    <w:name w:val="Revision"/>
    <w:hidden/>
    <w:uiPriority w:val="99"/>
    <w:semiHidden/>
    <w:rsid w:val="000A1B9F"/>
    <w:pPr>
      <w:spacing w:after="0" w:line="240" w:lineRule="auto"/>
    </w:pPr>
  </w:style>
  <w:style w:type="character" w:styleId="Siln">
    <w:name w:val="Strong"/>
    <w:basedOn w:val="Standardnpsmoodstavce"/>
    <w:uiPriority w:val="22"/>
    <w:qFormat/>
    <w:rsid w:val="00C430EA"/>
    <w:rPr>
      <w:b/>
      <w:bCs/>
    </w:rPr>
  </w:style>
  <w:style w:type="paragraph" w:styleId="Normlnweb">
    <w:name w:val="Normal (Web)"/>
    <w:basedOn w:val="Normln"/>
    <w:uiPriority w:val="99"/>
    <w:semiHidden/>
    <w:unhideWhenUsed/>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430EA"/>
    <w:rPr>
      <w:i/>
      <w:iCs/>
    </w:rPr>
  </w:style>
  <w:style w:type="paragraph" w:customStyle="1" w:styleId="oj-ti-grseq-1">
    <w:name w:val="oj-ti-grseq-1"/>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j-normal">
    <w:name w:val="oj-normal"/>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430EA"/>
    <w:rPr>
      <w:color w:val="0000FF"/>
      <w:u w:val="single"/>
    </w:rPr>
  </w:style>
  <w:style w:type="character" w:customStyle="1" w:styleId="oj-super">
    <w:name w:val="oj-super"/>
    <w:basedOn w:val="Standardnpsmoodstavce"/>
    <w:rsid w:val="00C430EA"/>
  </w:style>
  <w:style w:type="paragraph" w:customStyle="1" w:styleId="oj-tbl-hdr">
    <w:name w:val="oj-tbl-hdr"/>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j-tbl-txt">
    <w:name w:val="oj-tbl-txt"/>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j-tbl-num">
    <w:name w:val="oj-tbl-num"/>
    <w:basedOn w:val="Normln"/>
    <w:rsid w:val="00C430EA"/>
    <w:pPr>
      <w:spacing w:before="100" w:beforeAutospacing="1" w:after="100" w:afterAutospacing="1" w:line="240" w:lineRule="auto"/>
    </w:pPr>
    <w:rPr>
      <w:rFonts w:ascii="Times New Roman" w:eastAsia="Times New Roman" w:hAnsi="Times New Roman" w:cs="Times New Roman"/>
      <w:sz w:val="24"/>
      <w:szCs w:val="24"/>
      <w:lang w:eastAsia="cs-CZ"/>
    </w:rPr>
  </w:style>
  <w:style w:type="numbering" w:customStyle="1" w:styleId="StylI-aa">
    <w:name w:val="Styl I-aa)"/>
    <w:uiPriority w:val="99"/>
    <w:rsid w:val="002375DF"/>
    <w:pPr>
      <w:numPr>
        <w:numId w:val="7"/>
      </w:numPr>
    </w:pPr>
  </w:style>
  <w:style w:type="paragraph" w:customStyle="1" w:styleId="StylI">
    <w:name w:val="Styl I."/>
    <w:basedOn w:val="Odstavecseseznamem"/>
    <w:link w:val="StylIChar"/>
    <w:qFormat/>
    <w:rsid w:val="002375DF"/>
    <w:pPr>
      <w:numPr>
        <w:numId w:val="6"/>
      </w:numPr>
      <w:spacing w:before="120" w:after="240" w:line="240" w:lineRule="auto"/>
      <w:contextualSpacing w:val="0"/>
      <w:jc w:val="both"/>
    </w:pPr>
    <w:rPr>
      <w:rFonts w:ascii="Arial" w:eastAsia="Calibri" w:hAnsi="Arial" w:cs="Arial"/>
    </w:rPr>
  </w:style>
  <w:style w:type="character" w:customStyle="1" w:styleId="StylIChar">
    <w:name w:val="Styl I. Char"/>
    <w:link w:val="StylI"/>
    <w:rsid w:val="002375DF"/>
    <w:rPr>
      <w:rFonts w:ascii="Arial" w:eastAsia="Calibri" w:hAnsi="Arial" w:cs="Arial"/>
    </w:rPr>
  </w:style>
  <w:style w:type="paragraph" w:customStyle="1" w:styleId="Stylaa">
    <w:name w:val="Styl aa)"/>
    <w:basedOn w:val="Odstavecseseznamem"/>
    <w:qFormat/>
    <w:rsid w:val="002375DF"/>
    <w:pPr>
      <w:numPr>
        <w:ilvl w:val="3"/>
        <w:numId w:val="6"/>
      </w:numPr>
      <w:spacing w:before="120" w:after="240" w:line="240" w:lineRule="auto"/>
      <w:ind w:left="357" w:hanging="357"/>
      <w:contextualSpacing w:val="0"/>
      <w:jc w:val="both"/>
    </w:pPr>
    <w:rPr>
      <w:rFonts w:ascii="Arial" w:eastAsia="Calibri" w:hAnsi="Arial" w:cs="Arial"/>
    </w:rPr>
  </w:style>
  <w:style w:type="paragraph" w:customStyle="1" w:styleId="Styla">
    <w:name w:val="Styl a)"/>
    <w:basedOn w:val="Odstavecseseznamem"/>
    <w:qFormat/>
    <w:rsid w:val="002375DF"/>
    <w:pPr>
      <w:numPr>
        <w:ilvl w:val="2"/>
        <w:numId w:val="6"/>
      </w:numPr>
      <w:spacing w:before="120" w:after="240" w:line="240" w:lineRule="auto"/>
      <w:ind w:left="357" w:hanging="357"/>
      <w:contextualSpacing w:val="0"/>
      <w:jc w:val="both"/>
    </w:pPr>
    <w:rPr>
      <w:rFonts w:ascii="Arial" w:eastAsia="Calibri" w:hAnsi="Arial" w:cs="Arial"/>
    </w:rPr>
  </w:style>
  <w:style w:type="paragraph" w:styleId="Textbubliny">
    <w:name w:val="Balloon Text"/>
    <w:basedOn w:val="Normln"/>
    <w:link w:val="TextbublinyChar"/>
    <w:uiPriority w:val="99"/>
    <w:semiHidden/>
    <w:unhideWhenUsed/>
    <w:rsid w:val="003921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2616">
      <w:bodyDiv w:val="1"/>
      <w:marLeft w:val="0"/>
      <w:marRight w:val="0"/>
      <w:marTop w:val="0"/>
      <w:marBottom w:val="0"/>
      <w:divBdr>
        <w:top w:val="none" w:sz="0" w:space="0" w:color="auto"/>
        <w:left w:val="none" w:sz="0" w:space="0" w:color="auto"/>
        <w:bottom w:val="none" w:sz="0" w:space="0" w:color="auto"/>
        <w:right w:val="none" w:sz="0" w:space="0" w:color="auto"/>
      </w:divBdr>
    </w:div>
    <w:div w:id="630866611">
      <w:bodyDiv w:val="1"/>
      <w:marLeft w:val="0"/>
      <w:marRight w:val="0"/>
      <w:marTop w:val="0"/>
      <w:marBottom w:val="0"/>
      <w:divBdr>
        <w:top w:val="none" w:sz="0" w:space="0" w:color="auto"/>
        <w:left w:val="none" w:sz="0" w:space="0" w:color="auto"/>
        <w:bottom w:val="none" w:sz="0" w:space="0" w:color="auto"/>
        <w:right w:val="none" w:sz="0" w:space="0" w:color="auto"/>
      </w:divBdr>
    </w:div>
    <w:div w:id="766340780">
      <w:bodyDiv w:val="1"/>
      <w:marLeft w:val="0"/>
      <w:marRight w:val="0"/>
      <w:marTop w:val="0"/>
      <w:marBottom w:val="0"/>
      <w:divBdr>
        <w:top w:val="none" w:sz="0" w:space="0" w:color="auto"/>
        <w:left w:val="none" w:sz="0" w:space="0" w:color="auto"/>
        <w:bottom w:val="none" w:sz="0" w:space="0" w:color="auto"/>
        <w:right w:val="none" w:sz="0" w:space="0" w:color="auto"/>
      </w:divBdr>
    </w:div>
    <w:div w:id="903491858">
      <w:bodyDiv w:val="1"/>
      <w:marLeft w:val="0"/>
      <w:marRight w:val="0"/>
      <w:marTop w:val="0"/>
      <w:marBottom w:val="0"/>
      <w:divBdr>
        <w:top w:val="none" w:sz="0" w:space="0" w:color="auto"/>
        <w:left w:val="none" w:sz="0" w:space="0" w:color="auto"/>
        <w:bottom w:val="none" w:sz="0" w:space="0" w:color="auto"/>
        <w:right w:val="none" w:sz="0" w:space="0" w:color="auto"/>
      </w:divBdr>
    </w:div>
    <w:div w:id="1416783304">
      <w:bodyDiv w:val="1"/>
      <w:marLeft w:val="0"/>
      <w:marRight w:val="0"/>
      <w:marTop w:val="0"/>
      <w:marBottom w:val="0"/>
      <w:divBdr>
        <w:top w:val="none" w:sz="0" w:space="0" w:color="auto"/>
        <w:left w:val="none" w:sz="0" w:space="0" w:color="auto"/>
        <w:bottom w:val="none" w:sz="0" w:space="0" w:color="auto"/>
        <w:right w:val="none" w:sz="0" w:space="0" w:color="auto"/>
      </w:divBdr>
    </w:div>
    <w:div w:id="1733697499">
      <w:bodyDiv w:val="1"/>
      <w:marLeft w:val="0"/>
      <w:marRight w:val="0"/>
      <w:marTop w:val="0"/>
      <w:marBottom w:val="0"/>
      <w:divBdr>
        <w:top w:val="none" w:sz="0" w:space="0" w:color="auto"/>
        <w:left w:val="none" w:sz="0" w:space="0" w:color="auto"/>
        <w:bottom w:val="none" w:sz="0" w:space="0" w:color="auto"/>
        <w:right w:val="none" w:sz="0" w:space="0" w:color="auto"/>
      </w:divBdr>
    </w:div>
    <w:div w:id="18320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HTML/?uri=OJ:C:2022:131I:FULL&amp;from=SK" TargetMode="External"/><Relationship Id="rId1" Type="http://schemas.openxmlformats.org/officeDocument/2006/relationships/hyperlink" Target="https://eur-lex.europa.eu/legal-content/CS/TXT/HTML/?uri=OJ:C:2022:131I:FULL&amp;from=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FB8B7-2A93-43F1-BD97-ACFA782C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1935</Words>
  <Characters>11423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Střeštíková Hana</dc:creator>
  <cp:keywords/>
  <dc:description/>
  <cp:lastModifiedBy>Střeštíková Hana</cp:lastModifiedBy>
  <cp:revision>2</cp:revision>
  <cp:lastPrinted>2022-06-06T15:25:00Z</cp:lastPrinted>
  <dcterms:created xsi:type="dcterms:W3CDTF">2022-07-21T06:42:00Z</dcterms:created>
  <dcterms:modified xsi:type="dcterms:W3CDTF">2022-07-21T06:42:00Z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#000000,10,Default</vt:lpwstr>
  </property>
  <property fmtid="{D5CDD505-2E9C-101B-9397-08002B2CF9AE}" pid="4" name="ClassificationContentMarkingHeaderText">
    <vt:lpwstr>Interní / Internal</vt:lpwstr>
  </property>
  <property fmtid="{D5CDD505-2E9C-101B-9397-08002B2CF9AE}" pid="5" name="MSIP_Label_acac165f-c1c4-40d3-88ea-7d721bd98779_Enabled">
    <vt:lpwstr>true</vt:lpwstr>
  </property>
  <property fmtid="{D5CDD505-2E9C-101B-9397-08002B2CF9AE}" pid="6" name="MSIP_Label_acac165f-c1c4-40d3-88ea-7d721bd98779_SetDate">
    <vt:lpwstr>2022-06-02T09:15:14Z</vt:lpwstr>
  </property>
  <property fmtid="{D5CDD505-2E9C-101B-9397-08002B2CF9AE}" pid="7" name="MSIP_Label_acac165f-c1c4-40d3-88ea-7d721bd98779_Method">
    <vt:lpwstr>Privileged</vt:lpwstr>
  </property>
  <property fmtid="{D5CDD505-2E9C-101B-9397-08002B2CF9AE}" pid="8" name="MSIP_Label_acac165f-c1c4-40d3-88ea-7d721bd98779_Name">
    <vt:lpwstr>L00086</vt:lpwstr>
  </property>
  <property fmtid="{D5CDD505-2E9C-101B-9397-08002B2CF9AE}" pid="9" name="MSIP_Label_acac165f-c1c4-40d3-88ea-7d721bd98779_SiteId">
    <vt:lpwstr>b233f9e1-5599-4693-9cef-38858fe25406</vt:lpwstr>
  </property>
  <property fmtid="{D5CDD505-2E9C-101B-9397-08002B2CF9AE}" pid="10" name="MSIP_Label_acac165f-c1c4-40d3-88ea-7d721bd98779_ActionId">
    <vt:lpwstr>8d2e2b2b-9ccb-44d3-8bf7-055e95b4081d</vt:lpwstr>
  </property>
  <property fmtid="{D5CDD505-2E9C-101B-9397-08002B2CF9AE}" pid="11" name="MSIP_Label_acac165f-c1c4-40d3-88ea-7d721bd98779_ContentBits">
    <vt:lpwstr>1</vt:lpwstr>
  </property>
  <property fmtid="{D5CDD505-2E9C-101B-9397-08002B2CF9AE}" pid="12" name="DocumentClasification">
    <vt:lpwstr>Interní</vt:lpwstr>
  </property>
  <property fmtid="{D5CDD505-2E9C-101B-9397-08002B2CF9AE}" pid="13" name="CEZ_DLP">
    <vt:lpwstr>CEZ:CEZ-DF:C</vt:lpwstr>
  </property>
  <property fmtid="{D5CDD505-2E9C-101B-9397-08002B2CF9AE}" pid="14" name="CEZ_MIPLabelName">
    <vt:lpwstr>Internal-CEZ-DF</vt:lpwstr>
  </property>
</Properties>
</file>