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A74A8" w14:textId="77777777" w:rsidR="00600B4C" w:rsidRPr="00B53F6D" w:rsidRDefault="00B53F6D" w:rsidP="00B53F6D">
      <w:pPr>
        <w:spacing w:after="0" w:line="240" w:lineRule="auto"/>
        <w:jc w:val="right"/>
        <w:rPr>
          <w:rFonts w:ascii="Arial" w:hAnsi="Arial" w:cs="Arial"/>
          <w:b/>
          <w:spacing w:val="-2"/>
          <w:sz w:val="28"/>
          <w:szCs w:val="28"/>
        </w:rPr>
      </w:pPr>
      <w:r w:rsidRPr="00B53F6D">
        <w:rPr>
          <w:rFonts w:ascii="Arial" w:hAnsi="Arial" w:cs="Arial"/>
          <w:b/>
          <w:spacing w:val="-2"/>
          <w:sz w:val="28"/>
          <w:szCs w:val="28"/>
        </w:rPr>
        <w:t>V.</w:t>
      </w:r>
    </w:p>
    <w:p w14:paraId="6BEA270D" w14:textId="77777777" w:rsidR="00600B4C" w:rsidRPr="00D91DC9" w:rsidRDefault="00600B4C" w:rsidP="00D56307">
      <w:pPr>
        <w:spacing w:after="0" w:line="240" w:lineRule="auto"/>
        <w:jc w:val="center"/>
        <w:rPr>
          <w:rFonts w:ascii="Arial" w:hAnsi="Arial" w:cs="Arial"/>
          <w:spacing w:val="-2"/>
        </w:rPr>
      </w:pPr>
    </w:p>
    <w:p w14:paraId="10E8FC49" w14:textId="77777777" w:rsidR="00600B4C" w:rsidRPr="00D91DC9" w:rsidRDefault="00600B4C" w:rsidP="00D56307">
      <w:pPr>
        <w:spacing w:after="0" w:line="240" w:lineRule="auto"/>
        <w:jc w:val="center"/>
        <w:rPr>
          <w:rFonts w:ascii="Arial" w:hAnsi="Arial" w:cs="Arial"/>
          <w:spacing w:val="-2"/>
        </w:rPr>
      </w:pPr>
    </w:p>
    <w:p w14:paraId="552338FC" w14:textId="77777777" w:rsidR="00600B4C" w:rsidRPr="00D91DC9" w:rsidRDefault="00600B4C" w:rsidP="00D56307">
      <w:pPr>
        <w:spacing w:after="0" w:line="240" w:lineRule="auto"/>
        <w:jc w:val="center"/>
        <w:rPr>
          <w:rFonts w:ascii="Arial" w:hAnsi="Arial" w:cs="Arial"/>
          <w:spacing w:val="-2"/>
        </w:rPr>
      </w:pPr>
    </w:p>
    <w:p w14:paraId="434E0BCA" w14:textId="77777777" w:rsidR="00600B4C" w:rsidRPr="00D91DC9" w:rsidRDefault="00600B4C" w:rsidP="00D56307">
      <w:pPr>
        <w:spacing w:after="0" w:line="240" w:lineRule="auto"/>
        <w:jc w:val="center"/>
        <w:rPr>
          <w:rFonts w:ascii="Arial" w:hAnsi="Arial" w:cs="Arial"/>
          <w:spacing w:val="-2"/>
        </w:rPr>
      </w:pPr>
    </w:p>
    <w:p w14:paraId="242721F8" w14:textId="77777777" w:rsidR="00600B4C" w:rsidRPr="00D91DC9" w:rsidRDefault="00600B4C" w:rsidP="00D56307">
      <w:pPr>
        <w:spacing w:after="0" w:line="240" w:lineRule="auto"/>
        <w:jc w:val="center"/>
        <w:rPr>
          <w:rFonts w:ascii="Arial" w:hAnsi="Arial" w:cs="Arial"/>
          <w:spacing w:val="-2"/>
        </w:rPr>
      </w:pPr>
    </w:p>
    <w:p w14:paraId="0C4EFBEB" w14:textId="77777777" w:rsidR="00600B4C" w:rsidRPr="00D91DC9" w:rsidRDefault="00600B4C" w:rsidP="00D56307">
      <w:pPr>
        <w:spacing w:after="0" w:line="240" w:lineRule="auto"/>
        <w:jc w:val="center"/>
        <w:rPr>
          <w:rFonts w:ascii="Arial" w:hAnsi="Arial" w:cs="Arial"/>
          <w:spacing w:val="-2"/>
        </w:rPr>
      </w:pPr>
    </w:p>
    <w:p w14:paraId="4D230B29" w14:textId="77777777" w:rsidR="00600B4C" w:rsidRPr="00D91DC9" w:rsidRDefault="00600B4C" w:rsidP="00D56307">
      <w:pPr>
        <w:spacing w:after="0" w:line="240" w:lineRule="auto"/>
        <w:jc w:val="center"/>
        <w:rPr>
          <w:rFonts w:ascii="Arial" w:hAnsi="Arial" w:cs="Arial"/>
          <w:spacing w:val="-2"/>
        </w:rPr>
      </w:pPr>
    </w:p>
    <w:p w14:paraId="547004DA" w14:textId="77777777" w:rsidR="00600B4C" w:rsidRPr="00D91DC9" w:rsidRDefault="00600B4C" w:rsidP="00D56307">
      <w:pPr>
        <w:spacing w:after="0" w:line="240" w:lineRule="auto"/>
        <w:jc w:val="center"/>
        <w:rPr>
          <w:rFonts w:ascii="Arial" w:hAnsi="Arial" w:cs="Arial"/>
          <w:spacing w:val="-2"/>
        </w:rPr>
      </w:pPr>
    </w:p>
    <w:p w14:paraId="6876FAAE" w14:textId="77777777" w:rsidR="00600B4C" w:rsidRPr="00D91DC9" w:rsidRDefault="00600B4C" w:rsidP="00D56307">
      <w:pPr>
        <w:spacing w:after="0" w:line="240" w:lineRule="auto"/>
        <w:jc w:val="center"/>
        <w:rPr>
          <w:rFonts w:ascii="Arial" w:hAnsi="Arial" w:cs="Arial"/>
          <w:spacing w:val="-2"/>
        </w:rPr>
      </w:pPr>
    </w:p>
    <w:p w14:paraId="377BDD19" w14:textId="77777777" w:rsidR="00600B4C" w:rsidRPr="00D91DC9" w:rsidRDefault="00600B4C" w:rsidP="00D56307">
      <w:pPr>
        <w:spacing w:after="0" w:line="240" w:lineRule="auto"/>
        <w:jc w:val="center"/>
        <w:rPr>
          <w:rFonts w:ascii="Arial" w:hAnsi="Arial" w:cs="Arial"/>
          <w:spacing w:val="-2"/>
        </w:rPr>
      </w:pPr>
    </w:p>
    <w:p w14:paraId="25DDD389" w14:textId="77777777" w:rsidR="00600B4C" w:rsidRPr="00D91DC9" w:rsidRDefault="00600B4C" w:rsidP="00D56307">
      <w:pPr>
        <w:spacing w:after="0" w:line="240" w:lineRule="auto"/>
        <w:jc w:val="center"/>
        <w:rPr>
          <w:rFonts w:ascii="Arial" w:hAnsi="Arial" w:cs="Arial"/>
          <w:spacing w:val="-2"/>
        </w:rPr>
      </w:pPr>
    </w:p>
    <w:p w14:paraId="4A09053D" w14:textId="77777777" w:rsidR="00600B4C" w:rsidRPr="00D91DC9" w:rsidRDefault="00600B4C" w:rsidP="00D56307">
      <w:pPr>
        <w:spacing w:after="0" w:line="240" w:lineRule="auto"/>
        <w:jc w:val="center"/>
        <w:rPr>
          <w:rFonts w:ascii="Arial" w:hAnsi="Arial" w:cs="Arial"/>
          <w:spacing w:val="-2"/>
        </w:rPr>
      </w:pPr>
    </w:p>
    <w:p w14:paraId="571AC02A" w14:textId="77777777" w:rsidR="00600B4C" w:rsidRPr="00D91DC9" w:rsidRDefault="00600B4C" w:rsidP="00D56307">
      <w:pPr>
        <w:spacing w:after="0" w:line="240" w:lineRule="auto"/>
        <w:jc w:val="center"/>
        <w:rPr>
          <w:rFonts w:ascii="Arial" w:hAnsi="Arial" w:cs="Arial"/>
          <w:spacing w:val="-2"/>
        </w:rPr>
      </w:pPr>
    </w:p>
    <w:p w14:paraId="384ADE47" w14:textId="77777777" w:rsidR="00600B4C" w:rsidRPr="00D91DC9" w:rsidRDefault="00600B4C" w:rsidP="00D56307">
      <w:pPr>
        <w:spacing w:after="0" w:line="240" w:lineRule="auto"/>
        <w:jc w:val="center"/>
        <w:rPr>
          <w:rFonts w:ascii="Arial" w:hAnsi="Arial" w:cs="Arial"/>
          <w:spacing w:val="-2"/>
        </w:rPr>
      </w:pPr>
    </w:p>
    <w:p w14:paraId="2B3E2D86" w14:textId="77777777" w:rsidR="00600B4C" w:rsidRPr="00D91DC9" w:rsidRDefault="00600B4C" w:rsidP="00D56307">
      <w:pPr>
        <w:spacing w:after="0" w:line="240" w:lineRule="auto"/>
        <w:jc w:val="center"/>
        <w:rPr>
          <w:rFonts w:ascii="Arial" w:hAnsi="Arial" w:cs="Arial"/>
          <w:spacing w:val="-2"/>
        </w:rPr>
      </w:pPr>
    </w:p>
    <w:p w14:paraId="0B653E75" w14:textId="77777777" w:rsidR="00600B4C" w:rsidRPr="00D91DC9" w:rsidRDefault="00600B4C" w:rsidP="00D56307">
      <w:pPr>
        <w:spacing w:after="0" w:line="240" w:lineRule="auto"/>
        <w:jc w:val="center"/>
        <w:rPr>
          <w:rFonts w:ascii="Arial" w:hAnsi="Arial" w:cs="Arial"/>
          <w:spacing w:val="-2"/>
        </w:rPr>
      </w:pPr>
    </w:p>
    <w:p w14:paraId="4619BAA3" w14:textId="77777777" w:rsidR="00600B4C" w:rsidRPr="00D91DC9" w:rsidRDefault="00600B4C" w:rsidP="00D56307">
      <w:pPr>
        <w:spacing w:after="0" w:line="240" w:lineRule="auto"/>
        <w:jc w:val="center"/>
        <w:rPr>
          <w:rFonts w:ascii="Arial" w:hAnsi="Arial" w:cs="Arial"/>
          <w:spacing w:val="-2"/>
        </w:rPr>
      </w:pPr>
    </w:p>
    <w:p w14:paraId="6419D887" w14:textId="77777777" w:rsidR="00600B4C" w:rsidRPr="00D91DC9" w:rsidRDefault="00600B4C" w:rsidP="00D56307">
      <w:pPr>
        <w:spacing w:after="0" w:line="240" w:lineRule="auto"/>
        <w:jc w:val="center"/>
        <w:rPr>
          <w:rFonts w:ascii="Arial" w:hAnsi="Arial" w:cs="Arial"/>
          <w:spacing w:val="-2"/>
        </w:rPr>
      </w:pPr>
    </w:p>
    <w:p w14:paraId="4E94A0AA" w14:textId="77777777" w:rsidR="00600B4C" w:rsidRPr="00D91DC9" w:rsidRDefault="00600B4C" w:rsidP="00D56307">
      <w:pPr>
        <w:pBdr>
          <w:bottom w:val="single" w:sz="6" w:space="1" w:color="auto"/>
        </w:pBdr>
        <w:spacing w:after="0" w:line="240" w:lineRule="auto"/>
        <w:jc w:val="center"/>
        <w:rPr>
          <w:rFonts w:ascii="Arial" w:hAnsi="Arial" w:cs="Arial"/>
          <w:spacing w:val="-2"/>
        </w:rPr>
      </w:pPr>
    </w:p>
    <w:p w14:paraId="36E469A2" w14:textId="77777777" w:rsidR="00600B4C" w:rsidRPr="00D91DC9" w:rsidRDefault="00600B4C" w:rsidP="00600B4C">
      <w:pPr>
        <w:spacing w:after="0" w:line="240" w:lineRule="auto"/>
        <w:rPr>
          <w:rFonts w:ascii="Arial" w:hAnsi="Arial" w:cs="Arial"/>
          <w:spacing w:val="-2"/>
        </w:rPr>
      </w:pPr>
    </w:p>
    <w:p w14:paraId="73B53774" w14:textId="77777777" w:rsidR="00600B4C" w:rsidRPr="0082208C" w:rsidRDefault="00366694" w:rsidP="00600B4C">
      <w:pPr>
        <w:spacing w:after="0" w:line="240" w:lineRule="auto"/>
        <w:jc w:val="center"/>
        <w:rPr>
          <w:rFonts w:ascii="Arial" w:hAnsi="Arial" w:cs="Arial"/>
          <w:b/>
          <w:spacing w:val="-2"/>
          <w:sz w:val="28"/>
          <w:szCs w:val="28"/>
        </w:rPr>
      </w:pPr>
      <w:r>
        <w:rPr>
          <w:rFonts w:ascii="Arial" w:hAnsi="Arial" w:cs="Arial"/>
          <w:b/>
          <w:spacing w:val="-2"/>
          <w:sz w:val="28"/>
          <w:szCs w:val="28"/>
        </w:rPr>
        <w:t xml:space="preserve">Informace </w:t>
      </w:r>
      <w:r w:rsidR="00CE522B" w:rsidRPr="00CE522B">
        <w:rPr>
          <w:rFonts w:ascii="Arial" w:hAnsi="Arial" w:cs="Arial"/>
          <w:b/>
          <w:spacing w:val="-2"/>
          <w:sz w:val="28"/>
          <w:szCs w:val="28"/>
        </w:rPr>
        <w:t>o plnění usnesení vlády týkajících se integrace romské menšiny a aktivního postupu státní správy při uskutečňování opatření přijatých souvisejícím</w:t>
      </w:r>
      <w:r w:rsidR="00CE522B">
        <w:rPr>
          <w:rFonts w:ascii="Arial" w:hAnsi="Arial" w:cs="Arial"/>
          <w:b/>
          <w:spacing w:val="-2"/>
          <w:sz w:val="28"/>
          <w:szCs w:val="28"/>
        </w:rPr>
        <w:t>i usneseními vlády ke dni 31.</w:t>
      </w:r>
      <w:r w:rsidR="00FE2CA6">
        <w:rPr>
          <w:rFonts w:ascii="Arial" w:hAnsi="Arial" w:cs="Arial"/>
          <w:b/>
          <w:spacing w:val="-2"/>
          <w:sz w:val="28"/>
          <w:szCs w:val="28"/>
        </w:rPr>
        <w:t> </w:t>
      </w:r>
      <w:r w:rsidR="00CE522B">
        <w:rPr>
          <w:rFonts w:ascii="Arial" w:hAnsi="Arial" w:cs="Arial"/>
          <w:b/>
          <w:spacing w:val="-2"/>
          <w:sz w:val="28"/>
          <w:szCs w:val="28"/>
        </w:rPr>
        <w:t>12.</w:t>
      </w:r>
      <w:r w:rsidR="00FE2CA6">
        <w:rPr>
          <w:rFonts w:ascii="Arial" w:hAnsi="Arial" w:cs="Arial"/>
          <w:b/>
          <w:spacing w:val="-2"/>
          <w:sz w:val="28"/>
          <w:szCs w:val="28"/>
        </w:rPr>
        <w:t> </w:t>
      </w:r>
      <w:r w:rsidR="00E3138C">
        <w:rPr>
          <w:rFonts w:ascii="Arial" w:hAnsi="Arial" w:cs="Arial"/>
          <w:b/>
          <w:spacing w:val="-2"/>
          <w:sz w:val="28"/>
          <w:szCs w:val="28"/>
        </w:rPr>
        <w:t>2021</w:t>
      </w:r>
    </w:p>
    <w:p w14:paraId="0A1D418C" w14:textId="77777777" w:rsidR="00600B4C" w:rsidRPr="0082208C" w:rsidRDefault="00600B4C" w:rsidP="00600B4C">
      <w:pPr>
        <w:pBdr>
          <w:bottom w:val="single" w:sz="6" w:space="1" w:color="auto"/>
        </w:pBdr>
        <w:spacing w:after="0" w:line="240" w:lineRule="auto"/>
        <w:rPr>
          <w:rFonts w:ascii="Arial" w:hAnsi="Arial" w:cs="Arial"/>
          <w:spacing w:val="-2"/>
        </w:rPr>
      </w:pPr>
    </w:p>
    <w:p w14:paraId="1F685A9F" w14:textId="77777777" w:rsidR="00600B4C" w:rsidRPr="00D91DC9" w:rsidRDefault="00600B4C" w:rsidP="00600B4C">
      <w:pPr>
        <w:spacing w:after="0" w:line="240" w:lineRule="auto"/>
        <w:rPr>
          <w:rFonts w:ascii="Arial" w:hAnsi="Arial" w:cs="Arial"/>
          <w:spacing w:val="-2"/>
        </w:rPr>
      </w:pPr>
    </w:p>
    <w:p w14:paraId="01695989" w14:textId="77777777" w:rsidR="00600B4C" w:rsidRPr="00D91DC9" w:rsidRDefault="00600B4C" w:rsidP="00001C36">
      <w:pPr>
        <w:spacing w:after="0" w:line="240" w:lineRule="auto"/>
        <w:jc w:val="center"/>
        <w:rPr>
          <w:rFonts w:ascii="Arial" w:hAnsi="Arial" w:cs="Arial"/>
          <w:spacing w:val="-2"/>
        </w:rPr>
      </w:pPr>
    </w:p>
    <w:p w14:paraId="419C9318" w14:textId="77777777" w:rsidR="00600B4C" w:rsidRPr="00D91DC9" w:rsidRDefault="00600B4C" w:rsidP="00D56307">
      <w:pPr>
        <w:spacing w:after="0" w:line="240" w:lineRule="auto"/>
        <w:jc w:val="center"/>
        <w:rPr>
          <w:rFonts w:ascii="Arial" w:hAnsi="Arial" w:cs="Arial"/>
          <w:spacing w:val="-2"/>
        </w:rPr>
      </w:pPr>
    </w:p>
    <w:p w14:paraId="2EC3CDA6" w14:textId="77777777" w:rsidR="00600B4C" w:rsidRPr="00D91DC9" w:rsidRDefault="00600B4C" w:rsidP="00D56307">
      <w:pPr>
        <w:spacing w:after="0" w:line="240" w:lineRule="auto"/>
        <w:jc w:val="center"/>
        <w:rPr>
          <w:rFonts w:ascii="Arial" w:hAnsi="Arial" w:cs="Arial"/>
          <w:spacing w:val="-2"/>
        </w:rPr>
      </w:pPr>
    </w:p>
    <w:p w14:paraId="28B514A6" w14:textId="77777777" w:rsidR="00600B4C" w:rsidRDefault="00600B4C" w:rsidP="00001C36">
      <w:pPr>
        <w:spacing w:after="0" w:line="240" w:lineRule="auto"/>
        <w:jc w:val="center"/>
        <w:rPr>
          <w:rFonts w:ascii="Arial" w:hAnsi="Arial" w:cs="Arial"/>
          <w:spacing w:val="-2"/>
        </w:rPr>
      </w:pPr>
    </w:p>
    <w:p w14:paraId="45E5F8C0" w14:textId="77777777" w:rsidR="00600B4C" w:rsidRDefault="00600B4C" w:rsidP="00001C36">
      <w:pPr>
        <w:spacing w:after="0" w:line="240" w:lineRule="auto"/>
        <w:jc w:val="center"/>
        <w:rPr>
          <w:rFonts w:ascii="Arial" w:hAnsi="Arial" w:cs="Arial"/>
          <w:spacing w:val="-2"/>
        </w:rPr>
      </w:pPr>
    </w:p>
    <w:p w14:paraId="2284AC6D" w14:textId="77777777" w:rsidR="00600B4C" w:rsidRDefault="00600B4C" w:rsidP="00001C36">
      <w:pPr>
        <w:spacing w:after="0" w:line="240" w:lineRule="auto"/>
        <w:jc w:val="center"/>
        <w:rPr>
          <w:rFonts w:ascii="Arial" w:hAnsi="Arial" w:cs="Arial"/>
          <w:spacing w:val="-2"/>
        </w:rPr>
      </w:pPr>
    </w:p>
    <w:p w14:paraId="56D7A0CC" w14:textId="77777777" w:rsidR="00600B4C" w:rsidRDefault="00600B4C" w:rsidP="00001C36">
      <w:pPr>
        <w:spacing w:after="0" w:line="240" w:lineRule="auto"/>
        <w:jc w:val="center"/>
        <w:rPr>
          <w:rFonts w:ascii="Arial" w:hAnsi="Arial" w:cs="Arial"/>
          <w:spacing w:val="-2"/>
        </w:rPr>
      </w:pPr>
    </w:p>
    <w:p w14:paraId="29408BBA" w14:textId="77777777" w:rsidR="00600B4C" w:rsidRDefault="00600B4C" w:rsidP="00001C36">
      <w:pPr>
        <w:spacing w:after="0" w:line="240" w:lineRule="auto"/>
        <w:jc w:val="center"/>
        <w:rPr>
          <w:rFonts w:ascii="Arial" w:hAnsi="Arial" w:cs="Arial"/>
          <w:spacing w:val="-2"/>
        </w:rPr>
      </w:pPr>
    </w:p>
    <w:p w14:paraId="2C3D1B57" w14:textId="77777777" w:rsidR="00600B4C" w:rsidRDefault="00600B4C" w:rsidP="00001C36">
      <w:pPr>
        <w:spacing w:after="0" w:line="240" w:lineRule="auto"/>
        <w:jc w:val="center"/>
        <w:rPr>
          <w:rFonts w:ascii="Arial" w:hAnsi="Arial" w:cs="Arial"/>
          <w:spacing w:val="-2"/>
        </w:rPr>
      </w:pPr>
    </w:p>
    <w:p w14:paraId="3F4E97FF" w14:textId="77777777" w:rsidR="00600B4C" w:rsidRDefault="00600B4C" w:rsidP="00001C36">
      <w:pPr>
        <w:spacing w:after="0" w:line="240" w:lineRule="auto"/>
        <w:jc w:val="center"/>
        <w:rPr>
          <w:rFonts w:ascii="Arial" w:hAnsi="Arial" w:cs="Arial"/>
          <w:spacing w:val="-2"/>
        </w:rPr>
      </w:pPr>
    </w:p>
    <w:p w14:paraId="4529DEBD" w14:textId="77777777" w:rsidR="00600B4C" w:rsidRDefault="00600B4C" w:rsidP="00001C36">
      <w:pPr>
        <w:spacing w:after="0" w:line="240" w:lineRule="auto"/>
        <w:jc w:val="center"/>
        <w:rPr>
          <w:rFonts w:ascii="Arial" w:hAnsi="Arial" w:cs="Arial"/>
          <w:spacing w:val="-2"/>
        </w:rPr>
      </w:pPr>
    </w:p>
    <w:p w14:paraId="7252CEFA" w14:textId="77777777" w:rsidR="00600B4C" w:rsidRDefault="00600B4C" w:rsidP="00001C36">
      <w:pPr>
        <w:spacing w:after="0" w:line="240" w:lineRule="auto"/>
        <w:jc w:val="center"/>
        <w:rPr>
          <w:rFonts w:ascii="Arial" w:hAnsi="Arial" w:cs="Arial"/>
          <w:spacing w:val="-2"/>
        </w:rPr>
      </w:pPr>
    </w:p>
    <w:p w14:paraId="6DDB303F" w14:textId="77777777" w:rsidR="00600B4C" w:rsidRDefault="00600B4C" w:rsidP="00001C36">
      <w:pPr>
        <w:spacing w:after="0" w:line="240" w:lineRule="auto"/>
        <w:jc w:val="center"/>
        <w:rPr>
          <w:rFonts w:ascii="Arial" w:hAnsi="Arial" w:cs="Arial"/>
          <w:spacing w:val="-2"/>
        </w:rPr>
      </w:pPr>
    </w:p>
    <w:p w14:paraId="0CD6E297" w14:textId="77777777" w:rsidR="00600B4C" w:rsidRDefault="00600B4C" w:rsidP="00D56307">
      <w:pPr>
        <w:spacing w:after="0" w:line="240" w:lineRule="auto"/>
        <w:rPr>
          <w:rFonts w:ascii="Arial" w:hAnsi="Arial" w:cs="Arial"/>
          <w:spacing w:val="-2"/>
        </w:rPr>
      </w:pPr>
    </w:p>
    <w:p w14:paraId="2ABF7E84" w14:textId="77777777" w:rsidR="00600B4C" w:rsidRPr="001D4855" w:rsidRDefault="00600B4C" w:rsidP="00600B4C">
      <w:pPr>
        <w:spacing w:after="0" w:line="240" w:lineRule="auto"/>
        <w:jc w:val="center"/>
        <w:rPr>
          <w:rFonts w:ascii="Arial" w:hAnsi="Arial" w:cs="Arial"/>
        </w:rPr>
      </w:pPr>
      <w:r w:rsidRPr="001D4855">
        <w:rPr>
          <w:rFonts w:ascii="Arial" w:hAnsi="Arial" w:cs="Arial"/>
        </w:rPr>
        <w:t>Úřad vlády České republiky</w:t>
      </w:r>
    </w:p>
    <w:p w14:paraId="0F65689F" w14:textId="77777777" w:rsidR="00600B4C" w:rsidRPr="001D4855" w:rsidRDefault="001A1926" w:rsidP="00600B4C">
      <w:pPr>
        <w:spacing w:after="0" w:line="240" w:lineRule="auto"/>
        <w:jc w:val="center"/>
        <w:rPr>
          <w:rFonts w:ascii="Arial" w:hAnsi="Arial" w:cs="Arial"/>
        </w:rPr>
      </w:pPr>
      <w:r>
        <w:rPr>
          <w:rFonts w:ascii="Arial" w:hAnsi="Arial" w:cs="Arial"/>
        </w:rPr>
        <w:t>Odbor lidský</w:t>
      </w:r>
      <w:r w:rsidR="00CE522B">
        <w:rPr>
          <w:rFonts w:ascii="Arial" w:hAnsi="Arial" w:cs="Arial"/>
        </w:rPr>
        <w:t>ch práv a ochrany menšin</w:t>
      </w:r>
    </w:p>
    <w:p w14:paraId="406B46FF" w14:textId="77777777" w:rsidR="00600B4C" w:rsidRPr="001D4855" w:rsidRDefault="00600B4C" w:rsidP="00600B4C">
      <w:pPr>
        <w:spacing w:after="0" w:line="240" w:lineRule="auto"/>
        <w:jc w:val="center"/>
        <w:rPr>
          <w:rFonts w:ascii="Arial" w:hAnsi="Arial" w:cs="Arial"/>
        </w:rPr>
      </w:pPr>
      <w:r>
        <w:rPr>
          <w:rFonts w:ascii="Arial" w:hAnsi="Arial" w:cs="Arial"/>
        </w:rPr>
        <w:t>Oddělení</w:t>
      </w:r>
      <w:r w:rsidR="00374C89">
        <w:rPr>
          <w:rFonts w:ascii="Arial" w:hAnsi="Arial" w:cs="Arial"/>
        </w:rPr>
        <w:t xml:space="preserve"> kanceláře Rady vlády </w:t>
      </w:r>
      <w:r w:rsidRPr="001D4855">
        <w:rPr>
          <w:rFonts w:ascii="Arial" w:hAnsi="Arial" w:cs="Arial"/>
        </w:rPr>
        <w:t xml:space="preserve">pro záležitosti romské menšiny </w:t>
      </w:r>
      <w:r w:rsidRPr="001D4855">
        <w:rPr>
          <w:rFonts w:ascii="Arial" w:hAnsi="Arial" w:cs="Arial"/>
        </w:rPr>
        <w:br/>
        <w:t>a sekretariátu Rady vlády pro národnostní menšiny</w:t>
      </w:r>
    </w:p>
    <w:p w14:paraId="6E8F770E" w14:textId="77777777" w:rsidR="00983B7F" w:rsidRDefault="00097602" w:rsidP="00374C89">
      <w:pPr>
        <w:spacing w:after="0" w:line="240" w:lineRule="auto"/>
        <w:jc w:val="center"/>
        <w:rPr>
          <w:rFonts w:ascii="Arial" w:eastAsiaTheme="majorEastAsia" w:hAnsi="Arial" w:cs="Arial"/>
          <w:b/>
          <w:bCs/>
          <w:sz w:val="24"/>
          <w:szCs w:val="28"/>
        </w:rPr>
      </w:pPr>
      <w:r>
        <w:rPr>
          <w:rFonts w:ascii="Arial" w:hAnsi="Arial" w:cs="Arial"/>
        </w:rPr>
        <w:t>Praha 202</w:t>
      </w:r>
      <w:r w:rsidR="00951E41">
        <w:rPr>
          <w:rFonts w:ascii="Arial" w:hAnsi="Arial" w:cs="Arial"/>
        </w:rPr>
        <w:t>2</w:t>
      </w:r>
      <w:r w:rsidR="00983B7F">
        <w:rPr>
          <w:rFonts w:ascii="Arial" w:hAnsi="Arial" w:cs="Arial"/>
          <w:sz w:val="24"/>
        </w:rPr>
        <w:br w:type="page"/>
      </w:r>
    </w:p>
    <w:p w14:paraId="10D74CCC" w14:textId="77777777" w:rsidR="00E32CB6" w:rsidRPr="00CD4630" w:rsidRDefault="00446E09" w:rsidP="00446E09">
      <w:pPr>
        <w:pStyle w:val="Nadpis1"/>
        <w:rPr>
          <w:rFonts w:ascii="Arial" w:hAnsi="Arial" w:cs="Arial"/>
          <w:color w:val="auto"/>
          <w:sz w:val="24"/>
        </w:rPr>
      </w:pPr>
      <w:bookmarkStart w:id="0" w:name="_Toc80881294"/>
      <w:bookmarkStart w:id="1" w:name="_Toc112831368"/>
      <w:r w:rsidRPr="00CD4630">
        <w:rPr>
          <w:rFonts w:ascii="Arial" w:hAnsi="Arial" w:cs="Arial"/>
          <w:color w:val="auto"/>
          <w:sz w:val="24"/>
        </w:rPr>
        <w:lastRenderedPageBreak/>
        <w:t>OBSAH</w:t>
      </w:r>
      <w:bookmarkEnd w:id="0"/>
      <w:bookmarkEnd w:id="1"/>
    </w:p>
    <w:sdt>
      <w:sdtPr>
        <w:rPr>
          <w:rFonts w:ascii="Arial" w:hAnsi="Arial" w:cs="Arial"/>
        </w:rPr>
        <w:id w:val="205002626"/>
        <w:docPartObj>
          <w:docPartGallery w:val="Table of Contents"/>
          <w:docPartUnique/>
        </w:docPartObj>
      </w:sdtPr>
      <w:sdtEndPr>
        <w:rPr>
          <w:b/>
          <w:bCs/>
        </w:rPr>
      </w:sdtEndPr>
      <w:sdtContent>
        <w:p w14:paraId="2EA9F990" w14:textId="77777777" w:rsidR="00CD4630" w:rsidRPr="00CD4630" w:rsidRDefault="00446E09">
          <w:pPr>
            <w:pStyle w:val="Obsah1"/>
            <w:rPr>
              <w:rFonts w:ascii="Arial" w:eastAsiaTheme="minorEastAsia" w:hAnsi="Arial" w:cs="Arial"/>
              <w:noProof/>
              <w:lang w:eastAsia="cs-CZ"/>
            </w:rPr>
          </w:pPr>
          <w:r w:rsidRPr="00CD4630">
            <w:rPr>
              <w:rFonts w:ascii="Arial" w:hAnsi="Arial" w:cs="Arial"/>
            </w:rPr>
            <w:fldChar w:fldCharType="begin"/>
          </w:r>
          <w:r w:rsidRPr="00CD4630">
            <w:rPr>
              <w:rFonts w:ascii="Arial" w:hAnsi="Arial" w:cs="Arial"/>
            </w:rPr>
            <w:instrText xml:space="preserve"> TOC \o "1-3" \h \z \u </w:instrText>
          </w:r>
          <w:r w:rsidRPr="00CD4630">
            <w:rPr>
              <w:rFonts w:ascii="Arial" w:hAnsi="Arial" w:cs="Arial"/>
            </w:rPr>
            <w:fldChar w:fldCharType="separate"/>
          </w:r>
        </w:p>
        <w:p w14:paraId="49D7DFC8" w14:textId="28C14A3A" w:rsidR="00CD4630" w:rsidRPr="00CD4630" w:rsidRDefault="00DF0033">
          <w:pPr>
            <w:pStyle w:val="Obsah1"/>
            <w:rPr>
              <w:rFonts w:ascii="Arial" w:eastAsiaTheme="minorEastAsia" w:hAnsi="Arial" w:cs="Arial"/>
              <w:noProof/>
              <w:lang w:eastAsia="cs-CZ"/>
            </w:rPr>
          </w:pPr>
          <w:hyperlink w:anchor="_Toc112831369" w:history="1">
            <w:r w:rsidR="00CD4630" w:rsidRPr="00CD4630">
              <w:rPr>
                <w:rStyle w:val="Hypertextovodkaz"/>
                <w:rFonts w:ascii="Arial" w:hAnsi="Arial" w:cs="Arial"/>
                <w:noProof/>
              </w:rPr>
              <w:t>Úvod</w:t>
            </w:r>
            <w:r w:rsidR="00CD4630" w:rsidRPr="00CD4630">
              <w:rPr>
                <w:rFonts w:ascii="Arial" w:hAnsi="Arial" w:cs="Arial"/>
                <w:noProof/>
                <w:webHidden/>
              </w:rPr>
              <w:tab/>
            </w:r>
            <w:r w:rsidR="00CD4630" w:rsidRPr="00CD4630">
              <w:rPr>
                <w:rFonts w:ascii="Arial" w:hAnsi="Arial" w:cs="Arial"/>
                <w:noProof/>
                <w:webHidden/>
              </w:rPr>
              <w:fldChar w:fldCharType="begin"/>
            </w:r>
            <w:r w:rsidR="00CD4630" w:rsidRPr="00CD4630">
              <w:rPr>
                <w:rFonts w:ascii="Arial" w:hAnsi="Arial" w:cs="Arial"/>
                <w:noProof/>
                <w:webHidden/>
              </w:rPr>
              <w:instrText xml:space="preserve"> PAGEREF _Toc112831369 \h </w:instrText>
            </w:r>
            <w:r w:rsidR="00CD4630" w:rsidRPr="00CD4630">
              <w:rPr>
                <w:rFonts w:ascii="Arial" w:hAnsi="Arial" w:cs="Arial"/>
                <w:noProof/>
                <w:webHidden/>
              </w:rPr>
            </w:r>
            <w:r w:rsidR="00CD4630" w:rsidRPr="00CD4630">
              <w:rPr>
                <w:rFonts w:ascii="Arial" w:hAnsi="Arial" w:cs="Arial"/>
                <w:noProof/>
                <w:webHidden/>
              </w:rPr>
              <w:fldChar w:fldCharType="separate"/>
            </w:r>
            <w:r w:rsidR="0060572D">
              <w:rPr>
                <w:rFonts w:ascii="Arial" w:hAnsi="Arial" w:cs="Arial"/>
                <w:noProof/>
                <w:webHidden/>
              </w:rPr>
              <w:t>3</w:t>
            </w:r>
            <w:r w:rsidR="00CD4630" w:rsidRPr="00CD4630">
              <w:rPr>
                <w:rFonts w:ascii="Arial" w:hAnsi="Arial" w:cs="Arial"/>
                <w:noProof/>
                <w:webHidden/>
              </w:rPr>
              <w:fldChar w:fldCharType="end"/>
            </w:r>
          </w:hyperlink>
        </w:p>
        <w:p w14:paraId="79B0C6A8" w14:textId="0C37AB97" w:rsidR="00CD4630" w:rsidRPr="00CD4630" w:rsidRDefault="00DF0033">
          <w:pPr>
            <w:pStyle w:val="Obsah1"/>
            <w:tabs>
              <w:tab w:val="left" w:pos="440"/>
            </w:tabs>
            <w:rPr>
              <w:rFonts w:ascii="Arial" w:eastAsiaTheme="minorEastAsia" w:hAnsi="Arial" w:cs="Arial"/>
              <w:noProof/>
              <w:lang w:eastAsia="cs-CZ"/>
            </w:rPr>
          </w:pPr>
          <w:hyperlink w:anchor="_Toc112831370" w:history="1">
            <w:r w:rsidR="00CD4630" w:rsidRPr="00CD4630">
              <w:rPr>
                <w:rStyle w:val="Hypertextovodkaz"/>
                <w:rFonts w:ascii="Arial" w:hAnsi="Arial" w:cs="Arial"/>
                <w:noProof/>
              </w:rPr>
              <w:t>1.</w:t>
            </w:r>
            <w:r w:rsidR="00CD4630" w:rsidRPr="00CD4630">
              <w:rPr>
                <w:rFonts w:ascii="Arial" w:eastAsiaTheme="minorEastAsia" w:hAnsi="Arial" w:cs="Arial"/>
                <w:noProof/>
                <w:lang w:eastAsia="cs-CZ"/>
              </w:rPr>
              <w:tab/>
            </w:r>
            <w:r w:rsidR="00CD4630" w:rsidRPr="00CD4630">
              <w:rPr>
                <w:rStyle w:val="Hypertextovodkaz"/>
                <w:rFonts w:ascii="Arial" w:hAnsi="Arial" w:cs="Arial"/>
                <w:noProof/>
              </w:rPr>
              <w:t>Ministerstvo kultury</w:t>
            </w:r>
            <w:r w:rsidR="00CD4630" w:rsidRPr="00CD4630">
              <w:rPr>
                <w:rFonts w:ascii="Arial" w:hAnsi="Arial" w:cs="Arial"/>
                <w:noProof/>
                <w:webHidden/>
              </w:rPr>
              <w:tab/>
            </w:r>
            <w:r w:rsidR="00CD4630" w:rsidRPr="00CD4630">
              <w:rPr>
                <w:rFonts w:ascii="Arial" w:hAnsi="Arial" w:cs="Arial"/>
                <w:noProof/>
                <w:webHidden/>
              </w:rPr>
              <w:fldChar w:fldCharType="begin"/>
            </w:r>
            <w:r w:rsidR="00CD4630" w:rsidRPr="00CD4630">
              <w:rPr>
                <w:rFonts w:ascii="Arial" w:hAnsi="Arial" w:cs="Arial"/>
                <w:noProof/>
                <w:webHidden/>
              </w:rPr>
              <w:instrText xml:space="preserve"> PAGEREF _Toc112831370 \h </w:instrText>
            </w:r>
            <w:r w:rsidR="00CD4630" w:rsidRPr="00CD4630">
              <w:rPr>
                <w:rFonts w:ascii="Arial" w:hAnsi="Arial" w:cs="Arial"/>
                <w:noProof/>
                <w:webHidden/>
              </w:rPr>
            </w:r>
            <w:r w:rsidR="00CD4630" w:rsidRPr="00CD4630">
              <w:rPr>
                <w:rFonts w:ascii="Arial" w:hAnsi="Arial" w:cs="Arial"/>
                <w:noProof/>
                <w:webHidden/>
              </w:rPr>
              <w:fldChar w:fldCharType="separate"/>
            </w:r>
            <w:r w:rsidR="0060572D">
              <w:rPr>
                <w:rFonts w:ascii="Arial" w:hAnsi="Arial" w:cs="Arial"/>
                <w:noProof/>
                <w:webHidden/>
              </w:rPr>
              <w:t>4</w:t>
            </w:r>
            <w:r w:rsidR="00CD4630" w:rsidRPr="00CD4630">
              <w:rPr>
                <w:rFonts w:ascii="Arial" w:hAnsi="Arial" w:cs="Arial"/>
                <w:noProof/>
                <w:webHidden/>
              </w:rPr>
              <w:fldChar w:fldCharType="end"/>
            </w:r>
          </w:hyperlink>
        </w:p>
        <w:p w14:paraId="0DC2146B" w14:textId="7B52B5EF" w:rsidR="00CD4630" w:rsidRPr="00CD4630" w:rsidRDefault="00DF0033">
          <w:pPr>
            <w:pStyle w:val="Obsah1"/>
            <w:tabs>
              <w:tab w:val="left" w:pos="440"/>
            </w:tabs>
            <w:rPr>
              <w:rFonts w:ascii="Arial" w:eastAsiaTheme="minorEastAsia" w:hAnsi="Arial" w:cs="Arial"/>
              <w:noProof/>
              <w:lang w:eastAsia="cs-CZ"/>
            </w:rPr>
          </w:pPr>
          <w:hyperlink w:anchor="_Toc112831371" w:history="1">
            <w:r w:rsidR="00CD4630" w:rsidRPr="00CD4630">
              <w:rPr>
                <w:rStyle w:val="Hypertextovodkaz"/>
                <w:rFonts w:ascii="Arial" w:hAnsi="Arial" w:cs="Arial"/>
                <w:noProof/>
              </w:rPr>
              <w:t>2.</w:t>
            </w:r>
            <w:r w:rsidR="00CD4630" w:rsidRPr="00CD4630">
              <w:rPr>
                <w:rFonts w:ascii="Arial" w:eastAsiaTheme="minorEastAsia" w:hAnsi="Arial" w:cs="Arial"/>
                <w:noProof/>
                <w:lang w:eastAsia="cs-CZ"/>
              </w:rPr>
              <w:tab/>
            </w:r>
            <w:r w:rsidR="00CD4630" w:rsidRPr="00CD4630">
              <w:rPr>
                <w:rStyle w:val="Hypertextovodkaz"/>
                <w:rFonts w:ascii="Arial" w:hAnsi="Arial" w:cs="Arial"/>
                <w:noProof/>
              </w:rPr>
              <w:t>Ministerstvo pro místní rozvoj</w:t>
            </w:r>
            <w:r w:rsidR="00CD4630" w:rsidRPr="00CD4630">
              <w:rPr>
                <w:rFonts w:ascii="Arial" w:hAnsi="Arial" w:cs="Arial"/>
                <w:noProof/>
                <w:webHidden/>
              </w:rPr>
              <w:tab/>
            </w:r>
            <w:r w:rsidR="00CD4630" w:rsidRPr="00CD4630">
              <w:rPr>
                <w:rFonts w:ascii="Arial" w:hAnsi="Arial" w:cs="Arial"/>
                <w:noProof/>
                <w:webHidden/>
              </w:rPr>
              <w:fldChar w:fldCharType="begin"/>
            </w:r>
            <w:r w:rsidR="00CD4630" w:rsidRPr="00CD4630">
              <w:rPr>
                <w:rFonts w:ascii="Arial" w:hAnsi="Arial" w:cs="Arial"/>
                <w:noProof/>
                <w:webHidden/>
              </w:rPr>
              <w:instrText xml:space="preserve"> PAGEREF _Toc112831371 \h </w:instrText>
            </w:r>
            <w:r w:rsidR="00CD4630" w:rsidRPr="00CD4630">
              <w:rPr>
                <w:rFonts w:ascii="Arial" w:hAnsi="Arial" w:cs="Arial"/>
                <w:noProof/>
                <w:webHidden/>
              </w:rPr>
            </w:r>
            <w:r w:rsidR="00CD4630" w:rsidRPr="00CD4630">
              <w:rPr>
                <w:rFonts w:ascii="Arial" w:hAnsi="Arial" w:cs="Arial"/>
                <w:noProof/>
                <w:webHidden/>
              </w:rPr>
              <w:fldChar w:fldCharType="separate"/>
            </w:r>
            <w:r w:rsidR="0060572D">
              <w:rPr>
                <w:rFonts w:ascii="Arial" w:hAnsi="Arial" w:cs="Arial"/>
                <w:noProof/>
                <w:webHidden/>
              </w:rPr>
              <w:t>14</w:t>
            </w:r>
            <w:r w:rsidR="00CD4630" w:rsidRPr="00CD4630">
              <w:rPr>
                <w:rFonts w:ascii="Arial" w:hAnsi="Arial" w:cs="Arial"/>
                <w:noProof/>
                <w:webHidden/>
              </w:rPr>
              <w:fldChar w:fldCharType="end"/>
            </w:r>
          </w:hyperlink>
        </w:p>
        <w:p w14:paraId="69960A3C" w14:textId="2B29F3CE" w:rsidR="00CD4630" w:rsidRPr="00CD4630" w:rsidRDefault="00DF0033">
          <w:pPr>
            <w:pStyle w:val="Obsah1"/>
            <w:tabs>
              <w:tab w:val="left" w:pos="440"/>
            </w:tabs>
            <w:rPr>
              <w:rFonts w:ascii="Arial" w:eastAsiaTheme="minorEastAsia" w:hAnsi="Arial" w:cs="Arial"/>
              <w:noProof/>
              <w:lang w:eastAsia="cs-CZ"/>
            </w:rPr>
          </w:pPr>
          <w:hyperlink w:anchor="_Toc112831372" w:history="1">
            <w:r w:rsidR="00CD4630" w:rsidRPr="00CD4630">
              <w:rPr>
                <w:rStyle w:val="Hypertextovodkaz"/>
                <w:rFonts w:ascii="Arial" w:hAnsi="Arial" w:cs="Arial"/>
                <w:noProof/>
              </w:rPr>
              <w:t>3.</w:t>
            </w:r>
            <w:r w:rsidR="00CD4630" w:rsidRPr="00CD4630">
              <w:rPr>
                <w:rFonts w:ascii="Arial" w:eastAsiaTheme="minorEastAsia" w:hAnsi="Arial" w:cs="Arial"/>
                <w:noProof/>
                <w:lang w:eastAsia="cs-CZ"/>
              </w:rPr>
              <w:tab/>
            </w:r>
            <w:r w:rsidR="00CD4630" w:rsidRPr="00CD4630">
              <w:rPr>
                <w:rStyle w:val="Hypertextovodkaz"/>
                <w:rFonts w:ascii="Arial" w:hAnsi="Arial" w:cs="Arial"/>
                <w:noProof/>
              </w:rPr>
              <w:t>Ministerstvo obrany</w:t>
            </w:r>
            <w:r w:rsidR="00CD4630" w:rsidRPr="00CD4630">
              <w:rPr>
                <w:rFonts w:ascii="Arial" w:hAnsi="Arial" w:cs="Arial"/>
                <w:noProof/>
                <w:webHidden/>
              </w:rPr>
              <w:tab/>
            </w:r>
            <w:r w:rsidR="00CD4630" w:rsidRPr="00CD4630">
              <w:rPr>
                <w:rFonts w:ascii="Arial" w:hAnsi="Arial" w:cs="Arial"/>
                <w:noProof/>
                <w:webHidden/>
              </w:rPr>
              <w:fldChar w:fldCharType="begin"/>
            </w:r>
            <w:r w:rsidR="00CD4630" w:rsidRPr="00CD4630">
              <w:rPr>
                <w:rFonts w:ascii="Arial" w:hAnsi="Arial" w:cs="Arial"/>
                <w:noProof/>
                <w:webHidden/>
              </w:rPr>
              <w:instrText xml:space="preserve"> PAGEREF _Toc112831372 \h </w:instrText>
            </w:r>
            <w:r w:rsidR="00CD4630" w:rsidRPr="00CD4630">
              <w:rPr>
                <w:rFonts w:ascii="Arial" w:hAnsi="Arial" w:cs="Arial"/>
                <w:noProof/>
                <w:webHidden/>
              </w:rPr>
            </w:r>
            <w:r w:rsidR="00CD4630" w:rsidRPr="00CD4630">
              <w:rPr>
                <w:rFonts w:ascii="Arial" w:hAnsi="Arial" w:cs="Arial"/>
                <w:noProof/>
                <w:webHidden/>
              </w:rPr>
              <w:fldChar w:fldCharType="separate"/>
            </w:r>
            <w:r w:rsidR="0060572D">
              <w:rPr>
                <w:rFonts w:ascii="Arial" w:hAnsi="Arial" w:cs="Arial"/>
                <w:noProof/>
                <w:webHidden/>
              </w:rPr>
              <w:t>20</w:t>
            </w:r>
            <w:r w:rsidR="00CD4630" w:rsidRPr="00CD4630">
              <w:rPr>
                <w:rFonts w:ascii="Arial" w:hAnsi="Arial" w:cs="Arial"/>
                <w:noProof/>
                <w:webHidden/>
              </w:rPr>
              <w:fldChar w:fldCharType="end"/>
            </w:r>
          </w:hyperlink>
        </w:p>
        <w:p w14:paraId="3C1396EF" w14:textId="1C7F31C3" w:rsidR="00CD4630" w:rsidRPr="00CD4630" w:rsidRDefault="00DF0033">
          <w:pPr>
            <w:pStyle w:val="Obsah1"/>
            <w:tabs>
              <w:tab w:val="left" w:pos="440"/>
            </w:tabs>
            <w:rPr>
              <w:rFonts w:ascii="Arial" w:eastAsiaTheme="minorEastAsia" w:hAnsi="Arial" w:cs="Arial"/>
              <w:noProof/>
              <w:lang w:eastAsia="cs-CZ"/>
            </w:rPr>
          </w:pPr>
          <w:hyperlink w:anchor="_Toc112831373" w:history="1">
            <w:r w:rsidR="00CD4630" w:rsidRPr="00CD4630">
              <w:rPr>
                <w:rStyle w:val="Hypertextovodkaz"/>
                <w:rFonts w:ascii="Arial" w:hAnsi="Arial" w:cs="Arial"/>
                <w:noProof/>
              </w:rPr>
              <w:t>4.</w:t>
            </w:r>
            <w:r w:rsidR="00CD4630" w:rsidRPr="00CD4630">
              <w:rPr>
                <w:rFonts w:ascii="Arial" w:eastAsiaTheme="minorEastAsia" w:hAnsi="Arial" w:cs="Arial"/>
                <w:noProof/>
                <w:lang w:eastAsia="cs-CZ"/>
              </w:rPr>
              <w:tab/>
            </w:r>
            <w:r w:rsidR="00CD4630" w:rsidRPr="00CD4630">
              <w:rPr>
                <w:rStyle w:val="Hypertextovodkaz"/>
                <w:rFonts w:ascii="Arial" w:hAnsi="Arial" w:cs="Arial"/>
                <w:noProof/>
              </w:rPr>
              <w:t>Ministerstvo průmyslu a obchodu</w:t>
            </w:r>
            <w:r w:rsidR="00CD4630" w:rsidRPr="00CD4630">
              <w:rPr>
                <w:rFonts w:ascii="Arial" w:hAnsi="Arial" w:cs="Arial"/>
                <w:noProof/>
                <w:webHidden/>
              </w:rPr>
              <w:tab/>
            </w:r>
            <w:r w:rsidR="00CD4630" w:rsidRPr="00CD4630">
              <w:rPr>
                <w:rFonts w:ascii="Arial" w:hAnsi="Arial" w:cs="Arial"/>
                <w:noProof/>
                <w:webHidden/>
              </w:rPr>
              <w:fldChar w:fldCharType="begin"/>
            </w:r>
            <w:r w:rsidR="00CD4630" w:rsidRPr="00CD4630">
              <w:rPr>
                <w:rFonts w:ascii="Arial" w:hAnsi="Arial" w:cs="Arial"/>
                <w:noProof/>
                <w:webHidden/>
              </w:rPr>
              <w:instrText xml:space="preserve"> PAGEREF _Toc112831373 \h </w:instrText>
            </w:r>
            <w:r w:rsidR="00CD4630" w:rsidRPr="00CD4630">
              <w:rPr>
                <w:rFonts w:ascii="Arial" w:hAnsi="Arial" w:cs="Arial"/>
                <w:noProof/>
                <w:webHidden/>
              </w:rPr>
            </w:r>
            <w:r w:rsidR="00CD4630" w:rsidRPr="00CD4630">
              <w:rPr>
                <w:rFonts w:ascii="Arial" w:hAnsi="Arial" w:cs="Arial"/>
                <w:noProof/>
                <w:webHidden/>
              </w:rPr>
              <w:fldChar w:fldCharType="separate"/>
            </w:r>
            <w:r w:rsidR="0060572D">
              <w:rPr>
                <w:rFonts w:ascii="Arial" w:hAnsi="Arial" w:cs="Arial"/>
                <w:noProof/>
                <w:webHidden/>
              </w:rPr>
              <w:t>21</w:t>
            </w:r>
            <w:r w:rsidR="00CD4630" w:rsidRPr="00CD4630">
              <w:rPr>
                <w:rFonts w:ascii="Arial" w:hAnsi="Arial" w:cs="Arial"/>
                <w:noProof/>
                <w:webHidden/>
              </w:rPr>
              <w:fldChar w:fldCharType="end"/>
            </w:r>
          </w:hyperlink>
        </w:p>
        <w:p w14:paraId="56922152" w14:textId="08B9865A" w:rsidR="00CD4630" w:rsidRPr="00CD4630" w:rsidRDefault="00DF0033">
          <w:pPr>
            <w:pStyle w:val="Obsah1"/>
            <w:tabs>
              <w:tab w:val="left" w:pos="440"/>
            </w:tabs>
            <w:rPr>
              <w:rFonts w:ascii="Arial" w:eastAsiaTheme="minorEastAsia" w:hAnsi="Arial" w:cs="Arial"/>
              <w:noProof/>
              <w:lang w:eastAsia="cs-CZ"/>
            </w:rPr>
          </w:pPr>
          <w:hyperlink w:anchor="_Toc112831374" w:history="1">
            <w:r w:rsidR="00CD4630" w:rsidRPr="00CD4630">
              <w:rPr>
                <w:rStyle w:val="Hypertextovodkaz"/>
                <w:rFonts w:ascii="Arial" w:hAnsi="Arial" w:cs="Arial"/>
                <w:noProof/>
              </w:rPr>
              <w:t>5.</w:t>
            </w:r>
            <w:r w:rsidR="00CD4630" w:rsidRPr="00CD4630">
              <w:rPr>
                <w:rFonts w:ascii="Arial" w:eastAsiaTheme="minorEastAsia" w:hAnsi="Arial" w:cs="Arial"/>
                <w:noProof/>
                <w:lang w:eastAsia="cs-CZ"/>
              </w:rPr>
              <w:tab/>
            </w:r>
            <w:r w:rsidR="00CD4630" w:rsidRPr="00CD4630">
              <w:rPr>
                <w:rStyle w:val="Hypertextovodkaz"/>
                <w:rFonts w:ascii="Arial" w:hAnsi="Arial" w:cs="Arial"/>
                <w:noProof/>
              </w:rPr>
              <w:t>Ministerstvo práce a sociálních věcí</w:t>
            </w:r>
            <w:r w:rsidR="00CD4630" w:rsidRPr="00CD4630">
              <w:rPr>
                <w:rFonts w:ascii="Arial" w:hAnsi="Arial" w:cs="Arial"/>
                <w:noProof/>
                <w:webHidden/>
              </w:rPr>
              <w:tab/>
            </w:r>
            <w:r w:rsidR="00CD4630" w:rsidRPr="00CD4630">
              <w:rPr>
                <w:rFonts w:ascii="Arial" w:hAnsi="Arial" w:cs="Arial"/>
                <w:noProof/>
                <w:webHidden/>
              </w:rPr>
              <w:fldChar w:fldCharType="begin"/>
            </w:r>
            <w:r w:rsidR="00CD4630" w:rsidRPr="00CD4630">
              <w:rPr>
                <w:rFonts w:ascii="Arial" w:hAnsi="Arial" w:cs="Arial"/>
                <w:noProof/>
                <w:webHidden/>
              </w:rPr>
              <w:instrText xml:space="preserve"> PAGEREF _Toc112831374 \h </w:instrText>
            </w:r>
            <w:r w:rsidR="00CD4630" w:rsidRPr="00CD4630">
              <w:rPr>
                <w:rFonts w:ascii="Arial" w:hAnsi="Arial" w:cs="Arial"/>
                <w:noProof/>
                <w:webHidden/>
              </w:rPr>
            </w:r>
            <w:r w:rsidR="00CD4630" w:rsidRPr="00CD4630">
              <w:rPr>
                <w:rFonts w:ascii="Arial" w:hAnsi="Arial" w:cs="Arial"/>
                <w:noProof/>
                <w:webHidden/>
              </w:rPr>
              <w:fldChar w:fldCharType="separate"/>
            </w:r>
            <w:r w:rsidR="0060572D">
              <w:rPr>
                <w:rFonts w:ascii="Arial" w:hAnsi="Arial" w:cs="Arial"/>
                <w:noProof/>
                <w:webHidden/>
              </w:rPr>
              <w:t>25</w:t>
            </w:r>
            <w:r w:rsidR="00CD4630" w:rsidRPr="00CD4630">
              <w:rPr>
                <w:rFonts w:ascii="Arial" w:hAnsi="Arial" w:cs="Arial"/>
                <w:noProof/>
                <w:webHidden/>
              </w:rPr>
              <w:fldChar w:fldCharType="end"/>
            </w:r>
          </w:hyperlink>
        </w:p>
        <w:p w14:paraId="3F15201B" w14:textId="21943811" w:rsidR="00CD4630" w:rsidRPr="00CD4630" w:rsidRDefault="00DF0033">
          <w:pPr>
            <w:pStyle w:val="Obsah1"/>
            <w:tabs>
              <w:tab w:val="left" w:pos="440"/>
            </w:tabs>
            <w:rPr>
              <w:rFonts w:ascii="Arial" w:eastAsiaTheme="minorEastAsia" w:hAnsi="Arial" w:cs="Arial"/>
              <w:noProof/>
              <w:lang w:eastAsia="cs-CZ"/>
            </w:rPr>
          </w:pPr>
          <w:hyperlink w:anchor="_Toc112831375" w:history="1">
            <w:r w:rsidR="00CD4630" w:rsidRPr="00CD4630">
              <w:rPr>
                <w:rStyle w:val="Hypertextovodkaz"/>
                <w:rFonts w:ascii="Arial" w:hAnsi="Arial" w:cs="Arial"/>
                <w:noProof/>
              </w:rPr>
              <w:t>6.</w:t>
            </w:r>
            <w:r w:rsidR="00CD4630" w:rsidRPr="00CD4630">
              <w:rPr>
                <w:rFonts w:ascii="Arial" w:eastAsiaTheme="minorEastAsia" w:hAnsi="Arial" w:cs="Arial"/>
                <w:noProof/>
                <w:lang w:eastAsia="cs-CZ"/>
              </w:rPr>
              <w:tab/>
            </w:r>
            <w:r w:rsidR="00CD4630" w:rsidRPr="00CD4630">
              <w:rPr>
                <w:rStyle w:val="Hypertextovodkaz"/>
                <w:rFonts w:ascii="Arial" w:hAnsi="Arial" w:cs="Arial"/>
                <w:noProof/>
              </w:rPr>
              <w:t>Ministerstvo školství, mládeže a tělovýchovy</w:t>
            </w:r>
            <w:r w:rsidR="00CD4630" w:rsidRPr="00CD4630">
              <w:rPr>
                <w:rFonts w:ascii="Arial" w:hAnsi="Arial" w:cs="Arial"/>
                <w:noProof/>
                <w:webHidden/>
              </w:rPr>
              <w:tab/>
            </w:r>
            <w:r w:rsidR="00CD4630" w:rsidRPr="00CD4630">
              <w:rPr>
                <w:rFonts w:ascii="Arial" w:hAnsi="Arial" w:cs="Arial"/>
                <w:noProof/>
                <w:webHidden/>
              </w:rPr>
              <w:fldChar w:fldCharType="begin"/>
            </w:r>
            <w:r w:rsidR="00CD4630" w:rsidRPr="00CD4630">
              <w:rPr>
                <w:rFonts w:ascii="Arial" w:hAnsi="Arial" w:cs="Arial"/>
                <w:noProof/>
                <w:webHidden/>
              </w:rPr>
              <w:instrText xml:space="preserve"> PAGEREF _Toc112831375 \h </w:instrText>
            </w:r>
            <w:r w:rsidR="00CD4630" w:rsidRPr="00CD4630">
              <w:rPr>
                <w:rFonts w:ascii="Arial" w:hAnsi="Arial" w:cs="Arial"/>
                <w:noProof/>
                <w:webHidden/>
              </w:rPr>
            </w:r>
            <w:r w:rsidR="00CD4630" w:rsidRPr="00CD4630">
              <w:rPr>
                <w:rFonts w:ascii="Arial" w:hAnsi="Arial" w:cs="Arial"/>
                <w:noProof/>
                <w:webHidden/>
              </w:rPr>
              <w:fldChar w:fldCharType="separate"/>
            </w:r>
            <w:r w:rsidR="0060572D">
              <w:rPr>
                <w:rFonts w:ascii="Arial" w:hAnsi="Arial" w:cs="Arial"/>
                <w:noProof/>
                <w:webHidden/>
              </w:rPr>
              <w:t>37</w:t>
            </w:r>
            <w:r w:rsidR="00CD4630" w:rsidRPr="00CD4630">
              <w:rPr>
                <w:rFonts w:ascii="Arial" w:hAnsi="Arial" w:cs="Arial"/>
                <w:noProof/>
                <w:webHidden/>
              </w:rPr>
              <w:fldChar w:fldCharType="end"/>
            </w:r>
          </w:hyperlink>
        </w:p>
        <w:p w14:paraId="287D7311" w14:textId="45969548" w:rsidR="00CD4630" w:rsidRPr="00CD4630" w:rsidRDefault="00DF0033">
          <w:pPr>
            <w:pStyle w:val="Obsah1"/>
            <w:tabs>
              <w:tab w:val="left" w:pos="440"/>
            </w:tabs>
            <w:rPr>
              <w:rFonts w:ascii="Arial" w:eastAsiaTheme="minorEastAsia" w:hAnsi="Arial" w:cs="Arial"/>
              <w:noProof/>
              <w:lang w:eastAsia="cs-CZ"/>
            </w:rPr>
          </w:pPr>
          <w:hyperlink w:anchor="_Toc112831376" w:history="1">
            <w:r w:rsidR="00CD4630" w:rsidRPr="00CD4630">
              <w:rPr>
                <w:rStyle w:val="Hypertextovodkaz"/>
                <w:rFonts w:ascii="Arial" w:hAnsi="Arial" w:cs="Arial"/>
                <w:noProof/>
              </w:rPr>
              <w:t>7.</w:t>
            </w:r>
            <w:r w:rsidR="00CD4630" w:rsidRPr="00CD4630">
              <w:rPr>
                <w:rFonts w:ascii="Arial" w:eastAsiaTheme="minorEastAsia" w:hAnsi="Arial" w:cs="Arial"/>
                <w:noProof/>
                <w:lang w:eastAsia="cs-CZ"/>
              </w:rPr>
              <w:tab/>
            </w:r>
            <w:r w:rsidR="00CD4630" w:rsidRPr="00CD4630">
              <w:rPr>
                <w:rStyle w:val="Hypertextovodkaz"/>
                <w:rFonts w:ascii="Arial" w:hAnsi="Arial" w:cs="Arial"/>
                <w:noProof/>
              </w:rPr>
              <w:t>Ministerstvo vnitra</w:t>
            </w:r>
            <w:r w:rsidR="00CD4630" w:rsidRPr="00CD4630">
              <w:rPr>
                <w:rFonts w:ascii="Arial" w:hAnsi="Arial" w:cs="Arial"/>
                <w:noProof/>
                <w:webHidden/>
              </w:rPr>
              <w:tab/>
            </w:r>
            <w:r w:rsidR="00CD4630" w:rsidRPr="00CD4630">
              <w:rPr>
                <w:rFonts w:ascii="Arial" w:hAnsi="Arial" w:cs="Arial"/>
                <w:noProof/>
                <w:webHidden/>
              </w:rPr>
              <w:fldChar w:fldCharType="begin"/>
            </w:r>
            <w:r w:rsidR="00CD4630" w:rsidRPr="00CD4630">
              <w:rPr>
                <w:rFonts w:ascii="Arial" w:hAnsi="Arial" w:cs="Arial"/>
                <w:noProof/>
                <w:webHidden/>
              </w:rPr>
              <w:instrText xml:space="preserve"> PAGEREF _Toc112831376 \h </w:instrText>
            </w:r>
            <w:r w:rsidR="00CD4630" w:rsidRPr="00CD4630">
              <w:rPr>
                <w:rFonts w:ascii="Arial" w:hAnsi="Arial" w:cs="Arial"/>
                <w:noProof/>
                <w:webHidden/>
              </w:rPr>
            </w:r>
            <w:r w:rsidR="00CD4630" w:rsidRPr="00CD4630">
              <w:rPr>
                <w:rFonts w:ascii="Arial" w:hAnsi="Arial" w:cs="Arial"/>
                <w:noProof/>
                <w:webHidden/>
              </w:rPr>
              <w:fldChar w:fldCharType="separate"/>
            </w:r>
            <w:r w:rsidR="0060572D">
              <w:rPr>
                <w:rFonts w:ascii="Arial" w:hAnsi="Arial" w:cs="Arial"/>
                <w:noProof/>
                <w:webHidden/>
              </w:rPr>
              <w:t>49</w:t>
            </w:r>
            <w:r w:rsidR="00CD4630" w:rsidRPr="00CD4630">
              <w:rPr>
                <w:rFonts w:ascii="Arial" w:hAnsi="Arial" w:cs="Arial"/>
                <w:noProof/>
                <w:webHidden/>
              </w:rPr>
              <w:fldChar w:fldCharType="end"/>
            </w:r>
          </w:hyperlink>
        </w:p>
        <w:p w14:paraId="6FB4230C" w14:textId="6CE9F6D1" w:rsidR="00CD4630" w:rsidRPr="00CD4630" w:rsidRDefault="00DF0033">
          <w:pPr>
            <w:pStyle w:val="Obsah1"/>
            <w:tabs>
              <w:tab w:val="left" w:pos="440"/>
            </w:tabs>
            <w:rPr>
              <w:rFonts w:ascii="Arial" w:eastAsiaTheme="minorEastAsia" w:hAnsi="Arial" w:cs="Arial"/>
              <w:noProof/>
              <w:lang w:eastAsia="cs-CZ"/>
            </w:rPr>
          </w:pPr>
          <w:hyperlink w:anchor="_Toc112831377" w:history="1">
            <w:r w:rsidR="00CD4630" w:rsidRPr="00CD4630">
              <w:rPr>
                <w:rStyle w:val="Hypertextovodkaz"/>
                <w:rFonts w:ascii="Arial" w:hAnsi="Arial" w:cs="Arial"/>
                <w:noProof/>
              </w:rPr>
              <w:t>8.</w:t>
            </w:r>
            <w:r w:rsidR="00CD4630" w:rsidRPr="00CD4630">
              <w:rPr>
                <w:rFonts w:ascii="Arial" w:eastAsiaTheme="minorEastAsia" w:hAnsi="Arial" w:cs="Arial"/>
                <w:noProof/>
                <w:lang w:eastAsia="cs-CZ"/>
              </w:rPr>
              <w:tab/>
            </w:r>
            <w:r w:rsidR="00CD4630" w:rsidRPr="00CD4630">
              <w:rPr>
                <w:rStyle w:val="Hypertextovodkaz"/>
                <w:rFonts w:ascii="Arial" w:hAnsi="Arial" w:cs="Arial"/>
                <w:noProof/>
              </w:rPr>
              <w:t>Ministerstvo zdravotnictví</w:t>
            </w:r>
            <w:r w:rsidR="00CD4630" w:rsidRPr="00CD4630">
              <w:rPr>
                <w:rFonts w:ascii="Arial" w:hAnsi="Arial" w:cs="Arial"/>
                <w:noProof/>
                <w:webHidden/>
              </w:rPr>
              <w:tab/>
            </w:r>
            <w:r w:rsidR="00CD4630" w:rsidRPr="00CD4630">
              <w:rPr>
                <w:rFonts w:ascii="Arial" w:hAnsi="Arial" w:cs="Arial"/>
                <w:noProof/>
                <w:webHidden/>
              </w:rPr>
              <w:fldChar w:fldCharType="begin"/>
            </w:r>
            <w:r w:rsidR="00CD4630" w:rsidRPr="00CD4630">
              <w:rPr>
                <w:rFonts w:ascii="Arial" w:hAnsi="Arial" w:cs="Arial"/>
                <w:noProof/>
                <w:webHidden/>
              </w:rPr>
              <w:instrText xml:space="preserve"> PAGEREF _Toc112831377 \h </w:instrText>
            </w:r>
            <w:r w:rsidR="00CD4630" w:rsidRPr="00CD4630">
              <w:rPr>
                <w:rFonts w:ascii="Arial" w:hAnsi="Arial" w:cs="Arial"/>
                <w:noProof/>
                <w:webHidden/>
              </w:rPr>
            </w:r>
            <w:r w:rsidR="00CD4630" w:rsidRPr="00CD4630">
              <w:rPr>
                <w:rFonts w:ascii="Arial" w:hAnsi="Arial" w:cs="Arial"/>
                <w:noProof/>
                <w:webHidden/>
              </w:rPr>
              <w:fldChar w:fldCharType="separate"/>
            </w:r>
            <w:r w:rsidR="0060572D">
              <w:rPr>
                <w:rFonts w:ascii="Arial" w:hAnsi="Arial" w:cs="Arial"/>
                <w:noProof/>
                <w:webHidden/>
              </w:rPr>
              <w:t>56</w:t>
            </w:r>
            <w:r w:rsidR="00CD4630" w:rsidRPr="00CD4630">
              <w:rPr>
                <w:rFonts w:ascii="Arial" w:hAnsi="Arial" w:cs="Arial"/>
                <w:noProof/>
                <w:webHidden/>
              </w:rPr>
              <w:fldChar w:fldCharType="end"/>
            </w:r>
          </w:hyperlink>
        </w:p>
        <w:p w14:paraId="6CB17553" w14:textId="56B61303" w:rsidR="00CD4630" w:rsidRPr="00CD4630" w:rsidRDefault="00DF0033">
          <w:pPr>
            <w:pStyle w:val="Obsah1"/>
            <w:tabs>
              <w:tab w:val="left" w:pos="440"/>
            </w:tabs>
            <w:rPr>
              <w:rFonts w:ascii="Arial" w:eastAsiaTheme="minorEastAsia" w:hAnsi="Arial" w:cs="Arial"/>
              <w:noProof/>
              <w:lang w:eastAsia="cs-CZ"/>
            </w:rPr>
          </w:pPr>
          <w:hyperlink w:anchor="_Toc112831378" w:history="1">
            <w:r w:rsidR="00CD4630" w:rsidRPr="00CD4630">
              <w:rPr>
                <w:rStyle w:val="Hypertextovodkaz"/>
                <w:rFonts w:ascii="Arial" w:hAnsi="Arial" w:cs="Arial"/>
                <w:noProof/>
              </w:rPr>
              <w:t>9.</w:t>
            </w:r>
            <w:r w:rsidR="00CD4630" w:rsidRPr="00CD4630">
              <w:rPr>
                <w:rFonts w:ascii="Arial" w:eastAsiaTheme="minorEastAsia" w:hAnsi="Arial" w:cs="Arial"/>
                <w:noProof/>
                <w:lang w:eastAsia="cs-CZ"/>
              </w:rPr>
              <w:tab/>
            </w:r>
            <w:r w:rsidR="00CD4630" w:rsidRPr="00CD4630">
              <w:rPr>
                <w:rStyle w:val="Hypertextovodkaz"/>
                <w:rFonts w:ascii="Arial" w:hAnsi="Arial" w:cs="Arial"/>
                <w:noProof/>
              </w:rPr>
              <w:t>Ministerstvo zemědělství</w:t>
            </w:r>
            <w:r w:rsidR="00CD4630" w:rsidRPr="00CD4630">
              <w:rPr>
                <w:rFonts w:ascii="Arial" w:hAnsi="Arial" w:cs="Arial"/>
                <w:noProof/>
                <w:webHidden/>
              </w:rPr>
              <w:tab/>
            </w:r>
            <w:r w:rsidR="00CD4630" w:rsidRPr="00CD4630">
              <w:rPr>
                <w:rFonts w:ascii="Arial" w:hAnsi="Arial" w:cs="Arial"/>
                <w:noProof/>
                <w:webHidden/>
              </w:rPr>
              <w:fldChar w:fldCharType="begin"/>
            </w:r>
            <w:r w:rsidR="00CD4630" w:rsidRPr="00CD4630">
              <w:rPr>
                <w:rFonts w:ascii="Arial" w:hAnsi="Arial" w:cs="Arial"/>
                <w:noProof/>
                <w:webHidden/>
              </w:rPr>
              <w:instrText xml:space="preserve"> PAGEREF _Toc112831378 \h </w:instrText>
            </w:r>
            <w:r w:rsidR="00CD4630" w:rsidRPr="00CD4630">
              <w:rPr>
                <w:rFonts w:ascii="Arial" w:hAnsi="Arial" w:cs="Arial"/>
                <w:noProof/>
                <w:webHidden/>
              </w:rPr>
            </w:r>
            <w:r w:rsidR="00CD4630" w:rsidRPr="00CD4630">
              <w:rPr>
                <w:rFonts w:ascii="Arial" w:hAnsi="Arial" w:cs="Arial"/>
                <w:noProof/>
                <w:webHidden/>
              </w:rPr>
              <w:fldChar w:fldCharType="separate"/>
            </w:r>
            <w:r w:rsidR="0060572D">
              <w:rPr>
                <w:rFonts w:ascii="Arial" w:hAnsi="Arial" w:cs="Arial"/>
                <w:noProof/>
                <w:webHidden/>
              </w:rPr>
              <w:t>61</w:t>
            </w:r>
            <w:r w:rsidR="00CD4630" w:rsidRPr="00CD4630">
              <w:rPr>
                <w:rFonts w:ascii="Arial" w:hAnsi="Arial" w:cs="Arial"/>
                <w:noProof/>
                <w:webHidden/>
              </w:rPr>
              <w:fldChar w:fldCharType="end"/>
            </w:r>
          </w:hyperlink>
        </w:p>
        <w:p w14:paraId="6EEED5A1" w14:textId="18E10543" w:rsidR="00CD4630" w:rsidRPr="00CD4630" w:rsidRDefault="00DF0033" w:rsidP="00D56307">
          <w:pPr>
            <w:pStyle w:val="Obsah1"/>
            <w:tabs>
              <w:tab w:val="left" w:pos="440"/>
            </w:tabs>
            <w:rPr>
              <w:rFonts w:ascii="Arial" w:eastAsiaTheme="minorEastAsia" w:hAnsi="Arial" w:cs="Arial"/>
              <w:noProof/>
              <w:lang w:eastAsia="cs-CZ"/>
            </w:rPr>
          </w:pPr>
          <w:hyperlink w:anchor="_Toc112831381" w:history="1">
            <w:r w:rsidR="00CD4630" w:rsidRPr="00CD4630">
              <w:rPr>
                <w:rStyle w:val="Hypertextovodkaz"/>
                <w:rFonts w:ascii="Arial" w:hAnsi="Arial" w:cs="Arial"/>
                <w:noProof/>
              </w:rPr>
              <w:t>10.</w:t>
            </w:r>
            <w:r w:rsidR="007B14E9">
              <w:rPr>
                <w:rFonts w:ascii="Arial" w:eastAsiaTheme="minorEastAsia" w:hAnsi="Arial" w:cs="Arial"/>
                <w:noProof/>
                <w:lang w:eastAsia="cs-CZ"/>
              </w:rPr>
              <w:tab/>
            </w:r>
            <w:r w:rsidR="00CD4630" w:rsidRPr="00CD4630">
              <w:rPr>
                <w:rStyle w:val="Hypertextovodkaz"/>
                <w:rFonts w:ascii="Arial" w:hAnsi="Arial" w:cs="Arial"/>
                <w:noProof/>
              </w:rPr>
              <w:t>Ministerstvo zahraničních věcí</w:t>
            </w:r>
            <w:r w:rsidR="00CD4630" w:rsidRPr="00CD4630">
              <w:rPr>
                <w:rFonts w:ascii="Arial" w:hAnsi="Arial" w:cs="Arial"/>
                <w:noProof/>
                <w:webHidden/>
              </w:rPr>
              <w:tab/>
            </w:r>
            <w:r w:rsidR="00CD4630" w:rsidRPr="00CD4630">
              <w:rPr>
                <w:rFonts w:ascii="Arial" w:hAnsi="Arial" w:cs="Arial"/>
                <w:noProof/>
                <w:webHidden/>
              </w:rPr>
              <w:fldChar w:fldCharType="begin"/>
            </w:r>
            <w:r w:rsidR="00CD4630" w:rsidRPr="00CD4630">
              <w:rPr>
                <w:rFonts w:ascii="Arial" w:hAnsi="Arial" w:cs="Arial"/>
                <w:noProof/>
                <w:webHidden/>
              </w:rPr>
              <w:instrText xml:space="preserve"> PAGEREF _Toc112831381 \h </w:instrText>
            </w:r>
            <w:r w:rsidR="00CD4630" w:rsidRPr="00CD4630">
              <w:rPr>
                <w:rFonts w:ascii="Arial" w:hAnsi="Arial" w:cs="Arial"/>
                <w:noProof/>
                <w:webHidden/>
              </w:rPr>
            </w:r>
            <w:r w:rsidR="00CD4630" w:rsidRPr="00CD4630">
              <w:rPr>
                <w:rFonts w:ascii="Arial" w:hAnsi="Arial" w:cs="Arial"/>
                <w:noProof/>
                <w:webHidden/>
              </w:rPr>
              <w:fldChar w:fldCharType="separate"/>
            </w:r>
            <w:r w:rsidR="0060572D">
              <w:rPr>
                <w:rFonts w:ascii="Arial" w:hAnsi="Arial" w:cs="Arial"/>
                <w:noProof/>
                <w:webHidden/>
              </w:rPr>
              <w:t>65</w:t>
            </w:r>
            <w:r w:rsidR="00CD4630" w:rsidRPr="00CD4630">
              <w:rPr>
                <w:rFonts w:ascii="Arial" w:hAnsi="Arial" w:cs="Arial"/>
                <w:noProof/>
                <w:webHidden/>
              </w:rPr>
              <w:fldChar w:fldCharType="end"/>
            </w:r>
          </w:hyperlink>
        </w:p>
        <w:p w14:paraId="5B8671A8" w14:textId="77777777" w:rsidR="00446E09" w:rsidRPr="00CD4630" w:rsidRDefault="00446E09" w:rsidP="0074176A">
          <w:pPr>
            <w:pStyle w:val="Obsah1"/>
            <w:tabs>
              <w:tab w:val="left" w:pos="440"/>
            </w:tabs>
            <w:rPr>
              <w:rFonts w:ascii="Arial" w:eastAsiaTheme="minorEastAsia" w:hAnsi="Arial" w:cs="Arial"/>
              <w:noProof/>
              <w:lang w:eastAsia="cs-CZ"/>
            </w:rPr>
          </w:pPr>
          <w:r w:rsidRPr="00CD4630">
            <w:rPr>
              <w:rFonts w:ascii="Arial" w:hAnsi="Arial" w:cs="Arial"/>
              <w:b/>
              <w:bCs/>
            </w:rPr>
            <w:fldChar w:fldCharType="end"/>
          </w:r>
        </w:p>
      </w:sdtContent>
    </w:sdt>
    <w:p w14:paraId="4FC310B9" w14:textId="77777777" w:rsidR="00446E09" w:rsidRPr="00CD4630" w:rsidRDefault="00446E09" w:rsidP="00E32CB6">
      <w:pPr>
        <w:spacing w:after="0" w:line="240" w:lineRule="auto"/>
        <w:jc w:val="both"/>
        <w:rPr>
          <w:rFonts w:ascii="Arial" w:hAnsi="Arial" w:cs="Arial"/>
        </w:rPr>
      </w:pPr>
    </w:p>
    <w:p w14:paraId="0965691E" w14:textId="77777777" w:rsidR="0074176A" w:rsidRDefault="0074176A">
      <w:pPr>
        <w:rPr>
          <w:rFonts w:ascii="Arial" w:hAnsi="Arial" w:cs="Arial"/>
          <w:sz w:val="24"/>
        </w:rPr>
      </w:pPr>
    </w:p>
    <w:p w14:paraId="127E6A8F" w14:textId="77777777" w:rsidR="009433EF" w:rsidRDefault="009433EF">
      <w:pPr>
        <w:rPr>
          <w:rFonts w:ascii="Arial" w:hAnsi="Arial" w:cs="Arial"/>
          <w:sz w:val="24"/>
        </w:rPr>
      </w:pPr>
      <w:r>
        <w:rPr>
          <w:rFonts w:ascii="Arial" w:hAnsi="Arial" w:cs="Arial"/>
          <w:sz w:val="24"/>
        </w:rPr>
        <w:br w:type="page"/>
      </w:r>
    </w:p>
    <w:p w14:paraId="16CAAE71" w14:textId="77777777" w:rsidR="0074176A" w:rsidRPr="00D10A57" w:rsidRDefault="0074176A" w:rsidP="00D10A57">
      <w:pPr>
        <w:pStyle w:val="Nadpis1"/>
        <w:spacing w:before="0" w:line="240" w:lineRule="auto"/>
        <w:ind w:left="360"/>
        <w:jc w:val="both"/>
        <w:rPr>
          <w:rFonts w:ascii="Arial" w:hAnsi="Arial" w:cs="Arial"/>
          <w:color w:val="auto"/>
          <w:sz w:val="24"/>
        </w:rPr>
      </w:pPr>
      <w:bookmarkStart w:id="2" w:name="_Toc40432822"/>
      <w:bookmarkStart w:id="3" w:name="_Toc112831369"/>
      <w:r w:rsidRPr="00D10A57">
        <w:rPr>
          <w:rFonts w:ascii="Arial" w:hAnsi="Arial" w:cs="Arial"/>
          <w:color w:val="auto"/>
          <w:sz w:val="24"/>
        </w:rPr>
        <w:lastRenderedPageBreak/>
        <w:t>Úvod</w:t>
      </w:r>
      <w:bookmarkEnd w:id="2"/>
      <w:bookmarkEnd w:id="3"/>
    </w:p>
    <w:p w14:paraId="7892EB41" w14:textId="77777777" w:rsidR="0074176A" w:rsidRPr="00D10A57" w:rsidRDefault="0074176A" w:rsidP="00D10A57">
      <w:pPr>
        <w:spacing w:before="240" w:after="240" w:line="240" w:lineRule="auto"/>
        <w:jc w:val="both"/>
        <w:rPr>
          <w:rFonts w:ascii="Arial" w:hAnsi="Arial" w:cs="Arial"/>
        </w:rPr>
      </w:pPr>
      <w:r w:rsidRPr="00D10A57">
        <w:rPr>
          <w:rFonts w:ascii="Arial" w:hAnsi="Arial" w:cs="Arial"/>
        </w:rPr>
        <w:t xml:space="preserve">Předložený dokument je vypracován na základě odst. III. bod 5. usnesení vlády č. </w:t>
      </w:r>
      <w:r w:rsidR="00E32EE5" w:rsidRPr="00D10A57">
        <w:rPr>
          <w:rFonts w:ascii="Arial" w:hAnsi="Arial" w:cs="Arial"/>
        </w:rPr>
        <w:t>902 ze dne 18. října 2021</w:t>
      </w:r>
      <w:r w:rsidRPr="00D10A57">
        <w:rPr>
          <w:rFonts w:ascii="Arial" w:hAnsi="Arial" w:cs="Arial"/>
        </w:rPr>
        <w:t xml:space="preserve"> o Zprávě o stavu romské menšiny v České republice za </w:t>
      </w:r>
      <w:r w:rsidR="00E32EE5" w:rsidRPr="00D10A57">
        <w:rPr>
          <w:rFonts w:ascii="Arial" w:hAnsi="Arial" w:cs="Arial"/>
        </w:rPr>
        <w:t>rok 2020</w:t>
      </w:r>
      <w:r w:rsidRPr="00D10A57">
        <w:rPr>
          <w:rFonts w:ascii="Arial" w:hAnsi="Arial" w:cs="Arial"/>
        </w:rPr>
        <w:t xml:space="preserve">, který ukládá zmocněnkyni vlády pro lidská práva předložit vládě informaci o plnění usnesení vlády týkajících se integrace romské menšiny a aktivního postupu státní správy při uskutečňování opatření přijatých souvisejícími usneseními vlády ke dni </w:t>
      </w:r>
      <w:r w:rsidR="00E32EE5" w:rsidRPr="00D10A57">
        <w:rPr>
          <w:rFonts w:ascii="Arial" w:hAnsi="Arial" w:cs="Arial"/>
        </w:rPr>
        <w:t>31. prosince 2021</w:t>
      </w:r>
      <w:r w:rsidRPr="00D10A57">
        <w:rPr>
          <w:rFonts w:ascii="Arial" w:hAnsi="Arial" w:cs="Arial"/>
        </w:rPr>
        <w:t xml:space="preserve">. </w:t>
      </w:r>
    </w:p>
    <w:p w14:paraId="37582462" w14:textId="77777777" w:rsidR="00471BE0" w:rsidRDefault="0074176A" w:rsidP="00D10A57">
      <w:pPr>
        <w:autoSpaceDE w:val="0"/>
        <w:autoSpaceDN w:val="0"/>
        <w:adjustRightInd w:val="0"/>
        <w:spacing w:line="240" w:lineRule="auto"/>
        <w:jc w:val="both"/>
        <w:rPr>
          <w:rFonts w:ascii="Arial" w:hAnsi="Arial" w:cs="Arial"/>
          <w:spacing w:val="-2"/>
        </w:rPr>
      </w:pPr>
      <w:r w:rsidRPr="00D10A57">
        <w:rPr>
          <w:rFonts w:ascii="Arial" w:hAnsi="Arial" w:cs="Arial"/>
          <w:spacing w:val="-2"/>
        </w:rPr>
        <w:t>Informace obsažené v předloženém dokumentu vychází z podkladů předložených jednotlivými ministerstvy, kterým byly uloženy úkoly za účelem zlepšení situace Romů v České republice. Materiál má za cíl informovat vládu o plnění usnesení vlády z pře</w:t>
      </w:r>
      <w:r w:rsidR="001E6ED8">
        <w:rPr>
          <w:rFonts w:ascii="Arial" w:hAnsi="Arial" w:cs="Arial"/>
          <w:spacing w:val="-2"/>
        </w:rPr>
        <w:t xml:space="preserve">dchozích let, které se týkají </w:t>
      </w:r>
      <w:r w:rsidR="0006072A">
        <w:rPr>
          <w:rFonts w:ascii="Arial" w:hAnsi="Arial" w:cs="Arial"/>
          <w:spacing w:val="-2"/>
        </w:rPr>
        <w:t>aktiv</w:t>
      </w:r>
      <w:r w:rsidRPr="00D10A57">
        <w:rPr>
          <w:rFonts w:ascii="Arial" w:hAnsi="Arial" w:cs="Arial"/>
          <w:spacing w:val="-2"/>
        </w:rPr>
        <w:t xml:space="preserve">ního postupu státní správy v integraci Romů. </w:t>
      </w:r>
      <w:r w:rsidR="001D20B0" w:rsidRPr="00D10A57">
        <w:rPr>
          <w:rFonts w:ascii="Arial" w:hAnsi="Arial" w:cs="Arial"/>
          <w:spacing w:val="-2"/>
        </w:rPr>
        <w:t>Obecně lze shrnout, že všechny úkoly byly plněny</w:t>
      </w:r>
      <w:r w:rsidR="007B14E9">
        <w:rPr>
          <w:rFonts w:ascii="Arial" w:hAnsi="Arial" w:cs="Arial"/>
          <w:spacing w:val="-2"/>
        </w:rPr>
        <w:t>,</w:t>
      </w:r>
      <w:r w:rsidR="001D20B0" w:rsidRPr="00D10A57">
        <w:rPr>
          <w:rFonts w:ascii="Arial" w:hAnsi="Arial" w:cs="Arial"/>
          <w:spacing w:val="-2"/>
        </w:rPr>
        <w:t xml:space="preserve"> i když plnění bylo v některých případech negativně ovlivněno pandemií</w:t>
      </w:r>
      <w:r w:rsidR="00986F5D">
        <w:rPr>
          <w:rFonts w:ascii="Arial" w:hAnsi="Arial" w:cs="Arial"/>
          <w:spacing w:val="-2"/>
        </w:rPr>
        <w:t xml:space="preserve"> covid-19</w:t>
      </w:r>
      <w:r w:rsidR="001D20B0" w:rsidRPr="00D10A57">
        <w:rPr>
          <w:rFonts w:ascii="Arial" w:hAnsi="Arial" w:cs="Arial"/>
          <w:spacing w:val="-2"/>
        </w:rPr>
        <w:t xml:space="preserve">. </w:t>
      </w:r>
    </w:p>
    <w:p w14:paraId="4B78A289" w14:textId="77777777" w:rsidR="00BD0901" w:rsidRDefault="00BD0901" w:rsidP="00D10A57">
      <w:pPr>
        <w:autoSpaceDE w:val="0"/>
        <w:autoSpaceDN w:val="0"/>
        <w:adjustRightInd w:val="0"/>
        <w:spacing w:line="240" w:lineRule="auto"/>
        <w:jc w:val="both"/>
        <w:rPr>
          <w:rFonts w:ascii="Arial" w:hAnsi="Arial" w:cs="Arial"/>
          <w:spacing w:val="-2"/>
        </w:rPr>
      </w:pPr>
      <w:r>
        <w:rPr>
          <w:rFonts w:ascii="Arial" w:hAnsi="Arial" w:cs="Arial"/>
          <w:spacing w:val="-2"/>
        </w:rPr>
        <w:t xml:space="preserve">Některé z uložených úkolů jsou obecnější a necílí specificky pouze na romskou menšinu, ale na širší cílovou skupinu (např. osoby ohrožené sociálním vyloučením). </w:t>
      </w:r>
      <w:r w:rsidR="00BA6524">
        <w:rPr>
          <w:rFonts w:ascii="Arial" w:hAnsi="Arial" w:cs="Arial"/>
          <w:spacing w:val="-2"/>
        </w:rPr>
        <w:t>Jde zejména o některé úkoly v gesci Ministerstva pro mí</w:t>
      </w:r>
      <w:r w:rsidR="005B5D8E">
        <w:rPr>
          <w:rFonts w:ascii="Arial" w:hAnsi="Arial" w:cs="Arial"/>
          <w:spacing w:val="-2"/>
        </w:rPr>
        <w:t xml:space="preserve">stní rozvoj, </w:t>
      </w:r>
      <w:r w:rsidR="00BA6524">
        <w:rPr>
          <w:rFonts w:ascii="Arial" w:hAnsi="Arial" w:cs="Arial"/>
          <w:spacing w:val="-2"/>
        </w:rPr>
        <w:t>Ministerstva průmyslu a obchodu</w:t>
      </w:r>
      <w:r w:rsidR="005B5D8E">
        <w:rPr>
          <w:rFonts w:ascii="Arial" w:hAnsi="Arial" w:cs="Arial"/>
          <w:spacing w:val="-2"/>
        </w:rPr>
        <w:t xml:space="preserve"> či Ministerstva zemědělství</w:t>
      </w:r>
      <w:r w:rsidR="00BA6524">
        <w:rPr>
          <w:rFonts w:ascii="Arial" w:hAnsi="Arial" w:cs="Arial"/>
          <w:spacing w:val="-2"/>
        </w:rPr>
        <w:t xml:space="preserve">. </w:t>
      </w:r>
      <w:r>
        <w:rPr>
          <w:rFonts w:ascii="Arial" w:hAnsi="Arial" w:cs="Arial"/>
          <w:spacing w:val="-2"/>
        </w:rPr>
        <w:t xml:space="preserve">Do informace jsou zahrnuty i informace o plnění těchto úkolů, </w:t>
      </w:r>
      <w:r w:rsidR="00BA6524">
        <w:rPr>
          <w:rFonts w:ascii="Arial" w:hAnsi="Arial" w:cs="Arial"/>
          <w:spacing w:val="-2"/>
        </w:rPr>
        <w:t xml:space="preserve">protože </w:t>
      </w:r>
      <w:r w:rsidR="00FE3E11">
        <w:rPr>
          <w:rFonts w:ascii="Arial" w:hAnsi="Arial" w:cs="Arial"/>
          <w:spacing w:val="-2"/>
        </w:rPr>
        <w:t>do</w:t>
      </w:r>
      <w:r w:rsidR="009F559F">
        <w:rPr>
          <w:rFonts w:ascii="Arial" w:hAnsi="Arial" w:cs="Arial"/>
          <w:spacing w:val="-2"/>
        </w:rPr>
        <w:t>kreslují širší rámce</w:t>
      </w:r>
      <w:r w:rsidR="00695B19">
        <w:rPr>
          <w:rFonts w:ascii="Arial" w:hAnsi="Arial" w:cs="Arial"/>
          <w:spacing w:val="-2"/>
        </w:rPr>
        <w:t xml:space="preserve">, </w:t>
      </w:r>
      <w:r w:rsidR="009A30FC">
        <w:rPr>
          <w:rFonts w:ascii="Arial" w:hAnsi="Arial" w:cs="Arial"/>
          <w:spacing w:val="-2"/>
        </w:rPr>
        <w:t>v nichž s</w:t>
      </w:r>
      <w:r w:rsidR="009F559F">
        <w:rPr>
          <w:rFonts w:ascii="Arial" w:hAnsi="Arial" w:cs="Arial"/>
          <w:spacing w:val="-2"/>
        </w:rPr>
        <w:t>e</w:t>
      </w:r>
      <w:r w:rsidR="009A30FC">
        <w:rPr>
          <w:rFonts w:ascii="Arial" w:hAnsi="Arial" w:cs="Arial"/>
          <w:spacing w:val="-2"/>
        </w:rPr>
        <w:t xml:space="preserve"> romské integrace uskutečňují</w:t>
      </w:r>
      <w:r w:rsidR="009F559F">
        <w:rPr>
          <w:rFonts w:ascii="Arial" w:hAnsi="Arial" w:cs="Arial"/>
          <w:spacing w:val="-2"/>
        </w:rPr>
        <w:t>.</w:t>
      </w:r>
    </w:p>
    <w:p w14:paraId="6E0040ED" w14:textId="77777777" w:rsidR="00471BE0" w:rsidRDefault="00077269" w:rsidP="00D10A57">
      <w:pPr>
        <w:autoSpaceDE w:val="0"/>
        <w:autoSpaceDN w:val="0"/>
        <w:adjustRightInd w:val="0"/>
        <w:spacing w:line="240" w:lineRule="auto"/>
        <w:jc w:val="both"/>
        <w:rPr>
          <w:rFonts w:ascii="Arial" w:hAnsi="Arial" w:cs="Arial"/>
          <w:spacing w:val="-2"/>
        </w:rPr>
      </w:pPr>
      <w:r>
        <w:rPr>
          <w:rFonts w:ascii="Arial" w:hAnsi="Arial" w:cs="Arial"/>
          <w:spacing w:val="-2"/>
        </w:rPr>
        <w:t xml:space="preserve">Samotný materiál informuje </w:t>
      </w:r>
      <w:r w:rsidR="0099015D">
        <w:rPr>
          <w:rFonts w:ascii="Arial" w:hAnsi="Arial" w:cs="Arial"/>
          <w:spacing w:val="-2"/>
        </w:rPr>
        <w:t xml:space="preserve">pouze </w:t>
      </w:r>
      <w:r>
        <w:rPr>
          <w:rFonts w:ascii="Arial" w:hAnsi="Arial" w:cs="Arial"/>
          <w:spacing w:val="-2"/>
        </w:rPr>
        <w:t>o aktivitách státu, resp. ministerstev a vlád</w:t>
      </w:r>
      <w:r w:rsidR="0099015D">
        <w:rPr>
          <w:rFonts w:ascii="Arial" w:hAnsi="Arial" w:cs="Arial"/>
          <w:spacing w:val="-2"/>
        </w:rPr>
        <w:t>ních institucí. T</w:t>
      </w:r>
      <w:r w:rsidR="0085322F">
        <w:rPr>
          <w:rFonts w:ascii="Arial" w:hAnsi="Arial" w:cs="Arial"/>
          <w:spacing w:val="-2"/>
        </w:rPr>
        <w:t>yto i</w:t>
      </w:r>
      <w:r>
        <w:rPr>
          <w:rFonts w:ascii="Arial" w:hAnsi="Arial" w:cs="Arial"/>
          <w:spacing w:val="-2"/>
        </w:rPr>
        <w:t>nformace</w:t>
      </w:r>
      <w:r w:rsidR="00471BE0">
        <w:rPr>
          <w:rFonts w:ascii="Arial" w:hAnsi="Arial" w:cs="Arial"/>
          <w:spacing w:val="-2"/>
        </w:rPr>
        <w:t xml:space="preserve"> </w:t>
      </w:r>
      <w:r>
        <w:rPr>
          <w:rFonts w:ascii="Arial" w:hAnsi="Arial" w:cs="Arial"/>
          <w:spacing w:val="-2"/>
        </w:rPr>
        <w:t xml:space="preserve">byly využity </w:t>
      </w:r>
      <w:r w:rsidR="00471BE0">
        <w:rPr>
          <w:rFonts w:ascii="Arial" w:hAnsi="Arial" w:cs="Arial"/>
          <w:spacing w:val="-2"/>
        </w:rPr>
        <w:t xml:space="preserve">při zpracování </w:t>
      </w:r>
      <w:r w:rsidR="00471BE0" w:rsidRPr="00D56307">
        <w:rPr>
          <w:rFonts w:ascii="Arial" w:hAnsi="Arial" w:cs="Arial"/>
          <w:b/>
          <w:spacing w:val="-2"/>
        </w:rPr>
        <w:t>Zprávy o stavu romské menšiny v ČR v roce 2021</w:t>
      </w:r>
      <w:r w:rsidR="00471BE0">
        <w:rPr>
          <w:rFonts w:ascii="Arial" w:hAnsi="Arial" w:cs="Arial"/>
          <w:spacing w:val="-2"/>
        </w:rPr>
        <w:t xml:space="preserve">. </w:t>
      </w:r>
      <w:r w:rsidR="0085322F">
        <w:rPr>
          <w:rFonts w:ascii="Arial" w:hAnsi="Arial" w:cs="Arial"/>
          <w:spacing w:val="-2"/>
        </w:rPr>
        <w:t>Materiál tak zprávu dopl</w:t>
      </w:r>
      <w:r w:rsidR="0099015D">
        <w:rPr>
          <w:rFonts w:ascii="Arial" w:hAnsi="Arial" w:cs="Arial"/>
          <w:spacing w:val="-2"/>
        </w:rPr>
        <w:t>ňuje o po</w:t>
      </w:r>
      <w:r w:rsidR="005B5D8E">
        <w:rPr>
          <w:rFonts w:ascii="Arial" w:hAnsi="Arial" w:cs="Arial"/>
          <w:spacing w:val="-2"/>
        </w:rPr>
        <w:t>drobné údaje</w:t>
      </w:r>
      <w:r w:rsidR="0099015D">
        <w:rPr>
          <w:rFonts w:ascii="Arial" w:hAnsi="Arial" w:cs="Arial"/>
          <w:spacing w:val="-2"/>
        </w:rPr>
        <w:t xml:space="preserve"> o konkrétních politikách, aktivitách, a projektech a bude sloužit i pro zpracování dalších informativních</w:t>
      </w:r>
      <w:r w:rsidR="005B5D8E">
        <w:rPr>
          <w:rFonts w:ascii="Arial" w:hAnsi="Arial" w:cs="Arial"/>
          <w:spacing w:val="-2"/>
        </w:rPr>
        <w:t xml:space="preserve"> materiálů, </w:t>
      </w:r>
      <w:r w:rsidR="0099015D">
        <w:rPr>
          <w:rFonts w:ascii="Arial" w:hAnsi="Arial" w:cs="Arial"/>
          <w:spacing w:val="-2"/>
        </w:rPr>
        <w:t xml:space="preserve">např. pro </w:t>
      </w:r>
      <w:r w:rsidR="005B5D8E">
        <w:rPr>
          <w:rFonts w:ascii="Arial" w:hAnsi="Arial" w:cs="Arial"/>
          <w:spacing w:val="-2"/>
        </w:rPr>
        <w:t>monitorovací orgány mezinárodních úmluv a pro Evropskou komisi.</w:t>
      </w:r>
    </w:p>
    <w:p w14:paraId="1AC7B82A" w14:textId="77777777" w:rsidR="00983B7F" w:rsidRPr="00D10A57" w:rsidRDefault="00983B7F" w:rsidP="00D10A57">
      <w:pPr>
        <w:jc w:val="both"/>
        <w:rPr>
          <w:rFonts w:ascii="Arial" w:eastAsiaTheme="majorEastAsia" w:hAnsi="Arial" w:cs="Arial"/>
          <w:b/>
          <w:bCs/>
          <w:sz w:val="24"/>
          <w:szCs w:val="28"/>
        </w:rPr>
      </w:pPr>
      <w:r w:rsidRPr="00D10A57">
        <w:rPr>
          <w:rFonts w:ascii="Arial" w:hAnsi="Arial" w:cs="Arial"/>
          <w:sz w:val="24"/>
        </w:rPr>
        <w:br w:type="page"/>
      </w:r>
    </w:p>
    <w:p w14:paraId="7AF0E4AB" w14:textId="77777777" w:rsidR="00097602" w:rsidRPr="00D10A57" w:rsidRDefault="00107B6F" w:rsidP="00D10A57">
      <w:pPr>
        <w:pStyle w:val="Nadpis1"/>
        <w:numPr>
          <w:ilvl w:val="0"/>
          <w:numId w:val="1"/>
        </w:numPr>
        <w:spacing w:line="240" w:lineRule="auto"/>
        <w:jc w:val="both"/>
        <w:rPr>
          <w:rFonts w:ascii="Arial" w:hAnsi="Arial" w:cs="Arial"/>
          <w:color w:val="auto"/>
          <w:sz w:val="24"/>
        </w:rPr>
      </w:pPr>
      <w:bookmarkStart w:id="4" w:name="_Toc112831370"/>
      <w:bookmarkStart w:id="5" w:name="_GoBack"/>
      <w:bookmarkEnd w:id="5"/>
      <w:r w:rsidRPr="00D10A57">
        <w:rPr>
          <w:rFonts w:ascii="Arial" w:hAnsi="Arial" w:cs="Arial"/>
          <w:color w:val="auto"/>
          <w:sz w:val="24"/>
        </w:rPr>
        <w:lastRenderedPageBreak/>
        <w:t>Ministerstvo kultury</w:t>
      </w:r>
      <w:bookmarkEnd w:id="4"/>
    </w:p>
    <w:p w14:paraId="068163EB" w14:textId="77777777" w:rsidR="00034661" w:rsidRPr="00D10A57" w:rsidRDefault="00034661" w:rsidP="00D10A57">
      <w:pPr>
        <w:autoSpaceDE w:val="0"/>
        <w:autoSpaceDN w:val="0"/>
        <w:adjustRightInd w:val="0"/>
        <w:spacing w:after="0" w:line="240" w:lineRule="auto"/>
        <w:jc w:val="both"/>
        <w:rPr>
          <w:rFonts w:ascii="Arial" w:hAnsi="Arial" w:cs="Arial"/>
          <w:b/>
          <w:bCs/>
          <w:color w:val="000000"/>
          <w:sz w:val="23"/>
          <w:szCs w:val="23"/>
        </w:rPr>
      </w:pPr>
    </w:p>
    <w:p w14:paraId="2CE2E226" w14:textId="3CA1086B" w:rsidR="00097602" w:rsidRPr="007C763A" w:rsidRDefault="00097602" w:rsidP="007C763A">
      <w:pPr>
        <w:spacing w:line="240" w:lineRule="auto"/>
        <w:rPr>
          <w:rFonts w:ascii="Arial" w:hAnsi="Arial" w:cs="Arial"/>
          <w:b/>
          <w:bCs/>
          <w:color w:val="000000"/>
        </w:rPr>
      </w:pPr>
      <w:r w:rsidRPr="007C763A">
        <w:rPr>
          <w:rFonts w:ascii="Arial" w:hAnsi="Arial" w:cs="Arial"/>
          <w:b/>
          <w:bCs/>
          <w:color w:val="000000"/>
        </w:rPr>
        <w:t>Informace o plnění usnesení vlády týkajících se integrace romské menšiny a</w:t>
      </w:r>
      <w:r w:rsidR="007B14E9" w:rsidRPr="007C763A">
        <w:rPr>
          <w:rFonts w:ascii="Arial" w:hAnsi="Arial" w:cs="Arial"/>
          <w:b/>
          <w:bCs/>
          <w:color w:val="000000"/>
        </w:rPr>
        <w:t> </w:t>
      </w:r>
      <w:r w:rsidRPr="007C763A">
        <w:rPr>
          <w:rFonts w:ascii="Arial" w:hAnsi="Arial" w:cs="Arial"/>
          <w:b/>
          <w:bCs/>
          <w:color w:val="000000"/>
        </w:rPr>
        <w:t>aktivního postupu státní správy při uskutečňování opatření přijatých souvisejícími usne</w:t>
      </w:r>
      <w:r w:rsidR="00FE3E11" w:rsidRPr="007C763A">
        <w:rPr>
          <w:rFonts w:ascii="Arial" w:hAnsi="Arial" w:cs="Arial"/>
          <w:b/>
          <w:bCs/>
          <w:color w:val="000000"/>
        </w:rPr>
        <w:t>seními vlády ke dni 31. 12. </w:t>
      </w:r>
      <w:r w:rsidR="000B1857" w:rsidRPr="007C763A">
        <w:rPr>
          <w:rFonts w:ascii="Arial" w:hAnsi="Arial" w:cs="Arial"/>
          <w:b/>
          <w:bCs/>
          <w:color w:val="000000"/>
        </w:rPr>
        <w:t>2021</w:t>
      </w:r>
    </w:p>
    <w:p w14:paraId="6CA8D765" w14:textId="3C2D1108" w:rsidR="00973F78" w:rsidRPr="007C763A" w:rsidRDefault="00973F78" w:rsidP="00973F78">
      <w:pPr>
        <w:spacing w:before="240" w:line="240" w:lineRule="auto"/>
        <w:jc w:val="both"/>
        <w:rPr>
          <w:rFonts w:ascii="Arial" w:hAnsi="Arial" w:cs="Arial"/>
          <w:b/>
        </w:rPr>
      </w:pPr>
      <w:r w:rsidRPr="007C763A">
        <w:rPr>
          <w:rFonts w:ascii="Arial" w:hAnsi="Arial" w:cs="Arial"/>
          <w:b/>
        </w:rPr>
        <w:t>Usnesením vlády ze dne 11. května 2016 č. 416, k Revizi úkolů vyplývajících z usnesení vlády, týkajících se integrace romské menšiny, vláda uložila ministru kultury průběžně podporovat, v rámci existujících dotačních programů, včlenění romské kultury, při zachování její jedinečnosti, do většinové kultury české společnosti.</w:t>
      </w:r>
    </w:p>
    <w:p w14:paraId="571C4472" w14:textId="77777777" w:rsidR="00973F78" w:rsidRPr="007C763A" w:rsidRDefault="00973F78" w:rsidP="007C763A">
      <w:pPr>
        <w:pStyle w:val="Odstavecseseznamem"/>
        <w:autoSpaceDE w:val="0"/>
        <w:autoSpaceDN w:val="0"/>
        <w:adjustRightInd w:val="0"/>
        <w:ind w:left="360" w:firstLine="0"/>
        <w:rPr>
          <w:rFonts w:ascii="Arial" w:hAnsi="Arial" w:cs="Arial"/>
          <w:b/>
          <w:bCs/>
          <w:color w:val="000000"/>
          <w:sz w:val="23"/>
          <w:szCs w:val="23"/>
        </w:rPr>
      </w:pPr>
    </w:p>
    <w:p w14:paraId="56196DA6" w14:textId="7387BDC3" w:rsidR="000B1857" w:rsidRPr="00D10A57" w:rsidRDefault="000B1857" w:rsidP="00D10A57">
      <w:pPr>
        <w:pStyle w:val="Styl1"/>
      </w:pPr>
      <w:r w:rsidRPr="00D10A57">
        <w:t xml:space="preserve">Rok 2021 byl obdobně jako rok předcházející vzhledem k pandemii </w:t>
      </w:r>
      <w:r w:rsidR="00991731">
        <w:t>covid-19</w:t>
      </w:r>
      <w:r w:rsidRPr="00D10A57">
        <w:t xml:space="preserve"> značně specifický co do možností čerpání a využití poskytnutých dotací. Část žadatelů tak finanční prostředky buď nečerpala, či částečně nebo úplně vrátila. Bylo-li to možné, byly některé projekty přesunuty zcela nebo z části do on-line prostředí. To se Ministerstvo kultury </w:t>
      </w:r>
      <w:r w:rsidR="00097F7F">
        <w:t xml:space="preserve">(dále jen „MK“) </w:t>
      </w:r>
      <w:r w:rsidRPr="00D10A57">
        <w:t xml:space="preserve">snažilo opět podpořit. </w:t>
      </w:r>
    </w:p>
    <w:p w14:paraId="28905D56" w14:textId="77777777" w:rsidR="000B1857" w:rsidRPr="00D10A57" w:rsidRDefault="000B1857" w:rsidP="00D10A57">
      <w:pPr>
        <w:pStyle w:val="Styl1"/>
      </w:pPr>
      <w:r w:rsidRPr="00D10A57">
        <w:t xml:space="preserve">Ve výběrovém dotačním řízení v </w:t>
      </w:r>
      <w:r w:rsidRPr="007C763A">
        <w:rPr>
          <w:bCs/>
        </w:rPr>
        <w:t>program</w:t>
      </w:r>
      <w:r w:rsidRPr="007C763A">
        <w:t>u</w:t>
      </w:r>
      <w:r w:rsidRPr="00973F78">
        <w:t xml:space="preserve"> </w:t>
      </w:r>
      <w:r w:rsidRPr="007C763A">
        <w:rPr>
          <w:bCs/>
        </w:rPr>
        <w:t>na podporu kulturních aktivit příslušníků národnostních menšin žijících v České republice</w:t>
      </w:r>
      <w:r w:rsidRPr="00D10A57">
        <w:rPr>
          <w:b/>
          <w:bCs/>
        </w:rPr>
        <w:t xml:space="preserve"> </w:t>
      </w:r>
      <w:r w:rsidRPr="00D10A57">
        <w:t xml:space="preserve">v gesci odboru regionální a národnostní kultury byly v roce 2021 podpořeny následující tři žádosti: </w:t>
      </w:r>
    </w:p>
    <w:p w14:paraId="45597286" w14:textId="2BC6DF74" w:rsidR="000B1857" w:rsidRPr="00D10A57" w:rsidRDefault="000B1857" w:rsidP="00D56307">
      <w:pPr>
        <w:pStyle w:val="Styl1"/>
        <w:numPr>
          <w:ilvl w:val="0"/>
          <w:numId w:val="34"/>
        </w:numPr>
      </w:pPr>
      <w:r w:rsidRPr="00D10A57">
        <w:t>Projekt spolku Slovo 21, z. s., Praha Světový romský festival KHAMORO 2021, kde byla poskytnuta dotace ve výši 1 100 000 Kč, a to na základě usnesení vlády České republiky ze</w:t>
      </w:r>
      <w:r w:rsidR="007B14E9">
        <w:t> </w:t>
      </w:r>
      <w:r w:rsidRPr="00D10A57">
        <w:t>dne 7. dubna 2003 č. 347 o podpoře Světového romského festivalu KHAMORO Praha a v</w:t>
      </w:r>
      <w:r w:rsidR="00471BE0">
        <w:t xml:space="preserve"> </w:t>
      </w:r>
      <w:r w:rsidRPr="00D10A57">
        <w:t>souladu s usnesením vlády ze dne 23. února 2015 č. 127, jímž byla přijata Strategie romské integrace do roku 2020 a v aktuálním znění též u</w:t>
      </w:r>
      <w:r w:rsidR="00FE3E11">
        <w:t>snesení vlády č. 447 ze dne 10. </w:t>
      </w:r>
      <w:r w:rsidR="00991731">
        <w:t>května</w:t>
      </w:r>
      <w:r w:rsidR="00FE3E11">
        <w:t> </w:t>
      </w:r>
      <w:r w:rsidRPr="00D10A57">
        <w:t>2021 o</w:t>
      </w:r>
      <w:r w:rsidR="007B14E9">
        <w:t> </w:t>
      </w:r>
      <w:r w:rsidRPr="00D10A57">
        <w:t xml:space="preserve">Strategii rovnosti, začlenění a participace Romů 2021 – 2030. </w:t>
      </w:r>
    </w:p>
    <w:p w14:paraId="138B670F" w14:textId="022B7237" w:rsidR="000B1857" w:rsidRPr="00D10A57" w:rsidRDefault="000B1857" w:rsidP="00D56307">
      <w:pPr>
        <w:pStyle w:val="Styl1"/>
        <w:numPr>
          <w:ilvl w:val="0"/>
          <w:numId w:val="34"/>
        </w:numPr>
      </w:pPr>
      <w:r w:rsidRPr="00D10A57">
        <w:t xml:space="preserve">Projekt zapsaného spolku Výbor pro odškodnění romského holocaustu v ČR, Hořice, který obdržel dotaci 165 000 Kč na projekt Putování výstavy "Zaniklý svět" 7 městy libereckého kraje. Projekt nebyl realizován z důvodu restrikcí spojeným s pandemií </w:t>
      </w:r>
      <w:r w:rsidR="00991731">
        <w:t>c</w:t>
      </w:r>
      <w:r w:rsidRPr="00D10A57">
        <w:t xml:space="preserve">ovid-19 a dotace byla v plné výši vrácena. </w:t>
      </w:r>
    </w:p>
    <w:p w14:paraId="65FD5EE6" w14:textId="57C969C4" w:rsidR="000B1857" w:rsidRPr="00D10A57" w:rsidRDefault="000B1857" w:rsidP="00D56307">
      <w:pPr>
        <w:pStyle w:val="Styl1"/>
        <w:numPr>
          <w:ilvl w:val="0"/>
          <w:numId w:val="34"/>
        </w:numPr>
      </w:pPr>
      <w:r w:rsidRPr="00D10A57">
        <w:t xml:space="preserve">Třetím romským projektem podpořeným v rámci tohoto dotačního programu byl projekt společnosti EUROTOPIA.CZ, o.p.s. Zde byla dotace poskytnuta ve výši 23 000 Kč na projekt </w:t>
      </w:r>
      <w:r w:rsidR="005B5D8E">
        <w:t>„</w:t>
      </w:r>
      <w:r w:rsidRPr="00D10A57">
        <w:t>Všichni máme šanci 2021</w:t>
      </w:r>
      <w:r w:rsidR="005B5D8E">
        <w:t>“</w:t>
      </w:r>
      <w:r w:rsidRPr="00D10A57">
        <w:t xml:space="preserve">. </w:t>
      </w:r>
    </w:p>
    <w:p w14:paraId="0B2D5B34" w14:textId="5945A5B3" w:rsidR="00A961AF" w:rsidRPr="00ED7E0F" w:rsidRDefault="000B1857" w:rsidP="00D10A57">
      <w:pPr>
        <w:pStyle w:val="Styl1"/>
      </w:pPr>
      <w:r w:rsidRPr="00D10A57">
        <w:t xml:space="preserve">Ve výběrovém dotačním řízení v </w:t>
      </w:r>
      <w:r w:rsidRPr="003D3151">
        <w:rPr>
          <w:b/>
          <w:bCs/>
        </w:rPr>
        <w:t>program</w:t>
      </w:r>
      <w:r w:rsidRPr="003D3151">
        <w:rPr>
          <w:b/>
        </w:rPr>
        <w:t>u</w:t>
      </w:r>
      <w:r w:rsidRPr="00973F78">
        <w:t xml:space="preserve"> </w:t>
      </w:r>
      <w:r w:rsidRPr="003D3151">
        <w:rPr>
          <w:b/>
          <w:bCs/>
        </w:rPr>
        <w:t xml:space="preserve">na podporu integrace příslušníků romské menšiny </w:t>
      </w:r>
      <w:r w:rsidRPr="00973F78">
        <w:t xml:space="preserve">bylo v roce 2021 oceněno </w:t>
      </w:r>
      <w:r w:rsidRPr="003D3151">
        <w:rPr>
          <w:b/>
          <w:bCs/>
        </w:rPr>
        <w:t>26 projektů od 25 žadatelů</w:t>
      </w:r>
      <w:r w:rsidRPr="00973F78">
        <w:t xml:space="preserve">. Jednalo se o podporu jak jednorázových akcí tematicky a obsahově naplňujících jeden či více z tematických okruhů daného dotačního programu, nebo o celoroční podporu na provoz žádající organizace. Poskytnutá částka </w:t>
      </w:r>
      <w:r w:rsidRPr="003D3151">
        <w:rPr>
          <w:b/>
          <w:bCs/>
          <w:iCs/>
        </w:rPr>
        <w:t xml:space="preserve">dotace </w:t>
      </w:r>
      <w:r w:rsidRPr="00973F78">
        <w:t xml:space="preserve">činila </w:t>
      </w:r>
      <w:r w:rsidRPr="003D3151">
        <w:rPr>
          <w:b/>
          <w:bCs/>
          <w:iCs/>
        </w:rPr>
        <w:t>celkem 2 400 880 Kč, po odečtení všech vratek či nečerpaných částek 1 776 450 Kč</w:t>
      </w:r>
      <w:r w:rsidRPr="003D3151">
        <w:rPr>
          <w:b/>
          <w:bCs/>
          <w:i/>
          <w:iCs/>
        </w:rPr>
        <w:t xml:space="preserve"> </w:t>
      </w:r>
      <w:r w:rsidRPr="00973F78">
        <w:t>z celkové alokované částky</w:t>
      </w:r>
      <w:r w:rsidR="001A356C" w:rsidRPr="00973F78">
        <w:t xml:space="preserve"> 2 592 500 Kč</w:t>
      </w:r>
      <w:r w:rsidRPr="00973F78">
        <w:t xml:space="preserve"> dotačního programu pro rok 2021. </w:t>
      </w:r>
    </w:p>
    <w:p w14:paraId="66108665" w14:textId="77777777" w:rsidR="000B1857" w:rsidRPr="00D10A57" w:rsidRDefault="000B1857" w:rsidP="00D10A57">
      <w:pPr>
        <w:pStyle w:val="Styl1"/>
        <w:rPr>
          <w:b/>
          <w:bCs/>
        </w:rPr>
      </w:pPr>
      <w:r w:rsidRPr="00D10A57">
        <w:rPr>
          <w:b/>
          <w:bCs/>
        </w:rPr>
        <w:t>Podpořené projekty ve výběrovém dotačním řízení na podporu integrace příslušníků romské menšiny</w:t>
      </w:r>
      <w:r w:rsidR="00E21036" w:rsidRPr="00D10A57">
        <w:rPr>
          <w:b/>
          <w:bCs/>
        </w:rPr>
        <w:t>:</w:t>
      </w:r>
    </w:p>
    <w:tbl>
      <w:tblPr>
        <w:tblStyle w:val="Mkatabulky"/>
        <w:tblW w:w="0" w:type="auto"/>
        <w:tblLook w:val="04A0" w:firstRow="1" w:lastRow="0" w:firstColumn="1" w:lastColumn="0" w:noHBand="0" w:noVBand="1"/>
      </w:tblPr>
      <w:tblGrid>
        <w:gridCol w:w="4216"/>
        <w:gridCol w:w="3555"/>
        <w:gridCol w:w="1291"/>
      </w:tblGrid>
      <w:tr w:rsidR="000B1857" w:rsidRPr="00D10A57" w14:paraId="5F0A4D32" w14:textId="77777777" w:rsidTr="004A037F">
        <w:trPr>
          <w:trHeight w:val="290"/>
        </w:trPr>
        <w:tc>
          <w:tcPr>
            <w:tcW w:w="0" w:type="auto"/>
            <w:shd w:val="clear" w:color="auto" w:fill="548DD4" w:themeFill="text2" w:themeFillTint="99"/>
          </w:tcPr>
          <w:p w14:paraId="2300CCDA" w14:textId="77777777" w:rsidR="000B1857" w:rsidRPr="00D10A57" w:rsidRDefault="000B1857" w:rsidP="00D10A57">
            <w:pPr>
              <w:pStyle w:val="Styl1"/>
              <w:spacing w:after="0"/>
              <w:rPr>
                <w:b/>
                <w:bCs/>
                <w:sz w:val="20"/>
                <w:szCs w:val="20"/>
              </w:rPr>
            </w:pPr>
            <w:r w:rsidRPr="00D10A57">
              <w:rPr>
                <w:b/>
                <w:bCs/>
                <w:sz w:val="20"/>
                <w:szCs w:val="20"/>
              </w:rPr>
              <w:t xml:space="preserve">Předkladatel </w:t>
            </w:r>
          </w:p>
        </w:tc>
        <w:tc>
          <w:tcPr>
            <w:tcW w:w="0" w:type="auto"/>
            <w:shd w:val="clear" w:color="auto" w:fill="548DD4" w:themeFill="text2" w:themeFillTint="99"/>
          </w:tcPr>
          <w:p w14:paraId="70BF79D8" w14:textId="77777777" w:rsidR="000B1857" w:rsidRPr="00D10A57" w:rsidRDefault="000B1857" w:rsidP="00D10A57">
            <w:pPr>
              <w:pStyle w:val="Styl1"/>
              <w:spacing w:after="0"/>
              <w:rPr>
                <w:b/>
                <w:bCs/>
                <w:sz w:val="20"/>
                <w:szCs w:val="20"/>
              </w:rPr>
            </w:pPr>
            <w:r w:rsidRPr="00D10A57">
              <w:rPr>
                <w:b/>
                <w:bCs/>
                <w:sz w:val="20"/>
                <w:szCs w:val="20"/>
              </w:rPr>
              <w:t xml:space="preserve">Projekt </w:t>
            </w:r>
          </w:p>
        </w:tc>
        <w:tc>
          <w:tcPr>
            <w:tcW w:w="0" w:type="auto"/>
            <w:shd w:val="clear" w:color="auto" w:fill="548DD4" w:themeFill="text2" w:themeFillTint="99"/>
          </w:tcPr>
          <w:p w14:paraId="7CB24B93" w14:textId="77777777" w:rsidR="000B1857" w:rsidRPr="00D10A57" w:rsidRDefault="000B1857" w:rsidP="00D10A57">
            <w:pPr>
              <w:pStyle w:val="Styl1"/>
              <w:spacing w:after="0"/>
              <w:rPr>
                <w:b/>
                <w:bCs/>
                <w:sz w:val="20"/>
                <w:szCs w:val="20"/>
              </w:rPr>
            </w:pPr>
            <w:r w:rsidRPr="00D10A57">
              <w:rPr>
                <w:b/>
                <w:bCs/>
                <w:sz w:val="20"/>
                <w:szCs w:val="20"/>
              </w:rPr>
              <w:t xml:space="preserve">Dotace </w:t>
            </w:r>
            <w:r w:rsidRPr="00D10A57">
              <w:rPr>
                <w:b/>
                <w:sz w:val="20"/>
                <w:szCs w:val="20"/>
              </w:rPr>
              <w:t>(v</w:t>
            </w:r>
            <w:r w:rsidR="0018287B">
              <w:rPr>
                <w:b/>
                <w:sz w:val="20"/>
                <w:szCs w:val="20"/>
              </w:rPr>
              <w:t> </w:t>
            </w:r>
            <w:r w:rsidRPr="00D10A57">
              <w:rPr>
                <w:b/>
                <w:sz w:val="20"/>
                <w:szCs w:val="20"/>
              </w:rPr>
              <w:t xml:space="preserve">Kč) </w:t>
            </w:r>
          </w:p>
        </w:tc>
      </w:tr>
      <w:tr w:rsidR="000B1857" w:rsidRPr="00D10A57" w14:paraId="4D96A8EA" w14:textId="77777777" w:rsidTr="004A037F">
        <w:tc>
          <w:tcPr>
            <w:tcW w:w="0" w:type="auto"/>
          </w:tcPr>
          <w:p w14:paraId="29406EAD" w14:textId="77777777" w:rsidR="000B1857" w:rsidRPr="00D10A57" w:rsidRDefault="000B1857" w:rsidP="00D10A57">
            <w:pPr>
              <w:pStyle w:val="Styl2"/>
              <w:rPr>
                <w:b/>
                <w:bCs/>
              </w:rPr>
            </w:pPr>
            <w:r w:rsidRPr="00D10A57">
              <w:t xml:space="preserve">ARA ART, z.s. </w:t>
            </w:r>
          </w:p>
        </w:tc>
        <w:tc>
          <w:tcPr>
            <w:tcW w:w="0" w:type="auto"/>
          </w:tcPr>
          <w:p w14:paraId="27E2B1D3" w14:textId="77777777" w:rsidR="000B1857" w:rsidRPr="00D10A57" w:rsidRDefault="000B1857" w:rsidP="00D10A57">
            <w:pPr>
              <w:pStyle w:val="Styl2"/>
              <w:rPr>
                <w:b/>
                <w:bCs/>
              </w:rPr>
            </w:pPr>
            <w:r w:rsidRPr="00D10A57">
              <w:t xml:space="preserve">Celoroční činnost </w:t>
            </w:r>
          </w:p>
        </w:tc>
        <w:tc>
          <w:tcPr>
            <w:tcW w:w="0" w:type="auto"/>
          </w:tcPr>
          <w:p w14:paraId="3ECCB05D" w14:textId="77777777" w:rsidR="000B1857" w:rsidRPr="00D10A57" w:rsidRDefault="000B1857" w:rsidP="00D56307">
            <w:pPr>
              <w:pStyle w:val="Styl2"/>
              <w:jc w:val="right"/>
              <w:rPr>
                <w:b/>
                <w:bCs/>
              </w:rPr>
            </w:pPr>
            <w:r w:rsidRPr="00D10A57">
              <w:rPr>
                <w:b/>
                <w:bCs/>
              </w:rPr>
              <w:t xml:space="preserve">261 110 </w:t>
            </w:r>
          </w:p>
        </w:tc>
      </w:tr>
      <w:tr w:rsidR="000B1857" w:rsidRPr="00D10A57" w14:paraId="5AF59F09" w14:textId="77777777" w:rsidTr="004A037F">
        <w:tc>
          <w:tcPr>
            <w:tcW w:w="0" w:type="auto"/>
          </w:tcPr>
          <w:p w14:paraId="27DAFDA3" w14:textId="77777777" w:rsidR="000B1857" w:rsidRPr="00D10A57" w:rsidRDefault="000B1857" w:rsidP="00D10A57">
            <w:pPr>
              <w:pStyle w:val="Styl2"/>
              <w:rPr>
                <w:b/>
                <w:bCs/>
              </w:rPr>
            </w:pPr>
            <w:r w:rsidRPr="00D10A57">
              <w:lastRenderedPageBreak/>
              <w:t xml:space="preserve">Asociace romských představitelů Libereckého kraje, z.s. </w:t>
            </w:r>
          </w:p>
        </w:tc>
        <w:tc>
          <w:tcPr>
            <w:tcW w:w="0" w:type="auto"/>
          </w:tcPr>
          <w:p w14:paraId="17412DE2" w14:textId="77777777" w:rsidR="000B1857" w:rsidRPr="00D10A57" w:rsidRDefault="000B1857" w:rsidP="00D10A57">
            <w:pPr>
              <w:pStyle w:val="Styl2"/>
              <w:rPr>
                <w:b/>
                <w:bCs/>
              </w:rPr>
            </w:pPr>
            <w:r w:rsidRPr="00D10A57">
              <w:t xml:space="preserve">Mezinárodní den Romů Liberec 2021 </w:t>
            </w:r>
          </w:p>
        </w:tc>
        <w:tc>
          <w:tcPr>
            <w:tcW w:w="0" w:type="auto"/>
          </w:tcPr>
          <w:p w14:paraId="3A89FE82" w14:textId="77777777" w:rsidR="000B1857" w:rsidRPr="00D10A57" w:rsidRDefault="000B1857" w:rsidP="00D56307">
            <w:pPr>
              <w:pStyle w:val="Styl2"/>
              <w:jc w:val="right"/>
              <w:rPr>
                <w:b/>
                <w:bCs/>
              </w:rPr>
            </w:pPr>
            <w:r w:rsidRPr="00D10A57">
              <w:rPr>
                <w:b/>
                <w:bCs/>
              </w:rPr>
              <w:t xml:space="preserve">65 440 </w:t>
            </w:r>
          </w:p>
        </w:tc>
      </w:tr>
      <w:tr w:rsidR="000B1857" w:rsidRPr="00D10A57" w14:paraId="16285536" w14:textId="77777777" w:rsidTr="004A037F">
        <w:tc>
          <w:tcPr>
            <w:tcW w:w="0" w:type="auto"/>
          </w:tcPr>
          <w:p w14:paraId="1BE305FF" w14:textId="77777777" w:rsidR="000B1857" w:rsidRPr="00D10A57" w:rsidRDefault="000B1857" w:rsidP="00D10A57">
            <w:pPr>
              <w:pStyle w:val="Styl2"/>
              <w:rPr>
                <w:b/>
                <w:bCs/>
              </w:rPr>
            </w:pPr>
            <w:r w:rsidRPr="00D10A57">
              <w:t xml:space="preserve">Centrum společného zájmu z.s., Brno </w:t>
            </w:r>
          </w:p>
        </w:tc>
        <w:tc>
          <w:tcPr>
            <w:tcW w:w="0" w:type="auto"/>
          </w:tcPr>
          <w:p w14:paraId="6F69C66D" w14:textId="77777777" w:rsidR="000B1857" w:rsidRPr="00D10A57" w:rsidRDefault="000B1857" w:rsidP="00D10A57">
            <w:pPr>
              <w:pStyle w:val="Styl2"/>
              <w:rPr>
                <w:b/>
                <w:bCs/>
              </w:rPr>
            </w:pPr>
            <w:r w:rsidRPr="00D10A57">
              <w:t xml:space="preserve">Letní škola Romipen 2021 </w:t>
            </w:r>
          </w:p>
        </w:tc>
        <w:tc>
          <w:tcPr>
            <w:tcW w:w="0" w:type="auto"/>
          </w:tcPr>
          <w:p w14:paraId="47EE25AE" w14:textId="77777777" w:rsidR="000B1857" w:rsidRPr="00D10A57" w:rsidRDefault="000B1857" w:rsidP="00D56307">
            <w:pPr>
              <w:pStyle w:val="Styl2"/>
              <w:jc w:val="right"/>
              <w:rPr>
                <w:b/>
                <w:bCs/>
              </w:rPr>
            </w:pPr>
            <w:r w:rsidRPr="00D10A57">
              <w:rPr>
                <w:b/>
                <w:bCs/>
              </w:rPr>
              <w:t xml:space="preserve">135 000 </w:t>
            </w:r>
          </w:p>
        </w:tc>
      </w:tr>
      <w:tr w:rsidR="000B1857" w:rsidRPr="00D10A57" w14:paraId="671D0CC4" w14:textId="77777777" w:rsidTr="004A037F">
        <w:tc>
          <w:tcPr>
            <w:tcW w:w="0" w:type="auto"/>
          </w:tcPr>
          <w:p w14:paraId="2459B9A8" w14:textId="77777777" w:rsidR="000B1857" w:rsidRPr="00D10A57" w:rsidRDefault="000B1857" w:rsidP="00D10A57">
            <w:pPr>
              <w:pStyle w:val="Styl2"/>
              <w:rPr>
                <w:b/>
                <w:bCs/>
              </w:rPr>
            </w:pPr>
            <w:r w:rsidRPr="00D10A57">
              <w:t xml:space="preserve">Demokratická aliance Romů ČR, z.s., Valašské Meziříčí </w:t>
            </w:r>
          </w:p>
        </w:tc>
        <w:tc>
          <w:tcPr>
            <w:tcW w:w="0" w:type="auto"/>
          </w:tcPr>
          <w:p w14:paraId="21342EFC" w14:textId="77777777" w:rsidR="000B1857" w:rsidRPr="00D10A57" w:rsidRDefault="000B1857" w:rsidP="00D10A57">
            <w:pPr>
              <w:pStyle w:val="Styl2"/>
              <w:rPr>
                <w:b/>
                <w:bCs/>
              </w:rPr>
            </w:pPr>
            <w:r w:rsidRPr="00D10A57">
              <w:t xml:space="preserve">Romská píseň 2021 </w:t>
            </w:r>
          </w:p>
        </w:tc>
        <w:tc>
          <w:tcPr>
            <w:tcW w:w="0" w:type="auto"/>
          </w:tcPr>
          <w:p w14:paraId="69FB41ED" w14:textId="77777777" w:rsidR="000B1857" w:rsidRPr="00D10A57" w:rsidRDefault="000B1857" w:rsidP="00D56307">
            <w:pPr>
              <w:pStyle w:val="Styl2"/>
              <w:jc w:val="right"/>
              <w:rPr>
                <w:b/>
                <w:bCs/>
              </w:rPr>
            </w:pPr>
            <w:r w:rsidRPr="00D10A57">
              <w:rPr>
                <w:b/>
                <w:bCs/>
              </w:rPr>
              <w:t xml:space="preserve">97 800 </w:t>
            </w:r>
          </w:p>
        </w:tc>
      </w:tr>
      <w:tr w:rsidR="000B1857" w:rsidRPr="00D10A57" w14:paraId="777BF674" w14:textId="77777777" w:rsidTr="004A037F">
        <w:tc>
          <w:tcPr>
            <w:tcW w:w="0" w:type="auto"/>
          </w:tcPr>
          <w:p w14:paraId="607FBC14" w14:textId="77777777" w:rsidR="000B1857" w:rsidRPr="00D10A57" w:rsidRDefault="000B1857" w:rsidP="00D10A57">
            <w:pPr>
              <w:pStyle w:val="Styl2"/>
              <w:rPr>
                <w:b/>
                <w:bCs/>
              </w:rPr>
            </w:pPr>
            <w:r w:rsidRPr="00D10A57">
              <w:t xml:space="preserve">DROM, romské středisko, Brno </w:t>
            </w:r>
          </w:p>
        </w:tc>
        <w:tc>
          <w:tcPr>
            <w:tcW w:w="0" w:type="auto"/>
          </w:tcPr>
          <w:p w14:paraId="1F5F354B" w14:textId="77777777" w:rsidR="000B1857" w:rsidRPr="00D10A57" w:rsidRDefault="000B1857" w:rsidP="00D10A57">
            <w:pPr>
              <w:pStyle w:val="Styl2"/>
              <w:rPr>
                <w:b/>
                <w:bCs/>
              </w:rPr>
            </w:pPr>
            <w:r w:rsidRPr="00D10A57">
              <w:t xml:space="preserve">Veselé a tvořivé dílny </w:t>
            </w:r>
          </w:p>
        </w:tc>
        <w:tc>
          <w:tcPr>
            <w:tcW w:w="0" w:type="auto"/>
          </w:tcPr>
          <w:p w14:paraId="228C328C" w14:textId="77777777" w:rsidR="000B1857" w:rsidRPr="00D10A57" w:rsidRDefault="000B1857" w:rsidP="00D56307">
            <w:pPr>
              <w:pStyle w:val="Styl2"/>
              <w:jc w:val="right"/>
              <w:rPr>
                <w:b/>
                <w:bCs/>
              </w:rPr>
            </w:pPr>
            <w:r w:rsidRPr="00D10A57">
              <w:rPr>
                <w:b/>
                <w:bCs/>
              </w:rPr>
              <w:t xml:space="preserve">185 550 </w:t>
            </w:r>
          </w:p>
        </w:tc>
      </w:tr>
      <w:tr w:rsidR="000B1857" w:rsidRPr="00D10A57" w14:paraId="2ECCB93F" w14:textId="77777777" w:rsidTr="004A037F">
        <w:tc>
          <w:tcPr>
            <w:tcW w:w="0" w:type="auto"/>
          </w:tcPr>
          <w:p w14:paraId="69AAB8EC" w14:textId="77777777" w:rsidR="000B1857" w:rsidRPr="00D10A57" w:rsidRDefault="000B1857" w:rsidP="00D10A57">
            <w:pPr>
              <w:pStyle w:val="Styl2"/>
              <w:rPr>
                <w:b/>
                <w:bCs/>
              </w:rPr>
            </w:pPr>
            <w:r w:rsidRPr="00D10A57">
              <w:t xml:space="preserve">Dživ Lačes, z.s., Vsetín </w:t>
            </w:r>
          </w:p>
        </w:tc>
        <w:tc>
          <w:tcPr>
            <w:tcW w:w="0" w:type="auto"/>
          </w:tcPr>
          <w:p w14:paraId="55852E71" w14:textId="77777777" w:rsidR="000B1857" w:rsidRPr="00D10A57" w:rsidRDefault="000B1857" w:rsidP="00D10A57">
            <w:pPr>
              <w:pStyle w:val="Styl2"/>
              <w:rPr>
                <w:b/>
                <w:bCs/>
              </w:rPr>
            </w:pPr>
            <w:r w:rsidRPr="00D10A57">
              <w:t xml:space="preserve">Festival SPOLEČNĚ 2021 </w:t>
            </w:r>
          </w:p>
        </w:tc>
        <w:tc>
          <w:tcPr>
            <w:tcW w:w="0" w:type="auto"/>
          </w:tcPr>
          <w:p w14:paraId="715396CA" w14:textId="77777777" w:rsidR="000B1857" w:rsidRPr="00D10A57" w:rsidRDefault="000B1857" w:rsidP="00D56307">
            <w:pPr>
              <w:pStyle w:val="Styl2"/>
              <w:jc w:val="right"/>
              <w:rPr>
                <w:b/>
                <w:bCs/>
              </w:rPr>
            </w:pPr>
            <w:r w:rsidRPr="00D10A57">
              <w:rPr>
                <w:b/>
                <w:bCs/>
              </w:rPr>
              <w:t xml:space="preserve">87 770 </w:t>
            </w:r>
          </w:p>
        </w:tc>
      </w:tr>
      <w:tr w:rsidR="000B1857" w:rsidRPr="00D10A57" w14:paraId="76898D70" w14:textId="77777777" w:rsidTr="004A037F">
        <w:tc>
          <w:tcPr>
            <w:tcW w:w="0" w:type="auto"/>
          </w:tcPr>
          <w:p w14:paraId="7EEB7515" w14:textId="77777777" w:rsidR="000B1857" w:rsidRPr="00D10A57" w:rsidRDefault="000B1857" w:rsidP="00D10A57">
            <w:pPr>
              <w:pStyle w:val="Styl2"/>
              <w:rPr>
                <w:b/>
                <w:bCs/>
              </w:rPr>
            </w:pPr>
            <w:r w:rsidRPr="00D10A57">
              <w:t xml:space="preserve">EUROTOPIA.CZ, o.p.s., Opava </w:t>
            </w:r>
          </w:p>
        </w:tc>
        <w:tc>
          <w:tcPr>
            <w:tcW w:w="0" w:type="auto"/>
          </w:tcPr>
          <w:p w14:paraId="29F7A69C" w14:textId="77777777" w:rsidR="000B1857" w:rsidRPr="00D10A57" w:rsidRDefault="000B1857" w:rsidP="00D10A57">
            <w:pPr>
              <w:pStyle w:val="Styl2"/>
              <w:rPr>
                <w:b/>
                <w:bCs/>
              </w:rPr>
            </w:pPr>
            <w:r w:rsidRPr="00D10A57">
              <w:t xml:space="preserve">Most k porozumění </w:t>
            </w:r>
          </w:p>
        </w:tc>
        <w:tc>
          <w:tcPr>
            <w:tcW w:w="0" w:type="auto"/>
          </w:tcPr>
          <w:p w14:paraId="1CBF6B71" w14:textId="77777777" w:rsidR="000B1857" w:rsidRPr="00D10A57" w:rsidRDefault="000B1857" w:rsidP="00D56307">
            <w:pPr>
              <w:pStyle w:val="Styl2"/>
              <w:jc w:val="right"/>
              <w:rPr>
                <w:b/>
                <w:bCs/>
              </w:rPr>
            </w:pPr>
            <w:r w:rsidRPr="00D10A57">
              <w:rPr>
                <w:b/>
                <w:bCs/>
              </w:rPr>
              <w:t xml:space="preserve">20 550 </w:t>
            </w:r>
          </w:p>
        </w:tc>
      </w:tr>
      <w:tr w:rsidR="000B1857" w:rsidRPr="00D10A57" w14:paraId="62408C79" w14:textId="77777777" w:rsidTr="004A037F">
        <w:tc>
          <w:tcPr>
            <w:tcW w:w="0" w:type="auto"/>
          </w:tcPr>
          <w:p w14:paraId="1603F528" w14:textId="77777777" w:rsidR="000B1857" w:rsidRPr="00D10A57" w:rsidRDefault="000B1857" w:rsidP="00D10A57">
            <w:pPr>
              <w:pStyle w:val="Styl2"/>
              <w:rPr>
                <w:b/>
                <w:bCs/>
              </w:rPr>
            </w:pPr>
            <w:r w:rsidRPr="00D10A57">
              <w:t xml:space="preserve">Hnutí romských studentů, z.s., Ostrava </w:t>
            </w:r>
          </w:p>
        </w:tc>
        <w:tc>
          <w:tcPr>
            <w:tcW w:w="0" w:type="auto"/>
          </w:tcPr>
          <w:p w14:paraId="30E0AF90" w14:textId="77777777" w:rsidR="000B1857" w:rsidRPr="00D10A57" w:rsidRDefault="000B1857" w:rsidP="00D10A57">
            <w:pPr>
              <w:pStyle w:val="Styl2"/>
              <w:rPr>
                <w:b/>
                <w:bCs/>
              </w:rPr>
            </w:pPr>
            <w:r w:rsidRPr="00D10A57">
              <w:t xml:space="preserve">III. Ročník oslav MDR v Ostravě </w:t>
            </w:r>
          </w:p>
        </w:tc>
        <w:tc>
          <w:tcPr>
            <w:tcW w:w="0" w:type="auto"/>
          </w:tcPr>
          <w:p w14:paraId="36BBEB59" w14:textId="77777777" w:rsidR="000B1857" w:rsidRPr="00D10A57" w:rsidRDefault="000B1857" w:rsidP="00D56307">
            <w:pPr>
              <w:pStyle w:val="Styl2"/>
              <w:jc w:val="right"/>
              <w:rPr>
                <w:b/>
                <w:bCs/>
              </w:rPr>
            </w:pPr>
            <w:r w:rsidRPr="00D10A57">
              <w:rPr>
                <w:b/>
                <w:bCs/>
              </w:rPr>
              <w:t xml:space="preserve">144 440 </w:t>
            </w:r>
          </w:p>
        </w:tc>
      </w:tr>
      <w:tr w:rsidR="000B1857" w:rsidRPr="00D10A57" w14:paraId="7D859C55" w14:textId="77777777" w:rsidTr="004A037F">
        <w:tc>
          <w:tcPr>
            <w:tcW w:w="0" w:type="auto"/>
          </w:tcPr>
          <w:p w14:paraId="6159E14F" w14:textId="77777777" w:rsidR="000B1857" w:rsidRPr="00D10A57" w:rsidRDefault="000B1857" w:rsidP="00D10A57">
            <w:pPr>
              <w:pStyle w:val="Styl2"/>
              <w:rPr>
                <w:b/>
                <w:bCs/>
              </w:rPr>
            </w:pPr>
            <w:r w:rsidRPr="00D10A57">
              <w:t xml:space="preserve">Charita Olomouc </w:t>
            </w:r>
          </w:p>
        </w:tc>
        <w:tc>
          <w:tcPr>
            <w:tcW w:w="0" w:type="auto"/>
          </w:tcPr>
          <w:p w14:paraId="50258E5B" w14:textId="77777777" w:rsidR="000B1857" w:rsidRPr="00D10A57" w:rsidRDefault="000B1857" w:rsidP="00D10A57">
            <w:pPr>
              <w:pStyle w:val="Styl2"/>
              <w:rPr>
                <w:b/>
                <w:bCs/>
              </w:rPr>
            </w:pPr>
            <w:r w:rsidRPr="00D10A57">
              <w:t xml:space="preserve">Romská pouť 2021 </w:t>
            </w:r>
          </w:p>
        </w:tc>
        <w:tc>
          <w:tcPr>
            <w:tcW w:w="0" w:type="auto"/>
          </w:tcPr>
          <w:p w14:paraId="4BD32029" w14:textId="77777777" w:rsidR="000B1857" w:rsidRPr="00D10A57" w:rsidRDefault="000B1857" w:rsidP="00D56307">
            <w:pPr>
              <w:pStyle w:val="Styl2"/>
              <w:jc w:val="right"/>
              <w:rPr>
                <w:b/>
                <w:bCs/>
              </w:rPr>
            </w:pPr>
            <w:r w:rsidRPr="00D10A57">
              <w:rPr>
                <w:b/>
                <w:bCs/>
              </w:rPr>
              <w:t xml:space="preserve">10 450 </w:t>
            </w:r>
          </w:p>
        </w:tc>
      </w:tr>
      <w:tr w:rsidR="000B1857" w:rsidRPr="00D10A57" w14:paraId="3B3A7228" w14:textId="77777777" w:rsidTr="004A037F">
        <w:tc>
          <w:tcPr>
            <w:tcW w:w="0" w:type="auto"/>
          </w:tcPr>
          <w:p w14:paraId="09CB681C" w14:textId="77777777" w:rsidR="000B1857" w:rsidRPr="00D10A57" w:rsidRDefault="000B1857" w:rsidP="00D10A57">
            <w:pPr>
              <w:pStyle w:val="Styl2"/>
              <w:rPr>
                <w:b/>
                <w:bCs/>
              </w:rPr>
            </w:pPr>
            <w:r w:rsidRPr="00D10A57">
              <w:t xml:space="preserve">IQ Roma servis, z.s., Brno </w:t>
            </w:r>
          </w:p>
        </w:tc>
        <w:tc>
          <w:tcPr>
            <w:tcW w:w="0" w:type="auto"/>
          </w:tcPr>
          <w:p w14:paraId="5B65BE21" w14:textId="77777777" w:rsidR="000B1857" w:rsidRPr="00D10A57" w:rsidRDefault="000B1857" w:rsidP="00D10A57">
            <w:pPr>
              <w:pStyle w:val="Styl2"/>
              <w:rPr>
                <w:b/>
                <w:bCs/>
              </w:rPr>
            </w:pPr>
            <w:r w:rsidRPr="00D10A57">
              <w:t xml:space="preserve">Buďme spolu: Dny romské kultury 2021 </w:t>
            </w:r>
          </w:p>
        </w:tc>
        <w:tc>
          <w:tcPr>
            <w:tcW w:w="0" w:type="auto"/>
          </w:tcPr>
          <w:p w14:paraId="693BEE86" w14:textId="77777777" w:rsidR="000B1857" w:rsidRPr="00D10A57" w:rsidRDefault="000B1857" w:rsidP="00D56307">
            <w:pPr>
              <w:pStyle w:val="Styl2"/>
              <w:jc w:val="right"/>
              <w:rPr>
                <w:b/>
                <w:bCs/>
              </w:rPr>
            </w:pPr>
            <w:r w:rsidRPr="00D10A57">
              <w:rPr>
                <w:b/>
                <w:bCs/>
              </w:rPr>
              <w:t xml:space="preserve">44 120 </w:t>
            </w:r>
          </w:p>
        </w:tc>
      </w:tr>
      <w:tr w:rsidR="000B1857" w:rsidRPr="00D10A57" w14:paraId="7AEAFF95" w14:textId="77777777" w:rsidTr="004A037F">
        <w:tc>
          <w:tcPr>
            <w:tcW w:w="0" w:type="auto"/>
          </w:tcPr>
          <w:p w14:paraId="4C3A3C73" w14:textId="77777777" w:rsidR="000B1857" w:rsidRPr="00D10A57" w:rsidRDefault="000B1857" w:rsidP="00D10A57">
            <w:pPr>
              <w:pStyle w:val="Styl2"/>
              <w:rPr>
                <w:b/>
                <w:bCs/>
              </w:rPr>
            </w:pPr>
            <w:r w:rsidRPr="00D10A57">
              <w:t xml:space="preserve">KoCeRo – komunitní centrum Rovnost o.p.s., Český Krumlov </w:t>
            </w:r>
          </w:p>
        </w:tc>
        <w:tc>
          <w:tcPr>
            <w:tcW w:w="0" w:type="auto"/>
          </w:tcPr>
          <w:p w14:paraId="712DF266" w14:textId="77777777" w:rsidR="000B1857" w:rsidRPr="00D10A57" w:rsidRDefault="000B1857" w:rsidP="00D10A57">
            <w:pPr>
              <w:pStyle w:val="Styl2"/>
              <w:rPr>
                <w:b/>
                <w:bCs/>
              </w:rPr>
            </w:pPr>
            <w:r w:rsidRPr="00D10A57">
              <w:t xml:space="preserve">Pro radost </w:t>
            </w:r>
          </w:p>
        </w:tc>
        <w:tc>
          <w:tcPr>
            <w:tcW w:w="0" w:type="auto"/>
          </w:tcPr>
          <w:p w14:paraId="0AB91F1B" w14:textId="77777777" w:rsidR="000B1857" w:rsidRPr="00D10A57" w:rsidRDefault="000B1857" w:rsidP="00D56307">
            <w:pPr>
              <w:pStyle w:val="Styl2"/>
              <w:jc w:val="right"/>
              <w:rPr>
                <w:b/>
                <w:bCs/>
              </w:rPr>
            </w:pPr>
            <w:r w:rsidRPr="00D10A57">
              <w:rPr>
                <w:b/>
                <w:bCs/>
              </w:rPr>
              <w:t xml:space="preserve">24 620 </w:t>
            </w:r>
          </w:p>
        </w:tc>
      </w:tr>
      <w:tr w:rsidR="000B1857" w:rsidRPr="00D10A57" w14:paraId="3BAB15F2" w14:textId="77777777" w:rsidTr="004A037F">
        <w:tc>
          <w:tcPr>
            <w:tcW w:w="0" w:type="auto"/>
          </w:tcPr>
          <w:p w14:paraId="245C00D9" w14:textId="77777777" w:rsidR="000B1857" w:rsidRPr="00D10A57" w:rsidRDefault="000B1857" w:rsidP="00D10A57">
            <w:pPr>
              <w:pStyle w:val="Styl2"/>
              <w:rPr>
                <w:b/>
                <w:bCs/>
              </w:rPr>
            </w:pPr>
            <w:r w:rsidRPr="00D10A57">
              <w:t xml:space="preserve">KoCeRo – komunitní centrum Rovnost o.p.s., Český Krumlov </w:t>
            </w:r>
          </w:p>
        </w:tc>
        <w:tc>
          <w:tcPr>
            <w:tcW w:w="0" w:type="auto"/>
          </w:tcPr>
          <w:p w14:paraId="78995946" w14:textId="77777777" w:rsidR="000B1857" w:rsidRPr="00D10A57" w:rsidRDefault="000B1857" w:rsidP="00D10A57">
            <w:pPr>
              <w:pStyle w:val="Styl2"/>
              <w:rPr>
                <w:b/>
                <w:bCs/>
              </w:rPr>
            </w:pPr>
            <w:r w:rsidRPr="00D10A57">
              <w:t xml:space="preserve">Amaro Dživipen IV </w:t>
            </w:r>
          </w:p>
        </w:tc>
        <w:tc>
          <w:tcPr>
            <w:tcW w:w="0" w:type="auto"/>
          </w:tcPr>
          <w:p w14:paraId="2E02C778" w14:textId="77777777" w:rsidR="000B1857" w:rsidRPr="00D10A57" w:rsidRDefault="000B1857" w:rsidP="00D56307">
            <w:pPr>
              <w:pStyle w:val="Styl2"/>
              <w:jc w:val="right"/>
              <w:rPr>
                <w:b/>
                <w:bCs/>
              </w:rPr>
            </w:pPr>
            <w:r w:rsidRPr="00D10A57">
              <w:rPr>
                <w:b/>
                <w:bCs/>
              </w:rPr>
              <w:t xml:space="preserve">43 660 </w:t>
            </w:r>
          </w:p>
        </w:tc>
      </w:tr>
      <w:tr w:rsidR="000B1857" w:rsidRPr="00D10A57" w14:paraId="3E80AAA9" w14:textId="77777777" w:rsidTr="004A037F">
        <w:tc>
          <w:tcPr>
            <w:tcW w:w="0" w:type="auto"/>
          </w:tcPr>
          <w:p w14:paraId="2D75A61A" w14:textId="77777777" w:rsidR="000B1857" w:rsidRPr="00D10A57" w:rsidRDefault="000B1857" w:rsidP="00D10A57">
            <w:pPr>
              <w:pStyle w:val="Styl2"/>
              <w:rPr>
                <w:b/>
                <w:bCs/>
              </w:rPr>
            </w:pPr>
            <w:r w:rsidRPr="00D10A57">
              <w:t xml:space="preserve">Mezinárodní konzervatoř Praha, s.r.o. </w:t>
            </w:r>
          </w:p>
        </w:tc>
        <w:tc>
          <w:tcPr>
            <w:tcW w:w="0" w:type="auto"/>
          </w:tcPr>
          <w:p w14:paraId="15720E56" w14:textId="77777777" w:rsidR="000B1857" w:rsidRPr="00D10A57" w:rsidRDefault="000B1857" w:rsidP="00D10A57">
            <w:pPr>
              <w:pStyle w:val="Styl2"/>
              <w:rPr>
                <w:b/>
                <w:bCs/>
              </w:rPr>
            </w:pPr>
            <w:r w:rsidRPr="00D10A57">
              <w:t>Kale Bala –</w:t>
            </w:r>
            <w:r w:rsidR="005B5D8E">
              <w:t xml:space="preserve"> </w:t>
            </w:r>
            <w:r w:rsidRPr="00D10A57">
              <w:t xml:space="preserve">Původní romský muzikál pro mládež </w:t>
            </w:r>
          </w:p>
        </w:tc>
        <w:tc>
          <w:tcPr>
            <w:tcW w:w="0" w:type="auto"/>
          </w:tcPr>
          <w:p w14:paraId="539CB961" w14:textId="77777777" w:rsidR="000B1857" w:rsidRPr="00D10A57" w:rsidRDefault="000B1857" w:rsidP="00D56307">
            <w:pPr>
              <w:pStyle w:val="Styl2"/>
              <w:jc w:val="right"/>
              <w:rPr>
                <w:b/>
                <w:bCs/>
              </w:rPr>
            </w:pPr>
            <w:r w:rsidRPr="00D10A57">
              <w:rPr>
                <w:b/>
                <w:bCs/>
              </w:rPr>
              <w:t xml:space="preserve">280 000 </w:t>
            </w:r>
          </w:p>
        </w:tc>
      </w:tr>
      <w:tr w:rsidR="000B1857" w:rsidRPr="00D10A57" w14:paraId="3CD1268A" w14:textId="77777777" w:rsidTr="004A037F">
        <w:tc>
          <w:tcPr>
            <w:tcW w:w="0" w:type="auto"/>
          </w:tcPr>
          <w:p w14:paraId="691FE8DD" w14:textId="77777777" w:rsidR="000B1857" w:rsidRPr="00D10A57" w:rsidRDefault="000B1857" w:rsidP="00D10A57">
            <w:pPr>
              <w:pStyle w:val="Styl2"/>
              <w:rPr>
                <w:b/>
                <w:bCs/>
              </w:rPr>
            </w:pPr>
            <w:r w:rsidRPr="00D10A57">
              <w:t xml:space="preserve">Muzeum romského národního obrození, z.s., Praha 10 </w:t>
            </w:r>
          </w:p>
        </w:tc>
        <w:tc>
          <w:tcPr>
            <w:tcW w:w="0" w:type="auto"/>
          </w:tcPr>
          <w:p w14:paraId="08354D77" w14:textId="77777777" w:rsidR="000B1857" w:rsidRPr="00D10A57" w:rsidRDefault="000B1857" w:rsidP="00D10A57">
            <w:pPr>
              <w:pStyle w:val="Styl2"/>
              <w:rPr>
                <w:b/>
                <w:bCs/>
              </w:rPr>
            </w:pPr>
            <w:r w:rsidRPr="00D10A57">
              <w:t xml:space="preserve">Publikace o dějinách a kultuře Romů 18. až 21. století </w:t>
            </w:r>
          </w:p>
        </w:tc>
        <w:tc>
          <w:tcPr>
            <w:tcW w:w="0" w:type="auto"/>
          </w:tcPr>
          <w:p w14:paraId="7FE98646" w14:textId="77777777" w:rsidR="000B1857" w:rsidRPr="00D10A57" w:rsidRDefault="000B1857" w:rsidP="00D56307">
            <w:pPr>
              <w:pStyle w:val="Styl2"/>
              <w:jc w:val="right"/>
              <w:rPr>
                <w:b/>
                <w:bCs/>
              </w:rPr>
            </w:pPr>
            <w:r w:rsidRPr="00D10A57">
              <w:rPr>
                <w:b/>
                <w:bCs/>
              </w:rPr>
              <w:t xml:space="preserve">146 660 </w:t>
            </w:r>
          </w:p>
        </w:tc>
      </w:tr>
      <w:tr w:rsidR="000B1857" w:rsidRPr="00D10A57" w14:paraId="257A3725" w14:textId="77777777" w:rsidTr="004A037F">
        <w:tc>
          <w:tcPr>
            <w:tcW w:w="0" w:type="auto"/>
          </w:tcPr>
          <w:p w14:paraId="3EC04065" w14:textId="77777777" w:rsidR="000B1857" w:rsidRPr="00D10A57" w:rsidRDefault="000B1857" w:rsidP="00D10A57">
            <w:pPr>
              <w:pStyle w:val="Styl2"/>
              <w:rPr>
                <w:b/>
                <w:bCs/>
              </w:rPr>
            </w:pPr>
            <w:r w:rsidRPr="00D10A57">
              <w:t xml:space="preserve">Nadační fond IT people, Praha 4 </w:t>
            </w:r>
          </w:p>
        </w:tc>
        <w:tc>
          <w:tcPr>
            <w:tcW w:w="0" w:type="auto"/>
          </w:tcPr>
          <w:p w14:paraId="7073285F" w14:textId="77777777" w:rsidR="000B1857" w:rsidRPr="00D10A57" w:rsidRDefault="000B1857" w:rsidP="00D10A57">
            <w:pPr>
              <w:pStyle w:val="Styl2"/>
              <w:rPr>
                <w:b/>
                <w:bCs/>
              </w:rPr>
            </w:pPr>
            <w:r w:rsidRPr="00D10A57">
              <w:t xml:space="preserve">Motivace romských dívek ve spojení s Počítače dětem </w:t>
            </w:r>
          </w:p>
        </w:tc>
        <w:tc>
          <w:tcPr>
            <w:tcW w:w="0" w:type="auto"/>
          </w:tcPr>
          <w:p w14:paraId="0CE0C1DF" w14:textId="77777777" w:rsidR="000B1857" w:rsidRPr="00D10A57" w:rsidRDefault="000B1857" w:rsidP="00D56307">
            <w:pPr>
              <w:pStyle w:val="Styl2"/>
              <w:jc w:val="right"/>
              <w:rPr>
                <w:b/>
                <w:bCs/>
              </w:rPr>
            </w:pPr>
            <w:r w:rsidRPr="00D10A57">
              <w:rPr>
                <w:b/>
                <w:bCs/>
              </w:rPr>
              <w:t xml:space="preserve">162 220 </w:t>
            </w:r>
          </w:p>
        </w:tc>
      </w:tr>
      <w:tr w:rsidR="000B1857" w:rsidRPr="00D10A57" w14:paraId="4CBD5F59" w14:textId="77777777" w:rsidTr="004A037F">
        <w:tc>
          <w:tcPr>
            <w:tcW w:w="0" w:type="auto"/>
          </w:tcPr>
          <w:p w14:paraId="5CA24395" w14:textId="77777777" w:rsidR="000B1857" w:rsidRPr="00D10A57" w:rsidRDefault="000B1857" w:rsidP="00D10A57">
            <w:pPr>
              <w:pStyle w:val="Styl2"/>
              <w:rPr>
                <w:b/>
                <w:bCs/>
              </w:rPr>
            </w:pPr>
            <w:r w:rsidRPr="00D10A57">
              <w:t xml:space="preserve">Oblastní charita Pardubice </w:t>
            </w:r>
          </w:p>
        </w:tc>
        <w:tc>
          <w:tcPr>
            <w:tcW w:w="0" w:type="auto"/>
          </w:tcPr>
          <w:p w14:paraId="58078D5C" w14:textId="77777777" w:rsidR="000B1857" w:rsidRPr="00D10A57" w:rsidRDefault="000B1857" w:rsidP="00D10A57">
            <w:pPr>
              <w:pStyle w:val="Styl2"/>
              <w:rPr>
                <w:b/>
                <w:bCs/>
              </w:rPr>
            </w:pPr>
            <w:r w:rsidRPr="00D10A57">
              <w:t xml:space="preserve">Podpora romské hudební pěvecké a taneční skupiny Loly Růža </w:t>
            </w:r>
          </w:p>
        </w:tc>
        <w:tc>
          <w:tcPr>
            <w:tcW w:w="0" w:type="auto"/>
          </w:tcPr>
          <w:p w14:paraId="34C6E148" w14:textId="77777777" w:rsidR="000B1857" w:rsidRPr="00D10A57" w:rsidRDefault="000B1857" w:rsidP="00D56307">
            <w:pPr>
              <w:pStyle w:val="Styl2"/>
              <w:jc w:val="right"/>
              <w:rPr>
                <w:b/>
                <w:bCs/>
              </w:rPr>
            </w:pPr>
            <w:r w:rsidRPr="00D10A57">
              <w:rPr>
                <w:b/>
                <w:bCs/>
              </w:rPr>
              <w:t xml:space="preserve">29 440 </w:t>
            </w:r>
          </w:p>
        </w:tc>
      </w:tr>
      <w:tr w:rsidR="000B1857" w:rsidRPr="00D10A57" w14:paraId="6E8495C3" w14:textId="77777777" w:rsidTr="004A037F">
        <w:tc>
          <w:tcPr>
            <w:tcW w:w="0" w:type="auto"/>
          </w:tcPr>
          <w:p w14:paraId="17FFAB28" w14:textId="77777777" w:rsidR="000B1857" w:rsidRPr="00D10A57" w:rsidRDefault="000B1857" w:rsidP="00D10A57">
            <w:pPr>
              <w:pStyle w:val="Styl2"/>
              <w:rPr>
                <w:b/>
                <w:bCs/>
              </w:rPr>
            </w:pPr>
            <w:r w:rsidRPr="00D10A57">
              <w:t xml:space="preserve">Ponton z.s., Plzeň </w:t>
            </w:r>
          </w:p>
        </w:tc>
        <w:tc>
          <w:tcPr>
            <w:tcW w:w="0" w:type="auto"/>
          </w:tcPr>
          <w:p w14:paraId="4655DE7E" w14:textId="77777777" w:rsidR="000B1857" w:rsidRPr="00D10A57" w:rsidRDefault="000B1857" w:rsidP="00D10A57">
            <w:pPr>
              <w:pStyle w:val="Styl2"/>
              <w:rPr>
                <w:b/>
                <w:bCs/>
              </w:rPr>
            </w:pPr>
            <w:r w:rsidRPr="00D10A57">
              <w:t xml:space="preserve">Miro Suno 2021 </w:t>
            </w:r>
          </w:p>
        </w:tc>
        <w:tc>
          <w:tcPr>
            <w:tcW w:w="0" w:type="auto"/>
          </w:tcPr>
          <w:p w14:paraId="6745741E" w14:textId="77777777" w:rsidR="000B1857" w:rsidRPr="00D10A57" w:rsidRDefault="000B1857" w:rsidP="00D56307">
            <w:pPr>
              <w:pStyle w:val="Styl2"/>
              <w:jc w:val="right"/>
              <w:rPr>
                <w:b/>
                <w:bCs/>
              </w:rPr>
            </w:pPr>
            <w:r w:rsidRPr="00D10A57">
              <w:rPr>
                <w:b/>
                <w:bCs/>
              </w:rPr>
              <w:t xml:space="preserve">32 000 </w:t>
            </w:r>
          </w:p>
        </w:tc>
      </w:tr>
      <w:tr w:rsidR="000B1857" w:rsidRPr="00D10A57" w14:paraId="7CAA0D1C" w14:textId="77777777" w:rsidTr="004A037F">
        <w:tc>
          <w:tcPr>
            <w:tcW w:w="0" w:type="auto"/>
          </w:tcPr>
          <w:p w14:paraId="6F724522" w14:textId="77777777" w:rsidR="000B1857" w:rsidRPr="00D10A57" w:rsidRDefault="000B1857" w:rsidP="00D10A57">
            <w:pPr>
              <w:pStyle w:val="Styl2"/>
              <w:rPr>
                <w:b/>
                <w:bCs/>
              </w:rPr>
            </w:pPr>
            <w:r w:rsidRPr="00D10A57">
              <w:t xml:space="preserve">R-Mosty, z.s., Praha 3 </w:t>
            </w:r>
          </w:p>
        </w:tc>
        <w:tc>
          <w:tcPr>
            <w:tcW w:w="0" w:type="auto"/>
          </w:tcPr>
          <w:p w14:paraId="0DD32DC1" w14:textId="77777777" w:rsidR="000B1857" w:rsidRPr="00D10A57" w:rsidRDefault="000B1857" w:rsidP="00D10A57">
            <w:pPr>
              <w:pStyle w:val="Styl2"/>
              <w:rPr>
                <w:b/>
                <w:bCs/>
              </w:rPr>
            </w:pPr>
            <w:r w:rsidRPr="00D10A57">
              <w:t xml:space="preserve">Bašaven Čhavele! </w:t>
            </w:r>
          </w:p>
        </w:tc>
        <w:tc>
          <w:tcPr>
            <w:tcW w:w="0" w:type="auto"/>
          </w:tcPr>
          <w:p w14:paraId="798EF716" w14:textId="77777777" w:rsidR="000B1857" w:rsidRPr="00D10A57" w:rsidRDefault="000B1857" w:rsidP="00D56307">
            <w:pPr>
              <w:pStyle w:val="Styl2"/>
              <w:jc w:val="right"/>
              <w:rPr>
                <w:b/>
                <w:bCs/>
              </w:rPr>
            </w:pPr>
            <w:r w:rsidRPr="00D10A57">
              <w:rPr>
                <w:b/>
                <w:bCs/>
              </w:rPr>
              <w:t xml:space="preserve">86 660 </w:t>
            </w:r>
          </w:p>
        </w:tc>
      </w:tr>
      <w:tr w:rsidR="000B1857" w:rsidRPr="00D10A57" w14:paraId="7FCACCF6" w14:textId="77777777" w:rsidTr="004A037F">
        <w:tc>
          <w:tcPr>
            <w:tcW w:w="0" w:type="auto"/>
          </w:tcPr>
          <w:p w14:paraId="22C5F0C5" w14:textId="77777777" w:rsidR="000B1857" w:rsidRPr="00D10A57" w:rsidRDefault="000B1857" w:rsidP="00D10A57">
            <w:pPr>
              <w:pStyle w:val="Styl2"/>
              <w:rPr>
                <w:b/>
                <w:bCs/>
              </w:rPr>
            </w:pPr>
            <w:r w:rsidRPr="00D10A57">
              <w:t xml:space="preserve">Roma Tanvald, z.s. </w:t>
            </w:r>
          </w:p>
        </w:tc>
        <w:tc>
          <w:tcPr>
            <w:tcW w:w="0" w:type="auto"/>
          </w:tcPr>
          <w:p w14:paraId="1EB28A50" w14:textId="77777777" w:rsidR="000B1857" w:rsidRPr="00D10A57" w:rsidRDefault="000B1857" w:rsidP="00D10A57">
            <w:pPr>
              <w:pStyle w:val="Styl2"/>
              <w:rPr>
                <w:b/>
                <w:bCs/>
              </w:rPr>
            </w:pPr>
            <w:r w:rsidRPr="00D10A57">
              <w:t xml:space="preserve">2. letní festival - SPOLEČNĚ TO DÁME </w:t>
            </w:r>
          </w:p>
        </w:tc>
        <w:tc>
          <w:tcPr>
            <w:tcW w:w="0" w:type="auto"/>
          </w:tcPr>
          <w:p w14:paraId="4270E33F" w14:textId="77777777" w:rsidR="000B1857" w:rsidRPr="00D10A57" w:rsidRDefault="000B1857" w:rsidP="00D56307">
            <w:pPr>
              <w:pStyle w:val="Styl2"/>
              <w:jc w:val="right"/>
              <w:rPr>
                <w:b/>
                <w:bCs/>
              </w:rPr>
            </w:pPr>
            <w:r w:rsidRPr="00D10A57">
              <w:rPr>
                <w:b/>
                <w:bCs/>
              </w:rPr>
              <w:t xml:space="preserve">34 660 </w:t>
            </w:r>
          </w:p>
        </w:tc>
      </w:tr>
      <w:tr w:rsidR="000B1857" w:rsidRPr="00D10A57" w14:paraId="6F4C7EE5" w14:textId="77777777" w:rsidTr="004A037F">
        <w:tc>
          <w:tcPr>
            <w:tcW w:w="0" w:type="auto"/>
          </w:tcPr>
          <w:p w14:paraId="2225FAD8" w14:textId="77777777" w:rsidR="000B1857" w:rsidRPr="00D10A57" w:rsidRDefault="000B1857" w:rsidP="00D10A57">
            <w:pPr>
              <w:pStyle w:val="Styl2"/>
              <w:rPr>
                <w:b/>
                <w:bCs/>
              </w:rPr>
            </w:pPr>
            <w:r w:rsidRPr="00D10A57">
              <w:t xml:space="preserve">Romano jasnica, z.s., Trmice </w:t>
            </w:r>
          </w:p>
        </w:tc>
        <w:tc>
          <w:tcPr>
            <w:tcW w:w="0" w:type="auto"/>
          </w:tcPr>
          <w:p w14:paraId="26150584" w14:textId="77777777" w:rsidR="000B1857" w:rsidRPr="00D10A57" w:rsidRDefault="000B1857" w:rsidP="00D10A57">
            <w:pPr>
              <w:pStyle w:val="Styl2"/>
              <w:rPr>
                <w:b/>
                <w:bCs/>
              </w:rPr>
            </w:pPr>
            <w:r w:rsidRPr="00D10A57">
              <w:t xml:space="preserve">15. Různobarevný festival </w:t>
            </w:r>
          </w:p>
        </w:tc>
        <w:tc>
          <w:tcPr>
            <w:tcW w:w="0" w:type="auto"/>
          </w:tcPr>
          <w:p w14:paraId="0F8152A7" w14:textId="77777777" w:rsidR="000B1857" w:rsidRPr="00D10A57" w:rsidRDefault="000B1857" w:rsidP="00D56307">
            <w:pPr>
              <w:pStyle w:val="Styl2"/>
              <w:jc w:val="right"/>
              <w:rPr>
                <w:b/>
                <w:bCs/>
              </w:rPr>
            </w:pPr>
            <w:r w:rsidRPr="00D10A57">
              <w:rPr>
                <w:b/>
                <w:bCs/>
              </w:rPr>
              <w:t xml:space="preserve">73 330 </w:t>
            </w:r>
          </w:p>
        </w:tc>
      </w:tr>
      <w:tr w:rsidR="000B1857" w:rsidRPr="00D10A57" w14:paraId="061C3014" w14:textId="77777777" w:rsidTr="004A037F">
        <w:tc>
          <w:tcPr>
            <w:tcW w:w="0" w:type="auto"/>
          </w:tcPr>
          <w:p w14:paraId="64AD1A2A" w14:textId="77777777" w:rsidR="000B1857" w:rsidRPr="00D10A57" w:rsidRDefault="000B1857" w:rsidP="00D10A57">
            <w:pPr>
              <w:pStyle w:val="Styl2"/>
              <w:rPr>
                <w:b/>
                <w:bCs/>
              </w:rPr>
            </w:pPr>
            <w:r w:rsidRPr="00D10A57">
              <w:t xml:space="preserve">Romanodrom o.p.s., Praha 1 </w:t>
            </w:r>
          </w:p>
        </w:tc>
        <w:tc>
          <w:tcPr>
            <w:tcW w:w="0" w:type="auto"/>
          </w:tcPr>
          <w:p w14:paraId="5FD1AA94" w14:textId="77777777" w:rsidR="000B1857" w:rsidRPr="00D10A57" w:rsidRDefault="000B1857" w:rsidP="00D10A57">
            <w:pPr>
              <w:pStyle w:val="Styl2"/>
              <w:rPr>
                <w:b/>
                <w:bCs/>
              </w:rPr>
            </w:pPr>
            <w:r w:rsidRPr="00D10A57">
              <w:t xml:space="preserve">MIRI GILI 2021 </w:t>
            </w:r>
          </w:p>
        </w:tc>
        <w:tc>
          <w:tcPr>
            <w:tcW w:w="0" w:type="auto"/>
          </w:tcPr>
          <w:p w14:paraId="0989CA22" w14:textId="77777777" w:rsidR="000B1857" w:rsidRPr="00D10A57" w:rsidRDefault="000B1857" w:rsidP="00D56307">
            <w:pPr>
              <w:pStyle w:val="Styl2"/>
              <w:jc w:val="right"/>
              <w:rPr>
                <w:b/>
                <w:bCs/>
              </w:rPr>
            </w:pPr>
            <w:r w:rsidRPr="00D10A57">
              <w:rPr>
                <w:b/>
                <w:bCs/>
              </w:rPr>
              <w:t xml:space="preserve">182 550 </w:t>
            </w:r>
          </w:p>
        </w:tc>
      </w:tr>
      <w:tr w:rsidR="000B1857" w:rsidRPr="00D10A57" w14:paraId="3F1F58D9" w14:textId="77777777" w:rsidTr="004A037F">
        <w:tc>
          <w:tcPr>
            <w:tcW w:w="0" w:type="auto"/>
          </w:tcPr>
          <w:p w14:paraId="026D2BD0" w14:textId="77777777" w:rsidR="000B1857" w:rsidRPr="00D10A57" w:rsidRDefault="000B1857" w:rsidP="00D10A57">
            <w:pPr>
              <w:pStyle w:val="Styl2"/>
              <w:rPr>
                <w:b/>
                <w:bCs/>
              </w:rPr>
            </w:pPr>
            <w:r w:rsidRPr="00D10A57">
              <w:t xml:space="preserve">Společenství Romů na Moravě Romano jekhetaniben pre Morava z.s., Brno </w:t>
            </w:r>
          </w:p>
        </w:tc>
        <w:tc>
          <w:tcPr>
            <w:tcW w:w="0" w:type="auto"/>
          </w:tcPr>
          <w:p w14:paraId="3136750C" w14:textId="77777777" w:rsidR="000B1857" w:rsidRPr="00D10A57" w:rsidRDefault="000B1857" w:rsidP="00D10A57">
            <w:pPr>
              <w:pStyle w:val="Styl2"/>
              <w:rPr>
                <w:b/>
                <w:bCs/>
              </w:rPr>
            </w:pPr>
            <w:r w:rsidRPr="00D10A57">
              <w:t xml:space="preserve">Kulturní aktivity SRNM Olomouc </w:t>
            </w:r>
          </w:p>
        </w:tc>
        <w:tc>
          <w:tcPr>
            <w:tcW w:w="0" w:type="auto"/>
          </w:tcPr>
          <w:p w14:paraId="113526D4" w14:textId="77777777" w:rsidR="000B1857" w:rsidRPr="00D10A57" w:rsidRDefault="000B1857" w:rsidP="00D56307">
            <w:pPr>
              <w:pStyle w:val="Styl2"/>
              <w:jc w:val="right"/>
              <w:rPr>
                <w:b/>
                <w:bCs/>
              </w:rPr>
            </w:pPr>
            <w:r w:rsidRPr="00D10A57">
              <w:rPr>
                <w:b/>
                <w:bCs/>
              </w:rPr>
              <w:t xml:space="preserve">36 160 </w:t>
            </w:r>
          </w:p>
        </w:tc>
      </w:tr>
      <w:tr w:rsidR="000B1857" w:rsidRPr="00D10A57" w14:paraId="74E7AAF7" w14:textId="77777777" w:rsidTr="004A037F">
        <w:tc>
          <w:tcPr>
            <w:tcW w:w="0" w:type="auto"/>
          </w:tcPr>
          <w:p w14:paraId="30A061C3" w14:textId="77777777" w:rsidR="000B1857" w:rsidRPr="00D10A57" w:rsidRDefault="000B1857" w:rsidP="00D10A57">
            <w:pPr>
              <w:pStyle w:val="Styl2"/>
              <w:rPr>
                <w:b/>
                <w:bCs/>
              </w:rPr>
            </w:pPr>
            <w:r w:rsidRPr="00D10A57">
              <w:t xml:space="preserve">Společně – Jekhetane, o.p.s., Ostrava </w:t>
            </w:r>
          </w:p>
        </w:tc>
        <w:tc>
          <w:tcPr>
            <w:tcW w:w="0" w:type="auto"/>
          </w:tcPr>
          <w:p w14:paraId="13D34305" w14:textId="77777777" w:rsidR="000B1857" w:rsidRPr="00D10A57" w:rsidRDefault="000B1857" w:rsidP="00D10A57">
            <w:pPr>
              <w:pStyle w:val="Styl2"/>
              <w:rPr>
                <w:b/>
                <w:bCs/>
              </w:rPr>
            </w:pPr>
            <w:r w:rsidRPr="00D10A57">
              <w:t xml:space="preserve">Setkání vzájemného porozumění </w:t>
            </w:r>
          </w:p>
        </w:tc>
        <w:tc>
          <w:tcPr>
            <w:tcW w:w="0" w:type="auto"/>
          </w:tcPr>
          <w:p w14:paraId="2ABECDBE" w14:textId="77777777" w:rsidR="000B1857" w:rsidRPr="00D10A57" w:rsidRDefault="000B1857" w:rsidP="00D56307">
            <w:pPr>
              <w:pStyle w:val="Styl2"/>
              <w:jc w:val="right"/>
              <w:rPr>
                <w:b/>
                <w:bCs/>
              </w:rPr>
            </w:pPr>
            <w:r w:rsidRPr="00D10A57">
              <w:rPr>
                <w:b/>
                <w:bCs/>
              </w:rPr>
              <w:t xml:space="preserve">35 440 </w:t>
            </w:r>
          </w:p>
        </w:tc>
      </w:tr>
      <w:tr w:rsidR="000B1857" w:rsidRPr="00D10A57" w14:paraId="072F9FE6" w14:textId="77777777" w:rsidTr="004A037F">
        <w:tc>
          <w:tcPr>
            <w:tcW w:w="0" w:type="auto"/>
          </w:tcPr>
          <w:p w14:paraId="7696C7BA" w14:textId="77777777" w:rsidR="000B1857" w:rsidRPr="00D10A57" w:rsidRDefault="000B1857" w:rsidP="00D10A57">
            <w:pPr>
              <w:pStyle w:val="Styl2"/>
              <w:rPr>
                <w:b/>
                <w:bCs/>
              </w:rPr>
            </w:pPr>
            <w:r w:rsidRPr="00D10A57">
              <w:t xml:space="preserve">Výbor pro odškodnění romského holokaustu z.s., Hořice </w:t>
            </w:r>
          </w:p>
        </w:tc>
        <w:tc>
          <w:tcPr>
            <w:tcW w:w="0" w:type="auto"/>
          </w:tcPr>
          <w:p w14:paraId="11793078" w14:textId="77777777" w:rsidR="000B1857" w:rsidRPr="00D10A57" w:rsidRDefault="000B1857" w:rsidP="00D10A57">
            <w:pPr>
              <w:pStyle w:val="Styl2"/>
              <w:rPr>
                <w:b/>
                <w:bCs/>
              </w:rPr>
            </w:pPr>
            <w:r w:rsidRPr="00D10A57">
              <w:t xml:space="preserve">Pietní akt Lety 2021 </w:t>
            </w:r>
          </w:p>
        </w:tc>
        <w:tc>
          <w:tcPr>
            <w:tcW w:w="0" w:type="auto"/>
          </w:tcPr>
          <w:p w14:paraId="714535D8" w14:textId="77777777" w:rsidR="000B1857" w:rsidRPr="00D10A57" w:rsidRDefault="000B1857" w:rsidP="00D56307">
            <w:pPr>
              <w:pStyle w:val="Styl2"/>
              <w:jc w:val="right"/>
              <w:rPr>
                <w:b/>
                <w:bCs/>
              </w:rPr>
            </w:pPr>
            <w:r w:rsidRPr="00D10A57">
              <w:rPr>
                <w:b/>
                <w:bCs/>
              </w:rPr>
              <w:t xml:space="preserve">49 110 </w:t>
            </w:r>
          </w:p>
        </w:tc>
      </w:tr>
      <w:tr w:rsidR="000B1857" w:rsidRPr="00D10A57" w14:paraId="2D6F04B5" w14:textId="77777777" w:rsidTr="004A037F">
        <w:tc>
          <w:tcPr>
            <w:tcW w:w="0" w:type="auto"/>
          </w:tcPr>
          <w:p w14:paraId="4915FAEB" w14:textId="77777777" w:rsidR="000B1857" w:rsidRPr="00D10A57" w:rsidRDefault="000B1857" w:rsidP="00D10A57">
            <w:pPr>
              <w:pStyle w:val="Styl2"/>
              <w:rPr>
                <w:b/>
                <w:bCs/>
              </w:rPr>
            </w:pPr>
            <w:r w:rsidRPr="00D10A57">
              <w:t xml:space="preserve">Vzájemné soužití, o.p.s., Ostrava </w:t>
            </w:r>
          </w:p>
        </w:tc>
        <w:tc>
          <w:tcPr>
            <w:tcW w:w="0" w:type="auto"/>
          </w:tcPr>
          <w:p w14:paraId="6B47E455" w14:textId="77777777" w:rsidR="000B1857" w:rsidRPr="00D10A57" w:rsidRDefault="000B1857" w:rsidP="00D10A57">
            <w:pPr>
              <w:pStyle w:val="Styl2"/>
              <w:rPr>
                <w:b/>
                <w:bCs/>
              </w:rPr>
            </w:pPr>
            <w:r w:rsidRPr="00D10A57">
              <w:t xml:space="preserve">Romano baripen 2021 </w:t>
            </w:r>
          </w:p>
        </w:tc>
        <w:tc>
          <w:tcPr>
            <w:tcW w:w="0" w:type="auto"/>
          </w:tcPr>
          <w:p w14:paraId="400F7E59" w14:textId="77777777" w:rsidR="000B1857" w:rsidRPr="00D10A57" w:rsidRDefault="000B1857" w:rsidP="00D56307">
            <w:pPr>
              <w:pStyle w:val="Styl2"/>
              <w:jc w:val="right"/>
              <w:rPr>
                <w:b/>
                <w:bCs/>
              </w:rPr>
            </w:pPr>
            <w:r w:rsidRPr="00D10A57">
              <w:rPr>
                <w:b/>
                <w:bCs/>
              </w:rPr>
              <w:t xml:space="preserve">27 770 </w:t>
            </w:r>
          </w:p>
        </w:tc>
      </w:tr>
      <w:tr w:rsidR="000B1857" w:rsidRPr="00D10A57" w14:paraId="5E5A3234" w14:textId="77777777" w:rsidTr="004A037F">
        <w:tc>
          <w:tcPr>
            <w:tcW w:w="0" w:type="auto"/>
          </w:tcPr>
          <w:p w14:paraId="17146E92" w14:textId="77777777" w:rsidR="000B1857" w:rsidRPr="00D10A57" w:rsidRDefault="000B1857" w:rsidP="00D10A57">
            <w:pPr>
              <w:pStyle w:val="Styl2"/>
              <w:rPr>
                <w:b/>
                <w:bCs/>
              </w:rPr>
            </w:pPr>
            <w:r w:rsidRPr="00D10A57">
              <w:t xml:space="preserve">Živá paměť, o.p.s., Praha 1 </w:t>
            </w:r>
          </w:p>
        </w:tc>
        <w:tc>
          <w:tcPr>
            <w:tcW w:w="0" w:type="auto"/>
          </w:tcPr>
          <w:p w14:paraId="05E29037" w14:textId="77777777" w:rsidR="000B1857" w:rsidRPr="00D10A57" w:rsidRDefault="000B1857" w:rsidP="00D10A57">
            <w:pPr>
              <w:pStyle w:val="Styl2"/>
              <w:rPr>
                <w:b/>
                <w:bCs/>
              </w:rPr>
            </w:pPr>
            <w:r w:rsidRPr="00D10A57">
              <w:t xml:space="preserve">Putovní výstava – Osudy Romů za 2. světové války </w:t>
            </w:r>
          </w:p>
        </w:tc>
        <w:tc>
          <w:tcPr>
            <w:tcW w:w="0" w:type="auto"/>
          </w:tcPr>
          <w:p w14:paraId="5FC331CB" w14:textId="77777777" w:rsidR="000B1857" w:rsidRPr="00D10A57" w:rsidRDefault="000B1857" w:rsidP="00D56307">
            <w:pPr>
              <w:pStyle w:val="Styl2"/>
              <w:jc w:val="right"/>
              <w:rPr>
                <w:b/>
                <w:bCs/>
              </w:rPr>
            </w:pPr>
            <w:r w:rsidRPr="00D10A57">
              <w:rPr>
                <w:b/>
                <w:bCs/>
              </w:rPr>
              <w:t xml:space="preserve">104 370 </w:t>
            </w:r>
          </w:p>
        </w:tc>
      </w:tr>
      <w:tr w:rsidR="000B1857" w:rsidRPr="00D10A57" w14:paraId="003ADB07" w14:textId="77777777" w:rsidTr="004A037F">
        <w:tc>
          <w:tcPr>
            <w:tcW w:w="0" w:type="auto"/>
          </w:tcPr>
          <w:p w14:paraId="4544DF97" w14:textId="77777777" w:rsidR="000B1857" w:rsidRPr="00D10A57" w:rsidRDefault="000B1857" w:rsidP="00D10A57">
            <w:pPr>
              <w:pStyle w:val="Styl1"/>
              <w:spacing w:after="0"/>
              <w:rPr>
                <w:b/>
                <w:bCs/>
                <w:sz w:val="20"/>
                <w:szCs w:val="20"/>
              </w:rPr>
            </w:pPr>
            <w:r w:rsidRPr="00D10A57">
              <w:rPr>
                <w:b/>
                <w:bCs/>
                <w:sz w:val="20"/>
                <w:szCs w:val="20"/>
              </w:rPr>
              <w:t>CELKEM</w:t>
            </w:r>
          </w:p>
        </w:tc>
        <w:tc>
          <w:tcPr>
            <w:tcW w:w="0" w:type="auto"/>
          </w:tcPr>
          <w:p w14:paraId="7E427081" w14:textId="77777777" w:rsidR="000B1857" w:rsidRPr="00D10A57" w:rsidRDefault="000B1857" w:rsidP="00D10A57">
            <w:pPr>
              <w:pStyle w:val="Styl1"/>
              <w:spacing w:after="0"/>
              <w:rPr>
                <w:b/>
                <w:bCs/>
                <w:sz w:val="20"/>
                <w:szCs w:val="20"/>
              </w:rPr>
            </w:pPr>
          </w:p>
        </w:tc>
        <w:tc>
          <w:tcPr>
            <w:tcW w:w="0" w:type="auto"/>
          </w:tcPr>
          <w:p w14:paraId="55E2FE19" w14:textId="77777777" w:rsidR="000B1857" w:rsidRPr="00D10A57" w:rsidRDefault="00FE3E11" w:rsidP="00D56307">
            <w:pPr>
              <w:pStyle w:val="Default0"/>
              <w:jc w:val="right"/>
              <w:rPr>
                <w:sz w:val="20"/>
                <w:szCs w:val="20"/>
              </w:rPr>
            </w:pPr>
            <w:r>
              <w:rPr>
                <w:b/>
                <w:bCs/>
                <w:sz w:val="20"/>
                <w:szCs w:val="20"/>
              </w:rPr>
              <w:t>2 400 </w:t>
            </w:r>
            <w:r w:rsidR="000B1857" w:rsidRPr="00D10A57">
              <w:rPr>
                <w:b/>
                <w:bCs/>
                <w:sz w:val="20"/>
                <w:szCs w:val="20"/>
              </w:rPr>
              <w:t xml:space="preserve">880 </w:t>
            </w:r>
          </w:p>
        </w:tc>
      </w:tr>
    </w:tbl>
    <w:p w14:paraId="6CF15C21" w14:textId="77777777" w:rsidR="009B7881" w:rsidRPr="00D10A57" w:rsidRDefault="009B7881" w:rsidP="00D10A57">
      <w:pPr>
        <w:pStyle w:val="Styl1"/>
        <w:spacing w:before="240"/>
      </w:pPr>
      <w:r w:rsidRPr="00D10A57">
        <w:t xml:space="preserve">Kromě výše uvedených výběrových dotačních řízení, spadajících do náplně odboru regionální a národnostní kultury, získávají projekty příslušníků romské menšiny rovněž podporu z dalších programů resortu. </w:t>
      </w:r>
    </w:p>
    <w:p w14:paraId="02684DDD" w14:textId="77777777" w:rsidR="009B7881" w:rsidRPr="00D10A57" w:rsidRDefault="009B7881" w:rsidP="00D10A57">
      <w:pPr>
        <w:pStyle w:val="Styl1"/>
      </w:pPr>
      <w:r w:rsidRPr="00D10A57">
        <w:t xml:space="preserve">V rámci dotačního programu na </w:t>
      </w:r>
      <w:r w:rsidRPr="003D3151">
        <w:rPr>
          <w:b/>
          <w:bCs/>
        </w:rPr>
        <w:t>podporu rozšiřování a přijímání informací v jazycích národnostních menšin</w:t>
      </w:r>
      <w:r w:rsidRPr="00D10A57">
        <w:rPr>
          <w:b/>
          <w:bCs/>
        </w:rPr>
        <w:t xml:space="preserve"> </w:t>
      </w:r>
      <w:r w:rsidRPr="00D10A57">
        <w:t>Odboru médií a audiovize</w:t>
      </w:r>
      <w:r w:rsidR="0018287B">
        <w:t xml:space="preserve"> z</w:t>
      </w:r>
      <w:r w:rsidRPr="00D10A57">
        <w:t xml:space="preserve"> jeho celkové hodnoty 24 850 000 Kč, získaly projekty ve prospěch romské komunity realizované romskými subjekty 4 084 000 Kč. Jeden z dalších projektů tohoto Programu, Žijí mezi námi, věnoval dva z medailonů zástupcům romské menšiny – básnířce a spisovatelce Ivetě Kokyové a infektologovi Jakubovi Jarému. Celkem byly podpořeny projekty v hodnotě 4 230 000 Kč a jednalo se především o podporu periodických tiskovin, novin a časopisů a dvou mediálních projektů. </w:t>
      </w:r>
    </w:p>
    <w:p w14:paraId="767FBA20" w14:textId="39DEFE1C" w:rsidR="000B1857" w:rsidRDefault="009B7881" w:rsidP="00D10A57">
      <w:pPr>
        <w:pStyle w:val="Styl1"/>
      </w:pPr>
      <w:r w:rsidRPr="00D10A57">
        <w:t xml:space="preserve">V rámci programu </w:t>
      </w:r>
      <w:r w:rsidRPr="003D3151">
        <w:rPr>
          <w:b/>
          <w:bCs/>
        </w:rPr>
        <w:t>Podpory rozšiřování a přijímání informací v jazycích národnostních menšin</w:t>
      </w:r>
      <w:r w:rsidRPr="00D10A57">
        <w:t xml:space="preserve"> byly oceněny tyto projekty příslušníků romské menšiny:</w:t>
      </w:r>
    </w:p>
    <w:p w14:paraId="3AC74B7E" w14:textId="77777777" w:rsidR="0060572D" w:rsidRPr="00D10A57" w:rsidRDefault="0060572D" w:rsidP="00D10A57">
      <w:pPr>
        <w:pStyle w:val="Styl1"/>
      </w:pPr>
    </w:p>
    <w:tbl>
      <w:tblPr>
        <w:tblStyle w:val="Mkatabulky"/>
        <w:tblW w:w="0" w:type="auto"/>
        <w:tblLook w:val="04A0" w:firstRow="1" w:lastRow="0" w:firstColumn="1" w:lastColumn="0" w:noHBand="0" w:noVBand="1"/>
      </w:tblPr>
      <w:tblGrid>
        <w:gridCol w:w="4262"/>
        <w:gridCol w:w="3285"/>
        <w:gridCol w:w="1495"/>
      </w:tblGrid>
      <w:tr w:rsidR="00680828" w:rsidRPr="00D10A57" w14:paraId="3859EF4E" w14:textId="77777777" w:rsidTr="001A7C9F">
        <w:tc>
          <w:tcPr>
            <w:tcW w:w="0" w:type="auto"/>
            <w:shd w:val="clear" w:color="auto" w:fill="548DD4" w:themeFill="text2" w:themeFillTint="99"/>
          </w:tcPr>
          <w:p w14:paraId="1D14493A" w14:textId="77777777" w:rsidR="00680828" w:rsidRPr="00D10A57" w:rsidRDefault="00680828" w:rsidP="00D10A57">
            <w:pPr>
              <w:pStyle w:val="Styl2"/>
              <w:rPr>
                <w:b/>
              </w:rPr>
            </w:pPr>
            <w:r w:rsidRPr="00D10A57">
              <w:rPr>
                <w:b/>
              </w:rPr>
              <w:lastRenderedPageBreak/>
              <w:t xml:space="preserve">Předkladatel, místo </w:t>
            </w:r>
          </w:p>
        </w:tc>
        <w:tc>
          <w:tcPr>
            <w:tcW w:w="0" w:type="auto"/>
            <w:shd w:val="clear" w:color="auto" w:fill="548DD4" w:themeFill="text2" w:themeFillTint="99"/>
          </w:tcPr>
          <w:p w14:paraId="2E49FA55" w14:textId="77777777" w:rsidR="00680828" w:rsidRPr="00D10A57" w:rsidRDefault="00680828" w:rsidP="00D10A57">
            <w:pPr>
              <w:pStyle w:val="Styl2"/>
              <w:rPr>
                <w:b/>
              </w:rPr>
            </w:pPr>
            <w:r w:rsidRPr="00D10A57">
              <w:rPr>
                <w:b/>
              </w:rPr>
              <w:t xml:space="preserve">Projekt </w:t>
            </w:r>
          </w:p>
        </w:tc>
        <w:tc>
          <w:tcPr>
            <w:tcW w:w="0" w:type="auto"/>
            <w:shd w:val="clear" w:color="auto" w:fill="548DD4" w:themeFill="text2" w:themeFillTint="99"/>
          </w:tcPr>
          <w:p w14:paraId="6715548F" w14:textId="0E479B51" w:rsidR="00680828" w:rsidRPr="00D10A57" w:rsidRDefault="00680828" w:rsidP="00D10A57">
            <w:pPr>
              <w:pStyle w:val="Styl2"/>
              <w:rPr>
                <w:b/>
              </w:rPr>
            </w:pPr>
            <w:r w:rsidRPr="00D10A57">
              <w:rPr>
                <w:b/>
              </w:rPr>
              <w:t xml:space="preserve">Dotace </w:t>
            </w:r>
            <w:r w:rsidR="00530CE1">
              <w:rPr>
                <w:b/>
              </w:rPr>
              <w:t>(</w:t>
            </w:r>
            <w:r w:rsidRPr="00D10A57">
              <w:rPr>
                <w:b/>
              </w:rPr>
              <w:t>v Kč</w:t>
            </w:r>
            <w:r w:rsidR="00530CE1">
              <w:rPr>
                <w:b/>
              </w:rPr>
              <w:t>)</w:t>
            </w:r>
            <w:r w:rsidRPr="00D10A57">
              <w:rPr>
                <w:b/>
              </w:rPr>
              <w:t xml:space="preserve"> </w:t>
            </w:r>
          </w:p>
        </w:tc>
      </w:tr>
      <w:tr w:rsidR="00680828" w:rsidRPr="00D10A57" w14:paraId="56B39963" w14:textId="77777777" w:rsidTr="001A7C9F">
        <w:tc>
          <w:tcPr>
            <w:tcW w:w="0" w:type="auto"/>
          </w:tcPr>
          <w:p w14:paraId="6D3E58C0" w14:textId="77777777" w:rsidR="00680828" w:rsidRPr="00D10A57" w:rsidRDefault="00680828" w:rsidP="00D10A57">
            <w:pPr>
              <w:pStyle w:val="Styl2"/>
            </w:pPr>
            <w:r w:rsidRPr="00D10A57">
              <w:t xml:space="preserve">Romano džaniben, z.s., Praha </w:t>
            </w:r>
          </w:p>
        </w:tc>
        <w:tc>
          <w:tcPr>
            <w:tcW w:w="0" w:type="auto"/>
          </w:tcPr>
          <w:p w14:paraId="0BDFC0A7" w14:textId="77777777" w:rsidR="00680828" w:rsidRPr="00D10A57" w:rsidRDefault="00680828" w:rsidP="00D10A57">
            <w:pPr>
              <w:pStyle w:val="Styl2"/>
            </w:pPr>
            <w:r w:rsidRPr="00D10A57">
              <w:t xml:space="preserve">Romano džaniben/Romské vědění </w:t>
            </w:r>
          </w:p>
        </w:tc>
        <w:tc>
          <w:tcPr>
            <w:tcW w:w="0" w:type="auto"/>
          </w:tcPr>
          <w:p w14:paraId="21EE86BC" w14:textId="77777777" w:rsidR="00680828" w:rsidRPr="00D10A57" w:rsidRDefault="00680828" w:rsidP="00D56307">
            <w:pPr>
              <w:pStyle w:val="Styl2"/>
              <w:jc w:val="right"/>
            </w:pPr>
            <w:r w:rsidRPr="00D10A57">
              <w:t xml:space="preserve">526 000 </w:t>
            </w:r>
          </w:p>
        </w:tc>
      </w:tr>
      <w:tr w:rsidR="00680828" w:rsidRPr="00D10A57" w14:paraId="56181D8A" w14:textId="77777777" w:rsidTr="001A7C9F">
        <w:tc>
          <w:tcPr>
            <w:tcW w:w="0" w:type="auto"/>
          </w:tcPr>
          <w:p w14:paraId="4310428E" w14:textId="77777777" w:rsidR="00680828" w:rsidRPr="00D10A57" w:rsidRDefault="00680828" w:rsidP="00D10A57">
            <w:pPr>
              <w:pStyle w:val="Styl2"/>
            </w:pPr>
            <w:r w:rsidRPr="00D10A57">
              <w:t xml:space="preserve">Společenství Romů na Moravě, Brno </w:t>
            </w:r>
          </w:p>
        </w:tc>
        <w:tc>
          <w:tcPr>
            <w:tcW w:w="0" w:type="auto"/>
          </w:tcPr>
          <w:p w14:paraId="61D62863" w14:textId="77777777" w:rsidR="00680828" w:rsidRPr="00D10A57" w:rsidRDefault="00680828" w:rsidP="00D10A57">
            <w:pPr>
              <w:pStyle w:val="Styl2"/>
            </w:pPr>
            <w:r w:rsidRPr="00D10A57">
              <w:t xml:space="preserve">Romano hangos/Romský hlas </w:t>
            </w:r>
          </w:p>
        </w:tc>
        <w:tc>
          <w:tcPr>
            <w:tcW w:w="0" w:type="auto"/>
          </w:tcPr>
          <w:p w14:paraId="6FD83FE5" w14:textId="77777777" w:rsidR="00680828" w:rsidRPr="00D10A57" w:rsidRDefault="00680828" w:rsidP="00D56307">
            <w:pPr>
              <w:pStyle w:val="Styl2"/>
              <w:jc w:val="right"/>
            </w:pPr>
            <w:r w:rsidRPr="00D10A57">
              <w:t xml:space="preserve">930 000 </w:t>
            </w:r>
          </w:p>
        </w:tc>
      </w:tr>
      <w:tr w:rsidR="00680828" w:rsidRPr="00D10A57" w14:paraId="7F4980D4" w14:textId="77777777" w:rsidTr="001A7C9F">
        <w:tc>
          <w:tcPr>
            <w:tcW w:w="0" w:type="auto"/>
          </w:tcPr>
          <w:p w14:paraId="76321FF4" w14:textId="77777777" w:rsidR="00680828" w:rsidRPr="00D10A57" w:rsidRDefault="00680828" w:rsidP="00D10A57">
            <w:pPr>
              <w:pStyle w:val="Styl2"/>
            </w:pPr>
            <w:r w:rsidRPr="00D10A57">
              <w:t xml:space="preserve">Romea, o.p.s., Praha </w:t>
            </w:r>
          </w:p>
        </w:tc>
        <w:tc>
          <w:tcPr>
            <w:tcW w:w="0" w:type="auto"/>
          </w:tcPr>
          <w:p w14:paraId="7C00D843" w14:textId="77777777" w:rsidR="00680828" w:rsidRPr="00D10A57" w:rsidRDefault="00680828" w:rsidP="00D10A57">
            <w:pPr>
              <w:pStyle w:val="Styl2"/>
            </w:pPr>
            <w:r w:rsidRPr="00D10A57">
              <w:t xml:space="preserve">Romano voďi/Romská duše </w:t>
            </w:r>
          </w:p>
        </w:tc>
        <w:tc>
          <w:tcPr>
            <w:tcW w:w="0" w:type="auto"/>
          </w:tcPr>
          <w:p w14:paraId="47756FA9" w14:textId="77777777" w:rsidR="00680828" w:rsidRPr="00D10A57" w:rsidRDefault="00680828" w:rsidP="00D56307">
            <w:pPr>
              <w:pStyle w:val="Styl2"/>
              <w:jc w:val="right"/>
            </w:pPr>
            <w:r w:rsidRPr="00D10A57">
              <w:t xml:space="preserve">840 000 </w:t>
            </w:r>
          </w:p>
        </w:tc>
      </w:tr>
      <w:tr w:rsidR="00680828" w:rsidRPr="00D10A57" w14:paraId="7501B26A" w14:textId="77777777" w:rsidTr="001A7C9F">
        <w:tc>
          <w:tcPr>
            <w:tcW w:w="0" w:type="auto"/>
          </w:tcPr>
          <w:p w14:paraId="41E04E6F" w14:textId="77777777" w:rsidR="00680828" w:rsidRPr="00D10A57" w:rsidRDefault="00680828" w:rsidP="00D10A57">
            <w:pPr>
              <w:pStyle w:val="Styl2"/>
            </w:pPr>
            <w:r w:rsidRPr="00D10A57">
              <w:t xml:space="preserve">Demokratická aliance Romů ČR, z.s., Valmez </w:t>
            </w:r>
          </w:p>
        </w:tc>
        <w:tc>
          <w:tcPr>
            <w:tcW w:w="0" w:type="auto"/>
          </w:tcPr>
          <w:p w14:paraId="552DD742" w14:textId="77777777" w:rsidR="00680828" w:rsidRPr="00D10A57" w:rsidRDefault="00680828" w:rsidP="00D10A57">
            <w:pPr>
              <w:pStyle w:val="Styl2"/>
            </w:pPr>
            <w:r w:rsidRPr="00D10A57">
              <w:t xml:space="preserve">Kereka/Kruh </w:t>
            </w:r>
          </w:p>
        </w:tc>
        <w:tc>
          <w:tcPr>
            <w:tcW w:w="0" w:type="auto"/>
          </w:tcPr>
          <w:p w14:paraId="5AA7DE22" w14:textId="77777777" w:rsidR="00680828" w:rsidRPr="00D10A57" w:rsidRDefault="00680828" w:rsidP="00D56307">
            <w:pPr>
              <w:pStyle w:val="Styl2"/>
              <w:jc w:val="right"/>
            </w:pPr>
            <w:r w:rsidRPr="00D10A57">
              <w:t xml:space="preserve">1 600 000 </w:t>
            </w:r>
          </w:p>
        </w:tc>
      </w:tr>
      <w:tr w:rsidR="00680828" w:rsidRPr="00D10A57" w14:paraId="1163B8DA" w14:textId="77777777" w:rsidTr="001A7C9F">
        <w:tc>
          <w:tcPr>
            <w:tcW w:w="0" w:type="auto"/>
          </w:tcPr>
          <w:p w14:paraId="5D267435" w14:textId="77777777" w:rsidR="00680828" w:rsidRPr="00D10A57" w:rsidRDefault="00680828" w:rsidP="00D10A57">
            <w:pPr>
              <w:pStyle w:val="Styl2"/>
            </w:pPr>
            <w:r w:rsidRPr="00D10A57">
              <w:t xml:space="preserve">TUKE.TV, z.s., Dolní Kounice </w:t>
            </w:r>
          </w:p>
        </w:tc>
        <w:tc>
          <w:tcPr>
            <w:tcW w:w="0" w:type="auto"/>
          </w:tcPr>
          <w:p w14:paraId="2744FE15" w14:textId="77777777" w:rsidR="00680828" w:rsidRPr="00D10A57" w:rsidRDefault="00680828" w:rsidP="00D10A57">
            <w:pPr>
              <w:pStyle w:val="Styl2"/>
            </w:pPr>
            <w:r w:rsidRPr="00D10A57">
              <w:t xml:space="preserve">Amare lavutara </w:t>
            </w:r>
          </w:p>
        </w:tc>
        <w:tc>
          <w:tcPr>
            <w:tcW w:w="0" w:type="auto"/>
          </w:tcPr>
          <w:p w14:paraId="1CD42387" w14:textId="77777777" w:rsidR="00680828" w:rsidRPr="00D10A57" w:rsidRDefault="00680828" w:rsidP="00D56307">
            <w:pPr>
              <w:pStyle w:val="Styl2"/>
              <w:jc w:val="right"/>
            </w:pPr>
            <w:r w:rsidRPr="00D10A57">
              <w:t xml:space="preserve">188 000 </w:t>
            </w:r>
          </w:p>
        </w:tc>
      </w:tr>
      <w:tr w:rsidR="00680828" w:rsidRPr="00D10A57" w14:paraId="0380007C" w14:textId="77777777" w:rsidTr="001A7C9F">
        <w:tc>
          <w:tcPr>
            <w:tcW w:w="0" w:type="auto"/>
          </w:tcPr>
          <w:p w14:paraId="39B74F9F" w14:textId="77777777" w:rsidR="00680828" w:rsidRPr="00D10A57" w:rsidRDefault="00680828" w:rsidP="00D10A57">
            <w:pPr>
              <w:pStyle w:val="Styl2"/>
            </w:pPr>
            <w:r w:rsidRPr="00D10A57">
              <w:t xml:space="preserve">Regionální televize CZ, s.r.o., Praha </w:t>
            </w:r>
          </w:p>
        </w:tc>
        <w:tc>
          <w:tcPr>
            <w:tcW w:w="0" w:type="auto"/>
          </w:tcPr>
          <w:p w14:paraId="48766B17" w14:textId="77777777" w:rsidR="00680828" w:rsidRPr="00D10A57" w:rsidRDefault="00680828" w:rsidP="00D10A57">
            <w:pPr>
              <w:pStyle w:val="Styl2"/>
            </w:pPr>
            <w:r w:rsidRPr="00D10A57">
              <w:t xml:space="preserve">Žijí mezi námi - I. Kokyová, J. Jarý </w:t>
            </w:r>
          </w:p>
        </w:tc>
        <w:tc>
          <w:tcPr>
            <w:tcW w:w="0" w:type="auto"/>
          </w:tcPr>
          <w:p w14:paraId="01F73384" w14:textId="77777777" w:rsidR="00680828" w:rsidRPr="00D10A57" w:rsidRDefault="00680828" w:rsidP="00D56307">
            <w:pPr>
              <w:pStyle w:val="Styl2"/>
              <w:jc w:val="right"/>
            </w:pPr>
            <w:r w:rsidRPr="00D10A57">
              <w:t xml:space="preserve">146 000 </w:t>
            </w:r>
          </w:p>
        </w:tc>
      </w:tr>
      <w:tr w:rsidR="00680828" w:rsidRPr="00D10A57" w14:paraId="55E1C827" w14:textId="77777777" w:rsidTr="001A7C9F">
        <w:tc>
          <w:tcPr>
            <w:tcW w:w="0" w:type="auto"/>
          </w:tcPr>
          <w:p w14:paraId="609F4AFF" w14:textId="77777777" w:rsidR="00680828" w:rsidRPr="00D10A57" w:rsidRDefault="00EF16A7" w:rsidP="00D10A57">
            <w:pPr>
              <w:pStyle w:val="Styl2"/>
              <w:rPr>
                <w:b/>
              </w:rPr>
            </w:pPr>
            <w:r w:rsidRPr="00D10A57">
              <w:rPr>
                <w:b/>
                <w:bCs/>
              </w:rPr>
              <w:t>CELKEM</w:t>
            </w:r>
          </w:p>
        </w:tc>
        <w:tc>
          <w:tcPr>
            <w:tcW w:w="0" w:type="auto"/>
          </w:tcPr>
          <w:p w14:paraId="5A0D0113" w14:textId="77777777" w:rsidR="00680828" w:rsidRPr="00D10A57" w:rsidRDefault="00680828" w:rsidP="00D10A57">
            <w:pPr>
              <w:pStyle w:val="Styl2"/>
              <w:rPr>
                <w:b/>
              </w:rPr>
            </w:pPr>
          </w:p>
        </w:tc>
        <w:tc>
          <w:tcPr>
            <w:tcW w:w="0" w:type="auto"/>
          </w:tcPr>
          <w:p w14:paraId="3FEF2EC3" w14:textId="77777777" w:rsidR="00680828" w:rsidRPr="00D10A57" w:rsidRDefault="00680828" w:rsidP="00D56307">
            <w:pPr>
              <w:pStyle w:val="Styl2"/>
              <w:jc w:val="right"/>
              <w:rPr>
                <w:b/>
              </w:rPr>
            </w:pPr>
            <w:r w:rsidRPr="00D10A57">
              <w:rPr>
                <w:b/>
              </w:rPr>
              <w:t xml:space="preserve">4 230 000 </w:t>
            </w:r>
          </w:p>
        </w:tc>
      </w:tr>
    </w:tbl>
    <w:p w14:paraId="51C86DCA" w14:textId="77777777" w:rsidR="007A3158" w:rsidRPr="00D10A57" w:rsidRDefault="007A3158" w:rsidP="00D10A57">
      <w:pPr>
        <w:pStyle w:val="Styl1"/>
        <w:spacing w:before="240"/>
      </w:pPr>
      <w:r w:rsidRPr="00D10A57">
        <w:t xml:space="preserve">V gesci odboru umění, literatury, knihoven a kreativních odvětví jsou poskytovány dotace na podporu různých kulturních projektů. Při hodnocení projektů ve výběrových dotačních řízeních je rozhodující umělecká, resp. odborná, kvalita projektů, nikoli jejich vztah k problematice romské menšiny. Ovšem dotované kulturní projekty ve svých konečných důsledcích přispívají ke zlepšení situace romské menšiny v České republice, především v oblasti přístupu jejích příslušníků ke kultuře a naopak i k poznání kultury romské menšiny. </w:t>
      </w:r>
    </w:p>
    <w:p w14:paraId="1128AE42" w14:textId="77777777" w:rsidR="007A3158" w:rsidRPr="00973F78" w:rsidRDefault="007A3158" w:rsidP="00D10A57">
      <w:pPr>
        <w:pStyle w:val="Styl1"/>
      </w:pPr>
      <w:r w:rsidRPr="00973F78">
        <w:t xml:space="preserve">Některé projekty, které byly v roce 2021 spolufinancovány dotacemi poskytovanými ze státního rozpočtu v oblasti profesionálního umění, přímo podporují kulturní dialog a poznávání kultur národnostních menšin, romskou menšinu nevyjímaje. Jde především o </w:t>
      </w:r>
      <w:r w:rsidRPr="003D3151">
        <w:rPr>
          <w:b/>
        </w:rPr>
        <w:t>velké multikulturní festivaly</w:t>
      </w:r>
      <w:r w:rsidRPr="00973F78">
        <w:t>, jejichž cílem je, mimo jiné, přispět ke vzájemnému poznávání české společnosti a příslušníků jiných národností a etnik, což v konečném důsledku přispívá ke vzájemnému pochopení a toleranci mezi českou většinou a národnostními menšinami včetně menšiny romské, potažmo k jejich lepšímu začleňování do většinové společnosti. V roce 2021 tak tento odbor poskytl dotaci ve výši 50 000 Kč na hudební</w:t>
      </w:r>
      <w:r w:rsidRPr="003D3151">
        <w:t xml:space="preserve"> program světového romského festivalu </w:t>
      </w:r>
      <w:r w:rsidRPr="003D3151">
        <w:rPr>
          <w:b/>
        </w:rPr>
        <w:t>Khamoro 2021</w:t>
      </w:r>
      <w:r w:rsidRPr="00973F78">
        <w:t xml:space="preserve"> žadatele Slovo 21. </w:t>
      </w:r>
    </w:p>
    <w:p w14:paraId="60B1E594" w14:textId="77777777" w:rsidR="007A3158" w:rsidRPr="003D3151" w:rsidRDefault="007A3158" w:rsidP="00D10A57">
      <w:pPr>
        <w:pStyle w:val="Styl1"/>
      </w:pPr>
      <w:r w:rsidRPr="003D3151">
        <w:t xml:space="preserve">Podobně jako v předchozích letech odbor umění, literatury, knihoven a kreativních odvětví poskytl rovněž dotaci ve výši 1 000 000 Kč na festival </w:t>
      </w:r>
      <w:r w:rsidRPr="003D3151">
        <w:rPr>
          <w:b/>
        </w:rPr>
        <w:t>RESPECT PLUS</w:t>
      </w:r>
      <w:r w:rsidRPr="00973F78">
        <w:t>, žadatele Rachot Production</w:t>
      </w:r>
      <w:r w:rsidRPr="003D3151">
        <w:t xml:space="preserve">, s. r. o., který je příležitostí pro vzájemné poznávání různých kultur, včetně kultury romské, a je to tedy jeden z nástrojů pro integraci romské menšiny. </w:t>
      </w:r>
    </w:p>
    <w:p w14:paraId="23C1432C" w14:textId="77777777" w:rsidR="007A3158" w:rsidRPr="00D10A57" w:rsidRDefault="007A3158" w:rsidP="00D10A57">
      <w:pPr>
        <w:pStyle w:val="Styl1"/>
      </w:pPr>
      <w:r w:rsidRPr="00D10A57">
        <w:t xml:space="preserve">Vzhledem k problémům daným epidemiologickou situací v ČR, jak bylo v úvodu zmíněno, i tyto projekty byly realizovány částečně s přenesením většiny aktivit do on-line prostředí. </w:t>
      </w:r>
    </w:p>
    <w:p w14:paraId="483AB1BF" w14:textId="46B6E3CF" w:rsidR="007A3158" w:rsidRPr="00D10A57" w:rsidRDefault="00A6261F" w:rsidP="00D10A57">
      <w:pPr>
        <w:pStyle w:val="Styl1"/>
      </w:pPr>
      <w:r w:rsidRPr="00D10A57">
        <w:t>P</w:t>
      </w:r>
      <w:r w:rsidR="007A3158" w:rsidRPr="00D10A57">
        <w:t>rojekty dotované M</w:t>
      </w:r>
      <w:r w:rsidR="00097F7F">
        <w:t>K</w:t>
      </w:r>
      <w:r w:rsidR="007A3158" w:rsidRPr="00D10A57">
        <w:t xml:space="preserve">, bez ohledu na případné změny způsobu realizace zapříčiněné pandemií </w:t>
      </w:r>
      <w:r w:rsidR="00B1766B">
        <w:t>covid-19</w:t>
      </w:r>
      <w:r w:rsidR="007A3158" w:rsidRPr="00D10A57">
        <w:t xml:space="preserve">, přispívají k tomu, aby příslušníci romské menšiny nebyli ohroženi sociálním vyloučením ve smyslu § 3 písm. f) zákona č. 108/2006 Sb. Tyto akce přispívají také k sociálnímu začleňování příslušníků romské menšiny, jakož i k naplnění některých práv, která romská menšina, stejně jako jiné národnostní menšiny, má podle zákona č. 273/2001 Sb.: jde o právo na aktivní účast na kulturním a společenském životě (§ 6 odst. 1 uvedeného zákona) a o právo na rozvoj kultury příslušníků národnostních menšin (§ 12 uvedeného zákona). Ohledně vývoje oproti roku 2020 lze pouze konstatovat, že přetrvávala nedobrá situace objektivně vyplývající z pandemie </w:t>
      </w:r>
      <w:r w:rsidR="00097F7F">
        <w:t>covid-19</w:t>
      </w:r>
      <w:r w:rsidR="007A3158" w:rsidRPr="00D10A57">
        <w:t xml:space="preserve">, přesto se však dařilo projekty, jež alespoň částečně naplňují účel vládních dokumentů týkajících se romské menšiny, realizovat, byť například v posunutých termínech, v jiné formě apod. </w:t>
      </w:r>
    </w:p>
    <w:p w14:paraId="0EC1C029" w14:textId="77777777" w:rsidR="007A3158" w:rsidRPr="00D10A57" w:rsidRDefault="007A3158" w:rsidP="00D10A57">
      <w:pPr>
        <w:pStyle w:val="Styl1"/>
      </w:pPr>
      <w:r w:rsidRPr="00D10A57">
        <w:t xml:space="preserve">V dotačním řízení </w:t>
      </w:r>
      <w:r w:rsidRPr="007C763A">
        <w:t>Knihovna 21. století</w:t>
      </w:r>
      <w:r w:rsidRPr="00D10A57">
        <w:t xml:space="preserve">, které má ve své gesci oddělení literatury a knihoven a které je určené provozovatelům knihoven, zapsaným v evidenci knihoven MK, byly v roce 2021 podpořeny následující 2 projekty v celkové výši 52 000 Kč. První z projektů konkrétně, druhý volně s romskou tematikou. Žádné další žádosti o dotaci s danou tematikou nebyly podány. </w:t>
      </w:r>
    </w:p>
    <w:p w14:paraId="39F59B38" w14:textId="77777777" w:rsidR="007A3158" w:rsidRPr="00D10A57" w:rsidRDefault="007A3158" w:rsidP="00D10A57">
      <w:pPr>
        <w:pStyle w:val="Styl1"/>
      </w:pPr>
      <w:r w:rsidRPr="00D10A57">
        <w:rPr>
          <w:b/>
          <w:bCs/>
        </w:rPr>
        <w:t xml:space="preserve">Městská knihovna Blansko </w:t>
      </w:r>
    </w:p>
    <w:p w14:paraId="1E508146" w14:textId="77777777" w:rsidR="007A3158" w:rsidRPr="00D10A57" w:rsidRDefault="007A3158" w:rsidP="00D10A57">
      <w:pPr>
        <w:pStyle w:val="Styl1"/>
      </w:pPr>
      <w:r w:rsidRPr="00D10A57">
        <w:rPr>
          <w:b/>
          <w:bCs/>
        </w:rPr>
        <w:t xml:space="preserve">Divnoženy současné české literatury </w:t>
      </w:r>
    </w:p>
    <w:p w14:paraId="117C0A50" w14:textId="77777777" w:rsidR="007A3158" w:rsidRPr="00D10A57" w:rsidRDefault="007A3158" w:rsidP="00D10A57">
      <w:pPr>
        <w:pStyle w:val="Styl1"/>
      </w:pPr>
      <w:r w:rsidRPr="00D10A57">
        <w:rPr>
          <w:i/>
          <w:iCs/>
        </w:rPr>
        <w:lastRenderedPageBreak/>
        <w:t xml:space="preserve">Anotace </w:t>
      </w:r>
    </w:p>
    <w:p w14:paraId="5EA45529" w14:textId="77777777" w:rsidR="007A3158" w:rsidRPr="00D10A57" w:rsidRDefault="007A3158" w:rsidP="00D10A57">
      <w:pPr>
        <w:pStyle w:val="Styl1"/>
      </w:pPr>
      <w:r w:rsidRPr="00D10A57">
        <w:t xml:space="preserve">Cyklus autorských čtení, besed, přednášek a workshopů s literárním propojením. Pojítko představuje nekonformita a z toho mnohdy plynoucí izolovanost, a to jak u autorek samotných, tak ženských hrdinek jejich knih. Autorky jsou vybírány z oblasti beletrie i naučné literatury, známé i méně známé. Projekt pootevírá k diskuzi některá tabuizovaná společenská a genderová témata. Pestrá škála typů akcí má za cíl oslovit a propojit různé cílové skupiny a komunity (široká veřejnost, děti, senioři, romská komunita, studenti, ženy x muži). </w:t>
      </w:r>
    </w:p>
    <w:p w14:paraId="6163E547" w14:textId="77777777" w:rsidR="007A3158" w:rsidRPr="00D10A57" w:rsidRDefault="007A3158" w:rsidP="00D10A57">
      <w:pPr>
        <w:pStyle w:val="Styl1"/>
      </w:pPr>
      <w:r w:rsidRPr="00D10A57">
        <w:rPr>
          <w:b/>
          <w:bCs/>
        </w:rPr>
        <w:t xml:space="preserve">Dotace MK - 21 000 Kč </w:t>
      </w:r>
    </w:p>
    <w:p w14:paraId="505FB766" w14:textId="77777777" w:rsidR="007A3158" w:rsidRPr="00D10A57" w:rsidRDefault="007A3158" w:rsidP="00D10A57">
      <w:pPr>
        <w:pStyle w:val="Styl1"/>
      </w:pPr>
      <w:r w:rsidRPr="00D10A57">
        <w:rPr>
          <w:b/>
          <w:bCs/>
        </w:rPr>
        <w:t xml:space="preserve">Knihovna města Ostravy </w:t>
      </w:r>
    </w:p>
    <w:p w14:paraId="030B9F65" w14:textId="77777777" w:rsidR="007A3158" w:rsidRPr="00D10A57" w:rsidRDefault="007A3158" w:rsidP="00D10A57">
      <w:pPr>
        <w:pStyle w:val="Styl1"/>
      </w:pPr>
      <w:r w:rsidRPr="00D10A57">
        <w:rPr>
          <w:b/>
          <w:bCs/>
        </w:rPr>
        <w:t xml:space="preserve">JEKHETANES - SPOLEČNĚ </w:t>
      </w:r>
    </w:p>
    <w:p w14:paraId="6FEEA946" w14:textId="77777777" w:rsidR="007A3158" w:rsidRPr="00D10A57" w:rsidRDefault="007A3158" w:rsidP="00D10A57">
      <w:pPr>
        <w:pStyle w:val="Styl1"/>
      </w:pPr>
      <w:r w:rsidRPr="00D10A57">
        <w:rPr>
          <w:i/>
          <w:iCs/>
        </w:rPr>
        <w:t xml:space="preserve">Anotace </w:t>
      </w:r>
    </w:p>
    <w:p w14:paraId="31E0DC7E" w14:textId="77777777" w:rsidR="007A3158" w:rsidRPr="00D10A57" w:rsidRDefault="007A3158" w:rsidP="00D10A57">
      <w:pPr>
        <w:pStyle w:val="Styl1"/>
      </w:pPr>
      <w:r w:rsidRPr="00D10A57">
        <w:t>Projekt cílí na romské děti a mládež. Veřejnosti zprostředkovává hlubší poznání romského etnika, ale také upevňuje povědomí romských dětí o svém pů</w:t>
      </w:r>
      <w:r w:rsidR="00D772CB">
        <w:t>vodu a důležitosti vzdělání pro </w:t>
      </w:r>
      <w:r w:rsidRPr="00D10A57">
        <w:t>jejich budoucí život. Přínosem projektu je podpora STEM vzdělávání u romských dětí. Pro</w:t>
      </w:r>
      <w:r w:rsidR="0018287B">
        <w:t> </w:t>
      </w:r>
      <w:r w:rsidRPr="00D10A57">
        <w:t>mladou romskou generaci byly uskutečněny motivační přednášky romských osobností z</w:t>
      </w:r>
      <w:r w:rsidR="0018287B">
        <w:t> </w:t>
      </w:r>
      <w:r w:rsidRPr="00D10A57">
        <w:t xml:space="preserve">různých oblastí života. Kroužek romštiny byl obohacen o zakoupené romské učebnice a došlo k rozšíření knižního fondu pro všechny zájemce o romský jazyk. </w:t>
      </w:r>
    </w:p>
    <w:p w14:paraId="1A779422" w14:textId="77777777" w:rsidR="004B24A4" w:rsidRPr="00D10A57" w:rsidRDefault="007A3158" w:rsidP="00D10A57">
      <w:pPr>
        <w:pStyle w:val="Styl1"/>
      </w:pPr>
      <w:r w:rsidRPr="00D10A57">
        <w:rPr>
          <w:b/>
          <w:bCs/>
        </w:rPr>
        <w:t xml:space="preserve">Dotace MK - 31 000 Kč </w:t>
      </w:r>
    </w:p>
    <w:p w14:paraId="787AA554" w14:textId="714E6313" w:rsidR="007A3158" w:rsidRPr="00D10A57" w:rsidRDefault="007A3158" w:rsidP="00D10A57">
      <w:pPr>
        <w:pStyle w:val="Styl1"/>
      </w:pPr>
      <w:r w:rsidRPr="00D10A57">
        <w:t>Veškeré zmíněné projekty, podpořené v rámci existujících dotačních programů M</w:t>
      </w:r>
      <w:r w:rsidR="00487D0F">
        <w:t>K</w:t>
      </w:r>
      <w:r w:rsidRPr="00D10A57">
        <w:t>, lze označit za projekty, které významně podporují snahu o integraci romské menšiny a přispívají k obohacení kultury majoritní společnosti. Ro</w:t>
      </w:r>
      <w:r w:rsidR="00D772CB">
        <w:t>mská kultura přitom neztrácí na </w:t>
      </w:r>
      <w:r w:rsidRPr="00D10A57">
        <w:t xml:space="preserve">svébytnosti. </w:t>
      </w:r>
    </w:p>
    <w:p w14:paraId="14258493" w14:textId="60093D13" w:rsidR="007A3158" w:rsidRPr="00D10A57" w:rsidRDefault="007A3158" w:rsidP="007C763A">
      <w:pPr>
        <w:pStyle w:val="Styl1"/>
        <w:numPr>
          <w:ilvl w:val="0"/>
          <w:numId w:val="40"/>
        </w:numPr>
      </w:pPr>
      <w:r w:rsidRPr="00D10A57">
        <w:rPr>
          <w:b/>
          <w:bCs/>
        </w:rPr>
        <w:t>Seznam pracovních orgánů M</w:t>
      </w:r>
      <w:r w:rsidR="00487D0F">
        <w:rPr>
          <w:b/>
          <w:bCs/>
        </w:rPr>
        <w:t>K</w:t>
      </w:r>
      <w:r w:rsidRPr="00D10A57">
        <w:rPr>
          <w:b/>
          <w:bCs/>
        </w:rPr>
        <w:t xml:space="preserve"> (komise, výbory, pracovní skupiny), které se obsahově týkají tématu romské integrace </w:t>
      </w:r>
      <w:r w:rsidR="00D772CB">
        <w:rPr>
          <w:b/>
          <w:bCs/>
        </w:rPr>
        <w:t>či jiných témat souvisejících s </w:t>
      </w:r>
      <w:r w:rsidRPr="00D10A57">
        <w:rPr>
          <w:b/>
          <w:bCs/>
        </w:rPr>
        <w:t xml:space="preserve">romskou menšinou </w:t>
      </w:r>
    </w:p>
    <w:p w14:paraId="7E5BB505" w14:textId="77777777" w:rsidR="007A3158" w:rsidRPr="00D10A57" w:rsidRDefault="007A3158" w:rsidP="007C763A">
      <w:pPr>
        <w:pStyle w:val="Styl1"/>
        <w:numPr>
          <w:ilvl w:val="0"/>
          <w:numId w:val="41"/>
        </w:numPr>
      </w:pPr>
      <w:r w:rsidRPr="00D10A57">
        <w:t xml:space="preserve">Komise pro </w:t>
      </w:r>
      <w:r w:rsidRPr="007C763A">
        <w:rPr>
          <w:bCs/>
        </w:rPr>
        <w:t>kulturní aktivity příslušníků národnostních menšin</w:t>
      </w:r>
      <w:r w:rsidRPr="00D10A57">
        <w:rPr>
          <w:b/>
          <w:bCs/>
        </w:rPr>
        <w:t xml:space="preserve"> </w:t>
      </w:r>
      <w:r w:rsidRPr="00D10A57">
        <w:t xml:space="preserve">– poradní orgán náměstkyně/náměstka ministra kultury, do jejíž/jehož působnosti náleží oblast kultury národnostních menšin žijících v České republice. Dotační program spadá do působnosti odboru regionální a národnostní kultury. Komise má 19 členů, z toho jednoho člena z řad příslušníků romské menšiny. </w:t>
      </w:r>
    </w:p>
    <w:p w14:paraId="1F3C74CF" w14:textId="77777777" w:rsidR="007A3158" w:rsidRPr="00D10A57" w:rsidRDefault="007A3158" w:rsidP="007C763A">
      <w:pPr>
        <w:pStyle w:val="Styl1"/>
        <w:numPr>
          <w:ilvl w:val="0"/>
          <w:numId w:val="41"/>
        </w:numPr>
      </w:pPr>
      <w:r w:rsidRPr="00D10A57">
        <w:t xml:space="preserve">Komise pro dotační program </w:t>
      </w:r>
      <w:r w:rsidRPr="007C763A">
        <w:rPr>
          <w:bCs/>
        </w:rPr>
        <w:t>Podpora integrace příslušníků romské menšiny</w:t>
      </w:r>
      <w:r w:rsidRPr="00D10A57">
        <w:rPr>
          <w:b/>
          <w:bCs/>
        </w:rPr>
        <w:t xml:space="preserve"> </w:t>
      </w:r>
      <w:r w:rsidRPr="00D10A57">
        <w:t xml:space="preserve">– poradní orgán náměstkyně/náměstka ministra kultury, do jejíž/jehož působnosti náleží oblast kultury národnostních menšin žijících v České republice. Dotační program spadá do působnosti odboru regionální a národnostní kultury. Komise má 9 členů, z toho 5 členů řad příslušníků romské menšiny. </w:t>
      </w:r>
    </w:p>
    <w:p w14:paraId="6D59E391" w14:textId="77777777" w:rsidR="007A3158" w:rsidRPr="00D10A57" w:rsidRDefault="007A3158" w:rsidP="007C763A">
      <w:pPr>
        <w:pStyle w:val="Styl1"/>
        <w:numPr>
          <w:ilvl w:val="0"/>
          <w:numId w:val="41"/>
        </w:numPr>
      </w:pPr>
      <w:r w:rsidRPr="00D10A57">
        <w:t xml:space="preserve">Komise pro dotační program </w:t>
      </w:r>
      <w:r w:rsidRPr="007C763A">
        <w:rPr>
          <w:bCs/>
        </w:rPr>
        <w:t>podporu rozšiřování a přijímání informací v jazycích národnostních menšin</w:t>
      </w:r>
      <w:r w:rsidRPr="00D10A57">
        <w:rPr>
          <w:b/>
          <w:bCs/>
        </w:rPr>
        <w:t xml:space="preserve"> </w:t>
      </w:r>
      <w:r w:rsidRPr="00D10A57">
        <w:t xml:space="preserve">– poradní orgán náměstkyně/náměstka ministra kultury, do jejíž/jehož působnosti náleží oblast kultury národnostních menšin žijících v České republice. Dotační program spadá do působnosti odboru médií a audiovize. Komise má 15 členů, z toho je jeden člen příslušníkem romské menšiny. </w:t>
      </w:r>
    </w:p>
    <w:p w14:paraId="2C7C1EA0" w14:textId="77777777" w:rsidR="007A3158" w:rsidRPr="00D10A57" w:rsidRDefault="007A3158" w:rsidP="00D10A57">
      <w:pPr>
        <w:pStyle w:val="Styl1"/>
      </w:pPr>
      <w:r w:rsidRPr="00D10A57">
        <w:rPr>
          <w:b/>
          <w:bCs/>
        </w:rPr>
        <w:t xml:space="preserve">c) Doplňující informace pro zpracování Zprávy o stavu romské menšiny v České republice za rok 2021 </w:t>
      </w:r>
    </w:p>
    <w:p w14:paraId="30AF97CC" w14:textId="0D1472A6" w:rsidR="007A3158" w:rsidRPr="00ED7E0F" w:rsidRDefault="007A3158" w:rsidP="00D10A57">
      <w:pPr>
        <w:pStyle w:val="Styl1"/>
      </w:pPr>
      <w:r w:rsidRPr="003D3151">
        <w:rPr>
          <w:b/>
          <w:bCs/>
        </w:rPr>
        <w:lastRenderedPageBreak/>
        <w:t xml:space="preserve">Muzeum romské kultury (MRK) </w:t>
      </w:r>
    </w:p>
    <w:p w14:paraId="5B5F4560" w14:textId="1D49C6D7" w:rsidR="007A3158" w:rsidRPr="00D10A57" w:rsidRDefault="00D772CB" w:rsidP="00D10A57">
      <w:pPr>
        <w:pStyle w:val="Styl1"/>
      </w:pPr>
      <w:r w:rsidRPr="00ED7E0F">
        <w:t>Muzeum romské kultury</w:t>
      </w:r>
      <w:r w:rsidR="007A3158" w:rsidRPr="00D10A57">
        <w:t xml:space="preserve"> </w:t>
      </w:r>
      <w:r w:rsidR="00487D0F">
        <w:t xml:space="preserve">(dále jen „MRK“) </w:t>
      </w:r>
      <w:r w:rsidR="007A3158" w:rsidRPr="00D10A57">
        <w:t>v roce 2021 posílilo svou pozici zásadní paměťové instituce zabývající se dějinami a kulturou Romů v celoevropském kontextu. Zpřístupnilo veřejnosti stálou muzejní expozici v</w:t>
      </w:r>
      <w:r w:rsidR="0018287B">
        <w:t> </w:t>
      </w:r>
      <w:r w:rsidR="007A3158" w:rsidRPr="00D10A57">
        <w:t xml:space="preserve">Hodoníně u Kunštátu, Památníku holokaustu Romů a Sintů na Moravě, s názvem </w:t>
      </w:r>
      <w:r w:rsidR="007A3158" w:rsidRPr="00D10A57">
        <w:rPr>
          <w:i/>
          <w:iCs/>
        </w:rPr>
        <w:t>Tábor Hodonín u Kunštátu</w:t>
      </w:r>
      <w:r w:rsidR="005219A7">
        <w:rPr>
          <w:i/>
          <w:iCs/>
        </w:rPr>
        <w:t>:</w:t>
      </w:r>
      <w:r w:rsidR="007A3158" w:rsidRPr="00D10A57">
        <w:rPr>
          <w:i/>
          <w:iCs/>
        </w:rPr>
        <w:t xml:space="preserve"> Průsečík tragických osudů 1940</w:t>
      </w:r>
      <w:r w:rsidR="005219A7">
        <w:rPr>
          <w:i/>
          <w:iCs/>
        </w:rPr>
        <w:t>–</w:t>
      </w:r>
      <w:r w:rsidR="007A3158" w:rsidRPr="00D10A57">
        <w:rPr>
          <w:i/>
          <w:iCs/>
        </w:rPr>
        <w:t>1950. Střední Evropa</w:t>
      </w:r>
      <w:r w:rsidR="007A3158" w:rsidRPr="00D10A57">
        <w:t xml:space="preserve">. Muzeum dále pokračovalo v přípravách na vybudování důstojného </w:t>
      </w:r>
      <w:r>
        <w:t>památníku holokaustu v Letech u </w:t>
      </w:r>
      <w:r w:rsidR="007A3158" w:rsidRPr="00D10A57">
        <w:t>Písku a v projektu budování Centra Romů a Sintů v Praze. V roce 2021 navštívilo všechny pobočky M</w:t>
      </w:r>
      <w:r w:rsidR="00487D0F">
        <w:t>RK</w:t>
      </w:r>
      <w:r w:rsidR="007A3158" w:rsidRPr="00D10A57">
        <w:t xml:space="preserve"> celkem 22 586 návštěvníků. </w:t>
      </w:r>
    </w:p>
    <w:p w14:paraId="70F54CAA" w14:textId="77777777" w:rsidR="007A3158" w:rsidRPr="00D10A57" w:rsidRDefault="007A3158" w:rsidP="00D10A57">
      <w:pPr>
        <w:pStyle w:val="Styl1"/>
      </w:pPr>
      <w:r w:rsidRPr="00D10A57">
        <w:rPr>
          <w:b/>
          <w:bCs/>
        </w:rPr>
        <w:t xml:space="preserve">Informace k výše uvedeným objektům ve správě Muzea romské kultury: </w:t>
      </w:r>
    </w:p>
    <w:p w14:paraId="0D8AF8F7" w14:textId="77777777" w:rsidR="007A3158" w:rsidRPr="00D10A57" w:rsidRDefault="007A3158" w:rsidP="00D10A57">
      <w:pPr>
        <w:pStyle w:val="Styl1"/>
      </w:pPr>
      <w:r w:rsidRPr="00D10A57">
        <w:t xml:space="preserve">„Demolice areálu vepřína v Letech u Písku a archeologický průzkum“. </w:t>
      </w:r>
    </w:p>
    <w:p w14:paraId="277DE217" w14:textId="7C2A7B40" w:rsidR="007A3158" w:rsidRPr="00D10A57" w:rsidRDefault="007A3158" w:rsidP="00D10A57">
      <w:pPr>
        <w:pStyle w:val="Styl1"/>
      </w:pPr>
      <w:r w:rsidRPr="00D10A57">
        <w:t>Během roku 2021 byly čerpány dotační prostředky ve výši 172 788 Kč, převážně dotýkající se archeologických průzkumů. Také byla aktualizována kompletní projektová dokumentace v</w:t>
      </w:r>
      <w:r w:rsidR="0018287B">
        <w:t> </w:t>
      </w:r>
      <w:r w:rsidRPr="00D10A57">
        <w:t>návaznosti na nově budovaný Památník, akce je dále pr</w:t>
      </w:r>
      <w:r w:rsidR="00D772CB">
        <w:t>odloužena a bude ukončena k 31.</w:t>
      </w:r>
      <w:r w:rsidR="00E010FE">
        <w:t xml:space="preserve"> březnu </w:t>
      </w:r>
      <w:r w:rsidRPr="00D10A57">
        <w:t xml:space="preserve">2023. </w:t>
      </w:r>
    </w:p>
    <w:p w14:paraId="23575556" w14:textId="77777777" w:rsidR="007A3158" w:rsidRPr="00D10A57" w:rsidRDefault="007A3158" w:rsidP="00D10A57">
      <w:pPr>
        <w:pStyle w:val="Styl1"/>
      </w:pPr>
      <w:r w:rsidRPr="00D10A57">
        <w:t xml:space="preserve">„MRK, Dokončení expozic Památníku Hodonín“. </w:t>
      </w:r>
    </w:p>
    <w:p w14:paraId="68719AEF" w14:textId="3CC1E9BD" w:rsidR="007A3158" w:rsidRPr="00D10A57" w:rsidRDefault="007A3158" w:rsidP="00D10A57">
      <w:pPr>
        <w:pStyle w:val="Styl1"/>
      </w:pPr>
      <w:r w:rsidRPr="00D10A57">
        <w:t>Předmětem akce je dokončení expozic v uváděném památníku, který je ve správě M</w:t>
      </w:r>
      <w:r w:rsidR="00E010FE">
        <w:t>RK.</w:t>
      </w:r>
      <w:r w:rsidRPr="00D10A57">
        <w:t xml:space="preserve"> Pro toto dokončení budou celkově provedeny ještě nové, dodatečné práce, kterými dochází k potřebné revitalizaci části venkovních ploch (je to i nový závazný parametr akce). Cíl akce ani výše dotace se nemění a je stále ve výši 3 500 000 Kč. Další uváděné práce a instalace, tj. infocentrum – grafika, včet</w:t>
      </w:r>
      <w:r w:rsidR="00E010FE">
        <w:t>ně</w:t>
      </w:r>
      <w:r w:rsidRPr="00D10A57">
        <w:t xml:space="preserve"> audio a video techniky, „listovací“ soubory, osvětlení vč. napojení objektu „Barák vězňů“ a zapojení osvětlení, a dále venkovní informační systém, včet</w:t>
      </w:r>
      <w:r w:rsidR="005B5D8E">
        <w:t>ně</w:t>
      </w:r>
      <w:r w:rsidRPr="00D10A57">
        <w:t xml:space="preserve"> celkové dodávky nosných prvků a části jejich založení. Celkové dotační prostředky pro potřeby této akce jsou dle platného RoPD ve výši 3 500 000 Kč a</w:t>
      </w:r>
      <w:r w:rsidR="00CF28D7">
        <w:t> </w:t>
      </w:r>
      <w:r w:rsidRPr="00D10A57">
        <w:t xml:space="preserve">nemění se. S ohledem na rozšíření prací o revitalizaci části venkovních ploch správcem programu stanoven </w:t>
      </w:r>
      <w:r w:rsidR="00D772CB">
        <w:t>nový termín ukončení akce k 30. </w:t>
      </w:r>
      <w:r w:rsidR="00E010FE">
        <w:t>červnu</w:t>
      </w:r>
      <w:r w:rsidR="00D772CB">
        <w:t> </w:t>
      </w:r>
      <w:r w:rsidRPr="00D10A57">
        <w:t xml:space="preserve">2022. V </w:t>
      </w:r>
      <w:r w:rsidR="00D772CB">
        <w:t>roce 2021 vylo čerpáno celkem 3 010 </w:t>
      </w:r>
      <w:r w:rsidRPr="00D10A57">
        <w:t xml:space="preserve">444 Kč. </w:t>
      </w:r>
    </w:p>
    <w:p w14:paraId="6951A2BB" w14:textId="3CF11F7E" w:rsidR="007A3158" w:rsidRPr="00D10A57" w:rsidRDefault="007A3158" w:rsidP="00D10A57">
      <w:pPr>
        <w:pStyle w:val="Styl1"/>
      </w:pPr>
      <w:r w:rsidRPr="00D10A57">
        <w:t xml:space="preserve">Na budované </w:t>
      </w:r>
      <w:r w:rsidRPr="00D772CB">
        <w:rPr>
          <w:b/>
        </w:rPr>
        <w:t>Centrum Romů a Sintů v Praze</w:t>
      </w:r>
      <w:r w:rsidRPr="00D10A57">
        <w:t xml:space="preserve"> roce 2021 byl</w:t>
      </w:r>
      <w:r w:rsidR="002D576D">
        <w:t>y</w:t>
      </w:r>
      <w:r w:rsidRPr="00D10A57">
        <w:t xml:space="preserve"> v souladu s žádostí o grant</w:t>
      </w:r>
      <w:r w:rsidR="002D576D">
        <w:t xml:space="preserve"> čerpány</w:t>
      </w:r>
      <w:r w:rsidRPr="00D10A57">
        <w:t xml:space="preserve"> finanční prostředky na platy, OON a dále finanční prostředky na realizaci výběrových řízení, konzultační činnosti k připravovaným výstavám a edukačním akcím atd. Původně měla být již v roce 2021 zahájena i vlastní stavba, nicméně nepodařilo se vysoutěžit dodavatele. Zahájení stavby je tak plánováno na rok 2022. </w:t>
      </w:r>
    </w:p>
    <w:p w14:paraId="7BDCCCF3" w14:textId="77777777" w:rsidR="007A3158" w:rsidRPr="003D3151" w:rsidRDefault="007A3158" w:rsidP="00D10A57">
      <w:pPr>
        <w:pStyle w:val="Styl1"/>
      </w:pPr>
      <w:r w:rsidRPr="007C763A">
        <w:rPr>
          <w:b/>
          <w:bCs/>
          <w:iCs/>
        </w:rPr>
        <w:t xml:space="preserve">Činnost Muzea romské kultury </w:t>
      </w:r>
    </w:p>
    <w:p w14:paraId="60AF917E" w14:textId="77777777" w:rsidR="007A3158" w:rsidRPr="00D10A57" w:rsidRDefault="007A3158" w:rsidP="00D10A57">
      <w:pPr>
        <w:pStyle w:val="Styl1"/>
      </w:pPr>
      <w:r w:rsidRPr="00D10A57">
        <w:t xml:space="preserve">1. Popularizace romské kultury a tématu romského holocaustu </w:t>
      </w:r>
    </w:p>
    <w:p w14:paraId="4A6D7B7E" w14:textId="296DE109" w:rsidR="007A3158" w:rsidRPr="00D10A57" w:rsidRDefault="007A3158" w:rsidP="00D10A57">
      <w:pPr>
        <w:pStyle w:val="Styl1"/>
      </w:pPr>
      <w:r w:rsidRPr="00D10A57">
        <w:t xml:space="preserve">Téma holokaustu Romů a Sintů bylo tradičně připomenuto v </w:t>
      </w:r>
      <w:r w:rsidRPr="00D772CB">
        <w:rPr>
          <w:b/>
        </w:rPr>
        <w:t>rámci pietních aktů v Brně, Letech u Písku a v Hodoníně u Kunštátu</w:t>
      </w:r>
      <w:r w:rsidRPr="00D10A57">
        <w:t>. Ke dni 7. března 2021, tedy v termínu prvního hromadného transportu Romů z Brna do Auschwitz</w:t>
      </w:r>
      <w:r w:rsidR="002D576D">
        <w:t xml:space="preserve"> II-Birkenau</w:t>
      </w:r>
      <w:r w:rsidRPr="00D10A57">
        <w:t xml:space="preserve"> byl připraven bohatý online program, ačkoliv v této době vrcholila protipandemická opatření a MRK muselo být pro veřejnost zavřeno. Program zahrnoval především proslov ředitelky muzea PhDr. Jany Horvátho</w:t>
      </w:r>
      <w:r w:rsidR="00D772CB">
        <w:t>vé a </w:t>
      </w:r>
      <w:r w:rsidRPr="00D10A57">
        <w:t>komentovanou prohlídku Brna po místech spjatých s hol</w:t>
      </w:r>
      <w:r w:rsidR="00D772CB">
        <w:t>okaustem s historiky muzea Mgr. </w:t>
      </w:r>
      <w:r w:rsidRPr="00D10A57">
        <w:t>Annou Míškovou a Mgr. Dušanem Slačkou. Květnový pietní akt v Letech u Písku, který muzeum pořádá ve</w:t>
      </w:r>
      <w:r w:rsidR="00CF28D7">
        <w:t> </w:t>
      </w:r>
      <w:r w:rsidRPr="00D10A57">
        <w:t xml:space="preserve">spolupráci s Výborem pro odškodnění romského holocaustu v České republice a s jeho předsedou panem Čeňkem Růžičkou, byl přeložen z původního termínu 13. května na 1. srpna 2021. Muzeum zastupovala historička muzea Mgr. Petra Svobodová, Ph.D. Dne 18. srpna se uskutečnil pietní akt v hodonínském památníku, tentokrát – kromě tradičních </w:t>
      </w:r>
      <w:r w:rsidRPr="00D10A57">
        <w:lastRenderedPageBreak/>
        <w:t xml:space="preserve">proslovů zástupců veřejného a kulturního života – i s prezentací knihy překladů vzpomínek </w:t>
      </w:r>
      <w:r w:rsidRPr="00D10A57">
        <w:rPr>
          <w:i/>
          <w:iCs/>
        </w:rPr>
        <w:t xml:space="preserve">Žít bez hořkosti </w:t>
      </w:r>
      <w:r w:rsidRPr="00D10A57">
        <w:t xml:space="preserve">od německé Sintky Philomeny Franz, kterou vydalo nakladatelství KHER. </w:t>
      </w:r>
    </w:p>
    <w:p w14:paraId="6527801D" w14:textId="09CB03C8" w:rsidR="007A3158" w:rsidRPr="00D10A57" w:rsidRDefault="007A3158" w:rsidP="00D10A57">
      <w:pPr>
        <w:pStyle w:val="Styl1"/>
      </w:pPr>
      <w:r w:rsidRPr="00D10A57">
        <w:t xml:space="preserve">Dne 14. června 2021 byla ve vile Tugendhat slavnostně pokřtěna obsáhlá, téměř osmisetstránkovápublikace pod názvem </w:t>
      </w:r>
      <w:r w:rsidRPr="00D10A57">
        <w:rPr>
          <w:i/>
          <w:iCs/>
        </w:rPr>
        <w:t>…to jsou těžké vzpomínky</w:t>
      </w:r>
      <w:r w:rsidR="002D576D">
        <w:rPr>
          <w:i/>
          <w:iCs/>
        </w:rPr>
        <w:t xml:space="preserve">. </w:t>
      </w:r>
      <w:r w:rsidR="002D576D">
        <w:t xml:space="preserve">I. svazek. Vzpomínky Romů a Sintů na dobu před válkou a v protektorátu, </w:t>
      </w:r>
      <w:r w:rsidRPr="00D10A57">
        <w:t xml:space="preserve"> která vznikala v muzeu pod </w:t>
      </w:r>
      <w:r w:rsidR="002D576D">
        <w:t xml:space="preserve">autorským i </w:t>
      </w:r>
      <w:r w:rsidRPr="00D10A57">
        <w:t xml:space="preserve">redakčním vedením ředitelky Jany Horváthové poslední tři roky. Publikace je založena na </w:t>
      </w:r>
      <w:r w:rsidR="002D576D">
        <w:t>tematickém výběru p</w:t>
      </w:r>
      <w:r w:rsidR="00064827">
        <w:t>a</w:t>
      </w:r>
      <w:r w:rsidR="002D576D">
        <w:t xml:space="preserve">sáží ze </w:t>
      </w:r>
      <w:r w:rsidRPr="00D10A57">
        <w:t>vzpomín</w:t>
      </w:r>
      <w:r w:rsidR="002D576D">
        <w:t>e</w:t>
      </w:r>
      <w:r w:rsidRPr="00D10A57">
        <w:t xml:space="preserve">k pamětníků z řad Romů a Sintů, kteří přežili holokaust. Dvě teoretické kapitoly uvádějí do historických souvislostí kapitoly následující, které obsahují jádro knihy – </w:t>
      </w:r>
      <w:r w:rsidR="002D576D">
        <w:t xml:space="preserve">samotné </w:t>
      </w:r>
      <w:r w:rsidRPr="00D10A57">
        <w:t>vzpomínky. Jedná se o první svazek plánovaného dvousvazkového díla, který se omezuje na území protektorátu (vzpomínky na věznění v</w:t>
      </w:r>
      <w:r w:rsidR="00CF28D7">
        <w:t xml:space="preserve"> táborech </w:t>
      </w:r>
      <w:r w:rsidR="00D772CB">
        <w:t>v Letech u Písku a v </w:t>
      </w:r>
      <w:r w:rsidRPr="00D10A57">
        <w:t xml:space="preserve">Hodoníně u Kunštátu). Kniha je součástí stejnojmenné trilogie, k níž patří filmové DVD (2002) a písňové CD (2013). </w:t>
      </w:r>
      <w:r w:rsidR="0090455C">
        <w:t>V roce 2022 získala kniha 3. místo v prestižní soutěži Gloria Musaealis, v kategorii kniha roku 2021.</w:t>
      </w:r>
    </w:p>
    <w:p w14:paraId="376AD597" w14:textId="4C5CC694" w:rsidR="007A3158" w:rsidRPr="00D10A57" w:rsidRDefault="007A3158" w:rsidP="00D10A57">
      <w:pPr>
        <w:pStyle w:val="Styl1"/>
      </w:pPr>
      <w:r w:rsidRPr="00D10A57">
        <w:t xml:space="preserve">Nová muzejní expozice </w:t>
      </w:r>
      <w:r w:rsidRPr="00D10A57">
        <w:rPr>
          <w:i/>
          <w:iCs/>
        </w:rPr>
        <w:t>Tábor Hodonín u Kunštátu: Průsečík tragických osudů 1940</w:t>
      </w:r>
      <w:r w:rsidR="005219A7">
        <w:rPr>
          <w:i/>
          <w:iCs/>
        </w:rPr>
        <w:t>–</w:t>
      </w:r>
      <w:r w:rsidRPr="00D10A57">
        <w:rPr>
          <w:i/>
          <w:iCs/>
        </w:rPr>
        <w:t>19</w:t>
      </w:r>
      <w:r w:rsidR="00CF28D7">
        <w:rPr>
          <w:i/>
          <w:iCs/>
        </w:rPr>
        <w:t>5</w:t>
      </w:r>
      <w:r w:rsidRPr="00D10A57">
        <w:rPr>
          <w:i/>
          <w:iCs/>
        </w:rPr>
        <w:t xml:space="preserve">0. Střední Evropa </w:t>
      </w:r>
      <w:r w:rsidRPr="00D10A57">
        <w:t>byla otevřena pro veřejnost dne 15. července 2021 v Hodoníně u Kunštátu, Památníku holokaustu Romů a Sintů na Moravě. Tato stálá expozice v bývalém tzv. cikánském táboře v Hodoníně u Kunštátu, která se věnuje pohnuté historii tohoto místa, vznikla po</w:t>
      </w:r>
      <w:r w:rsidR="00CF28D7">
        <w:t> </w:t>
      </w:r>
      <w:r w:rsidRPr="00D10A57">
        <w:t>dlouholeté snaze romských pamětníků a aktivistů, stejně jako pracovníků MRK a předtím i Národního pedagogického muzea a knihovny J. A. Komenského. Otřesné životní podmínky a</w:t>
      </w:r>
      <w:r w:rsidR="00CF28D7">
        <w:t> </w:t>
      </w:r>
      <w:r w:rsidRPr="00D10A57">
        <w:t xml:space="preserve">každodennost internace přibližují dobové fotografie, dokumenty a zejména vzpomínky pamětníků převážně z řad samotných vězňů. Expozice je koncipována jako dvojjazyčná (česko-anglická). </w:t>
      </w:r>
    </w:p>
    <w:p w14:paraId="1890E1C4" w14:textId="77777777" w:rsidR="007A3158" w:rsidRPr="00D10A57" w:rsidRDefault="007A3158" w:rsidP="00D10A57">
      <w:pPr>
        <w:pStyle w:val="Styl1"/>
      </w:pPr>
      <w:r w:rsidRPr="00D10A57">
        <w:t xml:space="preserve">Dne 28. července 2021 byl v rámci festivalu </w:t>
      </w:r>
      <w:r w:rsidRPr="00D10A57">
        <w:rPr>
          <w:i/>
          <w:iCs/>
        </w:rPr>
        <w:t xml:space="preserve">Meeting Brno </w:t>
      </w:r>
      <w:r w:rsidRPr="00D10A57">
        <w:t>v brněnské premiéře v</w:t>
      </w:r>
      <w:r w:rsidR="00CF28D7">
        <w:t> </w:t>
      </w:r>
      <w:r w:rsidRPr="00D10A57">
        <w:t xml:space="preserve">Dietrichsteinském paláci Moravského zemského muzea k vidění dokumentární film </w:t>
      </w:r>
      <w:r w:rsidRPr="00D10A57">
        <w:rPr>
          <w:i/>
          <w:iCs/>
        </w:rPr>
        <w:t xml:space="preserve">LETY </w:t>
      </w:r>
      <w:r w:rsidRPr="00D10A57">
        <w:t>z</w:t>
      </w:r>
      <w:r w:rsidR="00CF28D7">
        <w:t> </w:t>
      </w:r>
      <w:r w:rsidRPr="00D10A57">
        <w:t xml:space="preserve">produkce ROMEA TV (autoři Viola Tokárová, František Bikár, Renata Berkyová), který se tematicky zabývá historií a současností bývalého tzv. cikánského tábora v Letech u Písku. Tento film získal zvláštní ocenění na berlínském festivalu romského filmu </w:t>
      </w:r>
      <w:r w:rsidRPr="00D10A57">
        <w:rPr>
          <w:i/>
          <w:iCs/>
        </w:rPr>
        <w:t>Ake Dikhea?</w:t>
      </w:r>
      <w:r w:rsidRPr="00D10A57">
        <w:t xml:space="preserve">. </w:t>
      </w:r>
    </w:p>
    <w:p w14:paraId="0931E2DD" w14:textId="77777777" w:rsidR="007A3158" w:rsidRPr="00D10A57" w:rsidRDefault="007A3158" w:rsidP="00D10A57">
      <w:pPr>
        <w:pStyle w:val="Styl1"/>
      </w:pPr>
      <w:r w:rsidRPr="00D10A57">
        <w:t xml:space="preserve">Výsledky mezinárodní krajinářsko-architektonické soutěže na výstavbu Památníku holokaustu Romů a Sintů v Čechách v Letech u Písku byly připomenuty výstavou </w:t>
      </w:r>
      <w:r w:rsidRPr="00D10A57">
        <w:rPr>
          <w:i/>
          <w:iCs/>
        </w:rPr>
        <w:t xml:space="preserve">Nový památník v Letech </w:t>
      </w:r>
      <w:r w:rsidRPr="00D10A57">
        <w:t xml:space="preserve">na Novoměstské radnici v Praze jako součást lidskoprávního festivalu </w:t>
      </w:r>
      <w:r w:rsidRPr="00D10A57">
        <w:rPr>
          <w:i/>
          <w:iCs/>
        </w:rPr>
        <w:t xml:space="preserve">Mene Tekel </w:t>
      </w:r>
      <w:r w:rsidRPr="00D10A57">
        <w:t xml:space="preserve">(11.–17. října 2021). O projektu památníku a podobě chystané expozice referovala historička muzea Mgr. Petra Svobodová, Ph.D. na konferenci </w:t>
      </w:r>
      <w:r w:rsidRPr="00D10A57">
        <w:rPr>
          <w:i/>
          <w:iCs/>
        </w:rPr>
        <w:t xml:space="preserve">Právo na právo </w:t>
      </w:r>
      <w:r w:rsidRPr="00D10A57">
        <w:t xml:space="preserve">v prostorách Senátu Parlamentu ČR. </w:t>
      </w:r>
    </w:p>
    <w:p w14:paraId="59D8F6C6" w14:textId="57BEE38A" w:rsidR="007A3158" w:rsidRPr="00D10A57" w:rsidRDefault="007A3158" w:rsidP="00D10A57">
      <w:pPr>
        <w:pStyle w:val="Styl1"/>
      </w:pPr>
      <w:r w:rsidRPr="00D10A57">
        <w:t xml:space="preserve">Problematika prezentace dějin 20. století včetně holokaustu Romů a Sintů byla předmětem konference s názvem </w:t>
      </w:r>
      <w:r w:rsidRPr="00D10A57">
        <w:rPr>
          <w:i/>
          <w:iCs/>
        </w:rPr>
        <w:t>Místa paměti: od budování expozic po edukaci v muzeích-památnících</w:t>
      </w:r>
      <w:r w:rsidRPr="00D10A57">
        <w:t>, kterou muzeum uspořádalo ve dnech 10.–11. listopadu 2021 v brněnské vile Stiassni. MRK převzalo v roce 2018 do správy dv</w:t>
      </w:r>
      <w:r w:rsidR="0090455C">
        <w:t xml:space="preserve">ě lokality, aby zde byly vybudovány </w:t>
      </w:r>
      <w:r w:rsidRPr="00D10A57">
        <w:t>památníky holo</w:t>
      </w:r>
      <w:r w:rsidR="0090455C">
        <w:t>k</w:t>
      </w:r>
      <w:r w:rsidRPr="00D10A57">
        <w:t xml:space="preserve">austu Romů a Sintů – v Hodoníně u Kunštátu a v Letech u Písku. V roce 2022 dokončilo instalaci expozice v Hodoníně u Kunštátu a v roce 2023 plánuje otevřít pro veřejnost nový památník s expozicí v Letech u Písku. Obě místa paměti chce muzeum v budoucnu optimálně provozovat včetně kvalitní nabídky edukačních programů. Cílem plánované konference tedy bylo získat příklady dobré praxe či potřebné know-how z tuzemska i zahraničí nejen k dokončení expozic, ale i provozu muzeí-památníků. Konference se uskutečnila v českém a polském jazyce. </w:t>
      </w:r>
    </w:p>
    <w:p w14:paraId="737FF67F" w14:textId="77777777" w:rsidR="007A3158" w:rsidRPr="00D10A57" w:rsidRDefault="007A3158" w:rsidP="00D10A57">
      <w:pPr>
        <w:pStyle w:val="Styl1"/>
      </w:pPr>
      <w:r w:rsidRPr="00D10A57">
        <w:t xml:space="preserve">Ve dnech 1.–14. února 2021 MRK připravilo online derniéru výstavy </w:t>
      </w:r>
      <w:r w:rsidRPr="00D10A57">
        <w:rPr>
          <w:i/>
          <w:iCs/>
        </w:rPr>
        <w:t xml:space="preserve">Lavutara. Cestami romských muzikantů a jejich písní </w:t>
      </w:r>
      <w:r w:rsidRPr="00D10A57">
        <w:t xml:space="preserve">v podobě komentovaných prohlídek s jedním z kurátorů, romistou Mgr. Zbyňkem Andršem, Ph.D., a dále prostřednictvím video-kina, ve kterém mohli návštěvníci zhlédnout projekci filmu </w:t>
      </w:r>
      <w:r w:rsidRPr="00D10A57">
        <w:rPr>
          <w:i/>
          <w:iCs/>
        </w:rPr>
        <w:t xml:space="preserve">Romská hudba v proudu času </w:t>
      </w:r>
      <w:r w:rsidRPr="00D10A57">
        <w:t xml:space="preserve">(projekt Zbyňka Andrše a Milana Durňaka) a také předtočený koncert Davida Krause a Gipsy Brothers. </w:t>
      </w:r>
    </w:p>
    <w:p w14:paraId="0F206DE9" w14:textId="77777777" w:rsidR="007A3158" w:rsidRPr="00D10A57" w:rsidRDefault="007A3158" w:rsidP="00D10A57">
      <w:pPr>
        <w:pStyle w:val="Styl1"/>
      </w:pPr>
      <w:r w:rsidRPr="00D10A57">
        <w:lastRenderedPageBreak/>
        <w:t xml:space="preserve">K popularizaci romské kultury mj. přispěla nová autorská výstava s názvem </w:t>
      </w:r>
      <w:r w:rsidRPr="00D10A57">
        <w:rPr>
          <w:i/>
          <w:iCs/>
        </w:rPr>
        <w:t xml:space="preserve">Otisk cest. Fotografie Claude a Marie-José Carret </w:t>
      </w:r>
      <w:r w:rsidRPr="00D10A57">
        <w:t xml:space="preserve">(7. dubna 2021 – 31. prosince 2022), kterou muzeum prezentovalo online formou již v dubnu 2021. Slavnostní vernisáž za účasti autorů se uskutečnila v září, a to včetně bohatého doprovodného programu ve spolupráci s brněnskou Alliance francaise </w:t>
      </w:r>
      <w:r w:rsidRPr="00D10A57">
        <w:rPr>
          <w:i/>
          <w:iCs/>
        </w:rPr>
        <w:t>Září s Les Carrets</w:t>
      </w:r>
      <w:r w:rsidRPr="00D10A57">
        <w:t>. Výstava prezentuje kurátorský výběr 42 zarámovaných reprodukcí černobílých fotografií ze života Romů ve střední a východní Evropě, které v</w:t>
      </w:r>
      <w:r w:rsidR="00CF28D7">
        <w:t> </w:t>
      </w:r>
      <w:r w:rsidRPr="00D10A57">
        <w:t>průběhu posledních 30 let pořídila dvojice francouzských fotografů Claude a Marie-José Carret. Fotografie na vysoké umělecké úrovni dokumentují každodenní život Romů. Další soubor 50 černobílých fotografií převážně portrétního charakteru byl vybrán přímo autory, kteří je doplnili svými osobními vzpomínkami a na fotografiích zachycenými mikropříběhy. Tento konvolut je prezentován ve formě velkoformátové videoproje</w:t>
      </w:r>
      <w:r w:rsidR="00435331" w:rsidRPr="00D10A57">
        <w:t xml:space="preserve">kce (výstavní smyčka). Výstavu </w:t>
      </w:r>
      <w:r w:rsidRPr="00D10A57">
        <w:t xml:space="preserve">provázejí texty ve třech jazykových mutacích (český, romský a anglický jazyk). Kurátory výstavy jsou etnoložka Mgr. Eva Mazárová a historik umění a fotograf Mgr. Adam Holubovský. </w:t>
      </w:r>
    </w:p>
    <w:p w14:paraId="6A253C37" w14:textId="77777777" w:rsidR="007A3158" w:rsidRPr="00D10A57" w:rsidRDefault="007A3158" w:rsidP="00D10A57">
      <w:pPr>
        <w:pStyle w:val="Styl1"/>
      </w:pPr>
      <w:r w:rsidRPr="00D10A57">
        <w:t xml:space="preserve">Po celý rok 2021 byla k vidění stálá expozice </w:t>
      </w:r>
      <w:r w:rsidRPr="00D10A57">
        <w:rPr>
          <w:i/>
          <w:iCs/>
        </w:rPr>
        <w:t xml:space="preserve">Příběh Romů </w:t>
      </w:r>
      <w:r w:rsidRPr="00D10A57">
        <w:t xml:space="preserve">(fyzicky nebo formou virtuální prohlídky), která v šesti sálech přibližuje dějiny Romů, od jejich předků ve starověké Indii přes příchod Romů do Evropy v 11. století až po události druhé světové války a současnost. Vystaveny jsou originální exponáty i věrné repliky, které doplňují působivé audiovizuální prvky a diorámata. </w:t>
      </w:r>
    </w:p>
    <w:p w14:paraId="3183E924" w14:textId="77777777" w:rsidR="007A3158" w:rsidRPr="00D10A57" w:rsidRDefault="007A3158" w:rsidP="00D10A57">
      <w:pPr>
        <w:pStyle w:val="Styl1"/>
      </w:pPr>
      <w:r w:rsidRPr="00D10A57">
        <w:t xml:space="preserve">2. Aktivity zlepšující situaci Romů v ČR </w:t>
      </w:r>
    </w:p>
    <w:p w14:paraId="2C93D7C8" w14:textId="77777777" w:rsidR="007A3158" w:rsidRPr="00D10A57" w:rsidRDefault="007A3158" w:rsidP="00D10A57">
      <w:pPr>
        <w:pStyle w:val="Styl1"/>
      </w:pPr>
      <w:r w:rsidRPr="00D10A57">
        <w:t xml:space="preserve">K aktivitám zlepšujícím postavení Romů v české společnosti zcela jistě přispívají edukační programy pro školy (programy pokrývají celou škálu školských zařízení od mateřských škol až po univerzity) a veřejnost, které muzeum nabízí fyzicky i online. Jedná se o programy ke stálé expozici </w:t>
      </w:r>
      <w:r w:rsidRPr="00D10A57">
        <w:rPr>
          <w:i/>
          <w:iCs/>
        </w:rPr>
        <w:t>Příběh Romů</w:t>
      </w:r>
      <w:r w:rsidRPr="00D10A57">
        <w:t xml:space="preserve">, které tematicky pokrývají holokaust Romů, romskou literaturu, stereotypní vnímání Romů ve společnosti, romské osobnosti atd. Konkrétně jde o tyto programy: Příběh Romů – historie, Jdeme dlouhou cestou – jazyk a literatura, Holokaust Romů, Nezapomeneme – holokaust Židů a Romů, Romarising – romské osobnosti, Stereotypy. Ke každé aktuální výstavě je nabízen speciální vzdělávací program. Edukační aktivity muzeum rozvíjí nejen v brněnském centru, ale i na pobočkách v Hodoníně u Kunštátu a v pražském Centru Romů a Sintů. </w:t>
      </w:r>
    </w:p>
    <w:p w14:paraId="3EC9D4FE" w14:textId="77777777" w:rsidR="007A3158" w:rsidRPr="00D10A57" w:rsidRDefault="007A3158" w:rsidP="00D10A57">
      <w:pPr>
        <w:pStyle w:val="Styl1"/>
      </w:pPr>
      <w:r w:rsidRPr="00D10A57">
        <w:t xml:space="preserve">Muzeum v letním semestru 2020/2021 zajistilo přednáškový kurz </w:t>
      </w:r>
      <w:r w:rsidRPr="00D10A57">
        <w:rPr>
          <w:i/>
          <w:iCs/>
        </w:rPr>
        <w:t xml:space="preserve">Dějiny a kultura Romů </w:t>
      </w:r>
      <w:r w:rsidRPr="00D10A57">
        <w:t xml:space="preserve">pro posluchače Filozofické fakulty Masarykovi univerzity v Brně. </w:t>
      </w:r>
    </w:p>
    <w:p w14:paraId="5FFCFD19" w14:textId="77777777" w:rsidR="007A3158" w:rsidRPr="00D10A57" w:rsidRDefault="00D772CB" w:rsidP="00D10A57">
      <w:pPr>
        <w:pStyle w:val="Styl1"/>
      </w:pPr>
      <w:r>
        <w:t>3. V</w:t>
      </w:r>
      <w:r w:rsidR="007A3158" w:rsidRPr="00D10A57">
        <w:t xml:space="preserve">ýznamné aktivity spojené s Romy </w:t>
      </w:r>
    </w:p>
    <w:p w14:paraId="07868658" w14:textId="77777777" w:rsidR="007A3158" w:rsidRPr="00D10A57" w:rsidRDefault="007A3158" w:rsidP="00D10A57">
      <w:pPr>
        <w:pStyle w:val="Styl1"/>
      </w:pPr>
      <w:r w:rsidRPr="00D10A57">
        <w:t>Rok 2021 se nesl ve znamen</w:t>
      </w:r>
      <w:r w:rsidR="00D772CB">
        <w:t>í oslav 30 let od založení MRK</w:t>
      </w:r>
      <w:r w:rsidRPr="00D10A57">
        <w:t>. V dubnu byl připraven bohatý online program představující činnost muzea v podobě roz</w:t>
      </w:r>
      <w:r w:rsidR="00D772CB">
        <w:t>hovorů s ředitelkou a jednou ze </w:t>
      </w:r>
      <w:r w:rsidRPr="00D10A57">
        <w:t xml:space="preserve">zakladatelek muzea Janou Horváthovou či videí s kurátory prezentujícími jednotlivé sbírkové fondy, série dobových fotografií atd. Oslavám byla věnována i tradiční </w:t>
      </w:r>
      <w:r w:rsidRPr="00D10A57">
        <w:rPr>
          <w:i/>
          <w:iCs/>
        </w:rPr>
        <w:t>Brněnská muzejní noc 2021</w:t>
      </w:r>
      <w:r w:rsidRPr="00D10A57">
        <w:t xml:space="preserve">, která se konala v netradičním termínu 7. srpna. V rámci oslav vystoupila také kapela Romano Zorba a zpěvačka Natálie Bagárová. Muzeum formou komentovaných prohlídek zpřístupnilo expozici a aktuální výstavu. Byla také pokřtěna publikace </w:t>
      </w:r>
      <w:r w:rsidRPr="00D10A57">
        <w:rPr>
          <w:i/>
          <w:iCs/>
        </w:rPr>
        <w:t>Sbírka Muzea romské kultury – výběr kurátorů</w:t>
      </w:r>
      <w:r w:rsidRPr="00D10A57">
        <w:t>, která obsahuje kromě stručné historie muzea 37 hesel s popisem a fotografiemi nejzajímavějších a nejatraktivnějších sbírkových předmětů. Publikace představuje širokou škálu artefaktů od archeologických nálezů přes řemeslné výrobky, textil, šperky a písemnosti až po knihy a díla výtvarného umění. Za každým vybraným předmětem se skrývá poutavý příběh, který umožnuje nahlédnou</w:t>
      </w:r>
      <w:r w:rsidR="00D772CB">
        <w:t>t do každodenního života Romů v </w:t>
      </w:r>
      <w:r w:rsidRPr="00D10A57">
        <w:t xml:space="preserve">minulosti nebo současnosti. </w:t>
      </w:r>
    </w:p>
    <w:p w14:paraId="4EDCA4C7" w14:textId="77777777" w:rsidR="007A3158" w:rsidRPr="00D10A57" w:rsidRDefault="007A3158" w:rsidP="00D10A57">
      <w:pPr>
        <w:pStyle w:val="Styl1"/>
      </w:pPr>
      <w:r w:rsidRPr="00D10A57">
        <w:t xml:space="preserve">Slavnostní </w:t>
      </w:r>
      <w:r w:rsidRPr="00D772CB">
        <w:rPr>
          <w:b/>
        </w:rPr>
        <w:t>Galavečer MRK</w:t>
      </w:r>
      <w:r w:rsidRPr="00D10A57">
        <w:t xml:space="preserve"> se stal vrcholem oslav 30 let od založení muzea a obsáhl hudební (Filip Gondolán, uskupení Kokavakere Lavutara, skupina Kale), ta</w:t>
      </w:r>
      <w:r w:rsidR="00D772CB">
        <w:t xml:space="preserve">neční (Kalo Dancers) </w:t>
      </w:r>
      <w:r w:rsidR="00D772CB">
        <w:lastRenderedPageBreak/>
        <w:t>a </w:t>
      </w:r>
      <w:r w:rsidRPr="00D10A57">
        <w:t xml:space="preserve">divadelní vystoupení (pohádku Divadla Ara Art Davida Tišera </w:t>
      </w:r>
      <w:r w:rsidRPr="00D10A57">
        <w:rPr>
          <w:i/>
          <w:iCs/>
        </w:rPr>
        <w:t>Čirikloro, aneb co říká ptáček</w:t>
      </w:r>
      <w:r w:rsidRPr="00D10A57">
        <w:t>). K připomínce bohaté výstavní, kulturní, publikační i výzkumné činnosti muzea v minulých třech desetiletích byla promítána řada videí. Součástí večera bylo i předání prestižní Ceny Muzea romské kultury za roky 2020 a 2021. Za rok 2020 byla oceněna slovenská vizuální umělkyně Emília Rigová (narozena 1980). Cenu za rok 2021 obdržel in memoriam Bartoloměj Daniel (1924</w:t>
      </w:r>
      <w:r w:rsidR="00455F42" w:rsidRPr="00D10A57">
        <w:t xml:space="preserve">–2001), první romský absolvent </w:t>
      </w:r>
      <w:r w:rsidRPr="00D10A57">
        <w:t xml:space="preserve">studia historie a romský historik v českých zemích. Během večera bylo představeno nové číslo odborného romistického časopisu </w:t>
      </w:r>
      <w:r w:rsidRPr="00D10A57">
        <w:rPr>
          <w:i/>
          <w:iCs/>
        </w:rPr>
        <w:t xml:space="preserve">Bulletin Muzea romské kultury </w:t>
      </w:r>
      <w:r w:rsidRPr="00D10A57">
        <w:t xml:space="preserve">a druhé rozšířené vydání knihy </w:t>
      </w:r>
      <w:r w:rsidRPr="00D10A57">
        <w:rPr>
          <w:i/>
          <w:iCs/>
        </w:rPr>
        <w:t>Amendar: pohled do světa romských osobností</w:t>
      </w:r>
      <w:r w:rsidRPr="00D10A57">
        <w:t xml:space="preserve">, které vzniklo pod redakčním vedením Jany Horváthové, Renaty Berkyové, Alice Sigmund Herákové a Jany Šustové. </w:t>
      </w:r>
    </w:p>
    <w:p w14:paraId="01AA32B9" w14:textId="77777777" w:rsidR="007A3158" w:rsidRPr="00D10A57" w:rsidRDefault="007A3158" w:rsidP="00D10A57">
      <w:pPr>
        <w:pStyle w:val="Styl1"/>
      </w:pPr>
      <w:r w:rsidRPr="00D10A57">
        <w:t xml:space="preserve">Červnový festival </w:t>
      </w:r>
      <w:r w:rsidRPr="00D10A57">
        <w:rPr>
          <w:i/>
          <w:iCs/>
        </w:rPr>
        <w:t xml:space="preserve">Ghettofest </w:t>
      </w:r>
      <w:r w:rsidRPr="00D10A57">
        <w:t xml:space="preserve">nabídl komentované prohlídky stálé expozice a aktuální výstavy, dílničku pro děti a besedu nakladatelství KHER s romskými spisovatelkami. </w:t>
      </w:r>
    </w:p>
    <w:p w14:paraId="7968A12B" w14:textId="77777777" w:rsidR="007A3158" w:rsidRPr="00D10A57" w:rsidRDefault="007A3158" w:rsidP="00D10A57">
      <w:pPr>
        <w:pStyle w:val="Styl1"/>
      </w:pPr>
      <w:r w:rsidRPr="00D10A57">
        <w:t xml:space="preserve">4. Zaznamenané změny vývoje v problematice romské integrace oproti roku 2020 </w:t>
      </w:r>
    </w:p>
    <w:p w14:paraId="3DFBF724" w14:textId="77777777" w:rsidR="007A3158" w:rsidRPr="00D10A57" w:rsidRDefault="007A3158" w:rsidP="00D10A57">
      <w:pPr>
        <w:pStyle w:val="Styl1"/>
      </w:pPr>
      <w:r w:rsidRPr="00D10A57">
        <w:t xml:space="preserve">Problematika romské integrace sice není v gesci MRK, nicméně muzeum se snaží být skutečně místem pro společný dialog kultur, propojujícím majoritu s minoritou tak, jak je to uvedeno v mottu muzea. Muzeum např. spolupracuje s potomky přeživších romského holokaustu na přípravě expozice památníku v Letech, zaměstnává romské kustody, kterým umožňuje zvyšovat si kvalifikaci, a samozřejmě zapojuje do svých aktivit (koncerty, komentované prohlídky, programy pro děti atd.) obyvatele romské komunity v místě svého brněnského sídla na Bratislavské ulici v tzv. brněnském Bronxu. </w:t>
      </w:r>
    </w:p>
    <w:p w14:paraId="06450383" w14:textId="77777777" w:rsidR="007A3158" w:rsidRPr="00D10A57" w:rsidRDefault="007A3158" w:rsidP="00D10A57">
      <w:pPr>
        <w:pStyle w:val="Styl1"/>
      </w:pPr>
      <w:r w:rsidRPr="00D10A57">
        <w:rPr>
          <w:b/>
          <w:bCs/>
        </w:rPr>
        <w:t xml:space="preserve">Informace k činnosti příspěvkových organizací Ministerstva kultury ve vztahu k romské menšině </w:t>
      </w:r>
    </w:p>
    <w:p w14:paraId="20A46D7E" w14:textId="77777777" w:rsidR="007A3158" w:rsidRPr="00D10A57" w:rsidRDefault="007A3158" w:rsidP="00D10A57">
      <w:pPr>
        <w:pStyle w:val="Styl1"/>
      </w:pPr>
      <w:r w:rsidRPr="00D10A57">
        <w:rPr>
          <w:b/>
          <w:bCs/>
        </w:rPr>
        <w:t>Moravské zemské muzeum (</w:t>
      </w:r>
      <w:r w:rsidR="00E84262" w:rsidRPr="00D10A57">
        <w:rPr>
          <w:b/>
          <w:bCs/>
        </w:rPr>
        <w:t>dále jen „</w:t>
      </w:r>
      <w:r w:rsidRPr="00D10A57">
        <w:rPr>
          <w:b/>
          <w:bCs/>
        </w:rPr>
        <w:t>MZM</w:t>
      </w:r>
      <w:r w:rsidR="00E84262" w:rsidRPr="00D10A57">
        <w:rPr>
          <w:b/>
          <w:bCs/>
        </w:rPr>
        <w:t>“</w:t>
      </w:r>
      <w:r w:rsidRPr="00D10A57">
        <w:rPr>
          <w:b/>
          <w:bCs/>
        </w:rPr>
        <w:t xml:space="preserve">) </w:t>
      </w:r>
    </w:p>
    <w:p w14:paraId="5F093764" w14:textId="77777777" w:rsidR="007A3158" w:rsidRPr="00D10A57" w:rsidRDefault="007A3158" w:rsidP="00D10A57">
      <w:pPr>
        <w:pStyle w:val="Styl1"/>
      </w:pPr>
      <w:r w:rsidRPr="00D10A57">
        <w:t xml:space="preserve">Prezentace romského etnika na příkladu kovářství tvoří součást nově připravované expozice v Paláci šlechtičen MZM </w:t>
      </w:r>
      <w:r w:rsidRPr="00D10A57">
        <w:rPr>
          <w:i/>
          <w:iCs/>
        </w:rPr>
        <w:t xml:space="preserve">Tradiční kultura na Moravě v zrcadle času </w:t>
      </w:r>
      <w:r w:rsidRPr="00D10A57">
        <w:t xml:space="preserve">v pasáži </w:t>
      </w:r>
      <w:r w:rsidRPr="00D10A57">
        <w:rPr>
          <w:i/>
          <w:iCs/>
        </w:rPr>
        <w:t xml:space="preserve">Člověk a stát. Etnické a náboženské menšiny </w:t>
      </w:r>
      <w:r w:rsidRPr="00D10A57">
        <w:t xml:space="preserve">(PhDr. Hana Dvořáková, Etnografický ústav Historického Muzea MZM). </w:t>
      </w:r>
    </w:p>
    <w:p w14:paraId="7F9ECF24" w14:textId="77777777" w:rsidR="007A3158" w:rsidRPr="00D10A57" w:rsidRDefault="007A3158" w:rsidP="00D10A57">
      <w:pPr>
        <w:pStyle w:val="Styl1"/>
      </w:pPr>
      <w:r w:rsidRPr="00D10A57">
        <w:t>PhDr. Jan Břečka (Historické oddělení Historického muzea MZM) je od dubna 2021 členem expertní skupiny k přípravě expozice nového památníku Muzea romské kultu</w:t>
      </w:r>
      <w:r w:rsidR="00065128" w:rsidRPr="00D10A57">
        <w:t>ry v Letech u </w:t>
      </w:r>
      <w:r w:rsidRPr="00D10A57">
        <w:t xml:space="preserve">Písku. </w:t>
      </w:r>
    </w:p>
    <w:p w14:paraId="0A7D93CA" w14:textId="2B105609" w:rsidR="007A3158" w:rsidRDefault="007A3158" w:rsidP="00D10A57">
      <w:pPr>
        <w:pStyle w:val="Styl1"/>
      </w:pPr>
      <w:r w:rsidRPr="00D10A57">
        <w:t xml:space="preserve">Dne 28. července 2021 proběhlo v Dietrichsteinském paláci MZM promítání dokumentárního filmu </w:t>
      </w:r>
      <w:r w:rsidRPr="00D10A57">
        <w:rPr>
          <w:i/>
          <w:iCs/>
        </w:rPr>
        <w:t xml:space="preserve">LETY </w:t>
      </w:r>
      <w:r w:rsidRPr="00D10A57">
        <w:t xml:space="preserve">z produkce organizace ROMEA TV v rámci festivalu </w:t>
      </w:r>
      <w:r w:rsidRPr="00D10A57">
        <w:rPr>
          <w:i/>
          <w:iCs/>
        </w:rPr>
        <w:t>Meeting Brno</w:t>
      </w:r>
      <w:r w:rsidRPr="00D10A57">
        <w:t>. Po projekci následovala beseda s pracovníky M</w:t>
      </w:r>
      <w:r w:rsidR="001F0AF5">
        <w:t>RK</w:t>
      </w:r>
      <w:r w:rsidRPr="00D10A57">
        <w:t xml:space="preserve"> v Brně. Akce, která vznikla ve spolupráci MZM a M</w:t>
      </w:r>
      <w:r w:rsidR="001F0AF5">
        <w:t>RK</w:t>
      </w:r>
      <w:r w:rsidRPr="00D10A57">
        <w:t xml:space="preserve">, měla hojnou návštěvnost. </w:t>
      </w:r>
    </w:p>
    <w:p w14:paraId="0E9B5BAA" w14:textId="77777777" w:rsidR="00A961AF" w:rsidRPr="00D10A57" w:rsidRDefault="00A961AF" w:rsidP="00D10A57">
      <w:pPr>
        <w:pStyle w:val="Styl1"/>
      </w:pPr>
    </w:p>
    <w:p w14:paraId="791853D5" w14:textId="77777777" w:rsidR="007A3158" w:rsidRPr="00D10A57" w:rsidRDefault="007A3158" w:rsidP="00D10A57">
      <w:pPr>
        <w:pStyle w:val="Styl1"/>
      </w:pPr>
      <w:r w:rsidRPr="00D10A57">
        <w:rPr>
          <w:b/>
          <w:bCs/>
        </w:rPr>
        <w:t>Slezské zemské muzeum (</w:t>
      </w:r>
      <w:r w:rsidR="00E84262" w:rsidRPr="00D10A57">
        <w:rPr>
          <w:b/>
          <w:bCs/>
        </w:rPr>
        <w:t>dále jen „</w:t>
      </w:r>
      <w:r w:rsidRPr="00D10A57">
        <w:rPr>
          <w:b/>
          <w:bCs/>
        </w:rPr>
        <w:t>SZM</w:t>
      </w:r>
      <w:r w:rsidR="00E84262" w:rsidRPr="00D10A57">
        <w:rPr>
          <w:b/>
          <w:bCs/>
        </w:rPr>
        <w:t>“</w:t>
      </w:r>
      <w:r w:rsidRPr="00D10A57">
        <w:rPr>
          <w:b/>
          <w:bCs/>
        </w:rPr>
        <w:t xml:space="preserve">) </w:t>
      </w:r>
    </w:p>
    <w:p w14:paraId="355512BB" w14:textId="77777777" w:rsidR="007A3158" w:rsidRPr="00D10A57" w:rsidRDefault="007A3158" w:rsidP="00D10A57">
      <w:pPr>
        <w:pStyle w:val="Styl1"/>
      </w:pPr>
      <w:r w:rsidRPr="00D10A57">
        <w:t>1. Popularizace romské kultur</w:t>
      </w:r>
      <w:r w:rsidR="002125E8" w:rsidRPr="00D10A57">
        <w:t xml:space="preserve">y a tématu romského holocaustu </w:t>
      </w:r>
    </w:p>
    <w:p w14:paraId="1BBC6F9F" w14:textId="77777777" w:rsidR="007A3158" w:rsidRPr="00D10A57" w:rsidRDefault="007A3158" w:rsidP="00D10A57">
      <w:pPr>
        <w:pStyle w:val="Styl1"/>
      </w:pPr>
      <w:r w:rsidRPr="00D10A57">
        <w:t xml:space="preserve">V Národním památníku II. světové války v Hrabyni byl v roce 2021 nabízen edukační program s názvem </w:t>
      </w:r>
      <w:r w:rsidRPr="00D10A57">
        <w:rPr>
          <w:i/>
          <w:iCs/>
        </w:rPr>
        <w:t>Byli jsme jen čísly</w:t>
      </w:r>
      <w:r w:rsidRPr="00D10A57">
        <w:t>. Tento program je určen pro žáky vyšších stupňů základních škol, studenty středních škol a zájemce z řad ostatní veřejnosti (mohl být upraven i pro mladší věkovou kategorii). Program se zaměřuje na objasnění pojmů antisemitismus, sioni</w:t>
      </w:r>
      <w:r w:rsidR="00455F42" w:rsidRPr="00D10A57">
        <w:t xml:space="preserve">smus či perzekuce obyvatelstva </w:t>
      </w:r>
      <w:r w:rsidRPr="00D10A57">
        <w:t xml:space="preserve">židovského a romského původu v období 2. světové války s přesahem </w:t>
      </w:r>
      <w:r w:rsidRPr="00D10A57">
        <w:lastRenderedPageBreak/>
        <w:t>do současnosti. Každoročně je evaluován a upravován tak, aby tato složitá témata, která jsou aktuální i dnes, byla skupinám zájemců přiblížena int</w:t>
      </w:r>
      <w:r w:rsidR="000A284E">
        <w:t>eraktivní formou a vyzvala je k </w:t>
      </w:r>
      <w:r w:rsidRPr="00D10A57">
        <w:t xml:space="preserve">přemýšlení. Tímto přístupem program nastiňuje možnosti obrany proti potlačování práv menšin, rasové nesnášenlivosti či svobodě slova a vyznání. </w:t>
      </w:r>
    </w:p>
    <w:p w14:paraId="2712D884" w14:textId="77777777" w:rsidR="007A3158" w:rsidRPr="00D10A57" w:rsidRDefault="007A3158" w:rsidP="00D10A57">
      <w:pPr>
        <w:pStyle w:val="Styl1"/>
      </w:pPr>
      <w:r w:rsidRPr="00D10A57">
        <w:t xml:space="preserve">2. Aktivity zlepšující situaci Romů v ČR </w:t>
      </w:r>
    </w:p>
    <w:p w14:paraId="19090ACF" w14:textId="77777777" w:rsidR="007A3158" w:rsidRPr="00D10A57" w:rsidRDefault="007A3158" w:rsidP="00D10A57">
      <w:pPr>
        <w:pStyle w:val="Styl1"/>
      </w:pPr>
      <w:r w:rsidRPr="00D10A57">
        <w:t xml:space="preserve">Ve všech areálech SZM mají Romové možnost individuální či komentované prohlídky celého areálu či návštěvu edukačních programů v rámci skupin či školní výuky. Pokud už příslušníci této menšiny SZM navštíví, většinou jsou to návštěvníci v dětském věku, kteří v rámci školní exkurze absolvují buď komentovanou prohlídku, nebo edukační program. Individuální návštěvy Romů jsou ojedinělé. </w:t>
      </w:r>
    </w:p>
    <w:p w14:paraId="0AF06C49" w14:textId="77777777" w:rsidR="007A3158" w:rsidRPr="00D10A57" w:rsidRDefault="000A284E" w:rsidP="00D10A57">
      <w:pPr>
        <w:pStyle w:val="Styl1"/>
      </w:pPr>
      <w:r>
        <w:t>3. V</w:t>
      </w:r>
      <w:r w:rsidR="007A3158" w:rsidRPr="00D10A57">
        <w:t xml:space="preserve">ýznamné aktivity spojené s Romy </w:t>
      </w:r>
    </w:p>
    <w:p w14:paraId="4476F221" w14:textId="77777777" w:rsidR="007A3158" w:rsidRPr="00D10A57" w:rsidRDefault="007A3158" w:rsidP="00D10A57">
      <w:pPr>
        <w:pStyle w:val="Styl1"/>
      </w:pPr>
      <w:r w:rsidRPr="00D10A57">
        <w:t>Oddělení historického výzkumu SZM ve spolupráci s Univerzitou Karlovou a Slezskou univerzitou v roce 2021 připravilo výstavu „</w:t>
      </w:r>
      <w:r w:rsidRPr="00D10A57">
        <w:rPr>
          <w:i/>
          <w:iCs/>
        </w:rPr>
        <w:t xml:space="preserve">Staré“ a „nové“ menšiny v České republice </w:t>
      </w:r>
      <w:r w:rsidRPr="00D10A57">
        <w:t xml:space="preserve">(10. září – 31. prosince 2021). Výstava se věnovala historii a současnosti národnostních a náboženských menšin v českých zemích v kontextu společenského vývoje od roku 1945. Problematika romské menšiny byla na této výstavě představena populárně-naučnou formou. Tématu romské menšiny se věnuje také odborná monografie </w:t>
      </w:r>
      <w:r w:rsidRPr="00D10A57">
        <w:rPr>
          <w:i/>
          <w:iCs/>
        </w:rPr>
        <w:t>Národnostní menšiny a migrace v Českém Slezsku a na severní Moravě ve 20. a 21. století</w:t>
      </w:r>
      <w:r w:rsidRPr="00D10A57">
        <w:t xml:space="preserve">, vydaná v roce 2021 ve spolupráci se Slezskou univerzitou. </w:t>
      </w:r>
    </w:p>
    <w:p w14:paraId="2233AC04" w14:textId="77777777" w:rsidR="007A3158" w:rsidRPr="00D10A57" w:rsidRDefault="007A3158" w:rsidP="00D10A57">
      <w:pPr>
        <w:pStyle w:val="Styl1"/>
      </w:pPr>
      <w:r w:rsidRPr="00D10A57">
        <w:t xml:space="preserve">4. Zaznamenané změny vývoje v problematice romské integrace oproti roku 2020 </w:t>
      </w:r>
    </w:p>
    <w:p w14:paraId="335AC8A1" w14:textId="2CC16499" w:rsidR="007A3158" w:rsidRPr="00D10A57" w:rsidRDefault="007A3158" w:rsidP="00D10A57">
      <w:pPr>
        <w:pStyle w:val="Styl1"/>
      </w:pPr>
      <w:r w:rsidRPr="00D10A57">
        <w:t>Díky projektu M</w:t>
      </w:r>
      <w:r w:rsidR="001F0AF5">
        <w:t>inisterstva školství, mládeže s tělovýchovy (dále jen „MŠMT„)</w:t>
      </w:r>
      <w:r w:rsidRPr="00D10A57">
        <w:t xml:space="preserve"> </w:t>
      </w:r>
      <w:r w:rsidRPr="00D10A57">
        <w:rPr>
          <w:i/>
          <w:iCs/>
        </w:rPr>
        <w:t xml:space="preserve">Šablony </w:t>
      </w:r>
      <w:r w:rsidRPr="00D10A57">
        <w:t xml:space="preserve">navštěvovalo areály SZM a jejich edukační programy širší spektrum návštěvníků od mateřských škol přes základní školy až po školní družiny i zájmové kroužky. Tento projekt byl přínosný také pro romské žáky, kteří mohli areály SZM navštívit zdarma. </w:t>
      </w:r>
    </w:p>
    <w:p w14:paraId="3CCFA4A7" w14:textId="77777777" w:rsidR="007A3158" w:rsidRPr="00D10A57" w:rsidRDefault="007A3158" w:rsidP="00D10A57">
      <w:pPr>
        <w:pStyle w:val="Styl1"/>
      </w:pPr>
      <w:r w:rsidRPr="00D10A57">
        <w:rPr>
          <w:b/>
          <w:bCs/>
        </w:rPr>
        <w:t>Moravská galerie v Brně (</w:t>
      </w:r>
      <w:r w:rsidR="00E84262" w:rsidRPr="00D10A57">
        <w:rPr>
          <w:b/>
          <w:bCs/>
        </w:rPr>
        <w:t>dále jen „</w:t>
      </w:r>
      <w:r w:rsidRPr="00D10A57">
        <w:rPr>
          <w:b/>
          <w:bCs/>
        </w:rPr>
        <w:t>MGB</w:t>
      </w:r>
      <w:r w:rsidR="00E84262" w:rsidRPr="00D10A57">
        <w:rPr>
          <w:b/>
          <w:bCs/>
        </w:rPr>
        <w:t>“</w:t>
      </w:r>
      <w:r w:rsidRPr="00D10A57">
        <w:rPr>
          <w:b/>
          <w:bCs/>
        </w:rPr>
        <w:t xml:space="preserve">) </w:t>
      </w:r>
    </w:p>
    <w:p w14:paraId="04EC5E2F" w14:textId="4A2CF41E" w:rsidR="007A3158" w:rsidRPr="00D10A57" w:rsidRDefault="007A3158" w:rsidP="00D10A57">
      <w:pPr>
        <w:pStyle w:val="Styl1"/>
      </w:pPr>
      <w:r w:rsidRPr="00D10A57">
        <w:t>Knihovna MGB každoročně do svého fondu doplňuje publikace vydávané</w:t>
      </w:r>
      <w:r w:rsidR="001F0AF5">
        <w:t xml:space="preserve"> MRK</w:t>
      </w:r>
      <w:r w:rsidRPr="00D10A57">
        <w:t xml:space="preserve">. </w:t>
      </w:r>
    </w:p>
    <w:p w14:paraId="7AE5D76F" w14:textId="399DFF49" w:rsidR="002125E8" w:rsidRPr="00D10A57" w:rsidRDefault="007A3158" w:rsidP="00D10A57">
      <w:pPr>
        <w:pStyle w:val="Styl1"/>
      </w:pPr>
      <w:r w:rsidRPr="00D10A57">
        <w:t>MGB také v roce 2021 pokračovala ve spolupráci s paní PhDr. Janou Horvát</w:t>
      </w:r>
      <w:r w:rsidR="000A284E">
        <w:t>h</w:t>
      </w:r>
      <w:r w:rsidRPr="00D10A57">
        <w:t>ovou, ředitelkou M</w:t>
      </w:r>
      <w:r w:rsidR="001F0AF5">
        <w:t>RK</w:t>
      </w:r>
      <w:r w:rsidRPr="00D10A57">
        <w:t xml:space="preserve">, na přípravách podoby stálé expozice památníku v Letech u Písku. </w:t>
      </w:r>
    </w:p>
    <w:p w14:paraId="5E86BD86" w14:textId="1DD4968E" w:rsidR="007A3158" w:rsidRPr="00D10A57" w:rsidRDefault="007A3158" w:rsidP="00D10A57">
      <w:pPr>
        <w:pStyle w:val="Styl1"/>
      </w:pPr>
      <w:r w:rsidRPr="00D10A57">
        <w:t xml:space="preserve">V rámci výstavy </w:t>
      </w:r>
      <w:r w:rsidRPr="00D10A57">
        <w:rPr>
          <w:i/>
          <w:iCs/>
        </w:rPr>
        <w:t xml:space="preserve">Cena Jindřicha Chalupeckého 2021 </w:t>
      </w:r>
      <w:r w:rsidRPr="00D10A57">
        <w:t xml:space="preserve">(Pražákův palác, 24. září 2021 – 27. února 2022) byla realizována umělecká instalace romského finalisty Roberta Gabrise, který se věnuje vyloučeným skupinám v konfrontaci s normami většinové společnosti. Jeho instalaci </w:t>
      </w:r>
      <w:r w:rsidRPr="00D10A57">
        <w:rPr>
          <w:i/>
          <w:iCs/>
        </w:rPr>
        <w:t>ERROR</w:t>
      </w:r>
      <w:r w:rsidRPr="00D10A57">
        <w:t xml:space="preserve">, která tematizuje romskou minoritu v rámci </w:t>
      </w:r>
      <w:r w:rsidRPr="00D10A57">
        <w:rPr>
          <w:bCs/>
        </w:rPr>
        <w:t>LGBTQ komunity, vidělo v roce 2021 celkem 2239 návštěvníků. K této výstavě byly realizovány také doprovodné programy pro veřejnost (971 účastníků) a vzdělávací programy pro školy (329 účastníků), které se věnovaly tématu menšin v souvislosti s dílem romského umělce Roberta Gabrise.</w:t>
      </w:r>
      <w:r w:rsidRPr="00D10A57">
        <w:rPr>
          <w:b/>
          <w:bCs/>
        </w:rPr>
        <w:t xml:space="preserve"> </w:t>
      </w:r>
      <w:r w:rsidR="00085EBC" w:rsidRPr="00D10A57">
        <w:t>Jedním z </w:t>
      </w:r>
      <w:r w:rsidRPr="00D10A57">
        <w:t>realizovaných programů byla také speciální komentovaná prohlídka výstavy za účasti Roberta Gabrise s následnou diskuzí na téma problémů minorit a důležitosti komunikace napříč společností. Této komentované prohlídky se zúčastnili také</w:t>
      </w:r>
      <w:r w:rsidR="00455F42" w:rsidRPr="00D10A57">
        <w:t xml:space="preserve"> bývalý</w:t>
      </w:r>
      <w:r w:rsidRPr="00D10A57">
        <w:t xml:space="preserve"> zmocněnec pro práva romské menšiny na Slovensku Ábel Ravasz a ředitelka M</w:t>
      </w:r>
      <w:r w:rsidR="00F63790">
        <w:t>RK</w:t>
      </w:r>
      <w:r w:rsidRPr="00D10A57">
        <w:t xml:space="preserve"> PhDr. Jana Horváthová. Po debatě následovala exkurze účastníků do </w:t>
      </w:r>
      <w:r w:rsidR="00F63790">
        <w:t>MRK</w:t>
      </w:r>
      <w:r w:rsidRPr="00D10A57">
        <w:t xml:space="preserve">. </w:t>
      </w:r>
    </w:p>
    <w:p w14:paraId="7221B5C9" w14:textId="77777777" w:rsidR="007A3158" w:rsidRPr="00D10A57" w:rsidRDefault="007A3158" w:rsidP="00D10A57">
      <w:pPr>
        <w:pStyle w:val="Styl1"/>
      </w:pPr>
      <w:r w:rsidRPr="00D10A57">
        <w:rPr>
          <w:b/>
          <w:bCs/>
        </w:rPr>
        <w:t>Národní technické muzeum (</w:t>
      </w:r>
      <w:r w:rsidR="00F65D54" w:rsidRPr="00D10A57">
        <w:rPr>
          <w:b/>
          <w:bCs/>
        </w:rPr>
        <w:t>dále jen „</w:t>
      </w:r>
      <w:r w:rsidRPr="00D10A57">
        <w:rPr>
          <w:b/>
          <w:bCs/>
        </w:rPr>
        <w:t>NTM</w:t>
      </w:r>
      <w:r w:rsidR="00F65D54" w:rsidRPr="00D10A57">
        <w:rPr>
          <w:b/>
          <w:bCs/>
        </w:rPr>
        <w:t>“</w:t>
      </w:r>
      <w:r w:rsidRPr="00D10A57">
        <w:rPr>
          <w:b/>
          <w:bCs/>
        </w:rPr>
        <w:t xml:space="preserve">) </w:t>
      </w:r>
    </w:p>
    <w:p w14:paraId="1247E6BE" w14:textId="77777777" w:rsidR="007A3158" w:rsidRPr="00D10A57" w:rsidRDefault="007A3158" w:rsidP="00D10A57">
      <w:pPr>
        <w:pStyle w:val="Styl1"/>
      </w:pPr>
      <w:r w:rsidRPr="00D10A57">
        <w:lastRenderedPageBreak/>
        <w:t xml:space="preserve">NTM v roce 2021 zpracovalo žádost o grant s názvem </w:t>
      </w:r>
      <w:r w:rsidRPr="00D10A57">
        <w:rPr>
          <w:i/>
          <w:iCs/>
        </w:rPr>
        <w:t>Technika ožívá – inovativní dílny v</w:t>
      </w:r>
      <w:r w:rsidR="00471BE0">
        <w:rPr>
          <w:i/>
          <w:iCs/>
        </w:rPr>
        <w:t> </w:t>
      </w:r>
      <w:r w:rsidRPr="00D10A57">
        <w:rPr>
          <w:i/>
          <w:iCs/>
        </w:rPr>
        <w:t xml:space="preserve">Železničním depozitáři Národního technického muzea v Chomutově </w:t>
      </w:r>
      <w:r w:rsidRPr="00D10A57">
        <w:t xml:space="preserve">a zaregistrovalo ji do výzvy </w:t>
      </w:r>
      <w:r w:rsidRPr="00D10A57">
        <w:rPr>
          <w:i/>
          <w:iCs/>
        </w:rPr>
        <w:t xml:space="preserve">Inovativní využití movitého a nemovitého kulturního dědictví </w:t>
      </w:r>
      <w:r w:rsidRPr="00D10A57">
        <w:t>v Programu Kultura, financovaného z Fondů EHP 2014–2021. Projekt úspěšně prošel kontrolou formálních náležitostí a oprávněnosti a nyní se nachází ve fázi věcného hodnocení kvality. Záměr projektu spočívá ve vytvoření souboru edukačních aktivit vedoucích k dalšímu inovativnímu využívání sbírkových předmětů (evidovaných v CES) v Železničním depozitáři NTM v Chomutově. Na základě spolupráce s místními subjekty vznikne široká edukační nabídka programů pro školní i běžné návštěvnické skupiny v podobě dílen, zážitkových aktivit a cyklů prohlídek, využívajících velký potenciál železniční sbírky. Sbírka, která je dokladem umu a spolupráce mnohých profesí z železničního prostředí a také názorným dokladem mnoha technologií a procesů i historických mezníků včetně regionální tematiky, je uložena v atraktivním autentickém prostředí. Nabídka projektu povede k obohacení možnosti smysluplného trávení volného času, rozšíření prostoru nejen pro celoživotní vzdělávání a významně přispěje k</w:t>
      </w:r>
      <w:r w:rsidR="00471BE0">
        <w:t> </w:t>
      </w:r>
      <w:r w:rsidRPr="00D10A57">
        <w:t xml:space="preserve">propojení komunity, inkluzi vyčleněných skupin a posílení místní identity. </w:t>
      </w:r>
      <w:r w:rsidRPr="00D10A57">
        <w:rPr>
          <w:b/>
          <w:bCs/>
        </w:rPr>
        <w:t xml:space="preserve">Cílovou skupinou je romská komunita. </w:t>
      </w:r>
    </w:p>
    <w:p w14:paraId="6B6BD146" w14:textId="77777777" w:rsidR="007A3158" w:rsidRPr="00D10A57" w:rsidRDefault="007A3158" w:rsidP="00D10A57">
      <w:pPr>
        <w:pStyle w:val="Styl1"/>
      </w:pPr>
      <w:r w:rsidRPr="00D10A57">
        <w:rPr>
          <w:b/>
          <w:bCs/>
        </w:rPr>
        <w:t>Technické muzeum v Brně (</w:t>
      </w:r>
      <w:r w:rsidR="00F65D54" w:rsidRPr="00D10A57">
        <w:rPr>
          <w:b/>
          <w:bCs/>
        </w:rPr>
        <w:t>dále jen „</w:t>
      </w:r>
      <w:r w:rsidRPr="00D10A57">
        <w:rPr>
          <w:b/>
          <w:bCs/>
        </w:rPr>
        <w:t>TMB</w:t>
      </w:r>
      <w:r w:rsidR="00F65D54" w:rsidRPr="00D10A57">
        <w:rPr>
          <w:b/>
          <w:bCs/>
        </w:rPr>
        <w:t>“</w:t>
      </w:r>
      <w:r w:rsidRPr="00D10A57">
        <w:rPr>
          <w:b/>
          <w:bCs/>
        </w:rPr>
        <w:t xml:space="preserve">) </w:t>
      </w:r>
    </w:p>
    <w:p w14:paraId="22486ADC" w14:textId="77777777" w:rsidR="007A3158" w:rsidRPr="00D10A57" w:rsidRDefault="007A3158" w:rsidP="00D10A57">
      <w:pPr>
        <w:pStyle w:val="Styl1"/>
      </w:pPr>
      <w:r w:rsidRPr="00D10A57">
        <w:t>Veškeré aktivity TMB jsou otevřené všem zájemcům bez rozdílu, stejně jako workshopy, akce pro rodiny či stanoviště na akcích, které nepořádá TMB. V případě tzv. rodinných dnů jsou mezi návštěvníky často i děti z dětských domovů, mezi nimiž většinu tvoří romské děti a</w:t>
      </w:r>
      <w:r w:rsidR="00471BE0">
        <w:t> </w:t>
      </w:r>
      <w:r w:rsidRPr="00D10A57">
        <w:t xml:space="preserve">mládež. TMB se snaží zachovat rovný přístup ke všem menšinám. </w:t>
      </w:r>
    </w:p>
    <w:p w14:paraId="4F383A49" w14:textId="77777777" w:rsidR="007A3158" w:rsidRPr="00D10A57" w:rsidRDefault="007A3158" w:rsidP="00D10A57">
      <w:pPr>
        <w:pStyle w:val="Styl1"/>
      </w:pPr>
      <w:r w:rsidRPr="00D10A57">
        <w:rPr>
          <w:b/>
          <w:bCs/>
        </w:rPr>
        <w:t>Národní muzeum v přírodě (</w:t>
      </w:r>
      <w:r w:rsidR="00F65D54" w:rsidRPr="00D10A57">
        <w:rPr>
          <w:b/>
          <w:bCs/>
        </w:rPr>
        <w:t>dále jen „</w:t>
      </w:r>
      <w:r w:rsidRPr="00D10A57">
        <w:rPr>
          <w:b/>
          <w:bCs/>
        </w:rPr>
        <w:t>NMvP</w:t>
      </w:r>
      <w:r w:rsidR="00F65D54" w:rsidRPr="00D10A57">
        <w:rPr>
          <w:b/>
          <w:bCs/>
        </w:rPr>
        <w:t>“</w:t>
      </w:r>
      <w:r w:rsidRPr="00D10A57">
        <w:rPr>
          <w:b/>
          <w:bCs/>
        </w:rPr>
        <w:t xml:space="preserve">) </w:t>
      </w:r>
    </w:p>
    <w:p w14:paraId="3B20DD7C" w14:textId="77777777" w:rsidR="002125E8" w:rsidRPr="00D10A57" w:rsidRDefault="007A3158" w:rsidP="00D10A57">
      <w:pPr>
        <w:pStyle w:val="Styl1"/>
      </w:pPr>
      <w:r w:rsidRPr="00D10A57">
        <w:t xml:space="preserve">Ve Valašském muzeu v přírodě jakožto organizační složce NMvP se dne 24. července 2021 uskutečnil 27. ročník mezinárodního festivalu </w:t>
      </w:r>
      <w:r w:rsidRPr="00D10A57">
        <w:rPr>
          <w:i/>
          <w:iCs/>
        </w:rPr>
        <w:t>Romská píseň</w:t>
      </w:r>
      <w:r w:rsidRPr="00D10A57">
        <w:t>, který organizovala Demokratická</w:t>
      </w:r>
      <w:r w:rsidR="00F57789">
        <w:t xml:space="preserve"> aliance Romů. Festival začal v</w:t>
      </w:r>
      <w:r w:rsidRPr="00D10A57">
        <w:t xml:space="preserve"> 13.00 </w:t>
      </w:r>
      <w:r w:rsidR="00F57789">
        <w:t xml:space="preserve">h. </w:t>
      </w:r>
      <w:r w:rsidRPr="00D10A57">
        <w:t xml:space="preserve">v amfiteátru Dřevěného městečka za účasti těchto souborů a skupin z České republiky a Slovenska: </w:t>
      </w:r>
      <w:r w:rsidRPr="00D10A57">
        <w:rPr>
          <w:i/>
          <w:iCs/>
        </w:rPr>
        <w:t xml:space="preserve">Cimbálová muzika Polajka </w:t>
      </w:r>
      <w:r w:rsidRPr="00D10A57">
        <w:t xml:space="preserve">z Rožnova pod Radhoštěm, </w:t>
      </w:r>
      <w:r w:rsidRPr="00D10A57">
        <w:rPr>
          <w:i/>
          <w:iCs/>
        </w:rPr>
        <w:t xml:space="preserve">Brillant orchester </w:t>
      </w:r>
      <w:r w:rsidRPr="00D10A57">
        <w:t xml:space="preserve">z Banské Bystrice, </w:t>
      </w:r>
      <w:r w:rsidRPr="00D10A57">
        <w:rPr>
          <w:i/>
          <w:iCs/>
        </w:rPr>
        <w:t xml:space="preserve">Romano Jilo </w:t>
      </w:r>
      <w:r w:rsidRPr="00D10A57">
        <w:t xml:space="preserve">z Brna, </w:t>
      </w:r>
      <w:r w:rsidRPr="00D10A57">
        <w:rPr>
          <w:i/>
          <w:iCs/>
        </w:rPr>
        <w:t>Giňovci z Opavy</w:t>
      </w:r>
      <w:r w:rsidRPr="00D10A57">
        <w:t xml:space="preserve">, </w:t>
      </w:r>
      <w:r w:rsidRPr="00D10A57">
        <w:rPr>
          <w:i/>
          <w:iCs/>
        </w:rPr>
        <w:t xml:space="preserve">IMPERIO </w:t>
      </w:r>
      <w:r w:rsidRPr="00D10A57">
        <w:t xml:space="preserve">z Přerova a </w:t>
      </w:r>
      <w:r w:rsidRPr="00D10A57">
        <w:rPr>
          <w:i/>
          <w:iCs/>
        </w:rPr>
        <w:t>Gitans</w:t>
      </w:r>
      <w:r w:rsidRPr="00D10A57">
        <w:t xml:space="preserve">. Dřevěné městečko navštívilo celkem 1 206 osob. </w:t>
      </w:r>
    </w:p>
    <w:p w14:paraId="76DDA527" w14:textId="77777777" w:rsidR="007A3158" w:rsidRPr="00D10A57" w:rsidRDefault="007A3158" w:rsidP="00D10A57">
      <w:pPr>
        <w:pStyle w:val="Styl1"/>
      </w:pPr>
      <w:r w:rsidRPr="00D10A57">
        <w:rPr>
          <w:b/>
          <w:bCs/>
        </w:rPr>
        <w:t>Památník Lidice (</w:t>
      </w:r>
      <w:r w:rsidR="00F65D54" w:rsidRPr="00D10A57">
        <w:rPr>
          <w:b/>
          <w:bCs/>
        </w:rPr>
        <w:t>dále jen „</w:t>
      </w:r>
      <w:r w:rsidRPr="00D10A57">
        <w:rPr>
          <w:b/>
          <w:bCs/>
        </w:rPr>
        <w:t>PL</w:t>
      </w:r>
      <w:r w:rsidR="00F65D54" w:rsidRPr="00D10A57">
        <w:rPr>
          <w:b/>
          <w:bCs/>
        </w:rPr>
        <w:t>“</w:t>
      </w:r>
      <w:r w:rsidRPr="00D10A57">
        <w:rPr>
          <w:b/>
          <w:bCs/>
        </w:rPr>
        <w:t xml:space="preserve">) </w:t>
      </w:r>
    </w:p>
    <w:p w14:paraId="3015B178" w14:textId="7FA07A42" w:rsidR="007A3158" w:rsidRPr="00D10A57" w:rsidRDefault="007A3158" w:rsidP="00D10A57">
      <w:pPr>
        <w:pStyle w:val="Styl1"/>
      </w:pPr>
      <w:r w:rsidRPr="00D10A57">
        <w:t>Zástupci PL se pravidelně účastní pietních aktů pořádaných M</w:t>
      </w:r>
      <w:r w:rsidR="00F63790">
        <w:t>RK</w:t>
      </w:r>
      <w:r w:rsidRPr="00D10A57">
        <w:t xml:space="preserve">. O těchto aktech poté PL informuje na svých webových stránkách a sociálních sítích. </w:t>
      </w:r>
    </w:p>
    <w:p w14:paraId="4B461C70" w14:textId="77777777" w:rsidR="007A3158" w:rsidRPr="00D10A57" w:rsidRDefault="007A3158" w:rsidP="00D10A57">
      <w:pPr>
        <w:pStyle w:val="Styl1"/>
      </w:pPr>
      <w:r w:rsidRPr="00D10A57">
        <w:rPr>
          <w:b/>
          <w:bCs/>
        </w:rPr>
        <w:t>Památník Terezín (</w:t>
      </w:r>
      <w:r w:rsidR="00085EBC" w:rsidRPr="00D10A57">
        <w:rPr>
          <w:b/>
          <w:bCs/>
        </w:rPr>
        <w:t>dále jen „</w:t>
      </w:r>
      <w:r w:rsidRPr="00D10A57">
        <w:rPr>
          <w:b/>
          <w:bCs/>
        </w:rPr>
        <w:t>PT</w:t>
      </w:r>
      <w:r w:rsidR="00085EBC" w:rsidRPr="00D10A57">
        <w:rPr>
          <w:b/>
          <w:bCs/>
        </w:rPr>
        <w:t>“</w:t>
      </w:r>
      <w:r w:rsidRPr="00D10A57">
        <w:rPr>
          <w:b/>
          <w:bCs/>
        </w:rPr>
        <w:t xml:space="preserve">) </w:t>
      </w:r>
    </w:p>
    <w:p w14:paraId="5BBDD857" w14:textId="4A7F2A6A" w:rsidR="007A3158" w:rsidRPr="00D10A57" w:rsidRDefault="007A3158" w:rsidP="00D10A57">
      <w:pPr>
        <w:pStyle w:val="Styl1"/>
      </w:pPr>
      <w:r w:rsidRPr="00D10A57">
        <w:t xml:space="preserve">Od 3. srpna 2020 na středně dlouhou dobu s předpokladem na tři roky hostí v prostorách tzv. ženského dvora Malé pevnosti výstavu </w:t>
      </w:r>
      <w:r w:rsidRPr="00D10A57">
        <w:rPr>
          <w:i/>
          <w:iCs/>
        </w:rPr>
        <w:t>Genocida Romů v době 2. světové války</w:t>
      </w:r>
      <w:r w:rsidRPr="00D10A57">
        <w:t>. Je</w:t>
      </w:r>
      <w:r w:rsidR="00E75515" w:rsidRPr="00D10A57">
        <w:t xml:space="preserve">likož si PT velmi </w:t>
      </w:r>
      <w:r w:rsidRPr="00D10A57">
        <w:t xml:space="preserve">dobře uvědomuje, že mezi oběťmi nacistického pronásledování patřili za války příslušníci různých národnostních menšin, tedy také Romové, rozhodl se ve spolupráci s </w:t>
      </w:r>
      <w:r w:rsidR="00F63790">
        <w:t>MRK</w:t>
      </w:r>
      <w:r w:rsidRPr="00D10A57">
        <w:t xml:space="preserve"> představit návštěvníkům PT problematiku romského holocaustu. Výstava,</w:t>
      </w:r>
      <w:r w:rsidR="009D4FC2" w:rsidRPr="00D10A57">
        <w:t xml:space="preserve"> která je k </w:t>
      </w:r>
      <w:r w:rsidRPr="00D10A57">
        <w:t xml:space="preserve">vidění během běžné návštěvní doby Malé pevnosti, se věnuje nacistickému pronásledování a vyvražďování Romů za druhé světové války především na území dnešní České republiky. </w:t>
      </w:r>
    </w:p>
    <w:p w14:paraId="1D2171C7" w14:textId="0B8B08D7" w:rsidR="000B1857" w:rsidRPr="00D10A57" w:rsidRDefault="007A3158" w:rsidP="00D10A57">
      <w:pPr>
        <w:pStyle w:val="Styl1"/>
        <w:rPr>
          <w:b/>
          <w:bCs/>
          <w:sz w:val="23"/>
          <w:szCs w:val="23"/>
        </w:rPr>
      </w:pPr>
      <w:r w:rsidRPr="00D10A57">
        <w:t xml:space="preserve">Problematice romské národnostní menšiny byla věnována také část pedagogického semináře </w:t>
      </w:r>
      <w:r w:rsidRPr="00D10A57">
        <w:rPr>
          <w:i/>
          <w:iCs/>
        </w:rPr>
        <w:t>Jak vyučovat o holokaustu</w:t>
      </w:r>
      <w:r w:rsidRPr="00D10A57">
        <w:t>, který proběhl v PT na počátku září 2021. Téma života a kultury Romů v českých zemích je do tohoto školení každoročně zařazováno již od roku 2000. Na obsahu PT spolupracuje s M</w:t>
      </w:r>
      <w:r w:rsidR="00F63790">
        <w:t>RK</w:t>
      </w:r>
      <w:r w:rsidRPr="00D10A57">
        <w:t>.</w:t>
      </w:r>
    </w:p>
    <w:p w14:paraId="27168F8C" w14:textId="77777777" w:rsidR="00135315" w:rsidRDefault="00135315">
      <w:pPr>
        <w:rPr>
          <w:rFonts w:ascii="Arial" w:hAnsi="Arial" w:cs="Arial"/>
          <w:b/>
          <w:bCs/>
          <w:color w:val="000000"/>
          <w:sz w:val="23"/>
          <w:szCs w:val="23"/>
        </w:rPr>
      </w:pPr>
      <w:r>
        <w:rPr>
          <w:rFonts w:ascii="Arial" w:hAnsi="Arial" w:cs="Arial"/>
          <w:b/>
          <w:bCs/>
          <w:color w:val="000000"/>
          <w:sz w:val="23"/>
          <w:szCs w:val="23"/>
        </w:rPr>
        <w:br w:type="page"/>
      </w:r>
    </w:p>
    <w:p w14:paraId="464F10F5" w14:textId="2D3C5B93" w:rsidR="00ED7E0F" w:rsidRDefault="003B49E3">
      <w:pPr>
        <w:pStyle w:val="Nadpis1"/>
        <w:numPr>
          <w:ilvl w:val="0"/>
          <w:numId w:val="1"/>
        </w:numPr>
        <w:spacing w:line="240" w:lineRule="auto"/>
        <w:jc w:val="both"/>
        <w:rPr>
          <w:rFonts w:ascii="Arial" w:hAnsi="Arial" w:cs="Arial"/>
          <w:color w:val="auto"/>
          <w:sz w:val="24"/>
        </w:rPr>
      </w:pPr>
      <w:bookmarkStart w:id="6" w:name="_Toc112831371"/>
      <w:r w:rsidRPr="00D10A57">
        <w:rPr>
          <w:rFonts w:ascii="Arial" w:hAnsi="Arial" w:cs="Arial"/>
          <w:color w:val="auto"/>
          <w:sz w:val="24"/>
        </w:rPr>
        <w:lastRenderedPageBreak/>
        <w:t>M</w:t>
      </w:r>
      <w:r w:rsidR="00107B6F" w:rsidRPr="00D10A57">
        <w:rPr>
          <w:rFonts w:ascii="Arial" w:hAnsi="Arial" w:cs="Arial"/>
          <w:color w:val="auto"/>
          <w:sz w:val="24"/>
        </w:rPr>
        <w:t>inisterstvo pro místní rozvoj</w:t>
      </w:r>
      <w:bookmarkEnd w:id="6"/>
    </w:p>
    <w:p w14:paraId="7F91D530" w14:textId="77777777" w:rsidR="00ED7E0F" w:rsidRPr="007C763A" w:rsidRDefault="00ED7E0F" w:rsidP="007C763A"/>
    <w:p w14:paraId="05107141" w14:textId="11A0A60F" w:rsidR="00543259" w:rsidRPr="007C763A" w:rsidRDefault="00ED7E0F" w:rsidP="007C763A">
      <w:pPr>
        <w:spacing w:line="240" w:lineRule="auto"/>
        <w:rPr>
          <w:rFonts w:ascii="Arial" w:hAnsi="Arial" w:cs="Arial"/>
          <w:b/>
          <w:bCs/>
          <w:color w:val="000000"/>
        </w:rPr>
      </w:pPr>
      <w:r w:rsidRPr="00605AFD">
        <w:rPr>
          <w:rFonts w:ascii="Arial" w:hAnsi="Arial" w:cs="Arial"/>
          <w:b/>
          <w:bCs/>
          <w:color w:val="000000"/>
        </w:rPr>
        <w:t>Informace o plnění usnesení vlády týkajících se integrace romské menšiny a aktivního postupu státní správy při uskutečňování opatření přijatých souvisejícími usneseními vlády ke dni 31. 12. 2021</w:t>
      </w:r>
    </w:p>
    <w:p w14:paraId="62D588BA" w14:textId="77777777" w:rsidR="007D616F" w:rsidRPr="00D10A57" w:rsidRDefault="007D616F" w:rsidP="00D10A57">
      <w:pPr>
        <w:autoSpaceDE w:val="0"/>
        <w:autoSpaceDN w:val="0"/>
        <w:adjustRightInd w:val="0"/>
        <w:spacing w:after="0" w:line="240" w:lineRule="auto"/>
        <w:jc w:val="both"/>
        <w:rPr>
          <w:rFonts w:ascii="Arial" w:hAnsi="Arial" w:cs="Arial"/>
          <w:b/>
          <w:bCs/>
          <w:color w:val="000000"/>
          <w:sz w:val="23"/>
          <w:szCs w:val="23"/>
        </w:rPr>
      </w:pPr>
      <w:r w:rsidRPr="00D10A57">
        <w:rPr>
          <w:rFonts w:ascii="Arial" w:hAnsi="Arial" w:cs="Arial"/>
          <w:b/>
          <w:bCs/>
          <w:color w:val="000000"/>
          <w:sz w:val="23"/>
          <w:szCs w:val="23"/>
        </w:rPr>
        <w:t>Usnesením vlády ze dne 11. května 2016 č. 416,</w:t>
      </w:r>
      <w:r w:rsidR="00C73FFF" w:rsidRPr="00D10A57">
        <w:rPr>
          <w:rFonts w:ascii="Arial" w:hAnsi="Arial" w:cs="Arial"/>
          <w:b/>
          <w:bCs/>
          <w:color w:val="000000"/>
          <w:sz w:val="23"/>
          <w:szCs w:val="23"/>
        </w:rPr>
        <w:t xml:space="preserve"> k Revizi úkolů vyplývajících z </w:t>
      </w:r>
      <w:r w:rsidRPr="00D10A57">
        <w:rPr>
          <w:rFonts w:ascii="Arial" w:hAnsi="Arial" w:cs="Arial"/>
          <w:b/>
          <w:bCs/>
          <w:color w:val="000000"/>
          <w:sz w:val="23"/>
          <w:szCs w:val="23"/>
        </w:rPr>
        <w:t>usnesení vlády, týkajících se integrace romské m</w:t>
      </w:r>
      <w:r w:rsidR="00BE0C61" w:rsidRPr="00D10A57">
        <w:rPr>
          <w:rFonts w:ascii="Arial" w:hAnsi="Arial" w:cs="Arial"/>
          <w:b/>
          <w:bCs/>
          <w:color w:val="000000"/>
          <w:sz w:val="23"/>
          <w:szCs w:val="23"/>
        </w:rPr>
        <w:t>enšiny, vláda uložila ministru</w:t>
      </w:r>
      <w:r w:rsidRPr="00D10A57">
        <w:rPr>
          <w:rFonts w:ascii="Arial" w:hAnsi="Arial" w:cs="Arial"/>
          <w:b/>
          <w:bCs/>
          <w:color w:val="000000"/>
          <w:sz w:val="23"/>
          <w:szCs w:val="23"/>
        </w:rPr>
        <w:t xml:space="preserve"> pro</w:t>
      </w:r>
      <w:r w:rsidR="00543259">
        <w:rPr>
          <w:rFonts w:ascii="Arial" w:hAnsi="Arial" w:cs="Arial"/>
          <w:b/>
          <w:bCs/>
          <w:color w:val="000000"/>
          <w:sz w:val="23"/>
          <w:szCs w:val="23"/>
        </w:rPr>
        <w:t> </w:t>
      </w:r>
      <w:r w:rsidRPr="00D10A57">
        <w:rPr>
          <w:rFonts w:ascii="Arial" w:hAnsi="Arial" w:cs="Arial"/>
          <w:b/>
          <w:bCs/>
          <w:color w:val="000000"/>
          <w:sz w:val="23"/>
          <w:szCs w:val="23"/>
        </w:rPr>
        <w:t>místní rozvoj</w:t>
      </w:r>
      <w:r w:rsidR="005053CD" w:rsidRPr="00D10A57">
        <w:rPr>
          <w:rFonts w:ascii="Arial" w:hAnsi="Arial" w:cs="Arial"/>
          <w:b/>
          <w:bCs/>
          <w:color w:val="000000"/>
          <w:sz w:val="23"/>
          <w:szCs w:val="23"/>
        </w:rPr>
        <w:t>:</w:t>
      </w:r>
    </w:p>
    <w:p w14:paraId="34EB37AA" w14:textId="77777777" w:rsidR="004B2DC8" w:rsidRPr="00D10A57" w:rsidRDefault="007D616F" w:rsidP="00D10A57">
      <w:pPr>
        <w:pStyle w:val="Odstavecseseznamem"/>
        <w:numPr>
          <w:ilvl w:val="0"/>
          <w:numId w:val="15"/>
        </w:numPr>
        <w:spacing w:before="240"/>
        <w:rPr>
          <w:rFonts w:ascii="Arial" w:eastAsia="Calibri" w:hAnsi="Arial" w:cs="Arial"/>
          <w:b/>
          <w:sz w:val="22"/>
        </w:rPr>
      </w:pPr>
      <w:r w:rsidRPr="00D10A57">
        <w:rPr>
          <w:rFonts w:ascii="Arial" w:hAnsi="Arial" w:cs="Arial"/>
          <w:b/>
          <w:sz w:val="22"/>
        </w:rPr>
        <w:t>průběžně zařazovat témata integrace romské menšiny a redukce sociálně vyloučených lokali</w:t>
      </w:r>
      <w:r w:rsidR="0089550B" w:rsidRPr="00D10A57">
        <w:rPr>
          <w:rFonts w:ascii="Arial" w:hAnsi="Arial" w:cs="Arial"/>
          <w:b/>
          <w:sz w:val="22"/>
        </w:rPr>
        <w:t>t mezi významné výzkumy resortu</w:t>
      </w:r>
    </w:p>
    <w:p w14:paraId="3EC34468" w14:textId="77777777" w:rsidR="001A3A58" w:rsidRPr="00D10A57" w:rsidRDefault="001A3A58" w:rsidP="00D10A57">
      <w:pPr>
        <w:autoSpaceDE w:val="0"/>
        <w:autoSpaceDN w:val="0"/>
        <w:adjustRightInd w:val="0"/>
        <w:spacing w:after="0" w:line="240" w:lineRule="auto"/>
        <w:jc w:val="both"/>
        <w:rPr>
          <w:rFonts w:ascii="Arial" w:hAnsi="Arial" w:cs="Arial"/>
          <w:color w:val="000000"/>
        </w:rPr>
      </w:pPr>
    </w:p>
    <w:p w14:paraId="642426D7" w14:textId="6FDEDBE5" w:rsidR="002942BC" w:rsidRPr="00D10A57" w:rsidRDefault="002942BC" w:rsidP="00D10A57">
      <w:pPr>
        <w:pStyle w:val="Styl1"/>
      </w:pPr>
      <w:r w:rsidRPr="00D10A57">
        <w:t>V roce 2021 byla výzkumná činnost Ministerstva pro místní rozvoj (</w:t>
      </w:r>
      <w:r w:rsidR="00E90118" w:rsidRPr="00D10A57">
        <w:t>dále jen „</w:t>
      </w:r>
      <w:r w:rsidRPr="00D10A57">
        <w:t>MMR</w:t>
      </w:r>
      <w:r w:rsidR="00E90118" w:rsidRPr="00D10A57">
        <w:t>“</w:t>
      </w:r>
      <w:r w:rsidRPr="00D10A57">
        <w:t>) v oblasti integrace romské menšiny a redukce sociálně vyloučených lokalit realizována především prostřednictvím činnosti odboru pro sociální začleňování (</w:t>
      </w:r>
      <w:r w:rsidR="00E90118" w:rsidRPr="00D10A57">
        <w:t>dále jen „</w:t>
      </w:r>
      <w:r w:rsidRPr="00D10A57">
        <w:t>Agentura</w:t>
      </w:r>
      <w:r w:rsidR="00E90118" w:rsidRPr="00D10A57">
        <w:t>“</w:t>
      </w:r>
      <w:r w:rsidRPr="00D10A57">
        <w:t xml:space="preserve">). Stejně jako v předchozím roce byla poněkud omezena stále probíhající pandemií </w:t>
      </w:r>
      <w:r w:rsidR="00F63790">
        <w:t>covid-19</w:t>
      </w:r>
      <w:r w:rsidRPr="00D10A57">
        <w:t>.</w:t>
      </w:r>
    </w:p>
    <w:p w14:paraId="59F2F6DF" w14:textId="43B097CD" w:rsidR="002942BC" w:rsidRPr="00D10A57" w:rsidRDefault="002942BC" w:rsidP="00D10A57">
      <w:pPr>
        <w:pStyle w:val="Styl1"/>
        <w:rPr>
          <w:i/>
        </w:rPr>
      </w:pPr>
      <w:r w:rsidRPr="00D10A57">
        <w:t xml:space="preserve">Agentura provedla </w:t>
      </w:r>
      <w:r w:rsidRPr="007C763A">
        <w:t>dvě výběrová šetření</w:t>
      </w:r>
      <w:r w:rsidRPr="00D10A57">
        <w:t>, zaměřená na příjmy a životní podmínky obyvatel sociálně vyloučených lokalit, vycházející z metodiky EU-SILC, která umožňuje sledovat obdobné ukazatele v členských zemích Evropské unie.</w:t>
      </w:r>
      <w:r w:rsidRPr="00D10A57">
        <w:rPr>
          <w:i/>
        </w:rPr>
        <w:t xml:space="preserve"> </w:t>
      </w:r>
      <w:r w:rsidRPr="00D10A57">
        <w:rPr>
          <w:shd w:val="clear" w:color="auto" w:fill="FFFFFF"/>
        </w:rPr>
        <w:t xml:space="preserve">Do dotazníkového šetření se zapojilo celkem </w:t>
      </w:r>
      <w:r w:rsidRPr="007C763A">
        <w:rPr>
          <w:shd w:val="clear" w:color="auto" w:fill="FFFFFF"/>
        </w:rPr>
        <w:t>1 084 obyvatel ze 48 obcí</w:t>
      </w:r>
      <w:r w:rsidRPr="00D10A57">
        <w:rPr>
          <w:shd w:val="clear" w:color="auto" w:fill="FFFFFF"/>
        </w:rPr>
        <w:t>. Šetření bylo cílené především na zjištění situace v oblasti bydlení, finančních rezerv, zaměstnanosti, materiálních podmínek, zdraví, diskriminace</w:t>
      </w:r>
      <w:r w:rsidR="00837306" w:rsidRPr="00D10A57">
        <w:rPr>
          <w:shd w:val="clear" w:color="auto" w:fill="FFFFFF"/>
        </w:rPr>
        <w:t xml:space="preserve"> a také na dopady pandemie </w:t>
      </w:r>
      <w:r w:rsidR="00F63790">
        <w:rPr>
          <w:shd w:val="clear" w:color="auto" w:fill="FFFFFF"/>
        </w:rPr>
        <w:t>covid-19</w:t>
      </w:r>
      <w:r w:rsidRPr="00D10A57">
        <w:rPr>
          <w:rStyle w:val="Znakapoznpodarou"/>
          <w:shd w:val="clear" w:color="auto" w:fill="FFFFFF"/>
        </w:rPr>
        <w:footnoteReference w:id="1"/>
      </w:r>
      <w:r w:rsidRPr="00D10A57">
        <w:rPr>
          <w:shd w:val="clear" w:color="auto" w:fill="FFFFFF"/>
        </w:rPr>
        <w:t>.</w:t>
      </w:r>
    </w:p>
    <w:p w14:paraId="58F5B103" w14:textId="77777777" w:rsidR="002942BC" w:rsidRPr="00D10A57" w:rsidRDefault="002942BC" w:rsidP="00D10A57">
      <w:pPr>
        <w:pStyle w:val="Styl1"/>
      </w:pPr>
      <w:r w:rsidRPr="00D10A57">
        <w:t>S problematikou sociálně vyloučených lokalit souvisí také výzkum, rovněž provedený Agenturou v roce 2021, kterým bylo zjišťováno, nakolik subjekty poskytující v souvislosti s oddlužením služby dlužníkům dodržují příslušné právní předpisy</w:t>
      </w:r>
      <w:r w:rsidRPr="00D10A57">
        <w:rPr>
          <w:rStyle w:val="Znakapoznpodarou"/>
        </w:rPr>
        <w:footnoteReference w:id="2"/>
      </w:r>
      <w:r w:rsidRPr="00D10A57">
        <w:t>.</w:t>
      </w:r>
    </w:p>
    <w:p w14:paraId="64949E6C" w14:textId="77777777" w:rsidR="004B2DC8" w:rsidRPr="00D10A57" w:rsidRDefault="007D616F" w:rsidP="00D10A57">
      <w:pPr>
        <w:pStyle w:val="Styl3"/>
        <w:numPr>
          <w:ilvl w:val="0"/>
          <w:numId w:val="15"/>
        </w:numPr>
      </w:pPr>
      <w:r w:rsidRPr="00D10A57">
        <w:t>vypracovat v rámci své působnosti a průběžně sledovat opatření, která by rozšířila možnosti bydlení</w:t>
      </w:r>
      <w:r w:rsidR="001E229D" w:rsidRPr="00D10A57">
        <w:t>,</w:t>
      </w:r>
      <w:r w:rsidRPr="00D10A57">
        <w:t xml:space="preserve"> a zmírnila negativní dopady vystěhování, zvláště </w:t>
      </w:r>
      <w:r w:rsidR="001E229D" w:rsidRPr="00D10A57">
        <w:t>pro</w:t>
      </w:r>
      <w:r w:rsidRPr="00D10A57">
        <w:t xml:space="preserve"> nejvíce </w:t>
      </w:r>
      <w:r w:rsidR="0089550B" w:rsidRPr="00D10A57">
        <w:t>zranitelné skupiny obyvatelstva</w:t>
      </w:r>
    </w:p>
    <w:p w14:paraId="348E8960" w14:textId="77777777" w:rsidR="004B2DC8" w:rsidRPr="00D10A57" w:rsidRDefault="004B2DC8" w:rsidP="00D10A57">
      <w:pPr>
        <w:autoSpaceDE w:val="0"/>
        <w:autoSpaceDN w:val="0"/>
        <w:adjustRightInd w:val="0"/>
        <w:spacing w:after="0" w:line="240" w:lineRule="auto"/>
        <w:jc w:val="both"/>
        <w:rPr>
          <w:rFonts w:ascii="Arial" w:hAnsi="Arial" w:cs="Arial"/>
          <w:color w:val="000000"/>
        </w:rPr>
      </w:pPr>
    </w:p>
    <w:p w14:paraId="5B38F02E" w14:textId="77777777" w:rsidR="002942BC" w:rsidRPr="00D10A57" w:rsidRDefault="002942BC" w:rsidP="00D10A57">
      <w:pPr>
        <w:pStyle w:val="Styl1"/>
      </w:pPr>
      <w:r w:rsidRPr="00D10A57">
        <w:t xml:space="preserve">V působnosti MMR je </w:t>
      </w:r>
      <w:r w:rsidRPr="007C763A">
        <w:t>Státní fond podpory investic (</w:t>
      </w:r>
      <w:r w:rsidR="00002B32" w:rsidRPr="007C763A">
        <w:rPr>
          <w:bCs/>
        </w:rPr>
        <w:t>dále jen „</w:t>
      </w:r>
      <w:r w:rsidRPr="007C763A">
        <w:t>SFPI</w:t>
      </w:r>
      <w:r w:rsidR="00002B32" w:rsidRPr="007C763A">
        <w:t>“</w:t>
      </w:r>
      <w:r w:rsidRPr="007C763A">
        <w:t>)</w:t>
      </w:r>
      <w:r w:rsidRPr="003D3151">
        <w:t>,</w:t>
      </w:r>
      <w:r w:rsidRPr="00D10A57">
        <w:t xml:space="preserve"> který je právnickou osobou s posláním podporovat udržitelný rozvoj obcí, měst a regionů, bydlení a cestovního ruchu v souladu s veřejným zájmem a koncepcemi, strategickými dokumenty, programy a jinými dokumenty schválenými vládou</w:t>
      </w:r>
      <w:r w:rsidRPr="00D10A57">
        <w:rPr>
          <w:rStyle w:val="Znakapoznpodarou"/>
        </w:rPr>
        <w:footnoteReference w:id="3"/>
      </w:r>
      <w:r w:rsidRPr="00D10A57">
        <w:t>. Vedle podpory bydlení osob zdravotně znevýhodněných se SFPI věnuje i podpoře osob znevýhodněných socioekonomicky, čímž se jeho činnost nepřímo dotýká i romské komunity, která se na trhu s bydlením potýká s diskriminací.</w:t>
      </w:r>
    </w:p>
    <w:p w14:paraId="3262F96A" w14:textId="77777777" w:rsidR="002942BC" w:rsidRPr="00D10A57" w:rsidRDefault="002942BC" w:rsidP="00D10A57">
      <w:pPr>
        <w:pStyle w:val="Styl1"/>
      </w:pPr>
      <w:r w:rsidRPr="00D10A57">
        <w:t>V roce 2021</w:t>
      </w:r>
      <w:r w:rsidRPr="00D10A57">
        <w:rPr>
          <w:b/>
          <w:bCs/>
        </w:rPr>
        <w:t xml:space="preserve"> </w:t>
      </w:r>
      <w:r w:rsidRPr="00D10A57">
        <w:rPr>
          <w:bCs/>
        </w:rPr>
        <w:t>SFPI</w:t>
      </w:r>
      <w:r w:rsidRPr="00D10A57">
        <w:t xml:space="preserve"> poskytoval (vedle podpory bezbariérového bydlení pro zdravotně znevýhodněné) investiční úvěrovou podporu v rámci programů: </w:t>
      </w:r>
    </w:p>
    <w:p w14:paraId="1A073625" w14:textId="77777777" w:rsidR="002942BC" w:rsidRPr="00D10A57" w:rsidRDefault="002942BC" w:rsidP="00D10A57">
      <w:pPr>
        <w:pStyle w:val="Styl1"/>
      </w:pPr>
      <w:r w:rsidRPr="00D10A57">
        <w:rPr>
          <w:b/>
          <w:bCs/>
        </w:rPr>
        <w:t>Nájemní byty</w:t>
      </w:r>
      <w:r w:rsidRPr="00D10A57">
        <w:t xml:space="preserve"> (dle nařízení vlády č. 2/2021 Sb.)</w:t>
      </w:r>
    </w:p>
    <w:p w14:paraId="21B4ECBB" w14:textId="77777777" w:rsidR="002942BC" w:rsidRPr="00D10A57" w:rsidRDefault="002942BC" w:rsidP="00D10A57">
      <w:pPr>
        <w:pStyle w:val="Styl1"/>
        <w:rPr>
          <w:highlight w:val="yellow"/>
        </w:rPr>
      </w:pPr>
      <w:r w:rsidRPr="00D10A57">
        <w:lastRenderedPageBreak/>
        <w:t>Program Nájemní byty formou zvýhodněných nízkoúročených úvěrů umožní žadateli (fyzické a právnické osobě, včetně obcí) pořizovat nájemní byty určené vymezeným skupinám znevýhodněných osob. Výše úvěru může pokrýt až 90 % nákladů investice, doba splácení je až 30 let od ukončení výstavby. Výše úrokové sazby se rovná výši sazby EU snížené o nevyčerpaný limit de minimis, nesmí být však nižší než 0,5 % p. a.</w:t>
      </w:r>
    </w:p>
    <w:p w14:paraId="34EA79C2" w14:textId="77777777" w:rsidR="002942BC" w:rsidRPr="00D10A57" w:rsidRDefault="002942BC" w:rsidP="00D10A57">
      <w:pPr>
        <w:pStyle w:val="Styl1"/>
      </w:pPr>
      <w:r w:rsidRPr="00D10A57">
        <w:t>(Od 1. 4. 2021 činila 0,50 %, od 1. 7. 2021 byla 0,60 %, od 1. 10. 2021 činila 1,03 %, od 1. 11. 2021 byla její výše 1,28 % a od 1. 12. 2021 stoupla na 1,76 %).</w:t>
      </w:r>
    </w:p>
    <w:p w14:paraId="224DC751" w14:textId="77777777" w:rsidR="002942BC" w:rsidRPr="00D10A57" w:rsidRDefault="002942BC" w:rsidP="00D10A57">
      <w:pPr>
        <w:pStyle w:val="Styl1"/>
      </w:pPr>
      <w:r w:rsidRPr="00D10A57">
        <w:t>V roce 2021 byla uzavřena 1 smlouva v hodnotě 10,92 mil. Kč, přičemž vzniklo 19 nájemných bytů.</w:t>
      </w:r>
    </w:p>
    <w:p w14:paraId="1CE43EFA" w14:textId="77777777" w:rsidR="002942BC" w:rsidRPr="00D10A57" w:rsidRDefault="002942BC" w:rsidP="00D10A57">
      <w:pPr>
        <w:pStyle w:val="Styl1"/>
      </w:pPr>
      <w:r w:rsidRPr="00D10A57">
        <w:rPr>
          <w:b/>
          <w:bCs/>
        </w:rPr>
        <w:t>Výstavba pro obce</w:t>
      </w:r>
      <w:r w:rsidRPr="00D10A57">
        <w:t xml:space="preserve"> (dle nařízení vlády č. 112/2019 Sb., ve znění pozdějších předpisů)</w:t>
      </w:r>
    </w:p>
    <w:p w14:paraId="7B50BA68" w14:textId="77777777" w:rsidR="002942BC" w:rsidRPr="00D10A57" w:rsidRDefault="002942BC" w:rsidP="00D10A57">
      <w:pPr>
        <w:pStyle w:val="Styl1"/>
        <w:rPr>
          <w:highlight w:val="yellow"/>
        </w:rPr>
      </w:pPr>
      <w:r w:rsidRPr="00D10A57">
        <w:t>Program Výstavba pro obce umožňuje obcím získat dotaci na pořízení sociálních nájemních bytů ve vlastnictví obcí určených pro domácnosti, které mají nízké příjmy a nevyhovující bydlení, a zvýhodněný úvěr na pořízení dostupných nájemních bytů ve vlastnictví obce pro běžnou populaci v obcích s nedostatečnou infrastrukturou nájemních bytů. V sociálních bytech je stanoveno limitované nájemné, v případě dostupných bytů je nájemné v místě obvyklé.</w:t>
      </w:r>
    </w:p>
    <w:p w14:paraId="630C33D2" w14:textId="77777777" w:rsidR="002942BC" w:rsidRPr="00D10A57" w:rsidRDefault="002942BC" w:rsidP="00D10A57">
      <w:pPr>
        <w:pStyle w:val="Styl1"/>
      </w:pPr>
      <w:r w:rsidRPr="00D10A57">
        <w:t>V roce 2021 bylo uzavřeno 10 smluv v hodnotě 110,16 mil. Kč, přičemž vzniklo 76 sociálních bytů.</w:t>
      </w:r>
    </w:p>
    <w:p w14:paraId="662CEBDC" w14:textId="3F3EA3A0" w:rsidR="002942BC" w:rsidRPr="00D10A57" w:rsidRDefault="002942BC" w:rsidP="00D10A57">
      <w:pPr>
        <w:pStyle w:val="Styl1"/>
      </w:pPr>
      <w:r w:rsidRPr="00D10A57">
        <w:rPr>
          <w:b/>
          <w:bCs/>
        </w:rPr>
        <w:t>Integrovaný regionální operační program (</w:t>
      </w:r>
      <w:r w:rsidR="009E238B" w:rsidRPr="00D10A57">
        <w:rPr>
          <w:b/>
          <w:bCs/>
        </w:rPr>
        <w:t>dále jen „</w:t>
      </w:r>
      <w:r w:rsidRPr="00D10A57">
        <w:rPr>
          <w:b/>
          <w:bCs/>
        </w:rPr>
        <w:t>IROP</w:t>
      </w:r>
      <w:r w:rsidR="009E238B" w:rsidRPr="00D10A57">
        <w:rPr>
          <w:b/>
          <w:bCs/>
        </w:rPr>
        <w:t>“</w:t>
      </w:r>
      <w:r w:rsidRPr="00D10A57">
        <w:rPr>
          <w:b/>
          <w:bCs/>
        </w:rPr>
        <w:t>)</w:t>
      </w:r>
      <w:r w:rsidRPr="00D10A57">
        <w:rPr>
          <w:bCs/>
        </w:rPr>
        <w:t>, jehož řídícím orgánem je MMR,</w:t>
      </w:r>
      <w:r w:rsidRPr="00D10A57">
        <w:t xml:space="preserve"> je největším programem, přes který se v Česku rozdělují peníze z fondů</w:t>
      </w:r>
      <w:r w:rsidR="005D129A">
        <w:t xml:space="preserve"> EU</w:t>
      </w:r>
      <w:r w:rsidRPr="00D10A57">
        <w:t xml:space="preserve">. Jednou z oblastí podpory IROP 2014-2020 je Sociální integrace, která je označena jako </w:t>
      </w:r>
      <w:r w:rsidRPr="000A284E">
        <w:rPr>
          <w:b/>
        </w:rPr>
        <w:t>Specifický cíl 2.1. „Zvýšení kvality a dostupnosti služeb vedoucí k sociální inkluz</w:t>
      </w:r>
      <w:r w:rsidRPr="00D10A57">
        <w:t>i</w:t>
      </w:r>
      <w:r w:rsidRPr="00D10A57">
        <w:rPr>
          <w:rStyle w:val="Znakapoznpodarou"/>
        </w:rPr>
        <w:footnoteReference w:id="4"/>
      </w:r>
      <w:r w:rsidRPr="00D10A57">
        <w:t xml:space="preserve">“. </w:t>
      </w:r>
    </w:p>
    <w:p w14:paraId="64613854" w14:textId="77777777" w:rsidR="002942BC" w:rsidRPr="00D10A57" w:rsidRDefault="002942BC" w:rsidP="00D10A57">
      <w:pPr>
        <w:pStyle w:val="Styl1"/>
      </w:pPr>
      <w:r w:rsidRPr="00D10A57">
        <w:t>Schválený programový dokument IROP obsahuje v rámci tohoto specifického cíle aktivitu zaměřenou výhradně na podporu sociálního bydlení. Podporuje pořízení bytů, bytových domů, nebytových prostor a jejich adaptace pro potřeby sociálního bydlení a pořízení nezbytného základního vybavení. Celková alokace vyčleněna pro programové období 2014+ je v aktivitě sociálního bydlení cca 4 mld. Kč z Evropského fondu pro regionální rozvoj (dále jen “EFRR”), ale vzhledem k nízkému zájmu o tuto aktivitu především ze strany nositelů integrovaných strategií se bude konečná částka do konce roku 2023 blížit spíše 2,5 mld. Kč z EFRR. Je to způsobeno např. i tím, že v průběhu období musela být u sociálního bydlení zavedena 20letá udržitelnost, což byl požadavek Evropské komise (</w:t>
      </w:r>
      <w:r w:rsidR="005D129A">
        <w:t>dále jen „</w:t>
      </w:r>
      <w:r w:rsidRPr="00D10A57">
        <w:t>EK</w:t>
      </w:r>
      <w:r w:rsidR="005D129A">
        <w:t>“</w:t>
      </w:r>
      <w:r w:rsidRPr="00D10A57">
        <w:t>), a takto dlouhá udržitelnost není pro žadatele příliš atraktivní.</w:t>
      </w:r>
    </w:p>
    <w:p w14:paraId="00BACD74" w14:textId="6117F6A8" w:rsidR="002942BC" w:rsidRPr="00D10A57" w:rsidRDefault="000A284E" w:rsidP="00D10A57">
      <w:pPr>
        <w:pStyle w:val="Styl1"/>
      </w:pPr>
      <w:r>
        <w:t>K 31.</w:t>
      </w:r>
      <w:r w:rsidR="005D129A">
        <w:t xml:space="preserve"> prosinci</w:t>
      </w:r>
      <w:r>
        <w:t> </w:t>
      </w:r>
      <w:r w:rsidR="002942BC" w:rsidRPr="00D10A57">
        <w:t>2021 uvádíme následující počty podpořených sociálních bytů v rámci IROP:</w:t>
      </w:r>
    </w:p>
    <w:tbl>
      <w:tblPr>
        <w:tblW w:w="8901" w:type="dxa"/>
        <w:tblInd w:w="2" w:type="dxa"/>
        <w:tblCellMar>
          <w:left w:w="0" w:type="dxa"/>
          <w:right w:w="0" w:type="dxa"/>
        </w:tblCellMar>
        <w:tblLook w:val="04A0" w:firstRow="1" w:lastRow="0" w:firstColumn="1" w:lastColumn="0" w:noHBand="0" w:noVBand="1"/>
      </w:tblPr>
      <w:tblGrid>
        <w:gridCol w:w="1663"/>
        <w:gridCol w:w="1720"/>
        <w:gridCol w:w="1920"/>
        <w:gridCol w:w="1720"/>
        <w:gridCol w:w="1920"/>
      </w:tblGrid>
      <w:tr w:rsidR="002942BC" w:rsidRPr="00D10A57" w14:paraId="0DA096AC" w14:textId="77777777" w:rsidTr="0089550B">
        <w:trPr>
          <w:trHeight w:val="255"/>
        </w:trPr>
        <w:tc>
          <w:tcPr>
            <w:tcW w:w="8901" w:type="dxa"/>
            <w:gridSpan w:val="5"/>
            <w:tcBorders>
              <w:top w:val="single" w:sz="8" w:space="0" w:color="auto"/>
              <w:left w:val="single" w:sz="8" w:space="0" w:color="auto"/>
              <w:bottom w:val="single" w:sz="8" w:space="0" w:color="000000"/>
              <w:right w:val="single" w:sz="8" w:space="0" w:color="000000"/>
            </w:tcBorders>
            <w:shd w:val="clear" w:color="auto" w:fill="548DD4" w:themeFill="text2" w:themeFillTint="99"/>
            <w:noWrap/>
            <w:tcMar>
              <w:top w:w="0" w:type="dxa"/>
              <w:left w:w="70" w:type="dxa"/>
              <w:bottom w:w="0" w:type="dxa"/>
              <w:right w:w="70" w:type="dxa"/>
            </w:tcMar>
            <w:vAlign w:val="center"/>
            <w:hideMark/>
          </w:tcPr>
          <w:p w14:paraId="196893F0" w14:textId="77777777" w:rsidR="002942BC" w:rsidRPr="00D10A57" w:rsidRDefault="002942BC" w:rsidP="00D10A57">
            <w:pPr>
              <w:pStyle w:val="Styl2"/>
              <w:rPr>
                <w:b/>
                <w:lang w:eastAsia="cs-CZ"/>
              </w:rPr>
            </w:pPr>
            <w:r w:rsidRPr="00D10A57">
              <w:rPr>
                <w:b/>
                <w:lang w:eastAsia="cs-CZ"/>
              </w:rPr>
              <w:t>IROP Počet podpořených sociálních bytů</w:t>
            </w:r>
          </w:p>
          <w:p w14:paraId="5C002BE3" w14:textId="77777777" w:rsidR="002942BC" w:rsidRPr="00D10A57" w:rsidRDefault="002942BC" w:rsidP="00D10A57">
            <w:pPr>
              <w:pStyle w:val="Styl2"/>
              <w:rPr>
                <w:b/>
              </w:rPr>
            </w:pPr>
            <w:r w:rsidRPr="00D10A57">
              <w:rPr>
                <w:b/>
                <w:lang w:eastAsia="cs-CZ"/>
              </w:rPr>
              <w:t>k 31. 12. 2021</w:t>
            </w:r>
          </w:p>
        </w:tc>
      </w:tr>
      <w:tr w:rsidR="002942BC" w:rsidRPr="00D10A57" w14:paraId="758B9BAE" w14:textId="77777777" w:rsidTr="0089550B">
        <w:trPr>
          <w:trHeight w:val="255"/>
        </w:trPr>
        <w:tc>
          <w:tcPr>
            <w:tcW w:w="1621" w:type="dxa"/>
            <w:vMerge w:val="restart"/>
            <w:tcBorders>
              <w:top w:val="single" w:sz="8" w:space="0" w:color="auto"/>
              <w:left w:val="single" w:sz="8" w:space="0" w:color="auto"/>
              <w:bottom w:val="single" w:sz="8" w:space="0" w:color="000000"/>
              <w:right w:val="nil"/>
            </w:tcBorders>
            <w:shd w:val="clear" w:color="auto" w:fill="548DD4" w:themeFill="text2" w:themeFillTint="99"/>
            <w:noWrap/>
            <w:tcMar>
              <w:top w:w="0" w:type="dxa"/>
              <w:left w:w="70" w:type="dxa"/>
              <w:bottom w:w="0" w:type="dxa"/>
              <w:right w:w="70" w:type="dxa"/>
            </w:tcMar>
            <w:vAlign w:val="center"/>
            <w:hideMark/>
          </w:tcPr>
          <w:p w14:paraId="64C0EF31" w14:textId="77777777" w:rsidR="002942BC" w:rsidRPr="00D10A57" w:rsidRDefault="002942BC" w:rsidP="00D10A57">
            <w:pPr>
              <w:pStyle w:val="Styl2"/>
              <w:rPr>
                <w:b/>
                <w:lang w:eastAsia="cs-CZ"/>
              </w:rPr>
            </w:pPr>
            <w:r w:rsidRPr="00D10A57">
              <w:rPr>
                <w:b/>
              </w:rPr>
              <w:t>Kraj</w:t>
            </w:r>
          </w:p>
        </w:tc>
        <w:tc>
          <w:tcPr>
            <w:tcW w:w="3640" w:type="dxa"/>
            <w:gridSpan w:val="2"/>
            <w:tcBorders>
              <w:top w:val="single" w:sz="8" w:space="0" w:color="auto"/>
              <w:left w:val="single" w:sz="8" w:space="0" w:color="auto"/>
              <w:bottom w:val="single" w:sz="8" w:space="0" w:color="auto"/>
              <w:right w:val="single" w:sz="8" w:space="0" w:color="000000"/>
            </w:tcBorders>
            <w:shd w:val="clear" w:color="auto" w:fill="548DD4" w:themeFill="text2" w:themeFillTint="99"/>
            <w:tcMar>
              <w:top w:w="0" w:type="dxa"/>
              <w:left w:w="70" w:type="dxa"/>
              <w:bottom w:w="0" w:type="dxa"/>
              <w:right w:w="70" w:type="dxa"/>
            </w:tcMar>
            <w:vAlign w:val="bottom"/>
            <w:hideMark/>
          </w:tcPr>
          <w:p w14:paraId="58A5192B" w14:textId="77777777" w:rsidR="002942BC" w:rsidRPr="00D10A57" w:rsidRDefault="002942BC" w:rsidP="00D10A57">
            <w:pPr>
              <w:pStyle w:val="Styl2"/>
              <w:rPr>
                <w:b/>
              </w:rPr>
            </w:pPr>
            <w:r w:rsidRPr="00D10A57">
              <w:rPr>
                <w:b/>
              </w:rPr>
              <w:t>Podpořené byty</w:t>
            </w:r>
          </w:p>
        </w:tc>
        <w:tc>
          <w:tcPr>
            <w:tcW w:w="3640" w:type="dxa"/>
            <w:gridSpan w:val="2"/>
            <w:tcBorders>
              <w:top w:val="single" w:sz="8" w:space="0" w:color="auto"/>
              <w:left w:val="nil"/>
              <w:bottom w:val="single" w:sz="8" w:space="0" w:color="auto"/>
              <w:right w:val="single" w:sz="8" w:space="0" w:color="000000"/>
            </w:tcBorders>
            <w:shd w:val="clear" w:color="auto" w:fill="548DD4" w:themeFill="text2" w:themeFillTint="99"/>
            <w:noWrap/>
            <w:tcMar>
              <w:top w:w="0" w:type="dxa"/>
              <w:left w:w="70" w:type="dxa"/>
              <w:bottom w:w="0" w:type="dxa"/>
              <w:right w:w="70" w:type="dxa"/>
            </w:tcMar>
            <w:vAlign w:val="bottom"/>
            <w:hideMark/>
          </w:tcPr>
          <w:p w14:paraId="50C375D0" w14:textId="77777777" w:rsidR="002942BC" w:rsidRPr="00D10A57" w:rsidRDefault="002942BC" w:rsidP="00D10A57">
            <w:pPr>
              <w:pStyle w:val="Styl2"/>
              <w:rPr>
                <w:b/>
              </w:rPr>
            </w:pPr>
            <w:r w:rsidRPr="00D10A57">
              <w:rPr>
                <w:b/>
              </w:rPr>
              <w:t>Z toho dokončené</w:t>
            </w:r>
          </w:p>
        </w:tc>
      </w:tr>
      <w:tr w:rsidR="002942BC" w:rsidRPr="00D10A57" w14:paraId="0370B2E9" w14:textId="77777777" w:rsidTr="0089550B">
        <w:trPr>
          <w:trHeight w:val="270"/>
        </w:trPr>
        <w:tc>
          <w:tcPr>
            <w:tcW w:w="0" w:type="auto"/>
            <w:vMerge/>
            <w:tcBorders>
              <w:top w:val="single" w:sz="8" w:space="0" w:color="auto"/>
              <w:left w:val="single" w:sz="8" w:space="0" w:color="auto"/>
              <w:bottom w:val="single" w:sz="8" w:space="0" w:color="000000"/>
              <w:right w:val="nil"/>
            </w:tcBorders>
            <w:shd w:val="clear" w:color="auto" w:fill="548DD4" w:themeFill="text2" w:themeFillTint="99"/>
            <w:vAlign w:val="center"/>
            <w:hideMark/>
          </w:tcPr>
          <w:p w14:paraId="07E04A5D" w14:textId="77777777" w:rsidR="002942BC" w:rsidRPr="00D10A57" w:rsidRDefault="002942BC" w:rsidP="00D10A57">
            <w:pPr>
              <w:pStyle w:val="Styl2"/>
              <w:rPr>
                <w:lang w:eastAsia="cs-CZ"/>
              </w:rPr>
            </w:pPr>
          </w:p>
        </w:tc>
        <w:tc>
          <w:tcPr>
            <w:tcW w:w="1720" w:type="dxa"/>
            <w:tcBorders>
              <w:top w:val="nil"/>
              <w:left w:val="single" w:sz="8" w:space="0" w:color="auto"/>
              <w:bottom w:val="single" w:sz="8" w:space="0" w:color="auto"/>
              <w:right w:val="single" w:sz="8" w:space="0" w:color="auto"/>
            </w:tcBorders>
            <w:shd w:val="clear" w:color="auto" w:fill="548DD4" w:themeFill="text2" w:themeFillTint="99"/>
            <w:noWrap/>
            <w:tcMar>
              <w:top w:w="0" w:type="dxa"/>
              <w:left w:w="70" w:type="dxa"/>
              <w:bottom w:w="0" w:type="dxa"/>
              <w:right w:w="70" w:type="dxa"/>
            </w:tcMar>
            <w:vAlign w:val="bottom"/>
            <w:hideMark/>
          </w:tcPr>
          <w:p w14:paraId="429197D8" w14:textId="77777777" w:rsidR="002942BC" w:rsidRPr="00D10A57" w:rsidRDefault="002942BC" w:rsidP="00D10A57">
            <w:pPr>
              <w:pStyle w:val="Styl2"/>
              <w:rPr>
                <w:b/>
              </w:rPr>
            </w:pPr>
            <w:r w:rsidRPr="00D10A57">
              <w:rPr>
                <w:b/>
              </w:rPr>
              <w:t>bytové jednotky</w:t>
            </w:r>
          </w:p>
        </w:tc>
        <w:tc>
          <w:tcPr>
            <w:tcW w:w="1920" w:type="dxa"/>
            <w:tcBorders>
              <w:top w:val="nil"/>
              <w:left w:val="nil"/>
              <w:bottom w:val="single" w:sz="8" w:space="0" w:color="auto"/>
              <w:right w:val="single" w:sz="8" w:space="0" w:color="auto"/>
            </w:tcBorders>
            <w:shd w:val="clear" w:color="auto" w:fill="548DD4" w:themeFill="text2" w:themeFillTint="99"/>
            <w:noWrap/>
            <w:tcMar>
              <w:top w:w="0" w:type="dxa"/>
              <w:left w:w="70" w:type="dxa"/>
              <w:bottom w:w="0" w:type="dxa"/>
              <w:right w:w="70" w:type="dxa"/>
            </w:tcMar>
            <w:vAlign w:val="bottom"/>
            <w:hideMark/>
          </w:tcPr>
          <w:p w14:paraId="667B0CF0" w14:textId="77777777" w:rsidR="002942BC" w:rsidRPr="00D10A57" w:rsidRDefault="002942BC" w:rsidP="00D10A57">
            <w:pPr>
              <w:pStyle w:val="Styl2"/>
              <w:rPr>
                <w:b/>
              </w:rPr>
            </w:pPr>
            <w:r w:rsidRPr="00D10A57">
              <w:rPr>
                <w:b/>
              </w:rPr>
              <w:t>EFRR (</w:t>
            </w:r>
            <w:r w:rsidR="005D129A">
              <w:rPr>
                <w:b/>
              </w:rPr>
              <w:t xml:space="preserve">v </w:t>
            </w:r>
            <w:r w:rsidRPr="00D10A57">
              <w:rPr>
                <w:b/>
              </w:rPr>
              <w:t>Kč)</w:t>
            </w:r>
          </w:p>
        </w:tc>
        <w:tc>
          <w:tcPr>
            <w:tcW w:w="1720" w:type="dxa"/>
            <w:tcBorders>
              <w:top w:val="nil"/>
              <w:left w:val="nil"/>
              <w:bottom w:val="single" w:sz="8" w:space="0" w:color="auto"/>
              <w:right w:val="single" w:sz="8" w:space="0" w:color="auto"/>
            </w:tcBorders>
            <w:shd w:val="clear" w:color="auto" w:fill="548DD4" w:themeFill="text2" w:themeFillTint="99"/>
            <w:noWrap/>
            <w:tcMar>
              <w:top w:w="0" w:type="dxa"/>
              <w:left w:w="70" w:type="dxa"/>
              <w:bottom w:w="0" w:type="dxa"/>
              <w:right w:w="70" w:type="dxa"/>
            </w:tcMar>
            <w:vAlign w:val="bottom"/>
            <w:hideMark/>
          </w:tcPr>
          <w:p w14:paraId="19AC3A5E" w14:textId="77777777" w:rsidR="002942BC" w:rsidRPr="00D10A57" w:rsidRDefault="002942BC" w:rsidP="00D10A57">
            <w:pPr>
              <w:pStyle w:val="Styl2"/>
              <w:rPr>
                <w:b/>
              </w:rPr>
            </w:pPr>
            <w:r w:rsidRPr="00D10A57">
              <w:rPr>
                <w:b/>
              </w:rPr>
              <w:t>bytové jednotky</w:t>
            </w:r>
          </w:p>
        </w:tc>
        <w:tc>
          <w:tcPr>
            <w:tcW w:w="1920" w:type="dxa"/>
            <w:tcBorders>
              <w:top w:val="nil"/>
              <w:left w:val="nil"/>
              <w:bottom w:val="single" w:sz="8" w:space="0" w:color="auto"/>
              <w:right w:val="single" w:sz="8" w:space="0" w:color="auto"/>
            </w:tcBorders>
            <w:shd w:val="clear" w:color="auto" w:fill="548DD4" w:themeFill="text2" w:themeFillTint="99"/>
            <w:noWrap/>
            <w:tcMar>
              <w:top w:w="0" w:type="dxa"/>
              <w:left w:w="70" w:type="dxa"/>
              <w:bottom w:w="0" w:type="dxa"/>
              <w:right w:w="70" w:type="dxa"/>
            </w:tcMar>
            <w:vAlign w:val="bottom"/>
            <w:hideMark/>
          </w:tcPr>
          <w:p w14:paraId="7F47E031" w14:textId="77777777" w:rsidR="002942BC" w:rsidRPr="00D10A57" w:rsidRDefault="002942BC" w:rsidP="00D10A57">
            <w:pPr>
              <w:pStyle w:val="Styl2"/>
              <w:rPr>
                <w:b/>
              </w:rPr>
            </w:pPr>
            <w:r w:rsidRPr="00D10A57">
              <w:rPr>
                <w:b/>
              </w:rPr>
              <w:t>EFRR (</w:t>
            </w:r>
            <w:r w:rsidR="005D129A">
              <w:rPr>
                <w:b/>
              </w:rPr>
              <w:t xml:space="preserve">v </w:t>
            </w:r>
            <w:r w:rsidRPr="00D10A57">
              <w:rPr>
                <w:b/>
              </w:rPr>
              <w:t>Kč)</w:t>
            </w:r>
          </w:p>
        </w:tc>
      </w:tr>
      <w:tr w:rsidR="002942BC" w:rsidRPr="00D10A57" w14:paraId="12BE08C0" w14:textId="77777777" w:rsidTr="00EA170B">
        <w:trPr>
          <w:trHeight w:val="255"/>
        </w:trPr>
        <w:tc>
          <w:tcPr>
            <w:tcW w:w="16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8C58E8" w14:textId="77777777" w:rsidR="002942BC" w:rsidRPr="00D10A57" w:rsidRDefault="002942BC" w:rsidP="00D10A57">
            <w:pPr>
              <w:pStyle w:val="Styl2"/>
            </w:pPr>
            <w:r w:rsidRPr="00D10A57">
              <w:t>Jihočeský</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43B81F7" w14:textId="77777777" w:rsidR="002942BC" w:rsidRPr="00D10A57" w:rsidRDefault="002942BC" w:rsidP="00D56307">
            <w:pPr>
              <w:pStyle w:val="Styl2"/>
              <w:jc w:val="right"/>
            </w:pPr>
            <w:r w:rsidRPr="00D10A57">
              <w:t>82</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9F5B7B9" w14:textId="6F5E7A72" w:rsidR="002942BC" w:rsidRPr="00D10A57" w:rsidRDefault="002942BC" w:rsidP="00D56307">
            <w:pPr>
              <w:pStyle w:val="Styl2"/>
              <w:jc w:val="right"/>
            </w:pPr>
            <w:r w:rsidRPr="00D10A57">
              <w:t xml:space="preserve">85 392 868 </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29609A1" w14:textId="77777777" w:rsidR="002942BC" w:rsidRPr="00D10A57" w:rsidRDefault="002942BC" w:rsidP="00D10A57">
            <w:pPr>
              <w:pStyle w:val="Styl2"/>
            </w:pPr>
            <w:r w:rsidRPr="00D10A57">
              <w:t>56</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0FC1BA9" w14:textId="168C6B71" w:rsidR="002942BC" w:rsidRPr="00D10A57" w:rsidRDefault="002942BC" w:rsidP="00D56307">
            <w:pPr>
              <w:pStyle w:val="Styl2"/>
              <w:jc w:val="right"/>
            </w:pPr>
            <w:r w:rsidRPr="00D10A57">
              <w:t xml:space="preserve">49 801 436 </w:t>
            </w:r>
          </w:p>
        </w:tc>
      </w:tr>
      <w:tr w:rsidR="002942BC" w:rsidRPr="00D10A57" w14:paraId="13D349CA" w14:textId="77777777" w:rsidTr="00EA170B">
        <w:trPr>
          <w:trHeight w:val="255"/>
        </w:trPr>
        <w:tc>
          <w:tcPr>
            <w:tcW w:w="16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F626606" w14:textId="77777777" w:rsidR="002942BC" w:rsidRPr="00D10A57" w:rsidRDefault="002942BC" w:rsidP="00D10A57">
            <w:pPr>
              <w:pStyle w:val="Styl2"/>
            </w:pPr>
            <w:r w:rsidRPr="00D10A57">
              <w:t>Středočeský</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F0B778" w14:textId="77777777" w:rsidR="002942BC" w:rsidRPr="00D10A57" w:rsidRDefault="002942BC" w:rsidP="00D56307">
            <w:pPr>
              <w:pStyle w:val="Styl2"/>
              <w:jc w:val="right"/>
            </w:pPr>
            <w:r w:rsidRPr="00D10A57">
              <w:t>272</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9BB2E6A" w14:textId="240283A0" w:rsidR="002942BC" w:rsidRPr="00D10A57" w:rsidRDefault="002942BC" w:rsidP="00D56307">
            <w:pPr>
              <w:pStyle w:val="Styl2"/>
              <w:jc w:val="right"/>
            </w:pPr>
            <w:r w:rsidRPr="00D10A57">
              <w:t xml:space="preserve">298 829 961 </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CF07EB5" w14:textId="77777777" w:rsidR="002942BC" w:rsidRPr="00D10A57" w:rsidRDefault="002942BC" w:rsidP="00D10A57">
            <w:pPr>
              <w:pStyle w:val="Styl2"/>
            </w:pPr>
            <w:r w:rsidRPr="00D10A57">
              <w:t>174</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139DCAB" w14:textId="0F806619" w:rsidR="002942BC" w:rsidRPr="00D10A57" w:rsidRDefault="002942BC" w:rsidP="00D56307">
            <w:pPr>
              <w:pStyle w:val="Styl2"/>
              <w:jc w:val="right"/>
            </w:pPr>
            <w:r w:rsidRPr="00D10A57">
              <w:t xml:space="preserve">195 458 905 </w:t>
            </w:r>
          </w:p>
        </w:tc>
      </w:tr>
      <w:tr w:rsidR="002942BC" w:rsidRPr="00D10A57" w14:paraId="18A3A359" w14:textId="77777777" w:rsidTr="00EA170B">
        <w:trPr>
          <w:trHeight w:val="255"/>
        </w:trPr>
        <w:tc>
          <w:tcPr>
            <w:tcW w:w="16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C290AB" w14:textId="77777777" w:rsidR="002942BC" w:rsidRPr="00D10A57" w:rsidRDefault="002942BC" w:rsidP="00D10A57">
            <w:pPr>
              <w:pStyle w:val="Styl2"/>
            </w:pPr>
            <w:r w:rsidRPr="00D10A57">
              <w:t>Plzeňský</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234B222" w14:textId="77777777" w:rsidR="002942BC" w:rsidRPr="00D10A57" w:rsidRDefault="002942BC" w:rsidP="00D56307">
            <w:pPr>
              <w:pStyle w:val="Styl2"/>
              <w:jc w:val="right"/>
            </w:pPr>
            <w:r w:rsidRPr="00D10A57">
              <w:t>82</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AA29D2B" w14:textId="4BD97FCF" w:rsidR="002942BC" w:rsidRPr="00D10A57" w:rsidRDefault="002942BC" w:rsidP="00D56307">
            <w:pPr>
              <w:pStyle w:val="Styl2"/>
              <w:jc w:val="right"/>
            </w:pPr>
            <w:r w:rsidRPr="00D10A57">
              <w:t xml:space="preserve">102 155 325 </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B7433CA" w14:textId="77777777" w:rsidR="002942BC" w:rsidRPr="00D10A57" w:rsidRDefault="002942BC" w:rsidP="00D10A57">
            <w:pPr>
              <w:pStyle w:val="Styl2"/>
            </w:pPr>
            <w:r w:rsidRPr="00D10A57">
              <w:t>67</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F3BCEC" w14:textId="720900E9" w:rsidR="002942BC" w:rsidRPr="00D10A57" w:rsidRDefault="002942BC" w:rsidP="00D56307">
            <w:pPr>
              <w:pStyle w:val="Styl2"/>
              <w:jc w:val="right"/>
            </w:pPr>
            <w:r w:rsidRPr="00D10A57">
              <w:t xml:space="preserve">80 007 347 </w:t>
            </w:r>
          </w:p>
        </w:tc>
      </w:tr>
      <w:tr w:rsidR="002942BC" w:rsidRPr="00D10A57" w14:paraId="486F9317" w14:textId="77777777" w:rsidTr="00EA170B">
        <w:trPr>
          <w:trHeight w:val="255"/>
        </w:trPr>
        <w:tc>
          <w:tcPr>
            <w:tcW w:w="16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BE393D" w14:textId="77777777" w:rsidR="002942BC" w:rsidRPr="00D10A57" w:rsidRDefault="002942BC" w:rsidP="00D10A57">
            <w:pPr>
              <w:pStyle w:val="Styl2"/>
            </w:pPr>
            <w:r w:rsidRPr="00D10A57">
              <w:t>Karlovarský</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4A6C3F0" w14:textId="77777777" w:rsidR="002942BC" w:rsidRPr="00D10A57" w:rsidRDefault="002942BC" w:rsidP="00D56307">
            <w:pPr>
              <w:pStyle w:val="Styl2"/>
              <w:jc w:val="right"/>
            </w:pPr>
            <w:r w:rsidRPr="00D10A57">
              <w:t>55</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CB77B71" w14:textId="5E74ED3E" w:rsidR="002942BC" w:rsidRPr="00D10A57" w:rsidRDefault="002942BC" w:rsidP="00D56307">
            <w:pPr>
              <w:pStyle w:val="Styl2"/>
              <w:jc w:val="right"/>
            </w:pPr>
            <w:r w:rsidRPr="00D10A57">
              <w:t xml:space="preserve">51 565 709 </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607932B" w14:textId="77777777" w:rsidR="002942BC" w:rsidRPr="00D10A57" w:rsidRDefault="002942BC" w:rsidP="00D10A57">
            <w:pPr>
              <w:pStyle w:val="Styl2"/>
            </w:pPr>
            <w:r w:rsidRPr="00D10A57">
              <w:t>31</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BA5886C" w14:textId="46BE5471" w:rsidR="002942BC" w:rsidRPr="00D10A57" w:rsidRDefault="002942BC" w:rsidP="00D56307">
            <w:pPr>
              <w:pStyle w:val="Styl2"/>
              <w:jc w:val="right"/>
            </w:pPr>
            <w:r w:rsidRPr="00D10A57">
              <w:t xml:space="preserve">20 609 803 </w:t>
            </w:r>
          </w:p>
        </w:tc>
      </w:tr>
      <w:tr w:rsidR="002942BC" w:rsidRPr="00D10A57" w14:paraId="3CA68C22" w14:textId="77777777" w:rsidTr="00EA170B">
        <w:trPr>
          <w:trHeight w:val="255"/>
        </w:trPr>
        <w:tc>
          <w:tcPr>
            <w:tcW w:w="16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6ABCEF" w14:textId="77777777" w:rsidR="002942BC" w:rsidRPr="00D10A57" w:rsidRDefault="002942BC" w:rsidP="00D10A57">
            <w:pPr>
              <w:pStyle w:val="Styl2"/>
            </w:pPr>
            <w:r w:rsidRPr="00D10A57">
              <w:t>Ústecký</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8DF0606" w14:textId="77777777" w:rsidR="002942BC" w:rsidRPr="00D10A57" w:rsidRDefault="002942BC" w:rsidP="00D56307">
            <w:pPr>
              <w:pStyle w:val="Styl2"/>
              <w:jc w:val="right"/>
            </w:pPr>
            <w:r w:rsidRPr="00D10A57">
              <w:t>310</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EF6EEEB" w14:textId="0EBA42A1" w:rsidR="002942BC" w:rsidRPr="00D10A57" w:rsidRDefault="002942BC" w:rsidP="00D56307">
            <w:pPr>
              <w:pStyle w:val="Styl2"/>
              <w:jc w:val="right"/>
            </w:pPr>
            <w:r w:rsidRPr="00D10A57">
              <w:t xml:space="preserve">287 530 750 </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23885F0" w14:textId="77777777" w:rsidR="002942BC" w:rsidRPr="00D10A57" w:rsidRDefault="002942BC" w:rsidP="00D10A57">
            <w:pPr>
              <w:pStyle w:val="Styl2"/>
            </w:pPr>
            <w:r w:rsidRPr="00D10A57">
              <w:t>202</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D77167C" w14:textId="1A9ACA38" w:rsidR="002942BC" w:rsidRPr="00D10A57" w:rsidRDefault="002942BC" w:rsidP="00D56307">
            <w:pPr>
              <w:pStyle w:val="Styl2"/>
              <w:jc w:val="right"/>
            </w:pPr>
            <w:r w:rsidRPr="00D10A57">
              <w:t xml:space="preserve">162 778 390 </w:t>
            </w:r>
          </w:p>
        </w:tc>
      </w:tr>
      <w:tr w:rsidR="002942BC" w:rsidRPr="00D10A57" w14:paraId="43481AD2" w14:textId="77777777" w:rsidTr="00EA170B">
        <w:trPr>
          <w:trHeight w:val="255"/>
        </w:trPr>
        <w:tc>
          <w:tcPr>
            <w:tcW w:w="16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5ABC35" w14:textId="77777777" w:rsidR="002942BC" w:rsidRPr="00D10A57" w:rsidRDefault="002942BC" w:rsidP="00D10A57">
            <w:pPr>
              <w:pStyle w:val="Styl2"/>
            </w:pPr>
            <w:r w:rsidRPr="00D10A57">
              <w:t>Liberecký</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FF31E83" w14:textId="77777777" w:rsidR="002942BC" w:rsidRPr="00D10A57" w:rsidRDefault="002942BC" w:rsidP="00D56307">
            <w:pPr>
              <w:pStyle w:val="Styl2"/>
              <w:jc w:val="right"/>
            </w:pPr>
            <w:r w:rsidRPr="00D10A57">
              <w:t>96</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CE65896" w14:textId="3F4C94DE" w:rsidR="002942BC" w:rsidRPr="00D10A57" w:rsidRDefault="002942BC" w:rsidP="00D56307">
            <w:pPr>
              <w:pStyle w:val="Styl2"/>
              <w:jc w:val="right"/>
            </w:pPr>
            <w:r w:rsidRPr="00D10A57">
              <w:t xml:space="preserve">129 536 064 </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BE159E5" w14:textId="77777777" w:rsidR="002942BC" w:rsidRPr="00D10A57" w:rsidRDefault="002942BC" w:rsidP="00D10A57">
            <w:pPr>
              <w:pStyle w:val="Styl2"/>
            </w:pPr>
            <w:r w:rsidRPr="00D10A57">
              <w:t>54</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427324" w14:textId="77F7F045" w:rsidR="002942BC" w:rsidRPr="00D10A57" w:rsidRDefault="002942BC" w:rsidP="00D56307">
            <w:pPr>
              <w:pStyle w:val="Styl2"/>
              <w:jc w:val="right"/>
            </w:pPr>
            <w:r w:rsidRPr="00D10A57">
              <w:t xml:space="preserve">69 337 320 </w:t>
            </w:r>
          </w:p>
        </w:tc>
      </w:tr>
      <w:tr w:rsidR="002942BC" w:rsidRPr="00D10A57" w14:paraId="3D5EF75D" w14:textId="77777777" w:rsidTr="00EA170B">
        <w:trPr>
          <w:trHeight w:val="255"/>
        </w:trPr>
        <w:tc>
          <w:tcPr>
            <w:tcW w:w="16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39D5F6" w14:textId="77777777" w:rsidR="002942BC" w:rsidRPr="00D10A57" w:rsidRDefault="002942BC" w:rsidP="00D10A57">
            <w:pPr>
              <w:pStyle w:val="Styl2"/>
            </w:pPr>
            <w:r w:rsidRPr="00D10A57">
              <w:lastRenderedPageBreak/>
              <w:t>Královéhradecký</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5D218E2" w14:textId="77777777" w:rsidR="002942BC" w:rsidRPr="00D10A57" w:rsidRDefault="002942BC" w:rsidP="00D56307">
            <w:pPr>
              <w:pStyle w:val="Styl2"/>
              <w:jc w:val="right"/>
            </w:pPr>
            <w:r w:rsidRPr="00D10A57">
              <w:t>101</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81159C2" w14:textId="7DC98F48" w:rsidR="002942BC" w:rsidRPr="00D10A57" w:rsidRDefault="002942BC" w:rsidP="00D56307">
            <w:pPr>
              <w:pStyle w:val="Styl2"/>
              <w:jc w:val="right"/>
            </w:pPr>
            <w:r w:rsidRPr="00D10A57">
              <w:t xml:space="preserve">132 809 547 </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CAD6880" w14:textId="77777777" w:rsidR="002942BC" w:rsidRPr="00D10A57" w:rsidRDefault="002942BC" w:rsidP="00D10A57">
            <w:pPr>
              <w:pStyle w:val="Styl2"/>
            </w:pPr>
            <w:r w:rsidRPr="00D10A57">
              <w:t>53</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38EEE76" w14:textId="388AC60D" w:rsidR="002942BC" w:rsidRPr="00D10A57" w:rsidRDefault="002942BC" w:rsidP="00D56307">
            <w:pPr>
              <w:pStyle w:val="Styl2"/>
              <w:jc w:val="right"/>
            </w:pPr>
            <w:r w:rsidRPr="00D10A57">
              <w:t xml:space="preserve">62 029 177 </w:t>
            </w:r>
          </w:p>
        </w:tc>
      </w:tr>
      <w:tr w:rsidR="002942BC" w:rsidRPr="00D10A57" w14:paraId="51E33149" w14:textId="77777777" w:rsidTr="00EA170B">
        <w:trPr>
          <w:trHeight w:val="255"/>
        </w:trPr>
        <w:tc>
          <w:tcPr>
            <w:tcW w:w="16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448419" w14:textId="77777777" w:rsidR="002942BC" w:rsidRPr="00D10A57" w:rsidRDefault="002942BC" w:rsidP="00D10A57">
            <w:pPr>
              <w:pStyle w:val="Styl2"/>
            </w:pPr>
            <w:r w:rsidRPr="00D10A57">
              <w:t>Pardubický</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28CA0B5" w14:textId="77777777" w:rsidR="002942BC" w:rsidRPr="00D10A57" w:rsidRDefault="002942BC" w:rsidP="00D56307">
            <w:pPr>
              <w:pStyle w:val="Styl2"/>
              <w:jc w:val="right"/>
            </w:pPr>
            <w:r w:rsidRPr="00D10A57">
              <w:t>117</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7FDE956" w14:textId="3EDCB52B" w:rsidR="002942BC" w:rsidRPr="00D10A57" w:rsidRDefault="002942BC" w:rsidP="00D56307">
            <w:pPr>
              <w:pStyle w:val="Styl2"/>
              <w:jc w:val="right"/>
            </w:pPr>
            <w:r w:rsidRPr="00D10A57">
              <w:t xml:space="preserve">150 724 657 </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2ED812F" w14:textId="77777777" w:rsidR="002942BC" w:rsidRPr="00D10A57" w:rsidRDefault="002942BC" w:rsidP="00D10A57">
            <w:pPr>
              <w:pStyle w:val="Styl2"/>
            </w:pPr>
            <w:r w:rsidRPr="00D10A57">
              <w:t>85</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C8192A2" w14:textId="341F014C" w:rsidR="002942BC" w:rsidRPr="00D10A57" w:rsidRDefault="002942BC" w:rsidP="00D56307">
            <w:pPr>
              <w:pStyle w:val="Styl2"/>
              <w:jc w:val="right"/>
            </w:pPr>
            <w:r w:rsidRPr="00D10A57">
              <w:t xml:space="preserve">103 424 425 </w:t>
            </w:r>
          </w:p>
        </w:tc>
      </w:tr>
      <w:tr w:rsidR="002942BC" w:rsidRPr="00D10A57" w14:paraId="46C91146" w14:textId="77777777" w:rsidTr="00EA170B">
        <w:trPr>
          <w:trHeight w:val="255"/>
        </w:trPr>
        <w:tc>
          <w:tcPr>
            <w:tcW w:w="16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3E68E98" w14:textId="77777777" w:rsidR="002942BC" w:rsidRPr="00D10A57" w:rsidRDefault="002942BC" w:rsidP="00D10A57">
            <w:pPr>
              <w:pStyle w:val="Styl2"/>
            </w:pPr>
            <w:r w:rsidRPr="00D10A57">
              <w:t>Vysočina</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EF9253A" w14:textId="77777777" w:rsidR="002942BC" w:rsidRPr="00D10A57" w:rsidRDefault="002942BC" w:rsidP="00D56307">
            <w:pPr>
              <w:pStyle w:val="Styl2"/>
              <w:jc w:val="right"/>
            </w:pPr>
            <w:r w:rsidRPr="00D10A57">
              <w:t>75</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715EAE8" w14:textId="24818FD0" w:rsidR="002942BC" w:rsidRPr="00D10A57" w:rsidRDefault="002942BC" w:rsidP="00D56307">
            <w:pPr>
              <w:pStyle w:val="Styl2"/>
              <w:jc w:val="right"/>
            </w:pPr>
            <w:r w:rsidRPr="00D10A57">
              <w:t xml:space="preserve">100 373 694 </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EE168AC" w14:textId="77777777" w:rsidR="002942BC" w:rsidRPr="00D10A57" w:rsidRDefault="002942BC" w:rsidP="00D10A57">
            <w:pPr>
              <w:pStyle w:val="Styl2"/>
            </w:pPr>
            <w:r w:rsidRPr="00D10A57">
              <w:t>52</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87976A2" w14:textId="1976D1D1" w:rsidR="002942BC" w:rsidRPr="00D10A57" w:rsidRDefault="002942BC" w:rsidP="00D56307">
            <w:pPr>
              <w:pStyle w:val="Styl2"/>
              <w:jc w:val="right"/>
            </w:pPr>
            <w:r w:rsidRPr="00D10A57">
              <w:t xml:space="preserve">63 716 879 </w:t>
            </w:r>
          </w:p>
        </w:tc>
      </w:tr>
      <w:tr w:rsidR="002942BC" w:rsidRPr="00D10A57" w14:paraId="7E72DDFC" w14:textId="77777777" w:rsidTr="00EA170B">
        <w:trPr>
          <w:trHeight w:val="255"/>
        </w:trPr>
        <w:tc>
          <w:tcPr>
            <w:tcW w:w="16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A87DE7" w14:textId="77777777" w:rsidR="002942BC" w:rsidRPr="00D10A57" w:rsidRDefault="002942BC" w:rsidP="00D10A57">
            <w:pPr>
              <w:pStyle w:val="Styl2"/>
            </w:pPr>
            <w:r w:rsidRPr="00D10A57">
              <w:t>Jihomoravský</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F2C7BC" w14:textId="77777777" w:rsidR="002942BC" w:rsidRPr="00D10A57" w:rsidRDefault="002942BC" w:rsidP="00D56307">
            <w:pPr>
              <w:pStyle w:val="Styl2"/>
              <w:jc w:val="right"/>
            </w:pPr>
            <w:r w:rsidRPr="00D10A57">
              <w:t>328</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8E52F58" w14:textId="7E5BFBB0" w:rsidR="002942BC" w:rsidRPr="00D10A57" w:rsidRDefault="002942BC" w:rsidP="00D56307">
            <w:pPr>
              <w:pStyle w:val="Styl2"/>
              <w:jc w:val="right"/>
            </w:pPr>
            <w:r w:rsidRPr="00D10A57">
              <w:t xml:space="preserve">359 820 556 </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B5617B6" w14:textId="77777777" w:rsidR="002942BC" w:rsidRPr="00D10A57" w:rsidRDefault="002942BC" w:rsidP="00D10A57">
            <w:pPr>
              <w:pStyle w:val="Styl2"/>
            </w:pPr>
            <w:r w:rsidRPr="00D10A57">
              <w:t>208</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0D88BAB" w14:textId="29D39B0E" w:rsidR="002942BC" w:rsidRPr="00D10A57" w:rsidRDefault="002942BC" w:rsidP="00D56307">
            <w:pPr>
              <w:pStyle w:val="Styl2"/>
              <w:jc w:val="right"/>
            </w:pPr>
            <w:r w:rsidRPr="00D10A57">
              <w:t xml:space="preserve">199 456 367 </w:t>
            </w:r>
          </w:p>
        </w:tc>
      </w:tr>
      <w:tr w:rsidR="002942BC" w:rsidRPr="00D10A57" w14:paraId="23C38330" w14:textId="77777777" w:rsidTr="00EA170B">
        <w:trPr>
          <w:trHeight w:val="255"/>
        </w:trPr>
        <w:tc>
          <w:tcPr>
            <w:tcW w:w="16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BAF599" w14:textId="77777777" w:rsidR="002942BC" w:rsidRPr="00D10A57" w:rsidRDefault="002942BC" w:rsidP="00D10A57">
            <w:pPr>
              <w:pStyle w:val="Styl2"/>
            </w:pPr>
            <w:r w:rsidRPr="00D10A57">
              <w:t>Olomoucký</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A6CBB88" w14:textId="77777777" w:rsidR="002942BC" w:rsidRPr="00D10A57" w:rsidRDefault="002942BC" w:rsidP="00D56307">
            <w:pPr>
              <w:pStyle w:val="Styl2"/>
              <w:jc w:val="right"/>
            </w:pPr>
            <w:r w:rsidRPr="00D10A57">
              <w:t>345</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8633F27" w14:textId="35F03557" w:rsidR="002942BC" w:rsidRPr="00D10A57" w:rsidRDefault="002942BC" w:rsidP="00D56307">
            <w:pPr>
              <w:pStyle w:val="Styl2"/>
              <w:jc w:val="right"/>
            </w:pPr>
            <w:r w:rsidRPr="00D10A57">
              <w:t xml:space="preserve">408 030 711 </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27A80A0" w14:textId="77777777" w:rsidR="002942BC" w:rsidRPr="00D10A57" w:rsidRDefault="002942BC" w:rsidP="00D10A57">
            <w:pPr>
              <w:pStyle w:val="Styl2"/>
            </w:pPr>
            <w:r w:rsidRPr="00D10A57">
              <w:t>165</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0A56293" w14:textId="5B3B087F" w:rsidR="002942BC" w:rsidRPr="00D10A57" w:rsidRDefault="002942BC" w:rsidP="00D56307">
            <w:pPr>
              <w:pStyle w:val="Styl2"/>
              <w:jc w:val="right"/>
            </w:pPr>
            <w:r w:rsidRPr="00D10A57">
              <w:t xml:space="preserve">190 228 903 </w:t>
            </w:r>
          </w:p>
        </w:tc>
      </w:tr>
      <w:tr w:rsidR="002942BC" w:rsidRPr="00D10A57" w14:paraId="63DA01AC" w14:textId="77777777" w:rsidTr="00EA170B">
        <w:trPr>
          <w:trHeight w:val="270"/>
        </w:trPr>
        <w:tc>
          <w:tcPr>
            <w:tcW w:w="16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8C7D7D" w14:textId="77777777" w:rsidR="002942BC" w:rsidRPr="00D10A57" w:rsidRDefault="002942BC" w:rsidP="00D10A57">
            <w:pPr>
              <w:pStyle w:val="Styl2"/>
            </w:pPr>
            <w:r w:rsidRPr="00D10A57">
              <w:t>Zlínský</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EB6EEF8" w14:textId="77777777" w:rsidR="002942BC" w:rsidRPr="00D10A57" w:rsidRDefault="002942BC" w:rsidP="00D56307">
            <w:pPr>
              <w:pStyle w:val="Styl2"/>
              <w:jc w:val="right"/>
            </w:pPr>
            <w:r w:rsidRPr="00D10A57">
              <w:t>166</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AFA494F" w14:textId="02C1CB54" w:rsidR="002942BC" w:rsidRPr="00D10A57" w:rsidRDefault="002942BC" w:rsidP="00D56307">
            <w:pPr>
              <w:pStyle w:val="Styl2"/>
              <w:jc w:val="right"/>
            </w:pPr>
            <w:r w:rsidRPr="00D10A57">
              <w:t xml:space="preserve">220 739 881 </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EDB0B6F" w14:textId="77777777" w:rsidR="002942BC" w:rsidRPr="00D10A57" w:rsidRDefault="002942BC" w:rsidP="00D10A57">
            <w:pPr>
              <w:pStyle w:val="Styl2"/>
            </w:pPr>
            <w:r w:rsidRPr="00D10A57">
              <w:t>114</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452497D" w14:textId="5FA20B2A" w:rsidR="002942BC" w:rsidRPr="00D10A57" w:rsidRDefault="002942BC" w:rsidP="00D56307">
            <w:pPr>
              <w:pStyle w:val="Styl2"/>
              <w:jc w:val="right"/>
            </w:pPr>
            <w:r w:rsidRPr="00D10A57">
              <w:t xml:space="preserve">150 896 448 </w:t>
            </w:r>
          </w:p>
        </w:tc>
      </w:tr>
      <w:tr w:rsidR="002942BC" w:rsidRPr="00D10A57" w14:paraId="121D65D6" w14:textId="77777777" w:rsidTr="00EA170B">
        <w:trPr>
          <w:trHeight w:val="255"/>
        </w:trPr>
        <w:tc>
          <w:tcPr>
            <w:tcW w:w="16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7F0557" w14:textId="77777777" w:rsidR="002942BC" w:rsidRPr="00D10A57" w:rsidRDefault="002942BC" w:rsidP="00D10A57">
            <w:pPr>
              <w:pStyle w:val="Styl2"/>
            </w:pPr>
            <w:r w:rsidRPr="00D10A57">
              <w:t>Moravskoslezský</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CFCBCFC" w14:textId="77777777" w:rsidR="002942BC" w:rsidRPr="00D10A57" w:rsidRDefault="002942BC" w:rsidP="00D56307">
            <w:pPr>
              <w:pStyle w:val="Styl2"/>
              <w:jc w:val="right"/>
            </w:pPr>
            <w:r w:rsidRPr="00D10A57">
              <w:t>171</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6EAFC58" w14:textId="66932632" w:rsidR="002942BC" w:rsidRPr="00D10A57" w:rsidRDefault="002942BC" w:rsidP="00D56307">
            <w:pPr>
              <w:pStyle w:val="Styl2"/>
              <w:jc w:val="right"/>
            </w:pPr>
            <w:r w:rsidRPr="00D10A57">
              <w:t xml:space="preserve">165 082 947 </w:t>
            </w:r>
          </w:p>
        </w:tc>
        <w:tc>
          <w:tcPr>
            <w:tcW w:w="17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DF8BEB" w14:textId="77777777" w:rsidR="002942BC" w:rsidRPr="00D10A57" w:rsidRDefault="002942BC" w:rsidP="00D10A57">
            <w:pPr>
              <w:pStyle w:val="Styl2"/>
            </w:pPr>
            <w:r w:rsidRPr="00D10A57">
              <w:t>150</w:t>
            </w:r>
          </w:p>
        </w:tc>
        <w:tc>
          <w:tcPr>
            <w:tcW w:w="19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E0788F1" w14:textId="362D3823" w:rsidR="002942BC" w:rsidRPr="00D10A57" w:rsidRDefault="002942BC" w:rsidP="00D56307">
            <w:pPr>
              <w:pStyle w:val="Styl2"/>
              <w:jc w:val="right"/>
            </w:pPr>
            <w:r w:rsidRPr="00D10A57">
              <w:t xml:space="preserve">142 682 467 </w:t>
            </w:r>
          </w:p>
        </w:tc>
      </w:tr>
      <w:tr w:rsidR="002942BC" w:rsidRPr="00D10A57" w14:paraId="661F264B" w14:textId="77777777" w:rsidTr="0089550B">
        <w:trPr>
          <w:trHeight w:val="270"/>
        </w:trPr>
        <w:tc>
          <w:tcPr>
            <w:tcW w:w="1621" w:type="dxa"/>
            <w:tcBorders>
              <w:top w:val="nil"/>
              <w:left w:val="single" w:sz="8" w:space="0" w:color="auto"/>
              <w:bottom w:val="single" w:sz="8" w:space="0" w:color="auto"/>
              <w:right w:val="nil"/>
            </w:tcBorders>
            <w:shd w:val="clear" w:color="auto" w:fill="auto"/>
            <w:tcMar>
              <w:top w:w="0" w:type="dxa"/>
              <w:left w:w="70" w:type="dxa"/>
              <w:bottom w:w="0" w:type="dxa"/>
              <w:right w:w="70" w:type="dxa"/>
            </w:tcMar>
            <w:vAlign w:val="center"/>
            <w:hideMark/>
          </w:tcPr>
          <w:p w14:paraId="0CD885E2" w14:textId="77777777" w:rsidR="002942BC" w:rsidRPr="00D10A57" w:rsidRDefault="002942BC" w:rsidP="00D10A57">
            <w:pPr>
              <w:pStyle w:val="Styl2"/>
              <w:rPr>
                <w:b/>
              </w:rPr>
            </w:pPr>
            <w:r w:rsidRPr="00D10A57">
              <w:rPr>
                <w:b/>
              </w:rPr>
              <w:t>Celkem</w:t>
            </w:r>
          </w:p>
        </w:tc>
        <w:tc>
          <w:tcPr>
            <w:tcW w:w="172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994D8FC" w14:textId="77777777" w:rsidR="002942BC" w:rsidRPr="00D10A57" w:rsidRDefault="002942BC" w:rsidP="00D56307">
            <w:pPr>
              <w:pStyle w:val="Styl2"/>
              <w:jc w:val="right"/>
              <w:rPr>
                <w:b/>
              </w:rPr>
            </w:pPr>
            <w:r w:rsidRPr="00D10A57">
              <w:rPr>
                <w:b/>
              </w:rPr>
              <w:t>2 200</w:t>
            </w:r>
          </w:p>
        </w:tc>
        <w:tc>
          <w:tcPr>
            <w:tcW w:w="192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E5529FF" w14:textId="7FCF66BC" w:rsidR="002942BC" w:rsidRPr="00D10A57" w:rsidRDefault="002942BC" w:rsidP="00D56307">
            <w:pPr>
              <w:pStyle w:val="Styl2"/>
              <w:jc w:val="right"/>
              <w:rPr>
                <w:b/>
              </w:rPr>
            </w:pPr>
            <w:r w:rsidRPr="00D10A57">
              <w:rPr>
                <w:b/>
              </w:rPr>
              <w:t xml:space="preserve">2 492 592 668 </w:t>
            </w:r>
          </w:p>
        </w:tc>
        <w:tc>
          <w:tcPr>
            <w:tcW w:w="172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438C512" w14:textId="77777777" w:rsidR="002942BC" w:rsidRPr="00D10A57" w:rsidRDefault="002942BC" w:rsidP="00D10A57">
            <w:pPr>
              <w:pStyle w:val="Styl2"/>
              <w:rPr>
                <w:b/>
              </w:rPr>
            </w:pPr>
            <w:r w:rsidRPr="00D10A57">
              <w:rPr>
                <w:b/>
              </w:rPr>
              <w:t>1 411</w:t>
            </w:r>
          </w:p>
        </w:tc>
        <w:tc>
          <w:tcPr>
            <w:tcW w:w="192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0ED2E89" w14:textId="52A53A33" w:rsidR="002942BC" w:rsidRPr="00D10A57" w:rsidRDefault="002942BC" w:rsidP="00D56307">
            <w:pPr>
              <w:pStyle w:val="Styl2"/>
              <w:jc w:val="right"/>
              <w:rPr>
                <w:b/>
              </w:rPr>
            </w:pPr>
            <w:r w:rsidRPr="00D10A57">
              <w:rPr>
                <w:b/>
              </w:rPr>
              <w:t xml:space="preserve">1 490 427 868 </w:t>
            </w:r>
          </w:p>
        </w:tc>
      </w:tr>
    </w:tbl>
    <w:p w14:paraId="540CF3FF" w14:textId="77777777" w:rsidR="002942BC" w:rsidRPr="00D10A57" w:rsidRDefault="002942BC" w:rsidP="00D10A57">
      <w:pPr>
        <w:spacing w:after="120"/>
        <w:jc w:val="both"/>
        <w:rPr>
          <w:rFonts w:ascii="Arial" w:hAnsi="Arial" w:cs="Arial"/>
          <w:highlight w:val="yellow"/>
        </w:rPr>
      </w:pPr>
    </w:p>
    <w:p w14:paraId="0FF954EE" w14:textId="77777777" w:rsidR="002942BC" w:rsidRPr="00D10A57" w:rsidRDefault="002942BC" w:rsidP="00D10A57">
      <w:pPr>
        <w:pStyle w:val="Styl1"/>
      </w:pPr>
      <w:r w:rsidRPr="00D10A57">
        <w:t xml:space="preserve">Podpora tématu Sociální integrace bude pokračovat v IROP i v následujících letech pod názvem </w:t>
      </w:r>
      <w:r w:rsidRPr="000A284E">
        <w:rPr>
          <w:b/>
        </w:rPr>
        <w:t>Sociální infrastruktura</w:t>
      </w:r>
      <w:r w:rsidRPr="00D10A57">
        <w:t>. Předpokládá se zachování obdobného rozsahu podporovaných aktivit, např. rozvoj infrastruktury a kapacit sociálních služeb nebo sociální bydlení.</w:t>
      </w:r>
    </w:p>
    <w:p w14:paraId="6B3BF963" w14:textId="77777777" w:rsidR="002942BC" w:rsidRPr="00D10A57" w:rsidRDefault="002942BC" w:rsidP="00D10A57">
      <w:pPr>
        <w:pStyle w:val="Styl1"/>
      </w:pPr>
      <w:r w:rsidRPr="00D10A57">
        <w:t xml:space="preserve">Konkrétní oblasti podpory, vč. podmínek a výše finančních prostředků jsou projednávány s EK. </w:t>
      </w:r>
    </w:p>
    <w:p w14:paraId="76DB3D61" w14:textId="77777777" w:rsidR="002942BC" w:rsidRPr="00D10A57" w:rsidRDefault="002942BC" w:rsidP="00D10A57">
      <w:pPr>
        <w:pStyle w:val="Styl1"/>
      </w:pPr>
      <w:r w:rsidRPr="00D10A57">
        <w:t>K naplňování cíle přispívaly v roce 2021 též projekty realizované obcemi z výzev “Koordinovaného přístupu pro sociálně vyloučené lokality” (</w:t>
      </w:r>
      <w:r w:rsidR="006072BC" w:rsidRPr="00D10A57">
        <w:rPr>
          <w:bCs/>
        </w:rPr>
        <w:t>dále jen „</w:t>
      </w:r>
      <w:r w:rsidRPr="00D10A57">
        <w:t>KPSVL</w:t>
      </w:r>
      <w:r w:rsidR="006072BC" w:rsidRPr="00D10A57">
        <w:t>“</w:t>
      </w:r>
      <w:r w:rsidRPr="00D10A57">
        <w:t xml:space="preserve">), facilitované Agenturou. </w:t>
      </w:r>
    </w:p>
    <w:p w14:paraId="53CE9A2A" w14:textId="77777777" w:rsidR="002942BC" w:rsidRPr="00D10A57" w:rsidRDefault="002942BC" w:rsidP="00D10A57">
      <w:pPr>
        <w:pStyle w:val="Styl1"/>
        <w:numPr>
          <w:ilvl w:val="0"/>
          <w:numId w:val="12"/>
        </w:numPr>
      </w:pPr>
      <w:r w:rsidRPr="00D10A57">
        <w:t>Z celkem 75 projektů realizovaných přímo obcemi se více než 50 % soustředilo na</w:t>
      </w:r>
      <w:r w:rsidR="002E1141">
        <w:t> </w:t>
      </w:r>
      <w:r w:rsidRPr="00D10A57">
        <w:t xml:space="preserve">vytvoření podmínek pro nastavení a realizaci podpory osobám v bydlení a sociální práci. Projekty zaměřené na podporu a rozvoj nástrojů podpory v bydlení realizovalo celkem 29 měst a obcí a v jednom případě sdružení obcí mikroregionu. </w:t>
      </w:r>
    </w:p>
    <w:p w14:paraId="37FD14B3" w14:textId="77777777" w:rsidR="002942BC" w:rsidRPr="00D10A57" w:rsidRDefault="002942BC" w:rsidP="00D10A57">
      <w:pPr>
        <w:pStyle w:val="Styl1"/>
        <w:numPr>
          <w:ilvl w:val="0"/>
          <w:numId w:val="12"/>
        </w:numPr>
      </w:pPr>
      <w:r w:rsidRPr="00D10A57">
        <w:t>Zejména na oblast sociální práce na obcích se soustředily projekty obcí I. typu (celkem 4 obce), II. typu (celkem 4 obce) a III. typu (celkem 21 obcí)</w:t>
      </w:r>
      <w:r w:rsidR="002E1141">
        <w:t>.</w:t>
      </w:r>
      <w:r w:rsidRPr="00D10A57">
        <w:rPr>
          <w:rStyle w:val="Znakapoznpodarou"/>
        </w:rPr>
        <w:footnoteReference w:id="5"/>
      </w:r>
      <w:r w:rsidRPr="00D10A57">
        <w:t xml:space="preserve">. Obce I. a II. typu se v projektech zaměřených na oblast bydlení soustředily na vytvoření kapacit sociální práce, jež v důsledku poddimenzovanosti v rámci přeneseného výkonu státní správy nepokrývá potřeby osob v území. </w:t>
      </w:r>
    </w:p>
    <w:p w14:paraId="030FEFE5" w14:textId="77777777" w:rsidR="002942BC" w:rsidRPr="00D10A57" w:rsidRDefault="002942BC" w:rsidP="00D10A57">
      <w:pPr>
        <w:pStyle w:val="Styl1"/>
        <w:numPr>
          <w:ilvl w:val="0"/>
          <w:numId w:val="12"/>
        </w:numPr>
      </w:pPr>
      <w:r w:rsidRPr="00D10A57">
        <w:t xml:space="preserve">Komplexní projekty byly realizovány zejména statutárními městy (např. Brno, Ostrava, Liberec, Jihlava), jejichž součástí byly vytvořené koncepce politiky bydlení, ověřování a realizace nástrojů podpory bydlení (např.: kontaktní místo podpory bydlení v Brně, Jihlavě, Liberci). </w:t>
      </w:r>
    </w:p>
    <w:p w14:paraId="1572E801" w14:textId="77777777" w:rsidR="002942BC" w:rsidRPr="00D10A57" w:rsidRDefault="002942BC" w:rsidP="00D10A57">
      <w:pPr>
        <w:pStyle w:val="Styl1"/>
        <w:numPr>
          <w:ilvl w:val="0"/>
          <w:numId w:val="12"/>
        </w:numPr>
      </w:pPr>
      <w:r w:rsidRPr="00D10A57">
        <w:t>Potřebu zajištění dostatečných kapacit sociální práce a podpory osobám v bydlení saturovaly rovněž projekty realizované obcemi III. typu (např. Kroměříž, Písek, Žďár nad Sázavou a Břeclav).</w:t>
      </w:r>
    </w:p>
    <w:p w14:paraId="743B3099" w14:textId="77777777" w:rsidR="007D616F" w:rsidRPr="00D10A57" w:rsidRDefault="007D616F" w:rsidP="00D10A57">
      <w:pPr>
        <w:pStyle w:val="Styl3"/>
        <w:numPr>
          <w:ilvl w:val="0"/>
          <w:numId w:val="15"/>
        </w:numPr>
        <w:spacing w:before="240"/>
      </w:pPr>
      <w:r w:rsidRPr="00D10A57">
        <w:t>průběžně</w:t>
      </w:r>
      <w:r w:rsidR="001E229D" w:rsidRPr="00D10A57">
        <w:t>,</w:t>
      </w:r>
      <w:r w:rsidRPr="00D10A57">
        <w:t xml:space="preserve"> s využitím prostředků Evropských strukturálních a investičních fondů</w:t>
      </w:r>
      <w:r w:rsidR="001E229D" w:rsidRPr="00D10A57">
        <w:t>,</w:t>
      </w:r>
      <w:r w:rsidRPr="00D10A57">
        <w:t xml:space="preserve"> a</w:t>
      </w:r>
      <w:r w:rsidR="001E229D" w:rsidRPr="00D10A57">
        <w:t> </w:t>
      </w:r>
      <w:r w:rsidRPr="00D10A57">
        <w:t>národních nástrojů</w:t>
      </w:r>
      <w:r w:rsidR="001E229D" w:rsidRPr="00D10A57">
        <w:t>,</w:t>
      </w:r>
      <w:r w:rsidRPr="00D10A57">
        <w:t xml:space="preserve"> odstraňovat a zamezovat dalšímu šíření sociálního vyloučení v</w:t>
      </w:r>
      <w:r w:rsidR="001E229D" w:rsidRPr="00D10A57">
        <w:t> </w:t>
      </w:r>
      <w:r w:rsidR="0089550B" w:rsidRPr="00D10A57">
        <w:t>romských lokalitách</w:t>
      </w:r>
    </w:p>
    <w:p w14:paraId="1DC4644E" w14:textId="77777777" w:rsidR="002942BC" w:rsidRPr="00D10A57" w:rsidRDefault="002942BC" w:rsidP="00D10A57">
      <w:pPr>
        <w:pStyle w:val="Styl1"/>
        <w:spacing w:before="240"/>
      </w:pPr>
      <w:r w:rsidRPr="00D10A57">
        <w:t>V rámci své působnosti se Agentura věnuje zejména tematickým oblastem bydlení, zaměstnanosti, zadluženosti, sociálních služeb a rodiny, zdraví, komunitní práci a participaci, bezpečnosti a prevenci kriminality, a vzdělávání. V těchto oblastech Agentura</w:t>
      </w:r>
    </w:p>
    <w:p w14:paraId="1248CE98" w14:textId="77777777" w:rsidR="002942BC" w:rsidRPr="00D10A57" w:rsidRDefault="002942BC" w:rsidP="00D10A57">
      <w:pPr>
        <w:pStyle w:val="Styl1"/>
        <w:numPr>
          <w:ilvl w:val="0"/>
          <w:numId w:val="14"/>
        </w:numPr>
      </w:pPr>
      <w:r w:rsidRPr="00D10A57">
        <w:t>zpracovává a uvádí do praxe koncepční dokumenty a strategie,</w:t>
      </w:r>
    </w:p>
    <w:p w14:paraId="0E2A50EC" w14:textId="77777777" w:rsidR="002942BC" w:rsidRPr="00D10A57" w:rsidRDefault="002942BC" w:rsidP="00D10A57">
      <w:pPr>
        <w:pStyle w:val="Styl1"/>
        <w:numPr>
          <w:ilvl w:val="0"/>
          <w:numId w:val="14"/>
        </w:numPr>
      </w:pPr>
      <w:r w:rsidRPr="00D10A57">
        <w:lastRenderedPageBreak/>
        <w:t>poskytuje pomoc prostřednictvím projektového poradenství,</w:t>
      </w:r>
    </w:p>
    <w:p w14:paraId="086F2DF4" w14:textId="77777777" w:rsidR="002942BC" w:rsidRPr="00D10A57" w:rsidRDefault="002942BC" w:rsidP="00D10A57">
      <w:pPr>
        <w:pStyle w:val="Styl1"/>
        <w:numPr>
          <w:ilvl w:val="0"/>
          <w:numId w:val="14"/>
        </w:numPr>
      </w:pPr>
      <w:r w:rsidRPr="00D10A57">
        <w:t>spolupracuje na návrzích úpravy legislativy v oblasti sociálního začleňování,</w:t>
      </w:r>
    </w:p>
    <w:p w14:paraId="2C42904E" w14:textId="77777777" w:rsidR="002942BC" w:rsidRPr="00D10A57" w:rsidRDefault="002942BC" w:rsidP="00D10A57">
      <w:pPr>
        <w:pStyle w:val="Styl1"/>
        <w:numPr>
          <w:ilvl w:val="0"/>
          <w:numId w:val="14"/>
        </w:numPr>
      </w:pPr>
      <w:r w:rsidRPr="00D10A57">
        <w:t>spolupracuje na tvorbě a vyhodnocování strategií zaměřených na podporu sociálního začleňování.</w:t>
      </w:r>
    </w:p>
    <w:p w14:paraId="10A6CFB0" w14:textId="77777777" w:rsidR="002942BC" w:rsidRPr="00D10A57" w:rsidRDefault="002942BC" w:rsidP="00D10A57">
      <w:pPr>
        <w:pStyle w:val="Styl1"/>
      </w:pPr>
      <w:r w:rsidRPr="00D10A57">
        <w:t xml:space="preserve">Podpora v území byla </w:t>
      </w:r>
      <w:r w:rsidR="003B5F88" w:rsidRPr="00D10A57">
        <w:t>v roce</w:t>
      </w:r>
      <w:r w:rsidRPr="00D10A57">
        <w:t xml:space="preserve"> 2021 i nadále realizována především v režimu KPSVL, který je nástrojem pomoci městům, obcím a svazkům obcí při sociálním začleňování sociálně vyloučených obyvatel zaváděním nových nástrojů a politik, včetně zprostředkování využití prostředků Evropských strukturálních a investičních fondů (</w:t>
      </w:r>
      <w:r w:rsidR="006547C5" w:rsidRPr="00D10A57">
        <w:rPr>
          <w:bCs/>
        </w:rPr>
        <w:t>dále jen „</w:t>
      </w:r>
      <w:r w:rsidRPr="00D10A57">
        <w:t>ESIF</w:t>
      </w:r>
      <w:r w:rsidR="006547C5" w:rsidRPr="00D10A57">
        <w:t>“</w:t>
      </w:r>
      <w:r w:rsidRPr="00D10A57">
        <w:t>).</w:t>
      </w:r>
    </w:p>
    <w:p w14:paraId="6A7A541F" w14:textId="77777777" w:rsidR="002942BC" w:rsidRPr="00D10A57" w:rsidRDefault="002942BC" w:rsidP="00D10A57">
      <w:pPr>
        <w:pStyle w:val="Styl1"/>
      </w:pPr>
      <w:r w:rsidRPr="00D10A57">
        <w:t xml:space="preserve">MMR (Agentura) se dále podílela na zamezování sociálního vyloučení plněním projektu z ESIF </w:t>
      </w:r>
      <w:r w:rsidRPr="000A284E">
        <w:rPr>
          <w:b/>
        </w:rPr>
        <w:t>„Inkluzivní a kvalitní vzdělávání v územích se sociálně vyloučenými lokalitami“</w:t>
      </w:r>
      <w:r w:rsidRPr="00D10A57">
        <w:t>, registrační číslo CZ.02.3.62/0.0/0.0/15_001/0000586. Hlavním cílem tohoto projektu je uplatnění principů kvalitního a inkluzivního vzdělávaní na participativním základě ve spolupracujících obcích a vytvoření podmínek pro dlouhodobé udržení a rozvoj opatření vzniklých v průběhu projektu na lokální úrovni. Projekt je realiz</w:t>
      </w:r>
      <w:r w:rsidR="000A284E">
        <w:t>ován od 1. července 2016 do 30. </w:t>
      </w:r>
      <w:r w:rsidRPr="00D10A57">
        <w:t>dubna 2022.</w:t>
      </w:r>
    </w:p>
    <w:p w14:paraId="71FA2A83" w14:textId="77777777" w:rsidR="002942BC" w:rsidRPr="00D10A57" w:rsidRDefault="002942BC" w:rsidP="00D10A57">
      <w:pPr>
        <w:pStyle w:val="Styl1"/>
      </w:pPr>
      <w:r w:rsidRPr="00D10A57">
        <w:t>Agentura ve spolupracujících lokalitách podporuje jednotlivé školy, obce či kraje v nastavování konkrétních opatření, která vedou k podpoře a začleňování dětí ohrožených sociálním vyloučením do hlavního vzdělávacího proudu.</w:t>
      </w:r>
    </w:p>
    <w:p w14:paraId="253DCA18" w14:textId="77777777" w:rsidR="002942BC" w:rsidRPr="00D10A57" w:rsidRDefault="002942BC" w:rsidP="00D10A57">
      <w:pPr>
        <w:pStyle w:val="Styl1"/>
      </w:pPr>
      <w:r w:rsidRPr="00D10A57">
        <w:t>Zásadním dokumentem, který v rámci spolupráce s obcemi, či svazkem obcí v projektu „Inkluzivní a kvalitní vzdělávání v územích se sociálně vyloučenými lokalitami“ vznikal, je Místní plán inkluze (MPI). Plány podpory cílily na zajištění a poskytování metodické odborné podpory, sdílení příkladů dobré či inspirativní praxe či nabídka vzdělávacích aktivit na téma podpory inkluzivního vzdělávání.</w:t>
      </w:r>
    </w:p>
    <w:p w14:paraId="4E7EC0C7" w14:textId="27B692C4" w:rsidR="002942BC" w:rsidRPr="00D10A57" w:rsidRDefault="002942BC" w:rsidP="00D10A57">
      <w:pPr>
        <w:pStyle w:val="Styl1"/>
      </w:pPr>
      <w:r w:rsidRPr="00D10A57">
        <w:t xml:space="preserve">V roce 2021 probíhala na MMR příprava zastřešujícího strategického dokumentu </w:t>
      </w:r>
      <w:r w:rsidRPr="00D56307">
        <w:rPr>
          <w:b/>
        </w:rPr>
        <w:t>Dohody o partnerství pro programové období 2021–2027</w:t>
      </w:r>
      <w:r w:rsidRPr="00D10A57">
        <w:t xml:space="preserve"> (</w:t>
      </w:r>
      <w:r w:rsidR="006547C5" w:rsidRPr="00D10A57">
        <w:rPr>
          <w:bCs/>
        </w:rPr>
        <w:t>dále jen „</w:t>
      </w:r>
      <w:r w:rsidRPr="00D10A57">
        <w:t>DoP</w:t>
      </w:r>
      <w:r w:rsidR="006547C5" w:rsidRPr="00D10A57">
        <w:t>“</w:t>
      </w:r>
      <w:r w:rsidRPr="00D10A57">
        <w:t>) s cílem implementace socioekonomická integrace Romů prostřednictvím fondů</w:t>
      </w:r>
      <w:r w:rsidR="005D129A">
        <w:t xml:space="preserve"> EU</w:t>
      </w:r>
      <w:r w:rsidRPr="00D10A57">
        <w:t>. 27. září byla DoP projednána a schválena vládou usnesením č. 841 o Dohodě o partnerství pro programové období 2021–2027. Následovalo další neformální vyjednávání a poté dne 16. prosince 2021 byla DoP prostřednictvím unijního systému SFC21+ předložena EK k formálnímu vyjednávání a schválení.</w:t>
      </w:r>
    </w:p>
    <w:p w14:paraId="6FB665C3" w14:textId="77777777" w:rsidR="002942BC" w:rsidRPr="00D10A57" w:rsidRDefault="002942BC" w:rsidP="00D10A57">
      <w:pPr>
        <w:pStyle w:val="Styl1"/>
      </w:pPr>
      <w:r w:rsidRPr="00D10A57">
        <w:t xml:space="preserve">DoP v rámci cíle politiky </w:t>
      </w:r>
      <w:r w:rsidRPr="00D56307">
        <w:rPr>
          <w:b/>
        </w:rPr>
        <w:t>Sociálnější Evropa</w:t>
      </w:r>
      <w:r w:rsidRPr="00D10A57">
        <w:t xml:space="preserve"> zavazuje podporovat koordinovaným přístupem socioekonomickou integraci sociálně vyloučených osob, zejména Romů, včetně podpory prostřednictvím potravinové a základní materiální pomoci, přístupu k zaměstnání, zdravotním a sociálním službám, finančnímu poradenství, cílenému vzdělávání nebo odbornému vzdělávání, a opatření k řešení vyloučení z přístupu k bydlení.</w:t>
      </w:r>
    </w:p>
    <w:p w14:paraId="436AD104" w14:textId="77777777" w:rsidR="002942BC" w:rsidRPr="00D56307" w:rsidRDefault="002942BC" w:rsidP="00D10A57">
      <w:pPr>
        <w:pStyle w:val="Styl1"/>
        <w:rPr>
          <w:b/>
        </w:rPr>
      </w:pPr>
      <w:r w:rsidRPr="00D56307">
        <w:rPr>
          <w:b/>
        </w:rPr>
        <w:t>V průběhu roku 2021 probíhala v rámci vyjednávání s EK diskuze k otázce přijetí samostatného specifického cíle zaměřeného na socioekonomickou integraci marginalizovaných komunit v programech OP J</w:t>
      </w:r>
      <w:r w:rsidR="005D129A">
        <w:rPr>
          <w:b/>
        </w:rPr>
        <w:t xml:space="preserve">an </w:t>
      </w:r>
      <w:r w:rsidRPr="00D56307">
        <w:rPr>
          <w:b/>
        </w:rPr>
        <w:t>A</w:t>
      </w:r>
      <w:r w:rsidR="005D129A">
        <w:rPr>
          <w:b/>
        </w:rPr>
        <w:t xml:space="preserve">mos </w:t>
      </w:r>
      <w:r w:rsidRPr="00D56307">
        <w:rPr>
          <w:b/>
        </w:rPr>
        <w:t>K</w:t>
      </w:r>
      <w:r w:rsidR="005D129A">
        <w:rPr>
          <w:b/>
        </w:rPr>
        <w:t>omenský (</w:t>
      </w:r>
      <w:r w:rsidR="005D129A" w:rsidRPr="007C763A">
        <w:rPr>
          <w:b/>
        </w:rPr>
        <w:t>dále jen „OP JAK“</w:t>
      </w:r>
      <w:r w:rsidR="005D129A">
        <w:rPr>
          <w:b/>
        </w:rPr>
        <w:t>)</w:t>
      </w:r>
      <w:r w:rsidRPr="00D56307">
        <w:rPr>
          <w:b/>
        </w:rPr>
        <w:t xml:space="preserve"> a OP Z</w:t>
      </w:r>
      <w:r w:rsidR="005D129A">
        <w:rPr>
          <w:b/>
        </w:rPr>
        <w:t>aměstnanost plus (dále jen „OPZ</w:t>
      </w:r>
      <w:r w:rsidRPr="00D56307">
        <w:rPr>
          <w:b/>
        </w:rPr>
        <w:t>+</w:t>
      </w:r>
      <w:r w:rsidR="005D129A">
        <w:rPr>
          <w:b/>
        </w:rPr>
        <w:t>“)</w:t>
      </w:r>
      <w:r w:rsidRPr="00D56307">
        <w:rPr>
          <w:b/>
        </w:rPr>
        <w:t xml:space="preserve">, kde byla do té doby tato podpora zamýšlena jako součást šířeji vymezeních cílů. Národní orgán pro koordinaci zprostředkovával a koordinoval jednání mezi EK a řídícími orgány dotčených programů. Závěrem jednacího procesu došlo k zařazení tohoto specifického cíle do implementační struktury s vymezenými finančními prostředky. Intervence tohoto specifického cíle v obou programech přispějí k realizaci relevantních opatření ze </w:t>
      </w:r>
      <w:r w:rsidR="00C54831" w:rsidRPr="00D56307">
        <w:rPr>
          <w:b/>
        </w:rPr>
        <w:t xml:space="preserve">Strategie rovnosti, začlenění a </w:t>
      </w:r>
      <w:r w:rsidR="00C54831" w:rsidRPr="00D56307">
        <w:rPr>
          <w:b/>
        </w:rPr>
        <w:lastRenderedPageBreak/>
        <w:t>participace Romů 2021–203</w:t>
      </w:r>
      <w:r w:rsidRPr="00D56307">
        <w:rPr>
          <w:b/>
        </w:rPr>
        <w:t xml:space="preserve">0, a to především v oblasti anticiganismu, emancipace, podpory rovnosti, začleňování a participace. </w:t>
      </w:r>
    </w:p>
    <w:p w14:paraId="73E164EF" w14:textId="222933AF" w:rsidR="002942BC" w:rsidRPr="00D10A57" w:rsidRDefault="002942BC" w:rsidP="00D10A57">
      <w:pPr>
        <w:pStyle w:val="Styl1"/>
      </w:pPr>
      <w:r w:rsidRPr="00D10A57">
        <w:t>DoP vychází mj. z národních tematicky zaměřených strategických dokumentů Strategie sociálního začleňování 2021–2030 a Strategie rovnosti, začlenění a participace Romů 2021–2030. Vymezuje Koordinovaný přístup k sociálnímu vyloučení (</w:t>
      </w:r>
      <w:r w:rsidR="00113CD2" w:rsidRPr="00D10A57">
        <w:rPr>
          <w:bCs/>
        </w:rPr>
        <w:t>dále jen „</w:t>
      </w:r>
      <w:r w:rsidRPr="00D10A57">
        <w:t>KPSV 2021+</w:t>
      </w:r>
      <w:r w:rsidR="00113CD2" w:rsidRPr="00D10A57">
        <w:t>“</w:t>
      </w:r>
      <w:r w:rsidRPr="00D10A57">
        <w:t>) v</w:t>
      </w:r>
      <w:r w:rsidR="00077269">
        <w:t> </w:t>
      </w:r>
      <w:r w:rsidRPr="00D10A57">
        <w:t>sociálně vyloučených lokalitách, kde obvykle Romové představují většinu populace, jako nástroj koordinované pomoci územním samosprávným celkům a jejich sdružením. Začleňování sociálně vyloučených osob je realizováno prostřednictvím koordinačních mechanismů tří programů, OP Z+, IROP a OP JAK dle jejich věcné působnosti a v souladu s</w:t>
      </w:r>
      <w:r w:rsidR="00077269">
        <w:t> </w:t>
      </w:r>
      <w:r w:rsidRPr="00D10A57">
        <w:t>Metodikou KPSV 2021+. Všechny aktivity jsou vedle</w:t>
      </w:r>
      <w:r w:rsidR="005B034D">
        <w:t xml:space="preserve"> </w:t>
      </w:r>
      <w:r w:rsidRPr="00D10A57">
        <w:t>fondů</w:t>
      </w:r>
      <w:r w:rsidR="005B034D">
        <w:t xml:space="preserve"> EU</w:t>
      </w:r>
      <w:r w:rsidRPr="00D10A57">
        <w:t xml:space="preserve"> také spolufinancovány z</w:t>
      </w:r>
      <w:r w:rsidR="00077269">
        <w:t> </w:t>
      </w:r>
      <w:r w:rsidRPr="00D10A57">
        <w:t>prostředků národního rozpočtu.</w:t>
      </w:r>
    </w:p>
    <w:p w14:paraId="28EA26E7" w14:textId="77777777" w:rsidR="002942BC" w:rsidRPr="00D10A57" w:rsidRDefault="002942BC" w:rsidP="00D10A57">
      <w:pPr>
        <w:autoSpaceDE w:val="0"/>
        <w:autoSpaceDN w:val="0"/>
        <w:adjustRightInd w:val="0"/>
        <w:spacing w:after="0" w:line="240" w:lineRule="auto"/>
        <w:jc w:val="both"/>
        <w:rPr>
          <w:rFonts w:ascii="Arial" w:hAnsi="Arial" w:cs="Arial"/>
          <w:color w:val="000000"/>
        </w:rPr>
      </w:pPr>
    </w:p>
    <w:p w14:paraId="39E32BFB" w14:textId="77777777" w:rsidR="005E68BD" w:rsidRPr="00D10A57" w:rsidRDefault="007D616F" w:rsidP="00D10A57">
      <w:pPr>
        <w:pStyle w:val="Odstavecseseznamem"/>
        <w:numPr>
          <w:ilvl w:val="0"/>
          <w:numId w:val="15"/>
        </w:numPr>
        <w:autoSpaceDE w:val="0"/>
        <w:autoSpaceDN w:val="0"/>
        <w:adjustRightInd w:val="0"/>
        <w:rPr>
          <w:rFonts w:ascii="Arial" w:hAnsi="Arial" w:cs="Arial"/>
          <w:b/>
          <w:sz w:val="22"/>
        </w:rPr>
      </w:pPr>
      <w:r w:rsidRPr="00D10A57">
        <w:rPr>
          <w:rFonts w:ascii="Arial" w:hAnsi="Arial" w:cs="Arial"/>
          <w:b/>
          <w:sz w:val="22"/>
        </w:rPr>
        <w:t>průběžně podporovat rozvoj inovativních forem sociálního bydlení a otevírat prostor pro</w:t>
      </w:r>
      <w:r w:rsidR="001E229D" w:rsidRPr="00D10A57">
        <w:rPr>
          <w:rFonts w:ascii="Arial" w:hAnsi="Arial" w:cs="Arial"/>
          <w:b/>
          <w:sz w:val="22"/>
        </w:rPr>
        <w:t> </w:t>
      </w:r>
      <w:r w:rsidR="0089550B" w:rsidRPr="00D10A57">
        <w:rPr>
          <w:rFonts w:ascii="Arial" w:hAnsi="Arial" w:cs="Arial"/>
          <w:b/>
          <w:sz w:val="22"/>
        </w:rPr>
        <w:t>výměnu zkušeností</w:t>
      </w:r>
    </w:p>
    <w:p w14:paraId="5B1B21A3" w14:textId="77777777" w:rsidR="002942BC" w:rsidRPr="00D10A57" w:rsidRDefault="002942BC" w:rsidP="00D10A57">
      <w:pPr>
        <w:autoSpaceDE w:val="0"/>
        <w:autoSpaceDN w:val="0"/>
        <w:adjustRightInd w:val="0"/>
        <w:spacing w:after="0" w:line="240" w:lineRule="auto"/>
        <w:jc w:val="both"/>
        <w:rPr>
          <w:rFonts w:ascii="Arial" w:hAnsi="Arial" w:cs="Arial"/>
          <w:color w:val="000000"/>
        </w:rPr>
      </w:pPr>
    </w:p>
    <w:p w14:paraId="3AE641CF" w14:textId="21B0892F" w:rsidR="002942BC" w:rsidRPr="00D10A57" w:rsidRDefault="002942BC" w:rsidP="00D10A57">
      <w:pPr>
        <w:pStyle w:val="Styl1"/>
      </w:pPr>
      <w:r w:rsidRPr="00D10A57">
        <w:t xml:space="preserve">Mimo jiné </w:t>
      </w:r>
      <w:r w:rsidR="005B034D">
        <w:t xml:space="preserve">se </w:t>
      </w:r>
      <w:r w:rsidRPr="00D10A57">
        <w:t>touto problematikou</w:t>
      </w:r>
      <w:r w:rsidR="005B034D">
        <w:t xml:space="preserve"> </w:t>
      </w:r>
      <w:r w:rsidRPr="00D10A57">
        <w:t xml:space="preserve">zabývá projekt MMR </w:t>
      </w:r>
      <w:r w:rsidRPr="000A284E">
        <w:rPr>
          <w:b/>
        </w:rPr>
        <w:t>„Agentura pro sociální začleňování jako inovační aktér politiky sociálního začleňování“,</w:t>
      </w:r>
      <w:r w:rsidRPr="00D10A57">
        <w:t xml:space="preserve"> registrační číslo CZ.03.3.X/0.0/0.0/15_018/0006191, realizovaný v letech 2020 až 2022.</w:t>
      </w:r>
    </w:p>
    <w:p w14:paraId="2E7762A4" w14:textId="77777777" w:rsidR="002942BC" w:rsidRPr="00D10A57" w:rsidRDefault="002942BC" w:rsidP="00D10A57">
      <w:pPr>
        <w:pStyle w:val="Styl1"/>
        <w:rPr>
          <w:shd w:val="clear" w:color="auto" w:fill="FFFFFF"/>
        </w:rPr>
      </w:pPr>
      <w:r w:rsidRPr="00D10A57">
        <w:rPr>
          <w:shd w:val="clear" w:color="auto" w:fill="FFFFFF"/>
        </w:rPr>
        <w:t>V rámci projektu vznikl tým expertů, který je v úzkém kontaktu se spolupracujícími kraji a městy a snaží se na základě jejich potřeb hledat nejvhodnější řešení vybraných problémů např. v oblasti dostupného a sociálního bydlení. Partneři následně budou za podpory projektového týmu uvádět tato opatření ve formě inovovaných politik do praxe.</w:t>
      </w:r>
    </w:p>
    <w:p w14:paraId="350FE926" w14:textId="77777777" w:rsidR="002942BC" w:rsidRPr="00D10A57" w:rsidRDefault="002942BC" w:rsidP="00D10A57">
      <w:pPr>
        <w:pStyle w:val="Styl1"/>
      </w:pPr>
      <w:r w:rsidRPr="00D10A57">
        <w:t>Partnery projektu jsou od jeho počátku Královéhradecký, Liberecký a Olomoucký kraj a statutární město Chomutov. Na podzim roku 2021 se do partnerské sítě projektu připojil Karlovarský kraj.</w:t>
      </w:r>
    </w:p>
    <w:p w14:paraId="3E7019CA" w14:textId="77777777" w:rsidR="002942BC" w:rsidRPr="00D10A57" w:rsidRDefault="002942BC" w:rsidP="00D10A57">
      <w:pPr>
        <w:pStyle w:val="Styl1"/>
      </w:pPr>
      <w:r w:rsidRPr="00D10A57">
        <w:t>Partnerem projektu s finanční účastí je Sdružení místních samospráv. V rámci projektu je rozvíjen systém AGIS o obcích v tématech sociální politiky a sociálního vyloučení. Díky tomu se předpokládá plošné zpřístupnění velkého objemu administrativních dat o sociálních dávkách nebo z oblasti vzdělávání, která v současné době nejsou zástupcům obcí snadno dostupná a tím pádem ani využívaná při rozhodování.</w:t>
      </w:r>
    </w:p>
    <w:p w14:paraId="6D9A430E" w14:textId="77777777" w:rsidR="002942BC" w:rsidRPr="00D10A57" w:rsidRDefault="002942BC" w:rsidP="00D10A57">
      <w:pPr>
        <w:pStyle w:val="Styl1"/>
      </w:pPr>
      <w:r w:rsidRPr="00D10A57">
        <w:t>Dále byla v rámci projektu v roce 2021 vydána studie „</w:t>
      </w:r>
      <w:r w:rsidRPr="00D56307">
        <w:rPr>
          <w:b/>
        </w:rPr>
        <w:t>Přínosy sociálního bydlení pro obce</w:t>
      </w:r>
      <w:r w:rsidRPr="00D10A57">
        <w:t>“</w:t>
      </w:r>
      <w:r w:rsidRPr="00D10A57">
        <w:rPr>
          <w:rStyle w:val="Znakapoznpodarou"/>
        </w:rPr>
        <w:footnoteReference w:id="6"/>
      </w:r>
      <w:r w:rsidRPr="00D10A57">
        <w:t xml:space="preserve">. </w:t>
      </w:r>
      <w:r w:rsidRPr="00D10A57">
        <w:rPr>
          <w:shd w:val="clear" w:color="auto" w:fill="FFFFFF"/>
        </w:rPr>
        <w:t>Jako zdroj informací pro její přípravu posloužily evaluační zprávy projektů sociálního bydlení a zkušenosti obcí, které na svém území sociální bydlení zaváděly. Hlavní identifikované přínosy poskytování sociálního bydlení na obecní úrovni popsané v dokumentu jsou účinnější sociální práce, znovusjednocení rodin a lepší podmínky pro zdravý vývoj dětí a podpora dobrých sousedských vztahů. Studie by měla sloužit jako podklad při diskuzích o</w:t>
      </w:r>
      <w:r w:rsidR="00077269">
        <w:rPr>
          <w:shd w:val="clear" w:color="auto" w:fill="FFFFFF"/>
        </w:rPr>
        <w:t> </w:t>
      </w:r>
      <w:r w:rsidRPr="00D10A57">
        <w:rPr>
          <w:shd w:val="clear" w:color="auto" w:fill="FFFFFF"/>
        </w:rPr>
        <w:t>realizaci sociálního bydlení na obecní úrovni.</w:t>
      </w:r>
    </w:p>
    <w:p w14:paraId="520B66C6" w14:textId="0C8B83EE" w:rsidR="00880305" w:rsidRPr="00D10A57" w:rsidRDefault="00880305" w:rsidP="00D56307">
      <w:pPr>
        <w:pStyle w:val="Styl3"/>
        <w:numPr>
          <w:ilvl w:val="0"/>
          <w:numId w:val="0"/>
        </w:numPr>
      </w:pPr>
      <w:r w:rsidRPr="00D10A57">
        <w:t>Seznam pracovních orgánů M</w:t>
      </w:r>
      <w:r w:rsidR="005B034D">
        <w:t>MR</w:t>
      </w:r>
      <w:r w:rsidRPr="00D10A57">
        <w:t xml:space="preserve"> (komise, výbory, pracovní skupiny), které se obsahově týkají tématu romské integrace či jiných témat souvisejících s romskou menšinou.</w:t>
      </w:r>
    </w:p>
    <w:p w14:paraId="1A7288FB" w14:textId="77777777" w:rsidR="00880305" w:rsidRPr="00D10A57" w:rsidRDefault="00880305" w:rsidP="00D10A57">
      <w:pPr>
        <w:pStyle w:val="Default0"/>
        <w:spacing w:before="240"/>
        <w:jc w:val="both"/>
        <w:rPr>
          <w:color w:val="auto"/>
          <w:sz w:val="22"/>
          <w:szCs w:val="22"/>
        </w:rPr>
      </w:pPr>
      <w:r w:rsidRPr="00D10A57">
        <w:rPr>
          <w:color w:val="auto"/>
          <w:sz w:val="22"/>
          <w:szCs w:val="22"/>
        </w:rPr>
        <w:t xml:space="preserve">Takovým orgánem je Rada pro fondy Evropské unie, která je podle ustanovení § 17b zákona č. 248/2000 Sb., o podpoře regionálního rozvoje, ve znění pozdějších předpisů, poradním </w:t>
      </w:r>
      <w:r w:rsidRPr="00D10A57">
        <w:rPr>
          <w:color w:val="auto"/>
          <w:sz w:val="22"/>
          <w:szCs w:val="22"/>
        </w:rPr>
        <w:lastRenderedPageBreak/>
        <w:t>orgánem vlády v oblasti koordinace pomoci poskytované z fondů Evropské unie podle pravidel Evropské unie.</w:t>
      </w:r>
    </w:p>
    <w:p w14:paraId="36FDD0DD" w14:textId="77777777" w:rsidR="00880305" w:rsidRPr="00D10A57" w:rsidRDefault="00880305" w:rsidP="00D10A57">
      <w:pPr>
        <w:pStyle w:val="Default0"/>
        <w:jc w:val="both"/>
        <w:rPr>
          <w:color w:val="auto"/>
          <w:sz w:val="22"/>
          <w:szCs w:val="22"/>
        </w:rPr>
      </w:pPr>
    </w:p>
    <w:p w14:paraId="4242734B" w14:textId="77777777" w:rsidR="00880305" w:rsidRPr="00D10A57" w:rsidRDefault="00880305" w:rsidP="00D10A57">
      <w:pPr>
        <w:pStyle w:val="Default0"/>
        <w:jc w:val="both"/>
        <w:rPr>
          <w:color w:val="auto"/>
          <w:sz w:val="22"/>
          <w:szCs w:val="22"/>
        </w:rPr>
      </w:pPr>
      <w:r w:rsidRPr="00D10A57">
        <w:rPr>
          <w:color w:val="auto"/>
          <w:sz w:val="22"/>
          <w:szCs w:val="22"/>
        </w:rPr>
        <w:t xml:space="preserve">Dále je </w:t>
      </w:r>
      <w:r w:rsidR="00077269">
        <w:rPr>
          <w:color w:val="auto"/>
          <w:sz w:val="22"/>
          <w:szCs w:val="22"/>
        </w:rPr>
        <w:t>to</w:t>
      </w:r>
      <w:r w:rsidRPr="00D10A57">
        <w:rPr>
          <w:color w:val="auto"/>
          <w:sz w:val="22"/>
          <w:szCs w:val="22"/>
        </w:rPr>
        <w:t xml:space="preserve"> </w:t>
      </w:r>
      <w:r w:rsidRPr="00C11FC6">
        <w:rPr>
          <w:b/>
          <w:color w:val="auto"/>
          <w:sz w:val="22"/>
          <w:szCs w:val="22"/>
        </w:rPr>
        <w:t>hodnotící komise MMR pro Koordinovaný přístup k sociálnímu vyloučení</w:t>
      </w:r>
      <w:r w:rsidRPr="00D10A57">
        <w:rPr>
          <w:color w:val="auto"/>
          <w:sz w:val="22"/>
          <w:szCs w:val="22"/>
        </w:rPr>
        <w:t>, která byla v roce 2021 zřízena interním předpisem MMR jako orgán provádějící věcné hodnocení přihlášek územních samosprávných celků nebo jiných subjektů ke spolupráci s Agenturou.</w:t>
      </w:r>
    </w:p>
    <w:p w14:paraId="0A4DE941" w14:textId="77777777" w:rsidR="00880305" w:rsidRPr="00D10A57" w:rsidRDefault="00880305" w:rsidP="00D10A57">
      <w:pPr>
        <w:pStyle w:val="Default0"/>
        <w:jc w:val="both"/>
        <w:rPr>
          <w:b/>
          <w:color w:val="auto"/>
          <w:sz w:val="22"/>
          <w:szCs w:val="22"/>
        </w:rPr>
      </w:pPr>
    </w:p>
    <w:p w14:paraId="69FA1064" w14:textId="77777777" w:rsidR="00880305" w:rsidRPr="00D10A57" w:rsidRDefault="00543259" w:rsidP="00D56307">
      <w:pPr>
        <w:pStyle w:val="Styl3"/>
        <w:numPr>
          <w:ilvl w:val="0"/>
          <w:numId w:val="0"/>
        </w:numPr>
      </w:pPr>
      <w:r>
        <w:t>D</w:t>
      </w:r>
      <w:r w:rsidR="00880305" w:rsidRPr="00D10A57">
        <w:t>oplňující informace pro zpracování Zprávy o stavu romské menšiny v České republice za rok 2021</w:t>
      </w:r>
    </w:p>
    <w:p w14:paraId="3953CBDB" w14:textId="77777777" w:rsidR="00880305" w:rsidRPr="00D10A57" w:rsidRDefault="00880305" w:rsidP="00D10A57">
      <w:pPr>
        <w:pStyle w:val="Default0"/>
        <w:jc w:val="both"/>
        <w:rPr>
          <w:color w:val="auto"/>
          <w:sz w:val="22"/>
          <w:szCs w:val="22"/>
        </w:rPr>
      </w:pPr>
    </w:p>
    <w:p w14:paraId="5EC0703E" w14:textId="77777777" w:rsidR="00880305" w:rsidRPr="00D10A57" w:rsidRDefault="00880305" w:rsidP="00D10A57">
      <w:pPr>
        <w:pStyle w:val="Styl1"/>
      </w:pPr>
      <w:r w:rsidRPr="00D10A57">
        <w:t>V roce 2021 byla dokončena příprava Metodiky Koordinovaného přístupu k sociálnímu vyloučení 2021+, podle které se řídí podpora samosprávných celků a jejich klíčových partnerů koordinovaná MMR ve spolupráci s MPSV a MŠMT. Tato metodika navazuje na předchozí metodiku KPSVL, přičemž vychází ze zkušeností, které Agentura získala při implementaci KPSVL. Obecná část metodiky byla 29. března 2021 schválena vládou; na ni navazující část specifická byla následně upravena interním předpisem MMR.</w:t>
      </w:r>
    </w:p>
    <w:p w14:paraId="179ED2A4" w14:textId="1965A708" w:rsidR="00880305" w:rsidRPr="00D10A57" w:rsidRDefault="00880305" w:rsidP="00D10A57">
      <w:pPr>
        <w:pStyle w:val="Styl1"/>
      </w:pPr>
      <w:r w:rsidRPr="00D10A57">
        <w:t>Od roku 2020 MMR realizuje projekt „</w:t>
      </w:r>
      <w:r w:rsidRPr="00D56307">
        <w:rPr>
          <w:b/>
        </w:rPr>
        <w:t>Místo pro všechny – budování prostoru pro vzájemné soužití</w:t>
      </w:r>
      <w:r w:rsidRPr="00D10A57">
        <w:t>“, číslo projektu LP-PDP4-001, který je podpořen z Fondů Evropského hospodářského prostoru a Norska, a který navazuje na předchozí projekt Úřadu vlády ČR</w:t>
      </w:r>
      <w:r w:rsidR="00B65625">
        <w:t xml:space="preserve"> (dále jen „ÚV ČR“)</w:t>
      </w:r>
      <w:r w:rsidRPr="00D10A57">
        <w:t xml:space="preserve"> „Kampaň proti rasismu a násilí z nenávisti“, číslo projektu EHP-CZ05-PDP-1-001-2014, ukončený k 30. dubnu 2017, v jehož rámci byla realizována kampaň „Hate Free Culture“.</w:t>
      </w:r>
    </w:p>
    <w:p w14:paraId="4303A86E" w14:textId="77777777" w:rsidR="00880305" w:rsidRPr="00543259" w:rsidRDefault="00880305" w:rsidP="00D10A57">
      <w:pPr>
        <w:pStyle w:val="Styl1"/>
      </w:pPr>
      <w:r w:rsidRPr="00543259">
        <w:t>Projekt „Místo pro všechny – budování prostoru pro vzájemné soužití“ si klade za cíl rozšířit a udržet platformu pro kultivovanou diskusi týkající se tématiky diskriminace a předsudečného násilí a přispět k předcházení nenávistných projevů a násilí z nenávisti, a vybavit tzv. tvůrce mínění a tvůrce rozhodování (opinion</w:t>
      </w:r>
      <w:r w:rsidRPr="00D517F4">
        <w:t xml:space="preserve"> makers, decision makers) nástroji pro efektivní komunikaci tematiky a souvisejících problémů. V rámci projektu je vytvářen nový obsah pro webové str</w:t>
      </w:r>
      <w:r w:rsidR="005330B8" w:rsidRPr="00543259">
        <w:t xml:space="preserve">ánky původně využívané kampaní </w:t>
      </w:r>
      <w:r w:rsidRPr="00543259">
        <w:t>„Hate Free Culture</w:t>
      </w:r>
      <w:r w:rsidRPr="00543259">
        <w:rPr>
          <w:rStyle w:val="Znakapoznpodarou"/>
        </w:rPr>
        <w:footnoteReference w:id="7"/>
      </w:r>
      <w:r w:rsidRPr="00543259">
        <w:t>“. Realizace projektu je plánována od 1. ledna 2020 do 31. prosince 2023.</w:t>
      </w:r>
    </w:p>
    <w:p w14:paraId="7E616F68" w14:textId="77777777" w:rsidR="009945D6" w:rsidRPr="00543259" w:rsidRDefault="009945D6" w:rsidP="00D10A57">
      <w:pPr>
        <w:autoSpaceDE w:val="0"/>
        <w:autoSpaceDN w:val="0"/>
        <w:adjustRightInd w:val="0"/>
        <w:spacing w:after="0" w:line="240" w:lineRule="auto"/>
        <w:jc w:val="both"/>
        <w:rPr>
          <w:rFonts w:ascii="Arial" w:hAnsi="Arial" w:cs="Arial"/>
        </w:rPr>
      </w:pPr>
      <w:r w:rsidRPr="00543259">
        <w:rPr>
          <w:rFonts w:ascii="Arial" w:hAnsi="Arial" w:cs="Arial"/>
        </w:rPr>
        <w:br w:type="page"/>
      </w:r>
    </w:p>
    <w:p w14:paraId="7AFBD4C0" w14:textId="77777777" w:rsidR="00E32CB6" w:rsidRPr="00D56307" w:rsidRDefault="009945D6" w:rsidP="00D10A57">
      <w:pPr>
        <w:pStyle w:val="Nadpis1"/>
        <w:numPr>
          <w:ilvl w:val="0"/>
          <w:numId w:val="1"/>
        </w:numPr>
        <w:spacing w:line="240" w:lineRule="auto"/>
        <w:jc w:val="both"/>
        <w:rPr>
          <w:rFonts w:ascii="Arial" w:hAnsi="Arial" w:cs="Arial"/>
          <w:color w:val="auto"/>
          <w:sz w:val="22"/>
          <w:szCs w:val="22"/>
        </w:rPr>
      </w:pPr>
      <w:bookmarkStart w:id="7" w:name="_Toc112831372"/>
      <w:r w:rsidRPr="00D56307">
        <w:rPr>
          <w:rFonts w:ascii="Arial" w:hAnsi="Arial" w:cs="Arial"/>
          <w:color w:val="auto"/>
          <w:sz w:val="22"/>
          <w:szCs w:val="22"/>
        </w:rPr>
        <w:lastRenderedPageBreak/>
        <w:t>M</w:t>
      </w:r>
      <w:r w:rsidR="00A229A2" w:rsidRPr="00D56307">
        <w:rPr>
          <w:rFonts w:ascii="Arial" w:hAnsi="Arial" w:cs="Arial"/>
          <w:color w:val="auto"/>
          <w:sz w:val="22"/>
          <w:szCs w:val="22"/>
        </w:rPr>
        <w:t>inisterstvo obrany</w:t>
      </w:r>
      <w:bookmarkEnd w:id="7"/>
    </w:p>
    <w:p w14:paraId="2A1DC037" w14:textId="77777777" w:rsidR="00391771" w:rsidRPr="00D56307" w:rsidRDefault="00391771" w:rsidP="00D10A57">
      <w:pPr>
        <w:autoSpaceDE w:val="0"/>
        <w:autoSpaceDN w:val="0"/>
        <w:adjustRightInd w:val="0"/>
        <w:spacing w:after="0" w:line="240" w:lineRule="auto"/>
        <w:jc w:val="both"/>
        <w:rPr>
          <w:rFonts w:ascii="Arial" w:hAnsi="Arial" w:cs="Arial"/>
          <w:b/>
          <w:bCs/>
          <w:color w:val="000000"/>
        </w:rPr>
      </w:pPr>
    </w:p>
    <w:p w14:paraId="5263B833" w14:textId="116CA4A9" w:rsidR="00543259" w:rsidRPr="00D56307" w:rsidRDefault="00543259" w:rsidP="00543259">
      <w:pPr>
        <w:pStyle w:val="Styl1"/>
      </w:pPr>
      <w:r w:rsidRPr="00D56307">
        <w:t xml:space="preserve">Obecně </w:t>
      </w:r>
      <w:r w:rsidR="006E48C9">
        <w:t>Ministerstvo</w:t>
      </w:r>
      <w:r w:rsidRPr="00D56307">
        <w:t xml:space="preserve"> obrany </w:t>
      </w:r>
      <w:r w:rsidR="006E48C9">
        <w:t xml:space="preserve">(dále jen „MO“) </w:t>
      </w:r>
      <w:r w:rsidRPr="00D56307">
        <w:t xml:space="preserve">v rámci primární prevence rizikového chování personálu </w:t>
      </w:r>
      <w:r w:rsidR="006E48C9">
        <w:t>MO</w:t>
      </w:r>
      <w:r w:rsidRPr="00D56307">
        <w:t xml:space="preserve"> (mimo jiné pro řešení problematiky rasismu, xenofobie a extremismu) vytvořeno systemizované místo v působnosti státního tajemníka v MO a je zřízena </w:t>
      </w:r>
      <w:r w:rsidRPr="00D56307">
        <w:rPr>
          <w:i/>
          <w:iCs/>
        </w:rPr>
        <w:t xml:space="preserve">„Rezortní komise pro prevenci“, </w:t>
      </w:r>
      <w:r w:rsidRPr="00D56307">
        <w:t xml:space="preserve">která je poradním, koordinačním a iniciujícím orgánem ministra obrany k řešení výše zmíněné problematiky. </w:t>
      </w:r>
    </w:p>
    <w:p w14:paraId="569E5B89" w14:textId="5BFE31C9" w:rsidR="00543259" w:rsidRPr="00D56307" w:rsidRDefault="00543259" w:rsidP="00543259">
      <w:pPr>
        <w:autoSpaceDE w:val="0"/>
        <w:autoSpaceDN w:val="0"/>
        <w:adjustRightInd w:val="0"/>
        <w:spacing w:after="0" w:line="240" w:lineRule="auto"/>
        <w:jc w:val="both"/>
        <w:rPr>
          <w:rFonts w:ascii="Arial" w:hAnsi="Arial" w:cs="Arial"/>
          <w:b/>
          <w:bCs/>
          <w:color w:val="000000"/>
        </w:rPr>
      </w:pPr>
      <w:r w:rsidRPr="00D56307">
        <w:rPr>
          <w:rFonts w:ascii="Arial" w:hAnsi="Arial" w:cs="Arial"/>
        </w:rPr>
        <w:t xml:space="preserve">Preventivní opatření „úkolový list ministra obrany č. 190 ze dne 23. 6. 2004“, který ministr obrany přijal v reakci na dnes již překonané usnesení vlády č. 87/2002 k Informaci o plnění usnesení vlády týkajících se integrace romských komunit a aktivního postupu státní správy při uskutečňování opatření přijatých těmto usneseními, byl </w:t>
      </w:r>
      <w:r w:rsidRPr="00D56307">
        <w:rPr>
          <w:rFonts w:ascii="Arial" w:hAnsi="Arial" w:cs="Arial"/>
          <w:i/>
          <w:iCs/>
        </w:rPr>
        <w:t xml:space="preserve">ministrem obrany zrušen již 6. února 2017. </w:t>
      </w:r>
      <w:r w:rsidRPr="00D56307">
        <w:rPr>
          <w:rFonts w:ascii="Arial" w:hAnsi="Arial" w:cs="Arial"/>
        </w:rPr>
        <w:t>MO tyto preventivní úkoly plní a kontroluje v souladu s koncepčním dokumentem k primární prevenci rizikového chování a v souladu s vnitřním předpisem k primární prevenci rizikového chování personálu rezortu MO.</w:t>
      </w:r>
    </w:p>
    <w:p w14:paraId="142A7CE6" w14:textId="77777777" w:rsidR="00543259" w:rsidRPr="00D10A57" w:rsidRDefault="00543259" w:rsidP="00D10A57">
      <w:pPr>
        <w:autoSpaceDE w:val="0"/>
        <w:autoSpaceDN w:val="0"/>
        <w:adjustRightInd w:val="0"/>
        <w:spacing w:after="0" w:line="240" w:lineRule="auto"/>
        <w:jc w:val="both"/>
        <w:rPr>
          <w:rFonts w:ascii="Arial" w:hAnsi="Arial" w:cs="Arial"/>
          <w:b/>
          <w:bCs/>
          <w:color w:val="000000"/>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020"/>
      </w:tblGrid>
      <w:tr w:rsidR="00E635C5" w:rsidRPr="00D10A57" w14:paraId="35C9F96E" w14:textId="77777777" w:rsidTr="00E635C5">
        <w:trPr>
          <w:trHeight w:val="318"/>
        </w:trPr>
        <w:tc>
          <w:tcPr>
            <w:tcW w:w="9020" w:type="dxa"/>
          </w:tcPr>
          <w:p w14:paraId="3D064D23" w14:textId="77777777" w:rsidR="00E635C5" w:rsidRPr="00D10A57" w:rsidRDefault="00E635C5" w:rsidP="00D10A57">
            <w:pPr>
              <w:pStyle w:val="Styl1"/>
              <w:rPr>
                <w:sz w:val="23"/>
                <w:szCs w:val="23"/>
              </w:rPr>
            </w:pPr>
          </w:p>
        </w:tc>
      </w:tr>
    </w:tbl>
    <w:p w14:paraId="2072AFE7" w14:textId="77777777" w:rsidR="008A7BD1" w:rsidRPr="00D10A57" w:rsidRDefault="008A7BD1" w:rsidP="00D10A57">
      <w:pPr>
        <w:spacing w:line="240" w:lineRule="auto"/>
        <w:jc w:val="both"/>
        <w:rPr>
          <w:rFonts w:ascii="Arial" w:hAnsi="Arial" w:cs="Arial"/>
        </w:rPr>
      </w:pPr>
      <w:r w:rsidRPr="00D10A57">
        <w:rPr>
          <w:rFonts w:ascii="Arial" w:hAnsi="Arial" w:cs="Arial"/>
        </w:rPr>
        <w:br w:type="page"/>
      </w:r>
    </w:p>
    <w:p w14:paraId="6AD2FA92" w14:textId="014ADDCB" w:rsidR="00D95631" w:rsidRDefault="005C0119" w:rsidP="00D10A57">
      <w:pPr>
        <w:pStyle w:val="Nadpis1"/>
        <w:numPr>
          <w:ilvl w:val="0"/>
          <w:numId w:val="1"/>
        </w:numPr>
        <w:spacing w:line="240" w:lineRule="auto"/>
        <w:jc w:val="both"/>
        <w:rPr>
          <w:rFonts w:ascii="Arial" w:hAnsi="Arial" w:cs="Arial"/>
          <w:color w:val="auto"/>
          <w:sz w:val="24"/>
        </w:rPr>
      </w:pPr>
      <w:bookmarkStart w:id="8" w:name="_Toc112831373"/>
      <w:r w:rsidRPr="00D10A57">
        <w:rPr>
          <w:rFonts w:ascii="Arial" w:hAnsi="Arial" w:cs="Arial"/>
          <w:color w:val="auto"/>
          <w:sz w:val="24"/>
        </w:rPr>
        <w:lastRenderedPageBreak/>
        <w:t>Ministerstvo průmyslu a obchodu</w:t>
      </w:r>
      <w:bookmarkEnd w:id="8"/>
    </w:p>
    <w:p w14:paraId="302B581D" w14:textId="19A93BE1" w:rsidR="00ED7E0F" w:rsidRDefault="00ED7E0F" w:rsidP="007C763A"/>
    <w:p w14:paraId="0C6AEB14" w14:textId="3EE0D893" w:rsidR="00ED7E0F" w:rsidRPr="007C763A" w:rsidRDefault="00ED7E0F" w:rsidP="007C763A">
      <w:pPr>
        <w:spacing w:line="240" w:lineRule="auto"/>
        <w:rPr>
          <w:rFonts w:ascii="Arial" w:hAnsi="Arial" w:cs="Arial"/>
          <w:color w:val="000000"/>
        </w:rPr>
      </w:pPr>
      <w:r w:rsidRPr="00605AFD">
        <w:rPr>
          <w:rFonts w:ascii="Arial" w:hAnsi="Arial" w:cs="Arial"/>
          <w:b/>
          <w:bCs/>
          <w:color w:val="000000"/>
        </w:rPr>
        <w:t>Informace o plnění usnesení vlády týkajících se integrace romské menšiny a aktivního postupu státní správy při uskutečňování opatření přijatých souvisejícími usneseními vlády ke dni 31. 12. 2021</w:t>
      </w:r>
    </w:p>
    <w:p w14:paraId="3AE3A215" w14:textId="77777777" w:rsidR="007D616F" w:rsidRPr="00D10A57" w:rsidRDefault="007D616F" w:rsidP="00D10A57">
      <w:pPr>
        <w:spacing w:before="240" w:line="240" w:lineRule="auto"/>
        <w:jc w:val="both"/>
        <w:rPr>
          <w:rFonts w:ascii="Arial" w:hAnsi="Arial" w:cs="Arial"/>
          <w:b/>
          <w:sz w:val="23"/>
          <w:szCs w:val="23"/>
        </w:rPr>
      </w:pPr>
      <w:r w:rsidRPr="00D10A57">
        <w:rPr>
          <w:rFonts w:ascii="Arial" w:hAnsi="Arial" w:cs="Arial"/>
          <w:b/>
          <w:sz w:val="23"/>
          <w:szCs w:val="23"/>
        </w:rPr>
        <w:t>Usnesením vlády ze dne 11. května 2016 č. 416,</w:t>
      </w:r>
      <w:r w:rsidR="009C4443" w:rsidRPr="00D10A57">
        <w:rPr>
          <w:rFonts w:ascii="Arial" w:hAnsi="Arial" w:cs="Arial"/>
          <w:b/>
          <w:sz w:val="23"/>
          <w:szCs w:val="23"/>
        </w:rPr>
        <w:t xml:space="preserve"> k Revizi úkolů vyplývajících z </w:t>
      </w:r>
      <w:r w:rsidRPr="00D10A57">
        <w:rPr>
          <w:rFonts w:ascii="Arial" w:hAnsi="Arial" w:cs="Arial"/>
          <w:b/>
          <w:sz w:val="23"/>
          <w:szCs w:val="23"/>
        </w:rPr>
        <w:t>usnesení vlády, týkajících se integrace romské menšiny, vláda uložila ministru průmyslu a obchodu průběžně</w:t>
      </w:r>
      <w:r w:rsidR="00C92E01" w:rsidRPr="00D10A57">
        <w:rPr>
          <w:rFonts w:ascii="Arial" w:hAnsi="Arial" w:cs="Arial"/>
          <w:b/>
          <w:sz w:val="23"/>
          <w:szCs w:val="23"/>
        </w:rPr>
        <w:t>:</w:t>
      </w:r>
    </w:p>
    <w:p w14:paraId="02821786" w14:textId="6A37FC3A" w:rsidR="001F74C8" w:rsidRDefault="007D616F" w:rsidP="00D10A57">
      <w:pPr>
        <w:spacing w:line="240" w:lineRule="auto"/>
        <w:jc w:val="both"/>
        <w:rPr>
          <w:rFonts w:ascii="Arial" w:hAnsi="Arial" w:cs="Arial"/>
          <w:b/>
        </w:rPr>
      </w:pPr>
      <w:r w:rsidRPr="007C763A">
        <w:rPr>
          <w:rFonts w:ascii="Arial" w:hAnsi="Arial" w:cs="Arial"/>
          <w:b/>
        </w:rPr>
        <w:t>a) šířit</w:t>
      </w:r>
      <w:r w:rsidR="00C92E01" w:rsidRPr="007C763A">
        <w:rPr>
          <w:rFonts w:ascii="Arial" w:hAnsi="Arial" w:cs="Arial"/>
          <w:b/>
        </w:rPr>
        <w:t>,</w:t>
      </w:r>
      <w:r w:rsidRPr="007C763A">
        <w:rPr>
          <w:rFonts w:ascii="Arial" w:hAnsi="Arial" w:cs="Arial"/>
          <w:b/>
        </w:rPr>
        <w:t xml:space="preserve"> ve spolupráci s podřízenými organizacemi</w:t>
      </w:r>
      <w:r w:rsidR="00C92E01" w:rsidRPr="007C763A">
        <w:rPr>
          <w:rFonts w:ascii="Arial" w:hAnsi="Arial" w:cs="Arial"/>
          <w:b/>
        </w:rPr>
        <w:t>,</w:t>
      </w:r>
      <w:r w:rsidRPr="007C763A">
        <w:rPr>
          <w:rFonts w:ascii="Arial" w:hAnsi="Arial" w:cs="Arial"/>
          <w:b/>
        </w:rPr>
        <w:t xml:space="preserve"> informace o zákazu diskriminace spotřebitele a důsledně dbát na dodržování zákona č. 634/1992 Sb., o ochraně spotřebitele, zejména </w:t>
      </w:r>
      <w:r w:rsidR="00C92E01" w:rsidRPr="007C763A">
        <w:rPr>
          <w:rFonts w:ascii="Arial" w:hAnsi="Arial" w:cs="Arial"/>
          <w:b/>
        </w:rPr>
        <w:t xml:space="preserve">na </w:t>
      </w:r>
      <w:r w:rsidRPr="007C763A">
        <w:rPr>
          <w:rFonts w:ascii="Arial" w:hAnsi="Arial" w:cs="Arial"/>
          <w:b/>
        </w:rPr>
        <w:t>§ 6 s využitím možností ukládání pokut pro ty podnikatele, kteří se dopouštějí diskriminačního jednání vůči osobám náležejícím k romské menšině, a to jen na základě jejich etnické příslušnosti</w:t>
      </w:r>
    </w:p>
    <w:p w14:paraId="65831EF3" w14:textId="71C24087" w:rsidR="001F74C8" w:rsidRPr="00D10A57" w:rsidRDefault="007C763A" w:rsidP="001F74C8">
      <w:pPr>
        <w:pStyle w:val="Styl1"/>
      </w:pPr>
      <w:r>
        <w:rPr>
          <w:spacing w:val="-2"/>
        </w:rPr>
        <w:t>Ministerstvo průmyslu a obchodu (dále jen „</w:t>
      </w:r>
      <w:r w:rsidR="001F74C8" w:rsidRPr="00D10A57">
        <w:rPr>
          <w:spacing w:val="-2"/>
        </w:rPr>
        <w:t>MPO</w:t>
      </w:r>
      <w:r>
        <w:rPr>
          <w:spacing w:val="-2"/>
        </w:rPr>
        <w:t>“)</w:t>
      </w:r>
      <w:r w:rsidR="001F74C8" w:rsidRPr="00D10A57">
        <w:rPr>
          <w:spacing w:val="-2"/>
        </w:rPr>
        <w:t xml:space="preserve"> se průběžně podílí na plnění úkolů vyplývajících z předchozích usnesení vlády z roku 1997, které se týkají činnosti České obchodní inspekce</w:t>
      </w:r>
      <w:r w:rsidR="001F74C8">
        <w:rPr>
          <w:spacing w:val="-2"/>
        </w:rPr>
        <w:t xml:space="preserve"> (dále jen „ČOI“)</w:t>
      </w:r>
      <w:r w:rsidR="001F74C8" w:rsidRPr="00D10A57">
        <w:rPr>
          <w:spacing w:val="-2"/>
        </w:rPr>
        <w:t xml:space="preserve"> a dodržování zákona o ochraně spotřebitele a usnesení vlády z roku 2004 zahrnující oblast plnění Závěrečných doporučení Výboru pro odstranění rasové diskriminace ve věci vypracování zákona proti diskriminaci a jeho účinném prosazování, pokračování programů zaměřených na omezení chudoby a v šíření</w:t>
      </w:r>
      <w:r w:rsidR="001F74C8" w:rsidRPr="00D10A57">
        <w:t xml:space="preserve"> informací o dostupných vnitrostátních opravných prostředcích v případech rasové diskriminace. Zde provádí kontrolní činnost především Č</w:t>
      </w:r>
      <w:r w:rsidR="001F74C8">
        <w:t>OI, která</w:t>
      </w:r>
      <w:r w:rsidR="001F74C8" w:rsidRPr="00D10A57">
        <w:t xml:space="preserve"> pravidelně zařazuje do svých programů dozoru nad trhem kontrolu dodržování ust. § 6 zákona č. 634/1992 Sb., o ochraně spotřebitele ve znění pozdějších změn a doplňků. Bylo tomu tak i v roce 2021. </w:t>
      </w:r>
    </w:p>
    <w:p w14:paraId="72474E9B" w14:textId="77777777" w:rsidR="001F74C8" w:rsidRPr="00D10A57" w:rsidRDefault="001F74C8" w:rsidP="001F74C8">
      <w:pPr>
        <w:pStyle w:val="Styl1"/>
      </w:pPr>
      <w:r>
        <w:t>Ve sledovaném období mezi 4. lednem 2021 a 31 prosincem </w:t>
      </w:r>
      <w:r w:rsidRPr="00D10A57">
        <w:t>2021 provedla ČOI celkem 861 kontrol zaměřených na dodržování zákazu diskriminace. Z tohoto celkového počtu realizovaných kontrol vzniklo v roce 2021 podezření na některou z forem diskriminace spotřebitele v</w:t>
      </w:r>
      <w:r>
        <w:t> </w:t>
      </w:r>
      <w:r w:rsidRPr="00D10A57">
        <w:t>6</w:t>
      </w:r>
      <w:r>
        <w:t> </w:t>
      </w:r>
      <w:r w:rsidRPr="00D10A57">
        <w:t>případech (tj. 0,7 %). Ve 2 případech bylo porušení zákazu diskriminace kontrolou již prokázáno.</w:t>
      </w:r>
    </w:p>
    <w:p w14:paraId="349F7397" w14:textId="77777777" w:rsidR="001F74C8" w:rsidRPr="00D10A57" w:rsidRDefault="001F74C8" w:rsidP="001F74C8">
      <w:pPr>
        <w:pStyle w:val="Styl1"/>
      </w:pPr>
      <w:r w:rsidRPr="00D10A57">
        <w:t>Dvě kontroly byly provedeny v součinnosti s příslušníky romského etnika, několik kontrol bylo provedeno inspektorkou ČOI romského původu, která je zařazena na služebním místě na</w:t>
      </w:r>
      <w:r>
        <w:t> </w:t>
      </w:r>
      <w:r w:rsidRPr="00D10A57">
        <w:t>inspektorátu ČOI Ústecký a Liberecký.</w:t>
      </w:r>
    </w:p>
    <w:p w14:paraId="64223541" w14:textId="77777777" w:rsidR="001F74C8" w:rsidRPr="00D10A57" w:rsidRDefault="001F74C8" w:rsidP="001F74C8">
      <w:pPr>
        <w:pStyle w:val="Styl1"/>
        <w:rPr>
          <w:b/>
        </w:rPr>
      </w:pPr>
      <w:r w:rsidRPr="00D10A57">
        <w:rPr>
          <w:b/>
        </w:rPr>
        <w:t xml:space="preserve">Při žádné z provedených kontrol nebyla zjištěna diskriminace romského etnika. </w:t>
      </w:r>
    </w:p>
    <w:p w14:paraId="0F61F0CF" w14:textId="77777777" w:rsidR="001F74C8" w:rsidRPr="00D10A57" w:rsidRDefault="001F74C8" w:rsidP="001F74C8">
      <w:pPr>
        <w:pStyle w:val="Styl1"/>
      </w:pPr>
      <w:r w:rsidRPr="00D10A57">
        <w:t>Z hlediska struktury podezření na diskriminační jednání se v roce 2021 jednalo o:</w:t>
      </w:r>
    </w:p>
    <w:p w14:paraId="3B5FE1C8" w14:textId="77777777" w:rsidR="001F74C8" w:rsidRPr="00D10A57" w:rsidRDefault="001F74C8" w:rsidP="001F74C8">
      <w:pPr>
        <w:pStyle w:val="Styl1"/>
        <w:numPr>
          <w:ilvl w:val="0"/>
          <w:numId w:val="22"/>
        </w:numPr>
      </w:pPr>
      <w:r w:rsidRPr="00D10A57">
        <w:t>4 případy obecné diskriminace,</w:t>
      </w:r>
    </w:p>
    <w:p w14:paraId="6865926A" w14:textId="77777777" w:rsidR="001F74C8" w:rsidRPr="00D10A57" w:rsidRDefault="001F74C8" w:rsidP="001F74C8">
      <w:pPr>
        <w:pStyle w:val="Styl1"/>
        <w:numPr>
          <w:ilvl w:val="0"/>
          <w:numId w:val="22"/>
        </w:numPr>
      </w:pPr>
      <w:r w:rsidRPr="00D10A57">
        <w:t>1 případ diskriminace z hlediska věku,</w:t>
      </w:r>
    </w:p>
    <w:p w14:paraId="1BAEE7C4" w14:textId="77777777" w:rsidR="001F74C8" w:rsidRPr="00D10A57" w:rsidRDefault="001F74C8" w:rsidP="001F74C8">
      <w:pPr>
        <w:pStyle w:val="Styl1"/>
        <w:numPr>
          <w:ilvl w:val="0"/>
          <w:numId w:val="22"/>
        </w:numPr>
      </w:pPr>
      <w:r w:rsidRPr="00D10A57">
        <w:t>1 případ diskriminace z důvodu zdravotního postižení.</w:t>
      </w:r>
    </w:p>
    <w:p w14:paraId="1FFE1C54" w14:textId="77777777" w:rsidR="001F74C8" w:rsidRPr="00D56307" w:rsidRDefault="001F74C8" w:rsidP="001F74C8">
      <w:pPr>
        <w:pStyle w:val="Styl1"/>
        <w:rPr>
          <w:b/>
        </w:rPr>
      </w:pPr>
      <w:r>
        <w:t>V období od 1. ledna 2021 a 31. prosince </w:t>
      </w:r>
      <w:r w:rsidRPr="00D10A57">
        <w:t xml:space="preserve">2021 nabylo, v souvislosti s prokázaným diskriminačním jednáním, právní moci 8 pokut v celkové výši 318 000 Kč. </w:t>
      </w:r>
      <w:r w:rsidRPr="00D56307">
        <w:rPr>
          <w:b/>
        </w:rPr>
        <w:t>Z uvedených 8 pokut byla 1</w:t>
      </w:r>
      <w:r>
        <w:rPr>
          <w:b/>
        </w:rPr>
        <w:t> </w:t>
      </w:r>
      <w:r w:rsidRPr="00D56307">
        <w:rPr>
          <w:b/>
        </w:rPr>
        <w:t>pokuta uložena za prokázanou diskriminaci Romů a to, když kontrolovaná realitní společnost odmítla pokračovat v jednání o úhradě rezervačního poplatku v souvislosti se zprostředkováním pronájmu bytu 2+kk se spotřebitelkou, která uvedla, že plánuje žít ve společné domácnosti s Romem.</w:t>
      </w:r>
    </w:p>
    <w:p w14:paraId="729178FC" w14:textId="77777777" w:rsidR="001F74C8" w:rsidRPr="00D10A57" w:rsidRDefault="001F74C8" w:rsidP="001F74C8">
      <w:pPr>
        <w:pStyle w:val="Styl1"/>
      </w:pPr>
      <w:r w:rsidRPr="00D10A57">
        <w:lastRenderedPageBreak/>
        <w:t>V roce 2021 obdržela ČOI 121 podání spotřebitelů, poukazujících na porušení zákazu diskriminace spotřebitele při prodeji výrobků či poskytování služeb. Z došlých podání se konkrétního podezření na diskriminaci Romů týkalo 5 podání, z nichž však ve 4 případech diskriminace romského etnika nebyla prokázána a v 1 případě bylo podání postoupeno k dalšímu šetření Policii ČR.</w:t>
      </w:r>
    </w:p>
    <w:p w14:paraId="51DB5DC6" w14:textId="77777777" w:rsidR="001F74C8" w:rsidRPr="00D10A57" w:rsidRDefault="001F74C8" w:rsidP="001F74C8">
      <w:pPr>
        <w:pStyle w:val="Styl1"/>
      </w:pPr>
      <w:r w:rsidRPr="00D10A57">
        <w:t xml:space="preserve">ČOI šíří informace o kontrolách dodržování zákazu rasové diskriminace zejména průběžným publikováním tiskových zpráv informujících širokou veřejnost o této problematice, možnost seznámit se s publikovanými informacemi mají tedy i osoby romského etnika. </w:t>
      </w:r>
    </w:p>
    <w:p w14:paraId="67A94314" w14:textId="77777777" w:rsidR="001F74C8" w:rsidRPr="00D10A57" w:rsidRDefault="001F74C8" w:rsidP="001F74C8">
      <w:pPr>
        <w:pStyle w:val="Styl1"/>
      </w:pPr>
      <w:r w:rsidRPr="00D10A57">
        <w:t>Výsledky kontrolní činnosti ČOI za příslušný kalendářní rok jsou publikovány ve výroční zprávě o činnosti ČOI a jsou volně přístupné na webu úřadu (</w:t>
      </w:r>
      <w:hyperlink r:id="rId8" w:history="1">
        <w:r w:rsidRPr="00D10A57">
          <w:rPr>
            <w:rStyle w:val="Hypertextovodkaz"/>
            <w:color w:val="auto"/>
          </w:rPr>
          <w:t>www.coi.cz</w:t>
        </w:r>
      </w:hyperlink>
      <w:r w:rsidRPr="00D10A57">
        <w:t xml:space="preserve">). Potřebné informace jsou také podávány v rámci denní poradenské a informační služby nebo v písemných odpovědích na konkrétní spotřebitelská podání. Na webu úřadu je k dispozici veřejně přístupný formulář pro podání podnětu či dotazu. </w:t>
      </w:r>
    </w:p>
    <w:p w14:paraId="637F4169" w14:textId="77777777" w:rsidR="001F74C8" w:rsidRPr="00D10A57" w:rsidRDefault="001F74C8" w:rsidP="001F74C8">
      <w:pPr>
        <w:pStyle w:val="Styl1"/>
      </w:pPr>
      <w:r w:rsidRPr="00D10A57">
        <w:t xml:space="preserve">ČOI, je-li to patřičné, informuje i o možnosti obracet se s problematikou na Kancelář veřejného ochránce práv, se kterou v oblasti diskriminace spotřebitelů, tedy i romské menšiny, úzce spolupracuje. </w:t>
      </w:r>
    </w:p>
    <w:p w14:paraId="23FD4F9C" w14:textId="77777777" w:rsidR="001F74C8" w:rsidRPr="00D10A57" w:rsidRDefault="001F74C8" w:rsidP="001F74C8">
      <w:pPr>
        <w:pStyle w:val="Styl1"/>
      </w:pPr>
      <w:r w:rsidRPr="00D10A57">
        <w:t xml:space="preserve">V roce 2021 se neuskutečnila žádná přednáška, která by se vztahovala k diskriminaci Romů. Důvodem byly také restrikce zavedené orgány výkonné moci v souvislosti se šířením nákazy </w:t>
      </w:r>
      <w:r>
        <w:t>covid</w:t>
      </w:r>
      <w:r w:rsidRPr="00D10A57">
        <w:t>-19.</w:t>
      </w:r>
    </w:p>
    <w:p w14:paraId="49CDE0F6" w14:textId="41C8DB97" w:rsidR="007D616F" w:rsidRPr="007C763A" w:rsidRDefault="001F74C8" w:rsidP="007C763A">
      <w:pPr>
        <w:pStyle w:val="Styl1"/>
      </w:pPr>
      <w:r w:rsidRPr="00D10A57">
        <w:t>Z hlediska zákona č. 455/1991 Sb., o živnostenském podnikání (živnostenský zákon), ve znění pozdějších předpisů, uvádíme, že citovaná norma stanovuje rovné podmínky pro podnikatele. Nečiní mezi nimi rozdíly podle věku, pohlaví či příslušnosti k etniku. Pokud však obecní živnostenský úřad, krajský živnostenský úřad nebo M</w:t>
      </w:r>
      <w:r>
        <w:t>PO</w:t>
      </w:r>
      <w:r w:rsidRPr="00D10A57">
        <w:t xml:space="preserve"> jako jakýkoliv jiný správní orgán obdrží podnět na prošetření podezření ze spáchání přestupku, který spočívá v diskriminačním jednání, popř. je takové protiprávní jednání zjištěno z moci úřední, věc předává nebo oznamuje postupem podle zákona č. 250/2016 Sb., o odpovědnosti za přestupky a řízení o nich, v platném znění, věcně a místně příslušnému správnímu orgánu (např. obecnímu úřadu, který je kompetentní k řízení o přestupku podle § 7 odst. 3 zákona č.</w:t>
      </w:r>
      <w:r>
        <w:t> </w:t>
      </w:r>
      <w:r w:rsidRPr="00D10A57">
        <w:t>251/2016 Sb., o některých přestupcích, v platném znění).  </w:t>
      </w:r>
    </w:p>
    <w:p w14:paraId="7A3C1554" w14:textId="77777777" w:rsidR="007D616F" w:rsidRPr="007C763A" w:rsidRDefault="007D616F" w:rsidP="00D10A57">
      <w:pPr>
        <w:spacing w:line="240" w:lineRule="auto"/>
        <w:jc w:val="both"/>
        <w:rPr>
          <w:rFonts w:ascii="Arial" w:hAnsi="Arial" w:cs="Arial"/>
          <w:b/>
        </w:rPr>
      </w:pPr>
      <w:r w:rsidRPr="007C763A">
        <w:rPr>
          <w:rFonts w:ascii="Arial" w:hAnsi="Arial" w:cs="Arial"/>
          <w:b/>
        </w:rPr>
        <w:t>b) vytvářet příznivé podmínky pro sociální podnikání a aktivně informovat o pozitivním dopadu rozvoje sociálního podnikání veřejnost.</w:t>
      </w:r>
    </w:p>
    <w:p w14:paraId="75B92282" w14:textId="09C195A1" w:rsidR="0008269C" w:rsidRPr="00D10A57" w:rsidRDefault="0008269C" w:rsidP="00D10A57">
      <w:pPr>
        <w:pStyle w:val="Styl1"/>
      </w:pPr>
      <w:r w:rsidRPr="00D10A57">
        <w:t>K záležitosti podpory sociálního podnikání je nutno konstatovat, že sociální podniky patří do</w:t>
      </w:r>
      <w:r w:rsidR="00543259">
        <w:t> </w:t>
      </w:r>
      <w:r w:rsidRPr="00D10A57">
        <w:t>kategorie malých a zcela výjimečně středních podniků a týká se jich problematika podpory této kategorie podnikatelských subjektů.</w:t>
      </w:r>
      <w:bookmarkStart w:id="9" w:name="_Hlk96345466"/>
      <w:r w:rsidRPr="00D10A57">
        <w:t xml:space="preserve"> </w:t>
      </w:r>
      <w:r w:rsidR="007C763A">
        <w:t>MPO</w:t>
      </w:r>
      <w:r w:rsidRPr="00D10A57">
        <w:t xml:space="preserve"> vytváří příznivé podnikatelské prostředí kontinuálně pro všechny podnikatelské subjekty. Zejména se jedná o cílené podpory pro malé a střední podniky</w:t>
      </w:r>
      <w:r w:rsidR="006E48C9">
        <w:t xml:space="preserve"> (dále jen „MSP“)</w:t>
      </w:r>
      <w:r w:rsidRPr="00D10A57">
        <w:t xml:space="preserve"> z Operačního programu podnikání a inovace pro konkurenceschopnost</w:t>
      </w:r>
      <w:r w:rsidR="005B5D8E">
        <w:t>,</w:t>
      </w:r>
      <w:r w:rsidRPr="00D10A57">
        <w:t xml:space="preserve"> v rámci kterého je do roku 2023 k dispozici bezmála 128 mld. Kč</w:t>
      </w:r>
      <w:bookmarkEnd w:id="9"/>
      <w:r w:rsidRPr="00D10A57">
        <w:t>. Další podpora je poskytována v rámci národního programu Záruka 2015 až 2023 (I. Výzva vyhlášena 2/2015), který v roce 2021 pokračuje V. Výzvou (vyhlášena 4/2021), v rámci, které mohou MSP získat záruku za bankovní úvěr investičního či provozního charakteru až do výše 20 mil</w:t>
      </w:r>
      <w:r w:rsidR="006E48C9">
        <w:t>.</w:t>
      </w:r>
      <w:r w:rsidRPr="00D10A57">
        <w:t xml:space="preserve"> </w:t>
      </w:r>
      <w:r w:rsidR="006E48C9">
        <w:t>Kč</w:t>
      </w:r>
      <w:r w:rsidRPr="00D10A57">
        <w:t xml:space="preserve"> na dobu až 8 let a sociální podnikatelé k zaručovanému úvěru i finanční příspěvek až do výše 500 000 </w:t>
      </w:r>
      <w:r w:rsidR="006E48C9">
        <w:t>Kč</w:t>
      </w:r>
      <w:r w:rsidRPr="00D10A57">
        <w:t>. Výše záruky dosahuje až 80 % jistiny zaručovaného úvěru. Záruky poskytuje Národní rozvojová banka</w:t>
      </w:r>
      <w:r w:rsidR="007B7A55">
        <w:t xml:space="preserve"> (dále jen „NRB“)</w:t>
      </w:r>
      <w:r w:rsidRPr="00D10A57">
        <w:t>.</w:t>
      </w:r>
    </w:p>
    <w:p w14:paraId="5A6DD581" w14:textId="0D7170A7" w:rsidR="0008269C" w:rsidRPr="00D10A57" w:rsidRDefault="0008269C" w:rsidP="00D10A57">
      <w:pPr>
        <w:pStyle w:val="Styl1"/>
      </w:pPr>
      <w:r w:rsidRPr="00D10A57">
        <w:t xml:space="preserve">Návrh </w:t>
      </w:r>
      <w:r w:rsidRPr="008E7E2C">
        <w:rPr>
          <w:b/>
        </w:rPr>
        <w:t>věcného záměru zákona o sociálním podnikání</w:t>
      </w:r>
      <w:r w:rsidRPr="00D10A57">
        <w:t xml:space="preserve"> byl přijat dne 15. května 2017 usnesením vlády ČR č. 367 a v současné době je připraven návrh paragrafového znění zákona o sociálním podnikání, který byl předložen vládě ČR ke schválení. </w:t>
      </w:r>
      <w:r w:rsidRPr="00D10A57">
        <w:rPr>
          <w:rFonts w:eastAsia="Calibri"/>
          <w:lang w:eastAsia="ja-JP"/>
        </w:rPr>
        <w:t xml:space="preserve">Zástupci </w:t>
      </w:r>
      <w:r w:rsidRPr="00D10A57">
        <w:rPr>
          <w:b/>
        </w:rPr>
        <w:t xml:space="preserve">MPO se aktivně </w:t>
      </w:r>
      <w:r w:rsidRPr="00D10A57">
        <w:rPr>
          <w:b/>
        </w:rPr>
        <w:lastRenderedPageBreak/>
        <w:t>spolupodíleli na tvorbě věcného záměru zákona o sociálním podnikání</w:t>
      </w:r>
      <w:r w:rsidRPr="00D10A57">
        <w:t xml:space="preserve"> prostřednictvím pracovní skupiny, která za tímto účelem byla zřízena při Ú</w:t>
      </w:r>
      <w:r w:rsidR="00B65625">
        <w:t>V</w:t>
      </w:r>
      <w:r w:rsidR="007B7A55">
        <w:t xml:space="preserve"> ČR</w:t>
      </w:r>
      <w:r w:rsidRPr="00D10A57">
        <w:t>. V roce 2019 však problematiku zákona o sociálním podnikání gesčně, na pokyn pana premiéra Babiše, převzalo M</w:t>
      </w:r>
      <w:r w:rsidR="007B7A55">
        <w:t>PSV</w:t>
      </w:r>
      <w:r w:rsidRPr="00D10A57">
        <w:t xml:space="preserve"> a </w:t>
      </w:r>
      <w:r w:rsidR="007B7A55">
        <w:t>MPO</w:t>
      </w:r>
      <w:r w:rsidRPr="00D10A57">
        <w:t xml:space="preserve"> není</w:t>
      </w:r>
      <w:r w:rsidR="006E35CD" w:rsidRPr="00D10A57">
        <w:t xml:space="preserve"> ani spolupracujícím subjektem.</w:t>
      </w:r>
    </w:p>
    <w:p w14:paraId="42A48E81" w14:textId="71B341A0" w:rsidR="0008269C" w:rsidRPr="00D10A57" w:rsidRDefault="0008269C" w:rsidP="00D10A57">
      <w:pPr>
        <w:pStyle w:val="Styl1"/>
      </w:pPr>
      <w:r w:rsidRPr="00D10A57">
        <w:t>Akce, které MPO pořádá, jsou určeny pro všechny podnikatele</w:t>
      </w:r>
      <w:r w:rsidR="007B7A55">
        <w:t xml:space="preserve"> a</w:t>
      </w:r>
      <w:r w:rsidRPr="00D10A57">
        <w:t xml:space="preserve"> se zástupci všech podnikatelských organizací také MPO jedná. V </w:t>
      </w:r>
      <w:r w:rsidR="007B7A55">
        <w:t>souvislosti</w:t>
      </w:r>
      <w:r w:rsidRPr="00D10A57">
        <w:t xml:space="preserve"> s romskou menšinou v roce 2021 tak lze například zmínit jednání ministra průmyslu a obchodu Karla Havlíčka se zástupci Asociace romských podnikatelů a spolků ČR a Hnutí romských studentů. Toto jednání se uskutečnilo v</w:t>
      </w:r>
      <w:r w:rsidR="002C19BA" w:rsidRPr="00D10A57">
        <w:t> </w:t>
      </w:r>
      <w:r w:rsidRPr="00D10A57">
        <w:t xml:space="preserve">Ostravě, a to 21. září 2021. Účastníci mimo jiné probrali technické vzdělávání nebo zapojení v rámci budování dopravní infrastruktury v regionech. </w:t>
      </w:r>
    </w:p>
    <w:p w14:paraId="7E06A6F3" w14:textId="4A14FD4A" w:rsidR="0008269C" w:rsidRPr="00D10A57" w:rsidRDefault="0008269C" w:rsidP="00D10A57">
      <w:pPr>
        <w:pStyle w:val="Styl1"/>
      </w:pPr>
      <w:r w:rsidRPr="00D10A57">
        <w:t>V únoru 2015 vyhlásilo MPO I. Výzvu národního programu Záruka 2015 až 2023, jehož cílem je podpořit přístup malých a středních podnikatelů k bankovním úvěrům na realizaci jejich podnikatelských projektů. Jedna z podpor programu je určena výhradně pro sociální podnikatele. Správcem finančního nástroje uvedeného programu je</w:t>
      </w:r>
      <w:r w:rsidR="007B7A55">
        <w:t xml:space="preserve"> NRB</w:t>
      </w:r>
      <w:r w:rsidRPr="00D10A57">
        <w:t>. Malí a střední podnikatelé mohou získat záruku za bankovní úvěr investičního či provozního charakteru až do výše 20 mil</w:t>
      </w:r>
      <w:r w:rsidR="007B7A55">
        <w:t>.</w:t>
      </w:r>
      <w:r w:rsidRPr="00D10A57">
        <w:t xml:space="preserve"> </w:t>
      </w:r>
      <w:r w:rsidR="007B7A55">
        <w:t>Kč</w:t>
      </w:r>
      <w:r w:rsidRPr="00D10A57">
        <w:t xml:space="preserve"> na dobu až 8 let a sociální podnikatelé k zaručovanému úvěru i finanční příspěvek až do výše 500 000 </w:t>
      </w:r>
      <w:r w:rsidR="007B7A55">
        <w:t>Kč</w:t>
      </w:r>
      <w:r w:rsidRPr="00D10A57">
        <w:t>. Výše záruky dosahuje až 80 % jistiny zaručovaného úvěru.</w:t>
      </w:r>
    </w:p>
    <w:p w14:paraId="603FA6DF" w14:textId="2245E556" w:rsidR="0008269C" w:rsidRPr="00D10A57" w:rsidRDefault="0008269C" w:rsidP="00D10A57">
      <w:pPr>
        <w:pStyle w:val="Styl1"/>
      </w:pPr>
      <w:r w:rsidRPr="00D10A57">
        <w:t>V roce 2021 dále pokračovala V. Výzvou (vyhlášena 4/2021) realizace národního programu Záruka 2015 až 2023 M</w:t>
      </w:r>
      <w:r w:rsidR="007B7A55">
        <w:t>PO</w:t>
      </w:r>
      <w:r w:rsidRPr="00D10A57">
        <w:t xml:space="preserve"> zaměřeného na podporu přístupu malých a středních podnikatelů k bankovním úvěrům, včetně podpory sociálních podnikatelů. V tomto programu bylo v roce 2021 poskytnuto celkem 1 675 záruk za bankovní úvěry v objemu 3,04 mld. Kč, z toho byly poskytnuty 3 záruky v objemu 23 mil. Kč pro sociální podnikatele.</w:t>
      </w:r>
    </w:p>
    <w:p w14:paraId="04F196C0" w14:textId="77777777" w:rsidR="0008269C" w:rsidRPr="00D10A57" w:rsidRDefault="0008269C" w:rsidP="00D10A57">
      <w:pPr>
        <w:pStyle w:val="Styl1"/>
      </w:pPr>
      <w:r w:rsidRPr="00D10A57">
        <w:t>Za znevýhodněné skupiny se považují pro účely tohoto programu osoby sociálně vyloučené nebo ohrožené sociálním vyloučením, a to:</w:t>
      </w:r>
    </w:p>
    <w:p w14:paraId="43310024" w14:textId="77777777" w:rsidR="0008269C" w:rsidRPr="00D10A57" w:rsidRDefault="0008269C" w:rsidP="00D10A57">
      <w:pPr>
        <w:pStyle w:val="Styl1"/>
        <w:numPr>
          <w:ilvl w:val="0"/>
          <w:numId w:val="28"/>
        </w:numPr>
      </w:pPr>
      <w:r w:rsidRPr="00D10A57">
        <w:t xml:space="preserve">osoby se zdravotním postižením – osoby, jejichž zdravotní postižení představuje určité znevýhodnění ve vztahu k ostatním členům společnosti; definice této cílové skupiny vychází ze zákona č. 108/2006 Sb. o sociálních službách, ve znění pozdějších předpisů nebo z § 67 zákona č. 435/2004 Sb., zákona o zaměstnanosti, ve znění pozdějších předpisů; </w:t>
      </w:r>
    </w:p>
    <w:p w14:paraId="49DF4E5A" w14:textId="77777777" w:rsidR="0008269C" w:rsidRPr="00D10A57" w:rsidRDefault="0008269C" w:rsidP="00D10A57">
      <w:pPr>
        <w:pStyle w:val="Styl1"/>
        <w:numPr>
          <w:ilvl w:val="0"/>
          <w:numId w:val="28"/>
        </w:numPr>
      </w:pPr>
      <w:r w:rsidRPr="00D10A57">
        <w:t xml:space="preserve">osoby bez přístřeší – osoby, které v rozhodném období 12 měsíců před podáním žádosti neměly ubytovací možnosti, popř. obývaly nouzová obydlí; </w:t>
      </w:r>
    </w:p>
    <w:p w14:paraId="16CDB468" w14:textId="77777777" w:rsidR="0008269C" w:rsidRPr="00D10A57" w:rsidRDefault="0008269C" w:rsidP="00D10A57">
      <w:pPr>
        <w:pStyle w:val="Styl1"/>
        <w:numPr>
          <w:ilvl w:val="0"/>
          <w:numId w:val="28"/>
        </w:numPr>
      </w:pPr>
      <w:r w:rsidRPr="00D10A57">
        <w:t xml:space="preserve">osoby, které v rozhodném období 3 měsíců před podáním žádosti opustily zařízení pro výkon ústavní nebo ochranné výchovy a pro výkon trestu odnětí svobody; </w:t>
      </w:r>
    </w:p>
    <w:p w14:paraId="6C8EA7DC" w14:textId="77777777" w:rsidR="0008269C" w:rsidRPr="00D10A57" w:rsidRDefault="0008269C" w:rsidP="00D10A57">
      <w:pPr>
        <w:pStyle w:val="Styl1"/>
        <w:numPr>
          <w:ilvl w:val="0"/>
          <w:numId w:val="28"/>
        </w:numPr>
      </w:pPr>
      <w:r w:rsidRPr="00D10A57">
        <w:t xml:space="preserve">osoby pečující o osobu blízkou – osoby, které k datu uzavření pracovní smlouvy pečovaly o osobu blízkou z různých příčin ohroženou sociálním vyloučením; </w:t>
      </w:r>
    </w:p>
    <w:p w14:paraId="37CA97F6" w14:textId="77777777" w:rsidR="0008269C" w:rsidRPr="00D10A57" w:rsidRDefault="0008269C" w:rsidP="00D10A57">
      <w:pPr>
        <w:pStyle w:val="Styl1"/>
        <w:numPr>
          <w:ilvl w:val="0"/>
          <w:numId w:val="28"/>
        </w:numPr>
      </w:pPr>
      <w:r w:rsidRPr="00D10A57">
        <w:t xml:space="preserve">osoby se zkušeností se závislostí na návykových látkách – osoby s diagnostikovanou závislostí na návykových látkách, které v rozhodném období 3 měsíců před podáním žádosti úspěšně ukončily minimálně 3 měsíční ambulantní či pobytovou léčbu; </w:t>
      </w:r>
    </w:p>
    <w:p w14:paraId="723487B7" w14:textId="77777777" w:rsidR="0008269C" w:rsidRPr="00D10A57" w:rsidRDefault="0008269C" w:rsidP="00D10A57">
      <w:pPr>
        <w:pStyle w:val="Styl1"/>
        <w:numPr>
          <w:ilvl w:val="0"/>
          <w:numId w:val="28"/>
        </w:numPr>
      </w:pPr>
      <w:r w:rsidRPr="00D10A57">
        <w:t>osoby, které byly v rozhodném období 12 měsíců před podáním žádosti dlouhodobě nezaměstnané, tj. byly déle než 1 rok vedeny v evidenci uchazečů o zaměstnání Úřadu práce ČR;</w:t>
      </w:r>
    </w:p>
    <w:p w14:paraId="64475F08" w14:textId="77777777" w:rsidR="0008269C" w:rsidRPr="00D10A57" w:rsidRDefault="0008269C" w:rsidP="00D10A57">
      <w:pPr>
        <w:pStyle w:val="Styl1"/>
        <w:numPr>
          <w:ilvl w:val="0"/>
          <w:numId w:val="28"/>
        </w:numPr>
      </w:pPr>
      <w:r w:rsidRPr="00D10A57">
        <w:lastRenderedPageBreak/>
        <w:t>další nespecifikované sociálně vyloučené nebo sociálním vyloučením ohrožené osoby, které byly k datu uzavření pracovní smlouvy uživateli registrované sociální služby podle zákona č. 108/2006 Sb., o sociálních službách, ve znění pozdějších předpisů.</w:t>
      </w:r>
    </w:p>
    <w:p w14:paraId="536661FD" w14:textId="5438F340" w:rsidR="0008269C" w:rsidRPr="00D10A57" w:rsidRDefault="0008269C" w:rsidP="00D10A57">
      <w:pPr>
        <w:pStyle w:val="Styl1"/>
      </w:pPr>
      <w:r w:rsidRPr="00D10A57">
        <w:t>MPO vytváří v rámci své polit</w:t>
      </w:r>
      <w:r w:rsidR="008E7E2C">
        <w:t>iky pro podřízené organizace ve </w:t>
      </w:r>
      <w:r w:rsidRPr="00D10A57">
        <w:t>své působnosti podmínky pro prosazování společensky odpovědného zadávání veřejných zakázek a vytváření pracovních míst pro znevýhodněné osoby na trhu práce. Zároveň však je akcentován</w:t>
      </w:r>
      <w:r w:rsidR="00BD0901">
        <w:t>a</w:t>
      </w:r>
      <w:r w:rsidRPr="00D10A57">
        <w:t xml:space="preserve"> </w:t>
      </w:r>
      <w:r w:rsidR="00BD0901">
        <w:t xml:space="preserve">povinnost </w:t>
      </w:r>
      <w:r w:rsidRPr="00D10A57">
        <w:t>dodržování zákona o veřejných zakázkách a ustanovení předpisů EU týkajících se dané oblasti. Platný zákon č. 134/2016 Sb., o zadávání veřejných zakázek, který transponuje Směrnici č. 2014/24/EU, umožňuje v § 38 vyhrazené zakázky zadavatelům vyhradit některé veřejné zakázky pro dodavatele zaměstnávající na chráněných pracovních místech podle zákona o zaměstnanosti alespoň 50 % osob se zdravotním postižením z celkového počtu zaměstnanců.</w:t>
      </w:r>
    </w:p>
    <w:p w14:paraId="19CA0B18" w14:textId="27D8D3AA" w:rsidR="0008269C" w:rsidRPr="00D10A57" w:rsidRDefault="00827D8D" w:rsidP="00D10A57">
      <w:pPr>
        <w:pStyle w:val="Styl1"/>
        <w:rPr>
          <w:b/>
          <w:spacing w:val="-2"/>
        </w:rPr>
      </w:pPr>
      <w:r>
        <w:rPr>
          <w:b/>
        </w:rPr>
        <w:t>S</w:t>
      </w:r>
      <w:r w:rsidR="0008269C" w:rsidRPr="00D10A57">
        <w:rPr>
          <w:b/>
          <w:spacing w:val="-2"/>
        </w:rPr>
        <w:t>eznam pracovních orgánů M</w:t>
      </w:r>
      <w:r w:rsidR="007B7A55">
        <w:rPr>
          <w:b/>
          <w:spacing w:val="-2"/>
        </w:rPr>
        <w:t>PO</w:t>
      </w:r>
      <w:r w:rsidR="0008269C" w:rsidRPr="00D10A57">
        <w:rPr>
          <w:b/>
          <w:spacing w:val="-2"/>
        </w:rPr>
        <w:t xml:space="preserve"> (komise, výbory, pracovní skupiny), které se obsahově týkají tématu romské integrace či jiných témat souvisejících s romskou menšinou.</w:t>
      </w:r>
    </w:p>
    <w:p w14:paraId="77184592" w14:textId="4F196611" w:rsidR="0008269C" w:rsidRPr="00D10A57" w:rsidRDefault="0008269C" w:rsidP="00D10A57">
      <w:pPr>
        <w:pStyle w:val="Styl1"/>
        <w:rPr>
          <w:rFonts w:eastAsia="SimSun"/>
          <w:noProof/>
          <w:lang w:eastAsia="zh-CN"/>
        </w:rPr>
      </w:pPr>
      <w:r w:rsidRPr="00D10A57">
        <w:rPr>
          <w:spacing w:val="-2"/>
        </w:rPr>
        <w:t xml:space="preserve">Ministerstvo průmyslu a obchodu nemá zřízen žádný orgán, který by se zabýval agendou romské integrace či jiných témat souvisejících s romskou tématikou. Zástupci MPO jsou však členy </w:t>
      </w:r>
      <w:r w:rsidRPr="00D10A57">
        <w:rPr>
          <w:rFonts w:eastAsia="SimSun"/>
          <w:noProof/>
          <w:lang w:eastAsia="zh-CN"/>
        </w:rPr>
        <w:t>Komise pro sociální začleňování,</w:t>
      </w:r>
      <w:r w:rsidRPr="00D10A57">
        <w:rPr>
          <w:rFonts w:eastAsia="SimSun"/>
          <w:b/>
          <w:noProof/>
          <w:lang w:eastAsia="zh-CN"/>
        </w:rPr>
        <w:t xml:space="preserve"> </w:t>
      </w:r>
      <w:r w:rsidRPr="00D10A57">
        <w:rPr>
          <w:rFonts w:eastAsia="SimSun"/>
          <w:noProof/>
          <w:lang w:eastAsia="zh-CN"/>
        </w:rPr>
        <w:t>Meziresortní pracovní skupiny k monitorování plnění opatření Koncepce prevence a řešení problematiky bezdomovectví v České republice do roku 2020,</w:t>
      </w:r>
      <w:r w:rsidRPr="00D10A57">
        <w:rPr>
          <w:rFonts w:eastAsia="SimSun"/>
          <w:b/>
          <w:noProof/>
          <w:lang w:eastAsia="zh-CN"/>
        </w:rPr>
        <w:t xml:space="preserve"> </w:t>
      </w:r>
      <w:r w:rsidRPr="00D10A57">
        <w:rPr>
          <w:rFonts w:eastAsia="SimSun"/>
          <w:noProof/>
          <w:lang w:eastAsia="zh-CN"/>
        </w:rPr>
        <w:t>Pracovní skupiny pro sledování naplňování cílů Strategie boje proti sociálnímu vyloučení na období 2016 – 2020 a opatření jejího Akčního plánu a Rady vlády pro nestátní neziskové organizace</w:t>
      </w:r>
      <w:r w:rsidR="00835E85">
        <w:rPr>
          <w:rFonts w:eastAsia="SimSun"/>
          <w:noProof/>
          <w:lang w:eastAsia="zh-CN"/>
        </w:rPr>
        <w:t xml:space="preserve"> (dále jen „NNO“)</w:t>
      </w:r>
      <w:r w:rsidR="00827D8D">
        <w:rPr>
          <w:rFonts w:eastAsia="SimSun"/>
          <w:noProof/>
          <w:lang w:eastAsia="zh-CN"/>
        </w:rPr>
        <w:t>.</w:t>
      </w:r>
    </w:p>
    <w:p w14:paraId="7931F888" w14:textId="77777777" w:rsidR="0008269C" w:rsidRPr="00D10A57" w:rsidRDefault="0008269C" w:rsidP="00D10A57">
      <w:pPr>
        <w:pStyle w:val="Styl1"/>
        <w:rPr>
          <w:b/>
        </w:rPr>
      </w:pPr>
      <w:r w:rsidRPr="00D10A57">
        <w:rPr>
          <w:b/>
        </w:rPr>
        <w:t>Doplňující informace pro zpracování Zprávy o stavu romské menšiny v České republice v roce 2021</w:t>
      </w:r>
    </w:p>
    <w:p w14:paraId="342DE28D" w14:textId="48B0928D" w:rsidR="0008269C" w:rsidRPr="00D10A57" w:rsidRDefault="0008269C" w:rsidP="00D10A57">
      <w:pPr>
        <w:pStyle w:val="Styl1"/>
      </w:pPr>
      <w:r w:rsidRPr="00D10A57">
        <w:t xml:space="preserve">Pověřený zástupce MPO se zúčastňuje jednání Rady vlády pro záležitosti romské menšiny, Rady vlády pro národnostní menšiny a spolupracuje na vyžádaných projektech s Agenturou pro sociální začleňování. MPO se také zúčastňuje pietních akcí pořádaných v rámci upomínky na romský holocaust v létech 1939 - 1945. Oddělení parlamentních agend a RHSD MPO spolupracuje i s nestátními neziskovými organizacemi zabývajícími se romskou </w:t>
      </w:r>
      <w:r w:rsidR="00BB09DC">
        <w:t>menšinou</w:t>
      </w:r>
      <w:r w:rsidRPr="00D10A57">
        <w:t xml:space="preserve">. </w:t>
      </w:r>
    </w:p>
    <w:p w14:paraId="5F58FB6F" w14:textId="77777777" w:rsidR="00135315" w:rsidRDefault="00135315">
      <w:pPr>
        <w:rPr>
          <w:rFonts w:ascii="Arial" w:hAnsi="Arial" w:cs="Arial"/>
          <w:color w:val="000000"/>
        </w:rPr>
      </w:pPr>
      <w:r>
        <w:br w:type="page"/>
      </w:r>
    </w:p>
    <w:p w14:paraId="73B2C4B6" w14:textId="77777777" w:rsidR="00E92392" w:rsidRPr="00D10A57" w:rsidRDefault="00E92392" w:rsidP="00D10A57">
      <w:pPr>
        <w:pStyle w:val="Nadpis1"/>
        <w:numPr>
          <w:ilvl w:val="0"/>
          <w:numId w:val="1"/>
        </w:numPr>
        <w:spacing w:line="240" w:lineRule="auto"/>
        <w:jc w:val="both"/>
        <w:rPr>
          <w:rFonts w:ascii="Arial" w:hAnsi="Arial" w:cs="Arial"/>
          <w:color w:val="auto"/>
          <w:sz w:val="24"/>
        </w:rPr>
      </w:pPr>
      <w:bookmarkStart w:id="10" w:name="_Toc112831374"/>
      <w:r w:rsidRPr="00D10A57">
        <w:rPr>
          <w:rFonts w:ascii="Arial" w:hAnsi="Arial" w:cs="Arial"/>
          <w:color w:val="auto"/>
          <w:sz w:val="24"/>
        </w:rPr>
        <w:lastRenderedPageBreak/>
        <w:t>M</w:t>
      </w:r>
      <w:r w:rsidR="006275E3" w:rsidRPr="00D10A57">
        <w:rPr>
          <w:rFonts w:ascii="Arial" w:hAnsi="Arial" w:cs="Arial"/>
          <w:color w:val="auto"/>
          <w:sz w:val="24"/>
        </w:rPr>
        <w:t>inisterstvo práce a sociálních věcí</w:t>
      </w:r>
      <w:bookmarkEnd w:id="10"/>
    </w:p>
    <w:p w14:paraId="4CA95D56" w14:textId="77777777" w:rsidR="00ED7E0F" w:rsidRDefault="00ED7E0F" w:rsidP="007C763A">
      <w:pPr>
        <w:rPr>
          <w:b/>
        </w:rPr>
      </w:pPr>
    </w:p>
    <w:p w14:paraId="2C96D3B3" w14:textId="3790E4E1" w:rsidR="00ED7E0F" w:rsidRPr="00510024" w:rsidRDefault="00ED7E0F" w:rsidP="007C763A">
      <w:pPr>
        <w:spacing w:line="240" w:lineRule="auto"/>
        <w:rPr>
          <w:b/>
          <w:bCs/>
        </w:rPr>
      </w:pPr>
      <w:r w:rsidRPr="00605AFD">
        <w:rPr>
          <w:rFonts w:ascii="Arial" w:hAnsi="Arial" w:cs="Arial"/>
          <w:b/>
          <w:bCs/>
          <w:color w:val="000000"/>
        </w:rPr>
        <w:t>Informace o plnění usnesení vlády týkajících se integrace romské menšiny a aktivního postupu státní správy při uskutečňování opatření přijatých souvisejícími usneseními vlády ke dni 31. 12. 2021</w:t>
      </w:r>
    </w:p>
    <w:p w14:paraId="7F9BFFA3" w14:textId="77777777" w:rsidR="00EA170B" w:rsidRPr="00D10A57" w:rsidRDefault="00EA170B" w:rsidP="00D10A57">
      <w:pPr>
        <w:pStyle w:val="Styl1"/>
        <w:rPr>
          <w:b/>
        </w:rPr>
      </w:pPr>
      <w:r w:rsidRPr="00D10A57">
        <w:rPr>
          <w:b/>
        </w:rPr>
        <w:t>Usnesením vlády ze dne 11. května 2016 č. 416, k Revizi úkolů vyplývajících z usnesení vlády, týkajících se integrace romské menšiny, v</w:t>
      </w:r>
      <w:r w:rsidR="00DA6935" w:rsidRPr="00D10A57">
        <w:rPr>
          <w:b/>
        </w:rPr>
        <w:t>láda u</w:t>
      </w:r>
      <w:r w:rsidR="009D08E2" w:rsidRPr="00D10A57">
        <w:rPr>
          <w:b/>
        </w:rPr>
        <w:t>ložila ministryni</w:t>
      </w:r>
      <w:r w:rsidR="00DA6935" w:rsidRPr="00D10A57">
        <w:rPr>
          <w:b/>
        </w:rPr>
        <w:t xml:space="preserve"> práce a </w:t>
      </w:r>
      <w:r w:rsidRPr="00D10A57">
        <w:rPr>
          <w:b/>
        </w:rPr>
        <w:t>sociálních věcí průběžně:</w:t>
      </w:r>
    </w:p>
    <w:p w14:paraId="1EAB1870" w14:textId="77777777" w:rsidR="00EA170B" w:rsidRPr="00D10A57" w:rsidRDefault="00EA170B" w:rsidP="00D10A57">
      <w:pPr>
        <w:pStyle w:val="Styl1"/>
      </w:pPr>
      <w:r w:rsidRPr="00D10A57">
        <w:rPr>
          <w:b/>
        </w:rPr>
        <w:t>a) vzdělávat pracovníky Úřadu práce České republiky v oblasti antidiskriminačních opatření</w:t>
      </w:r>
    </w:p>
    <w:p w14:paraId="24D53CDB" w14:textId="2E16DC65" w:rsidR="00EA170B" w:rsidRPr="00D10A57" w:rsidRDefault="00EA170B" w:rsidP="00D10A57">
      <w:pPr>
        <w:pStyle w:val="Styl1"/>
      </w:pPr>
      <w:r w:rsidRPr="00D10A57">
        <w:t>Vzdělávání v oblasti antidiskriminačních opatření bylo v roce 2021 v rámci Úřadu práce ČR</w:t>
      </w:r>
      <w:r w:rsidR="00BB09DC">
        <w:t xml:space="preserve"> (dále jen „ÚP ČR“)</w:t>
      </w:r>
      <w:r w:rsidRPr="00D10A57">
        <w:t xml:space="preserve"> realizováno formou zahrnutí této problematiky do „Vstupního vzdělávání úvodního“, které absolvují všichni nově nastupující zaměstnanci a takto nabyté znalosti poté uplatňují ve své každodenní práci.  V roce 2021 se tohoto vstupního vzdělávání zúčastnilo 1174 zaměstnanců ÚP ČR.</w:t>
      </w:r>
    </w:p>
    <w:p w14:paraId="238C71EE" w14:textId="77777777" w:rsidR="00EA170B" w:rsidRPr="00D10A57" w:rsidRDefault="00EA170B" w:rsidP="00D10A57">
      <w:pPr>
        <w:pStyle w:val="Styl1"/>
        <w:rPr>
          <w:b/>
        </w:rPr>
      </w:pPr>
      <w:r w:rsidRPr="00D10A57">
        <w:rPr>
          <w:b/>
        </w:rPr>
        <w:t>b) podporovat, ve spolupráci s ministrem pro lid</w:t>
      </w:r>
      <w:r w:rsidR="00B1401A" w:rsidRPr="00D10A57">
        <w:rPr>
          <w:b/>
        </w:rPr>
        <w:t>ská práva, rovné příležitosti a </w:t>
      </w:r>
      <w:r w:rsidRPr="00D10A57">
        <w:rPr>
          <w:b/>
        </w:rPr>
        <w:t>legislativu, a s využitím prostředků Evropských strukturálních a investičních fondů a</w:t>
      </w:r>
      <w:r w:rsidR="008377EC">
        <w:rPr>
          <w:b/>
        </w:rPr>
        <w:t> </w:t>
      </w:r>
      <w:r w:rsidRPr="00D10A57">
        <w:rPr>
          <w:b/>
        </w:rPr>
        <w:t>národních nástrojů, v rámci Úřadu práce České republiky provázanost sociální práce s nástroji aktivní politiky zaměstnanosti cílených na příslušníky romské menšiny žijící v podmínkách sociálního vyloučení, a podporovat vytváření partnerství mezi orgány územní veřejné správy, úřady práce a neziskovým sektorem, jehož cílem bude provázanost poskytování sociálních služeb a služeb zaměstnanosti na lokální úrovni</w:t>
      </w:r>
    </w:p>
    <w:p w14:paraId="5DFB7F2A" w14:textId="38F2FB19" w:rsidR="00EA170B" w:rsidRPr="00D10A57" w:rsidRDefault="00EA170B" w:rsidP="00D10A57">
      <w:pPr>
        <w:pStyle w:val="Styl1"/>
      </w:pPr>
      <w:r w:rsidRPr="00D10A57">
        <w:t>ÚP ČR na základě výzev Operačního programu Zaměstnanost</w:t>
      </w:r>
      <w:r w:rsidR="00BB09DC">
        <w:t xml:space="preserve"> (dále jen „OPZ“)</w:t>
      </w:r>
      <w:r w:rsidRPr="00D10A57">
        <w:t>, vyhlašovaných MPSV</w:t>
      </w:r>
      <w:r w:rsidR="008377EC">
        <w:t>,</w:t>
      </w:r>
      <w:r w:rsidRPr="00D10A57">
        <w:t xml:space="preserve"> realizuje národní individuální projekty (</w:t>
      </w:r>
      <w:r w:rsidR="003B2C66" w:rsidRPr="00D10A57">
        <w:t xml:space="preserve">dále jen </w:t>
      </w:r>
      <w:r w:rsidRPr="00D10A57">
        <w:t>„NIP“), regionální individuální projekty (</w:t>
      </w:r>
      <w:r w:rsidR="00BB09DC">
        <w:t xml:space="preserve">dále jen </w:t>
      </w:r>
      <w:r w:rsidRPr="00D10A57">
        <w:t>„RIP“) a systémové individuální projekty (</w:t>
      </w:r>
      <w:r w:rsidR="00BB09DC">
        <w:t xml:space="preserve">dále jen </w:t>
      </w:r>
      <w:r w:rsidRPr="00D10A57">
        <w:t>„SIP“). Projekty jsou spolufinancované z Evropského sociálního fondu. Do projektů ÚP ČR vstupují uchazeči o zaměstnání, případně zájemci o</w:t>
      </w:r>
      <w:r w:rsidR="008377EC">
        <w:t> </w:t>
      </w:r>
      <w:r w:rsidRPr="00D10A57">
        <w:t>zaměstnání, dle určené cílové skupiny, stanovené výzvou ŘO OPZ. Projekty jsou orientovány především na skupiny ohrožené na trhu práce. Systémové projekty jsou potom zaměřeny na modernizaci služeb trhu práce, poskytování efektivních služeb a zajištění komplexního přístupu ke klientům ÚP ČR prostřednictvím mj. vzdělávání svých zaměstnanců.</w:t>
      </w:r>
    </w:p>
    <w:p w14:paraId="144A67F2" w14:textId="77777777" w:rsidR="00EA170B" w:rsidRPr="00D10A57" w:rsidRDefault="00EA170B" w:rsidP="00D10A57">
      <w:pPr>
        <w:pStyle w:val="Styl1"/>
      </w:pPr>
      <w:r w:rsidRPr="00D10A57">
        <w:t>Projekty ÚP ČR nejsou přímo cíleny na příslušníky romské menšiny, ale některé z projektů jsou zaměřeny na cílovou skupinu dlouhodobě nezaměstnaných uchazečů o zaměstnání nebo jsou zaměřeny na sociálně vyloučené lokality. Tyto projekty mají komplexní charakter a nabízí účastníkům celou škálu aktivit, od motivačních, školících, poradenských, možnosti absolvování rekvalifikací, až ke zprostředkování zaměstnání a podpoře pracovních míst.</w:t>
      </w:r>
    </w:p>
    <w:p w14:paraId="058261CB" w14:textId="5C97B9AF" w:rsidR="00EA170B" w:rsidRPr="00D10A57" w:rsidRDefault="00EA170B" w:rsidP="00D10A57">
      <w:pPr>
        <w:pStyle w:val="Styl1"/>
      </w:pPr>
      <w:r w:rsidRPr="00D10A57">
        <w:t>Od 1.</w:t>
      </w:r>
      <w:r w:rsidR="008377EC">
        <w:t> </w:t>
      </w:r>
      <w:r w:rsidR="00BB09DC">
        <w:t>ledna</w:t>
      </w:r>
      <w:r w:rsidR="008377EC">
        <w:t> </w:t>
      </w:r>
      <w:r w:rsidRPr="00D10A57">
        <w:t>2019 realizuje ÚP ČR NIP Podpora zaměstnanosti dlouhodobě evidovaných uchazečů o zaměstnání (PDU), registrační číslo CZ.03.1.48/0.0/0.0/15_121/0010247. Hlavním cílem projektu je zvýšení zaměstnanosti a zaměstnatelnosti dlouhodobě evidovaných uchazečů o zaměstnání na ÚP ČR.</w:t>
      </w:r>
    </w:p>
    <w:p w14:paraId="75EE6908" w14:textId="1E34FCB0" w:rsidR="00EA170B" w:rsidRPr="00D10A57" w:rsidRDefault="00EA170B" w:rsidP="00D10A57">
      <w:pPr>
        <w:pStyle w:val="Styl1"/>
      </w:pPr>
      <w:r w:rsidRPr="00D10A57">
        <w:t>Dále je od 1.</w:t>
      </w:r>
      <w:r w:rsidR="008377EC">
        <w:t> </w:t>
      </w:r>
      <w:r w:rsidR="00BB09DC">
        <w:t>ledna</w:t>
      </w:r>
      <w:r w:rsidR="008377EC">
        <w:t> </w:t>
      </w:r>
      <w:r w:rsidRPr="00D10A57">
        <w:t>2021 v realizaci projekt Podpora forem flexibilního zaměstnávání (FLEXI), registrační číslo CZ.03.1.48/0.0/0.0/15_121/0017211. Hlavním cílem tohoto projektu je poskytnout podporu při hledání či udržení si pracovního uplatnění pomocí poradenství a vybraných nástrojů A</w:t>
      </w:r>
      <w:r w:rsidR="00BB09DC">
        <w:t xml:space="preserve">ktivní politiky </w:t>
      </w:r>
      <w:r w:rsidR="00BB09DC" w:rsidRPr="004D2332">
        <w:t>zaměstnanosti</w:t>
      </w:r>
      <w:r w:rsidR="004D2332" w:rsidRPr="004D2332">
        <w:t xml:space="preserve"> </w:t>
      </w:r>
      <w:r w:rsidR="004D2332" w:rsidRPr="007C763A">
        <w:t>(dále jen „APZ“)</w:t>
      </w:r>
      <w:r w:rsidRPr="00D10A57">
        <w:t xml:space="preserve"> (</w:t>
      </w:r>
      <w:r w:rsidR="00BB09DC">
        <w:t>společensky účelné pracovní mí</w:t>
      </w:r>
      <w:r w:rsidR="00FD1DA9">
        <w:t>s</w:t>
      </w:r>
      <w:r w:rsidR="00BB09DC">
        <w:t>to</w:t>
      </w:r>
      <w:r w:rsidR="00FD1DA9">
        <w:t xml:space="preserve"> – dále jen „SÚPM“</w:t>
      </w:r>
      <w:r w:rsidRPr="00D10A57">
        <w:t xml:space="preserve">, sdílené pracovní místo a příspěvek na zapracování). </w:t>
      </w:r>
      <w:r w:rsidRPr="00D10A57">
        <w:lastRenderedPageBreak/>
        <w:t>Zaměřuje se na osoby hledající zaměstnání, osoby neaktivní na trhu práce, osoby nezaměstnané a zájemce o zaměstnání. Úžeji projekt cílí na osoby, které nemohou pracovat na plný pracovní úvazek.</w:t>
      </w:r>
    </w:p>
    <w:p w14:paraId="56405243" w14:textId="1F33B245" w:rsidR="00EA170B" w:rsidRPr="00D10A57" w:rsidRDefault="00EA170B" w:rsidP="00D10A57">
      <w:pPr>
        <w:pStyle w:val="Styl1"/>
      </w:pPr>
      <w:r w:rsidRPr="00D10A57">
        <w:t xml:space="preserve">V roce 2021 pokračovala na ÚP ČR realizace celkem 50 </w:t>
      </w:r>
      <w:r w:rsidR="00BB09DC">
        <w:t>RIP</w:t>
      </w:r>
      <w:r w:rsidRPr="00D10A57">
        <w:t xml:space="preserve"> prostřednictvím krajských poboček, 10 RIP bylo zaměřeno na cílovou skupinu dlouhodobě nezaměstnaných uchazečů o zaměstnání (6 RIP) či zaměřených na sociálně vyloučené lokality (4 RIP), do kterých mohou být a jsou zařazovány osoby ohrožené rasovou diskriminací a příslušníci etnických menšin. Konkrétně se jedná o projekty: Směr – práce ve Středočeském kraji 2, Nová šance na Vysočině, Nová šance ve Zlínském kraji, Prostupné zaměstnávání v Olomouckém kraji, Práce a život v Jihočeském kraji, Zpět do práce v Libereckém kraji, Společně to dokážeme v Ústeckém kraji, Zaměstnanost venkova v Jihočeském kraji (Se sousedy II), Příležitost dělá zaměstnance v Moravskoslezském kraji a Kudy kam II v Královéhradeckém kraji. </w:t>
      </w:r>
    </w:p>
    <w:p w14:paraId="7CA0C601" w14:textId="3A481242" w:rsidR="00EA170B" w:rsidRPr="00D10A57" w:rsidRDefault="00EA170B" w:rsidP="00D10A57">
      <w:pPr>
        <w:pStyle w:val="Styl1"/>
      </w:pPr>
      <w:r w:rsidRPr="00D10A57">
        <w:t xml:space="preserve">ÚP ČR realizuje dále SIP </w:t>
      </w:r>
      <w:r w:rsidRPr="008E7E2C">
        <w:rPr>
          <w:b/>
        </w:rPr>
        <w:t>Efektivní služby zaměstnanosti – EFES</w:t>
      </w:r>
      <w:r w:rsidRPr="00D10A57">
        <w:t>, registrační číslo CZ.03.1.54/0.0/0.0/15_011/0000056, doba realizace 1. 2. 2016 – 30. 6. 2023, kdy součástí projektu je klíčová aktivita č. 03 Individuální péče o zaměstnavatele a cílený matching. Cílem této aktivity je posílení, rozvoj vztahů a práce se zaměstnavateli. Rozšíření činností pracovníka pro práci se zaměstnavateli, specializace práce s velkými zaměstnavateli formou Individuální péče o jednotlivé zaměstnavatele a tzv. matching (cílené vyhledávání vhodných zaměstnanců z databáze uchazečů, zájemců o zaměstnání v evidenci ÚP ČR, efektivní poradenství a služby šité na míru konkrétním zaměstnavatelům). Prohloubení systematické spolupráce ÚP ČR s regionálními partnery (obce, města, zaměstnavatelé, neziskové organizace, agentury, hospodářské komory atd.) s cílem poskytování co nejefektivnějších poradenských služeb (poradenství, vzdělávání, uplatňování nástrojů a</w:t>
      </w:r>
      <w:r w:rsidR="008377EC">
        <w:t> </w:t>
      </w:r>
      <w:r w:rsidRPr="00D10A57">
        <w:t>opatření APZ).</w:t>
      </w:r>
    </w:p>
    <w:p w14:paraId="3ED90342" w14:textId="77777777" w:rsidR="00EA170B" w:rsidRPr="00D10A57" w:rsidRDefault="00EA170B" w:rsidP="00D10A57">
      <w:pPr>
        <w:pStyle w:val="Styl1"/>
      </w:pPr>
      <w:r w:rsidRPr="00D10A57">
        <w:t>Generální ředitelství Úřadu práce ČR (dále jen „GŘ ÚP ČR“) po celý rok 2021 aktivně spolupracuje se sociálními pracovníky obcí. Spolupráce je dlouhodobě nastavena a </w:t>
      </w:r>
      <w:r w:rsidRPr="00D10A57">
        <w:rPr>
          <w:rFonts w:eastAsia="Times New Roman"/>
        </w:rPr>
        <w:t xml:space="preserve">je ukotvena v § 65, ale i § 33, 33c a 35 a zákona č. č. 111/2006 Sb., o pomoci v hmotné nouzi, ve znění pozdějších předpisů. Spolupráce je provázána prostřednictvím sdíleného dokumentu </w:t>
      </w:r>
      <w:r w:rsidRPr="00D10A57">
        <w:t xml:space="preserve">Standardizovaného záznamu sociálního pracovníka. </w:t>
      </w:r>
    </w:p>
    <w:p w14:paraId="265ECE39" w14:textId="77777777" w:rsidR="00EA170B" w:rsidRPr="00D10A57" w:rsidRDefault="00EA170B" w:rsidP="00D10A57">
      <w:pPr>
        <w:pStyle w:val="Styl1"/>
        <w:rPr>
          <w:b/>
        </w:rPr>
      </w:pPr>
      <w:r w:rsidRPr="00D10A57">
        <w:rPr>
          <w:b/>
        </w:rPr>
        <w:t>GŘ ÚP ČR – Odbor Nepojistných sociálních dávek:</w:t>
      </w:r>
    </w:p>
    <w:p w14:paraId="1E1A32FB" w14:textId="39AD3F78" w:rsidR="00EA170B" w:rsidRPr="00D10A57" w:rsidRDefault="00EA170B" w:rsidP="00D10A57">
      <w:pPr>
        <w:pStyle w:val="Styl1"/>
      </w:pPr>
      <w:r w:rsidRPr="00D10A57">
        <w:t xml:space="preserve">GŘ ÚP ČR po celý rok 2021 aktivně spolupracuje se sociálními pracovníky obcí. Spolupráce je dlouhodobě nastavena a je ukotvena v § 65, ale i § 33, 33c a 35 a zákona č. 111/2006 Sb., o pomoci v hmotné nouzi, ve znění pozdějších předpisů. Spolupráce je provázána prostřednictvím sdíleného dokumentu Standardizovaného záznamu sociálního pracovníka. </w:t>
      </w:r>
    </w:p>
    <w:p w14:paraId="6E228B97" w14:textId="31AC05E7" w:rsidR="00EA170B" w:rsidRPr="00D10A57" w:rsidRDefault="00EA170B" w:rsidP="00D10A57">
      <w:pPr>
        <w:pStyle w:val="Styl1"/>
      </w:pPr>
      <w:r w:rsidRPr="00D10A57">
        <w:t>Útvary nepojistných sociálních dávek (dále jen „NSD“) a útvary zaměstnanosti úzce spolupracují ve věci zajištění pomoci uchazeči o zaměstnání, jenž je současně příjemcem dávek pomoci v hmotné nouzi v návratu na trh práce a vymanění se ze závislosti na dávkách pomoci v hmotné nouzi, a to ve spolupráci se sociálními pracovních obecních úřadů a také za aktivní účasti uchazeče o zaměstnání. K účinné spolupráci byl vydán VŘA Sdělení č. 3/2019 „Implementace poradenského nástroje „Frýdlantské dny“ do praxe Úřadu práce České republiky“ jehož cílem je propojení nástrojů základního sociálního poradenství k zajištění základních potřeb uchazečů o zaměstnání, současně pobírajících dávky hmotné nouze a poradenských činností směřujících k návratu uchazeče o zaměstnání na trh práce. Spolupráce je cílena na všechny potřebné klienty žijící v podmínkách sociálního vyloučení. V roce 2021 byla realizace poradenského nástroje stále ztížena z důvodu pandemie v</w:t>
      </w:r>
      <w:r w:rsidR="00E17382">
        <w:t> </w:t>
      </w:r>
      <w:r w:rsidRPr="00D10A57">
        <w:t xml:space="preserve">důsledku onemocnění </w:t>
      </w:r>
      <w:r w:rsidR="00FD1DA9">
        <w:t>covid-</w:t>
      </w:r>
      <w:r w:rsidRPr="00D10A57">
        <w:t>19. Byly omezeny osobní kontakty a upřednostněna elektronická komunikace či telefonická. Potřebná pomoc byla klientům i přes zmíněné komplikace způsobené pandemií ze strany Ú</w:t>
      </w:r>
      <w:r w:rsidR="00FD1DA9">
        <w:t>P</w:t>
      </w:r>
      <w:r w:rsidRPr="00D10A57">
        <w:t xml:space="preserve"> ČR poskytována, a to prostřednictvím dálkového přístupu. Ú</w:t>
      </w:r>
      <w:r w:rsidR="00FD1DA9">
        <w:t>P</w:t>
      </w:r>
      <w:r w:rsidRPr="00D10A57">
        <w:t xml:space="preserve"> ČR, respektive Kontaktní pracoviště Ú</w:t>
      </w:r>
      <w:r w:rsidR="00FD1DA9">
        <w:t>P ČR</w:t>
      </w:r>
      <w:r w:rsidRPr="00D10A57">
        <w:t xml:space="preserve"> mají velice dobře </w:t>
      </w:r>
      <w:r w:rsidRPr="00D10A57">
        <w:lastRenderedPageBreak/>
        <w:t>nastavenou spolupráci s</w:t>
      </w:r>
      <w:r w:rsidR="00835E85">
        <w:t> NNO</w:t>
      </w:r>
      <w:r w:rsidRPr="00D10A57">
        <w:t>. Lze zmínit spolupráci s</w:t>
      </w:r>
      <w:r w:rsidR="00E17382">
        <w:t> </w:t>
      </w:r>
      <w:r w:rsidRPr="00D10A57">
        <w:t>Romodromem, o.p.s., se kterým Ú</w:t>
      </w:r>
      <w:r w:rsidR="00FD1DA9">
        <w:t>P</w:t>
      </w:r>
      <w:r w:rsidRPr="00D10A57">
        <w:t xml:space="preserve"> ČR aktivně spolupracuje ve věci osob navracejících se ze Spojeného království Velké Británie a Severního Irska (dále jen „Spojeného království“) a pomoci jim v zajištění nepojistných sociálních dávek. V dané věci spolupracuje také útvar zaměstnanosti, jelikož je zaměstnanost důležitou součástí pomoci těmto osobám. V roce 2021 proběhlo několik jednání k osobám navracejícím se ze Spojeného království organizovaných MPSV, kterých byl Romodrom vždy účasten a dále proběhlo několik společných jednání Ú</w:t>
      </w:r>
      <w:r w:rsidR="00FD1DA9">
        <w:t>P</w:t>
      </w:r>
      <w:r w:rsidRPr="00D10A57">
        <w:t xml:space="preserve"> ČR pouze se zástupci Romodromu. Z uskutečněných jednání k Brexitu vyplynula skutečnost, že se bude jednat o mnoho příslušníků romské menšiny. GŘ ÚP ČR od roku 2019 vede seznam kontaktních pracovníků za každé kontaktní pracoviště Ú</w:t>
      </w:r>
      <w:r w:rsidR="00FD1DA9">
        <w:t>P</w:t>
      </w:r>
      <w:r w:rsidRPr="00D10A57">
        <w:t xml:space="preserve"> ČR pro Brexit za útvar </w:t>
      </w:r>
      <w:r w:rsidR="00FD1DA9">
        <w:t>NSD</w:t>
      </w:r>
      <w:r w:rsidRPr="00D10A57">
        <w:t xml:space="preserve"> a seznam kontaktních pracovníků jednotlivě za krajské pobočky Ú</w:t>
      </w:r>
      <w:r w:rsidR="00FD1DA9">
        <w:t>P</w:t>
      </w:r>
      <w:r w:rsidRPr="00D10A57">
        <w:t xml:space="preserve"> ČR za útvar zaměstnanosti. Seznamy jsou pravidelně aktualizovány. GŘ ÚP ČR monitoruje od Krajských poboček Ú</w:t>
      </w:r>
      <w:r w:rsidR="00FD1DA9">
        <w:t>P ČR</w:t>
      </w:r>
      <w:r w:rsidRPr="00D10A57">
        <w:t xml:space="preserve"> v měsíčních intervalech, kolik osob navrácených ze Spojeného království si požádalo o nepojistné sociální dávky a dále zda bylo těmto osobám doporučeno se obrátit o pomoc na obce či například </w:t>
      </w:r>
      <w:r w:rsidR="00835E85">
        <w:t>NNO</w:t>
      </w:r>
      <w:r w:rsidRPr="00D10A57">
        <w:t xml:space="preserve"> s žádostí o pomoc (např. při hledání bydlení atd.).</w:t>
      </w:r>
    </w:p>
    <w:p w14:paraId="3E5219D7" w14:textId="4413DCA7" w:rsidR="00EA170B" w:rsidRPr="00D10A57" w:rsidRDefault="00EA170B" w:rsidP="00D10A57">
      <w:pPr>
        <w:pStyle w:val="Styl1"/>
        <w:rPr>
          <w:b/>
        </w:rPr>
      </w:pPr>
      <w:r w:rsidRPr="00D10A57">
        <w:rPr>
          <w:b/>
        </w:rPr>
        <w:t xml:space="preserve">GŘ ÚP ČR se i přes pandemii v důsledku onemocnění </w:t>
      </w:r>
      <w:r w:rsidR="00FD1DA9">
        <w:rPr>
          <w:b/>
        </w:rPr>
        <w:t>covid-</w:t>
      </w:r>
      <w:r w:rsidRPr="00D10A57">
        <w:rPr>
          <w:b/>
        </w:rPr>
        <w:t>19 pravidelně účastní Konzultačního dne krajských metodiků sociální práce, které pořádá MPSV.</w:t>
      </w:r>
    </w:p>
    <w:p w14:paraId="6EB61BDA" w14:textId="77777777" w:rsidR="00EA170B" w:rsidRPr="00D10A57" w:rsidRDefault="00EA170B" w:rsidP="00D10A57">
      <w:pPr>
        <w:pStyle w:val="Styl1"/>
        <w:rPr>
          <w:b/>
        </w:rPr>
      </w:pPr>
      <w:r w:rsidRPr="00D10A57">
        <w:rPr>
          <w:b/>
        </w:rPr>
        <w:t xml:space="preserve">c) </w:t>
      </w:r>
      <w:r w:rsidR="005E140B" w:rsidRPr="00D10A57">
        <w:rPr>
          <w:b/>
        </w:rPr>
        <w:t>p</w:t>
      </w:r>
      <w:r w:rsidRPr="00D10A57">
        <w:rPr>
          <w:b/>
        </w:rPr>
        <w:t>odporovat, ve spolupráci s hejtmany, tvorbu a implementaci regionálních strategií k rozvoji lokálního trhu práce a vytvářet v této oblasti příležitosti pro tvůrce strategie ke sdílení zkušeností a příkladů dobré praxe formou konferencí a zveřejňováním úspěšných projektů</w:t>
      </w:r>
    </w:p>
    <w:p w14:paraId="5B5776BA" w14:textId="4904CCCE" w:rsidR="00EA170B" w:rsidRPr="00D10A57" w:rsidRDefault="00EA170B" w:rsidP="00D10A57">
      <w:pPr>
        <w:pStyle w:val="Styl1"/>
      </w:pPr>
      <w:r w:rsidRPr="00D10A57">
        <w:t>Ú</w:t>
      </w:r>
      <w:r w:rsidR="00FD1DA9">
        <w:t xml:space="preserve">P </w:t>
      </w:r>
      <w:r w:rsidRPr="00D10A57">
        <w:t>ČR v rámci poradních sborů jednotlivých krajských ředitelů pravidelně komunikuje s regionálními samosprávami ohledně možností zaměstnávání či další podpory.</w:t>
      </w:r>
    </w:p>
    <w:p w14:paraId="45729337" w14:textId="77777777" w:rsidR="00EA170B" w:rsidRPr="00D10A57" w:rsidRDefault="00EA170B" w:rsidP="00D10A57">
      <w:pPr>
        <w:pStyle w:val="Styl1"/>
        <w:rPr>
          <w:b/>
        </w:rPr>
      </w:pPr>
      <w:r w:rsidRPr="00D10A57">
        <w:rPr>
          <w:b/>
        </w:rPr>
        <w:t>d) podporovat, ve spolupráci s ministrem pro lidská práva, r</w:t>
      </w:r>
      <w:r w:rsidR="008E7E2C">
        <w:rPr>
          <w:b/>
        </w:rPr>
        <w:t>ovné příležitosti a legislativu</w:t>
      </w:r>
      <w:r w:rsidRPr="00D10A57">
        <w:rPr>
          <w:b/>
        </w:rPr>
        <w:t>, šíření informací o sociálním podnikání, podporovat sdílení zkušeností a dobrých praxí v této oblasti</w:t>
      </w:r>
    </w:p>
    <w:p w14:paraId="5786700F" w14:textId="77777777" w:rsidR="00EA170B" w:rsidRPr="00D10A57" w:rsidRDefault="00EA170B" w:rsidP="00D10A57">
      <w:pPr>
        <w:pStyle w:val="Styl1"/>
      </w:pPr>
      <w:r w:rsidRPr="00D10A57">
        <w:t xml:space="preserve">Podpora sociálního podnikání je, mimo jiné, realizována prostřednictvím projektu MPSV ve výzvě č. 03_15_016 s celkovou alokací více než 25 mil. Kč, v rámci kterého dochází k poskytování konzultací, poradenství a stáží zaměřených na podporu sociálního podnikání v ČR.  </w:t>
      </w:r>
    </w:p>
    <w:p w14:paraId="5B85C970" w14:textId="77777777" w:rsidR="00EA170B" w:rsidRPr="00D10A57" w:rsidRDefault="00EA170B" w:rsidP="00D10A57">
      <w:pPr>
        <w:pStyle w:val="Styl1"/>
        <w:rPr>
          <w:b/>
        </w:rPr>
      </w:pPr>
      <w:r w:rsidRPr="00D10A57">
        <w:rPr>
          <w:b/>
        </w:rPr>
        <w:t>e) rozvíjet a podporovat realizaci rekvalifikačních programů zaměřených na soukromé podnikání</w:t>
      </w:r>
    </w:p>
    <w:p w14:paraId="368DAD4C" w14:textId="5831E861" w:rsidR="00EA170B" w:rsidRPr="00D10A57" w:rsidRDefault="00EA170B" w:rsidP="00D10A57">
      <w:pPr>
        <w:pStyle w:val="Styl1"/>
      </w:pPr>
      <w:r w:rsidRPr="00D10A57">
        <w:t>Ú</w:t>
      </w:r>
      <w:r w:rsidR="00FD1DA9">
        <w:t xml:space="preserve">P </w:t>
      </w:r>
      <w:r w:rsidRPr="00D10A57">
        <w:t xml:space="preserve">ČR rozvíjí a podporuje realizaci programů zaměřených na podnikání zejména poskytováním relevantních informací prostřednictvím poradenství a rekvalifikací pro tuto oblast. </w:t>
      </w:r>
    </w:p>
    <w:p w14:paraId="743E0DC1" w14:textId="0DACC083" w:rsidR="00EA170B" w:rsidRPr="00D10A57" w:rsidRDefault="00EA170B" w:rsidP="00D10A57">
      <w:pPr>
        <w:pStyle w:val="Styl1"/>
      </w:pPr>
      <w:r w:rsidRPr="00D10A57">
        <w:t xml:space="preserve">V rámci projektu EFES byla v září 2021 zahájena pilotáž </w:t>
      </w:r>
      <w:r w:rsidRPr="008E7E2C">
        <w:rPr>
          <w:b/>
        </w:rPr>
        <w:t>Komplexního poradenského programu pro uchazeče o zaměstnání zvažující zahájení samostatné výdělečné činnosti</w:t>
      </w:r>
      <w:r w:rsidRPr="00D10A57">
        <w:t>.  Pilotáž programu proběhla v každém kraji na celkem 14 pilotních pracovištích. Do pilotáže bylo zapojeno několik desítek odborných poradců a metodiků z oblasti Trhu práce a Zprostředkování a poradenství. Prostřednictvím pilotáže bylo poskytnuto odborné poradenství více než 700 uchazečů o zaměstnání a byla ověřena navržená metodika i odborné materiálny. Již v průběhu pilotáže bylo dosaženo konkrétních výsledků a řada uchazečů ukončila svou evidenci na ÚP ČR a zahájila díky podpoře programu samostatnou podnikatelskou činnost, viz data k 31.</w:t>
      </w:r>
      <w:r w:rsidR="00F57789">
        <w:t> </w:t>
      </w:r>
      <w:r w:rsidR="00FD1DA9">
        <w:t>prosinci</w:t>
      </w:r>
      <w:r w:rsidR="00F57789">
        <w:t> </w:t>
      </w:r>
      <w:r w:rsidRPr="00D10A57">
        <w:t>2021:</w:t>
      </w:r>
    </w:p>
    <w:tbl>
      <w:tblPr>
        <w:tblW w:w="0" w:type="auto"/>
        <w:tblLayout w:type="fixed"/>
        <w:tblCellMar>
          <w:left w:w="0" w:type="dxa"/>
          <w:right w:w="0" w:type="dxa"/>
        </w:tblCellMar>
        <w:tblLook w:val="04A0" w:firstRow="1" w:lastRow="0" w:firstColumn="1" w:lastColumn="0" w:noHBand="0" w:noVBand="1"/>
      </w:tblPr>
      <w:tblGrid>
        <w:gridCol w:w="2263"/>
        <w:gridCol w:w="2263"/>
        <w:gridCol w:w="2263"/>
        <w:gridCol w:w="2263"/>
      </w:tblGrid>
      <w:tr w:rsidR="00EA170B" w:rsidRPr="00D10A57" w14:paraId="40C54079" w14:textId="77777777" w:rsidTr="005E140B">
        <w:trPr>
          <w:trHeight w:val="727"/>
        </w:trPr>
        <w:tc>
          <w:tcPr>
            <w:tcW w:w="2263" w:type="dxa"/>
            <w:tcBorders>
              <w:top w:val="single" w:sz="8" w:space="0" w:color="auto"/>
              <w:left w:val="single" w:sz="8" w:space="0" w:color="auto"/>
              <w:bottom w:val="single" w:sz="8" w:space="0" w:color="auto"/>
              <w:right w:val="single" w:sz="8" w:space="0" w:color="auto"/>
            </w:tcBorders>
            <w:shd w:val="clear" w:color="auto" w:fill="548DD4" w:themeFill="text2" w:themeFillTint="99"/>
            <w:noWrap/>
            <w:tcMar>
              <w:top w:w="0" w:type="dxa"/>
              <w:left w:w="70" w:type="dxa"/>
              <w:bottom w:w="0" w:type="dxa"/>
              <w:right w:w="70" w:type="dxa"/>
            </w:tcMar>
            <w:vAlign w:val="center"/>
            <w:hideMark/>
          </w:tcPr>
          <w:p w14:paraId="0BA29A74" w14:textId="77777777" w:rsidR="00EA170B" w:rsidRPr="00D10A57" w:rsidRDefault="00EA170B" w:rsidP="00D10A57">
            <w:pPr>
              <w:pStyle w:val="Styl1"/>
              <w:spacing w:after="0"/>
              <w:rPr>
                <w:b/>
                <w:sz w:val="20"/>
              </w:rPr>
            </w:pPr>
            <w:r w:rsidRPr="00D10A57">
              <w:rPr>
                <w:b/>
                <w:sz w:val="20"/>
              </w:rPr>
              <w:lastRenderedPageBreak/>
              <w:t>Příspěvek SÚPM</w:t>
            </w:r>
          </w:p>
        </w:tc>
        <w:tc>
          <w:tcPr>
            <w:tcW w:w="2263" w:type="dxa"/>
            <w:tcBorders>
              <w:top w:val="single" w:sz="8" w:space="0" w:color="auto"/>
              <w:left w:val="nil"/>
              <w:bottom w:val="single" w:sz="8" w:space="0" w:color="auto"/>
              <w:right w:val="single" w:sz="8" w:space="0" w:color="auto"/>
            </w:tcBorders>
            <w:shd w:val="clear" w:color="auto" w:fill="548DD4" w:themeFill="text2" w:themeFillTint="99"/>
            <w:noWrap/>
            <w:tcMar>
              <w:top w:w="0" w:type="dxa"/>
              <w:left w:w="70" w:type="dxa"/>
              <w:bottom w:w="0" w:type="dxa"/>
              <w:right w:w="70" w:type="dxa"/>
            </w:tcMar>
            <w:vAlign w:val="center"/>
            <w:hideMark/>
          </w:tcPr>
          <w:p w14:paraId="780C18FF" w14:textId="77777777" w:rsidR="00EA170B" w:rsidRPr="00D10A57" w:rsidRDefault="00EA170B" w:rsidP="00D10A57">
            <w:pPr>
              <w:pStyle w:val="Styl1"/>
              <w:spacing w:after="0"/>
              <w:rPr>
                <w:b/>
                <w:sz w:val="20"/>
              </w:rPr>
            </w:pPr>
            <w:r w:rsidRPr="00D10A57">
              <w:rPr>
                <w:b/>
                <w:sz w:val="20"/>
              </w:rPr>
              <w:t>Ukončení  - Zahájení podnikání</w:t>
            </w:r>
          </w:p>
        </w:tc>
        <w:tc>
          <w:tcPr>
            <w:tcW w:w="2263" w:type="dxa"/>
            <w:tcBorders>
              <w:top w:val="single" w:sz="8" w:space="0" w:color="auto"/>
              <w:left w:val="nil"/>
              <w:bottom w:val="single" w:sz="8" w:space="0" w:color="auto"/>
              <w:right w:val="single" w:sz="8" w:space="0" w:color="auto"/>
            </w:tcBorders>
            <w:shd w:val="clear" w:color="auto" w:fill="548DD4" w:themeFill="text2" w:themeFillTint="99"/>
            <w:noWrap/>
            <w:tcMar>
              <w:top w:w="0" w:type="dxa"/>
              <w:left w:w="70" w:type="dxa"/>
              <w:bottom w:w="0" w:type="dxa"/>
              <w:right w:w="70" w:type="dxa"/>
            </w:tcMar>
            <w:vAlign w:val="center"/>
            <w:hideMark/>
          </w:tcPr>
          <w:p w14:paraId="0327EC12" w14:textId="77777777" w:rsidR="00EA170B" w:rsidRPr="00D10A57" w:rsidRDefault="00EA170B" w:rsidP="00D10A57">
            <w:pPr>
              <w:pStyle w:val="Styl1"/>
              <w:spacing w:after="0"/>
              <w:rPr>
                <w:b/>
                <w:sz w:val="20"/>
              </w:rPr>
            </w:pPr>
            <w:r w:rsidRPr="00D10A57">
              <w:rPr>
                <w:b/>
                <w:sz w:val="20"/>
              </w:rPr>
              <w:t>Ukončení umístění SÚPM</w:t>
            </w:r>
          </w:p>
        </w:tc>
        <w:tc>
          <w:tcPr>
            <w:tcW w:w="2263" w:type="dxa"/>
            <w:tcBorders>
              <w:top w:val="single" w:sz="8" w:space="0" w:color="auto"/>
              <w:left w:val="nil"/>
              <w:bottom w:val="single" w:sz="8" w:space="0" w:color="auto"/>
              <w:right w:val="single" w:sz="8" w:space="0" w:color="auto"/>
            </w:tcBorders>
            <w:shd w:val="clear" w:color="auto" w:fill="548DD4" w:themeFill="text2" w:themeFillTint="99"/>
            <w:noWrap/>
            <w:tcMar>
              <w:top w:w="0" w:type="dxa"/>
              <w:left w:w="70" w:type="dxa"/>
              <w:bottom w:w="0" w:type="dxa"/>
              <w:right w:w="70" w:type="dxa"/>
            </w:tcMar>
            <w:vAlign w:val="center"/>
            <w:hideMark/>
          </w:tcPr>
          <w:p w14:paraId="2D9824B7" w14:textId="77777777" w:rsidR="00EA170B" w:rsidRPr="00D10A57" w:rsidRDefault="00EA170B" w:rsidP="00D10A57">
            <w:pPr>
              <w:pStyle w:val="Styl1"/>
              <w:spacing w:after="0"/>
              <w:rPr>
                <w:b/>
                <w:sz w:val="20"/>
              </w:rPr>
            </w:pPr>
            <w:r w:rsidRPr="00D10A57">
              <w:rPr>
                <w:b/>
                <w:sz w:val="20"/>
              </w:rPr>
              <w:t>Ukončení umístění SÚPM bez příspěvku</w:t>
            </w:r>
          </w:p>
        </w:tc>
      </w:tr>
      <w:tr w:rsidR="00EA170B" w:rsidRPr="00D10A57" w14:paraId="5932E67A" w14:textId="77777777" w:rsidTr="005E140B">
        <w:trPr>
          <w:trHeight w:val="274"/>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473114" w14:textId="77777777" w:rsidR="00EA170B" w:rsidRPr="00D10A57" w:rsidRDefault="00EA170B" w:rsidP="00D56307">
            <w:pPr>
              <w:pStyle w:val="Styl1"/>
              <w:spacing w:after="0"/>
              <w:jc w:val="right"/>
              <w:rPr>
                <w:sz w:val="20"/>
              </w:rPr>
            </w:pPr>
            <w:r w:rsidRPr="00D10A57">
              <w:rPr>
                <w:sz w:val="20"/>
              </w:rPr>
              <w:t>64</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32C546" w14:textId="77777777" w:rsidR="00EA170B" w:rsidRPr="00D10A57" w:rsidRDefault="00EA170B" w:rsidP="00D56307">
            <w:pPr>
              <w:pStyle w:val="Styl1"/>
              <w:spacing w:after="0"/>
              <w:jc w:val="right"/>
              <w:rPr>
                <w:sz w:val="20"/>
              </w:rPr>
            </w:pPr>
            <w:r w:rsidRPr="00D10A57">
              <w:rPr>
                <w:sz w:val="20"/>
              </w:rPr>
              <w:t>31</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C6F5AE" w14:textId="77777777" w:rsidR="00EA170B" w:rsidRPr="00D10A57" w:rsidRDefault="00EA170B" w:rsidP="00D56307">
            <w:pPr>
              <w:pStyle w:val="Styl1"/>
              <w:spacing w:after="0"/>
              <w:jc w:val="right"/>
              <w:rPr>
                <w:sz w:val="20"/>
              </w:rPr>
            </w:pPr>
            <w:r w:rsidRPr="00D10A57">
              <w:rPr>
                <w:sz w:val="20"/>
              </w:rPr>
              <w:t>54</w:t>
            </w:r>
          </w:p>
        </w:tc>
        <w:tc>
          <w:tcPr>
            <w:tcW w:w="2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CBF998" w14:textId="77777777" w:rsidR="00EA170B" w:rsidRPr="00D10A57" w:rsidRDefault="00EA170B" w:rsidP="00D56307">
            <w:pPr>
              <w:pStyle w:val="Styl1"/>
              <w:spacing w:after="0"/>
              <w:jc w:val="right"/>
              <w:rPr>
                <w:sz w:val="20"/>
              </w:rPr>
            </w:pPr>
            <w:r w:rsidRPr="00D10A57">
              <w:rPr>
                <w:sz w:val="20"/>
              </w:rPr>
              <w:t>19</w:t>
            </w:r>
          </w:p>
        </w:tc>
      </w:tr>
    </w:tbl>
    <w:p w14:paraId="10C0C13F" w14:textId="77777777" w:rsidR="00EA170B" w:rsidRPr="00D10A57" w:rsidRDefault="00EA170B" w:rsidP="00D10A57">
      <w:pPr>
        <w:pStyle w:val="Styl1"/>
      </w:pPr>
    </w:p>
    <w:p w14:paraId="4DC24914" w14:textId="77777777" w:rsidR="00EA170B" w:rsidRPr="00D10A57" w:rsidRDefault="00EA170B" w:rsidP="00D10A57">
      <w:pPr>
        <w:pStyle w:val="Styl1"/>
      </w:pPr>
      <w:r w:rsidRPr="00D10A57">
        <w:t xml:space="preserve">Přestože realizace pilotního ověřování navrženého poradenského programu byla komplikována pandemickou situací, podařilo se díky flexibilitě a odbornosti zainteresovaných pracovníků i motivaci a zájmu samotných uchazečů během 6 měsíců dostatečně prověřit přínosnost programu a pilotáž bude na konci února 2022 ukončena a vyhodnocena. </w:t>
      </w:r>
    </w:p>
    <w:p w14:paraId="317A7123" w14:textId="77777777" w:rsidR="00EA170B" w:rsidRPr="00D10A57" w:rsidRDefault="00EA170B" w:rsidP="00D10A57">
      <w:pPr>
        <w:pStyle w:val="Styl1"/>
      </w:pPr>
      <w:r w:rsidRPr="00D10A57">
        <w:t>Podpora vlastního podnikání je již tradičně, v případě vážného zájmu o zahájení samostatné výdělečné činnosti, realizována prostřednictvím rekvalifikací zaměřených na přípravu k podnikání. V roce 2021 úspěšně absolvovalo takový kurz 59 osob prostřednictvím zabezpečované rekvalifikace a 28 osob prostřednictvím zvolené rekvalifikace.</w:t>
      </w:r>
    </w:p>
    <w:p w14:paraId="415322A2" w14:textId="37620AF3" w:rsidR="00EA170B" w:rsidRPr="00D10A57" w:rsidRDefault="00EA170B" w:rsidP="00D10A57">
      <w:pPr>
        <w:pStyle w:val="Styl1"/>
        <w:rPr>
          <w:b/>
        </w:rPr>
      </w:pPr>
      <w:r w:rsidRPr="00D10A57">
        <w:rPr>
          <w:b/>
        </w:rPr>
        <w:t>f) podporovat, prostřednictvím Ú</w:t>
      </w:r>
      <w:r w:rsidR="00FD1DA9">
        <w:rPr>
          <w:b/>
        </w:rPr>
        <w:t>P ČR</w:t>
      </w:r>
      <w:r w:rsidRPr="00D10A57">
        <w:rPr>
          <w:b/>
        </w:rPr>
        <w:t>, osvětu k předcházení nelegální práce u příslušníků romské menšiny</w:t>
      </w:r>
    </w:p>
    <w:p w14:paraId="2D646F4E" w14:textId="77777777" w:rsidR="00EA170B" w:rsidRPr="00D10A57" w:rsidRDefault="00EA170B" w:rsidP="00D10A57">
      <w:pPr>
        <w:pStyle w:val="Styl1"/>
      </w:pPr>
      <w:r w:rsidRPr="00D10A57">
        <w:t>Téměř ve všech projektech ÚP ČR je součástí klíčových aktivit finanční gramotnost, a to buď přímo formou vzdělávacího kurzu</w:t>
      </w:r>
      <w:r w:rsidR="00E17382">
        <w:t>,</w:t>
      </w:r>
      <w:r w:rsidRPr="00D10A57">
        <w:t xml:space="preserve"> nebo je finanční gramotnost zařazena jako součást některé z jiných poradenských činností. Jedním z témat je i dluhová problematika a aspekty zadluženosti, a to na základě posouzení potřeb dané skupiny či individuálních potřeb klienta. </w:t>
      </w:r>
    </w:p>
    <w:p w14:paraId="010EBDA2" w14:textId="77777777" w:rsidR="00EA170B" w:rsidRPr="00D10A57" w:rsidRDefault="00EA170B" w:rsidP="00D10A57">
      <w:pPr>
        <w:pStyle w:val="Styl1"/>
        <w:rPr>
          <w:b/>
        </w:rPr>
      </w:pPr>
      <w:r w:rsidRPr="00D10A57">
        <w:rPr>
          <w:b/>
        </w:rPr>
        <w:t>Vzdělávání zaměstnanců ÚP ČR</w:t>
      </w:r>
    </w:p>
    <w:p w14:paraId="2D8DAF78" w14:textId="474AF04E" w:rsidR="00EA170B" w:rsidRPr="00D10A57" w:rsidRDefault="00EA170B" w:rsidP="00D10A57">
      <w:pPr>
        <w:pStyle w:val="Styl1"/>
      </w:pPr>
      <w:r w:rsidRPr="00D10A57">
        <w:t xml:space="preserve">V rámci projektu (SIP) </w:t>
      </w:r>
      <w:r w:rsidRPr="008E7E2C">
        <w:rPr>
          <w:b/>
        </w:rPr>
        <w:t>Efektivní služby zaměstnanosti – EFES</w:t>
      </w:r>
      <w:r w:rsidRPr="00D10A57">
        <w:t xml:space="preserve">, reg. č. CZ.03.1.54/0.0/0.0/15_011/0000056, je v rámci KA č. 06 Vzdělávání zaměstnanců ÚP ČR realizován od 1. </w:t>
      </w:r>
      <w:r w:rsidR="00FD1DA9">
        <w:t>října</w:t>
      </w:r>
      <w:r w:rsidRPr="00D10A57">
        <w:t xml:space="preserve"> 2019 kurz „Finanční gramotnost“ pro cílovou skupinu projektu, tj. zaměstnanci ÚP ČR na úseku zaměstnanosti a na úseku nepojistných sociálních dávek (sociální pracovníci) jsou vzděláváni v této problematice za účelem poskytování informací a poradenství klientům.</w:t>
      </w:r>
    </w:p>
    <w:p w14:paraId="2F914A3D" w14:textId="77777777" w:rsidR="00EA170B" w:rsidRPr="00D10A57" w:rsidRDefault="00EA170B" w:rsidP="00D10A57">
      <w:pPr>
        <w:pStyle w:val="Styl1"/>
        <w:rPr>
          <w:b/>
        </w:rPr>
      </w:pPr>
      <w:r w:rsidRPr="00D10A57">
        <w:rPr>
          <w:b/>
        </w:rPr>
        <w:t xml:space="preserve">Preventisté nelegálního zaměstnávání </w:t>
      </w:r>
    </w:p>
    <w:p w14:paraId="73D9DB9D" w14:textId="77777777" w:rsidR="00EA170B" w:rsidRPr="00D10A57" w:rsidRDefault="00EA170B" w:rsidP="00D10A57">
      <w:pPr>
        <w:pStyle w:val="Styl1"/>
      </w:pPr>
      <w:r w:rsidRPr="00D10A57">
        <w:t>Cílem aktivity určených poradců pro zprostředkování je prevence a potírání nelegálního zaměstnávání. Konkrétně se tato aktivita týká ztížení, zabránění a zneužívání systému, spočívající ve výkonu nelegální práce paralelně s evidencí na ÚP ČR a současně s možným pobíráním podpory v nezaměstnanosti či pobíráním sociální dávky. Důraz je kladen na</w:t>
      </w:r>
      <w:r w:rsidR="00E17382">
        <w:t> </w:t>
      </w:r>
      <w:r w:rsidRPr="00D10A57">
        <w:t>maximálně efektivní práci s uchazeči o zaměstnání způsobem vysoce intenzivního individuálního a skupinového poradenství směřujícího k uplatnění na trhu práce.</w:t>
      </w:r>
    </w:p>
    <w:p w14:paraId="07CB093E" w14:textId="77777777" w:rsidR="00EA170B" w:rsidRPr="00D10A57" w:rsidRDefault="00EA170B" w:rsidP="00D10A57">
      <w:pPr>
        <w:pStyle w:val="Styl1"/>
      </w:pPr>
      <w:r w:rsidRPr="00D10A57">
        <w:t>Dlouhodobě evidovaný uchazeč o zaměstnání, ztrácí své pracovní návyky a stále se snižuje jeho uplatnitelnost na pracovním trhu. Uchazeči o zaměstnání, kteří již nepobírají podporu v nezaměstnanosti, jsou odkázáni na systém dávek, které jim v mnohých případech nepokryjí životní náklady</w:t>
      </w:r>
      <w:r w:rsidR="00E17382">
        <w:t>,</w:t>
      </w:r>
      <w:r w:rsidRPr="00D10A57">
        <w:t xml:space="preserve"> se postupně propadávají do sféry šedé ekonomiky. Intenzivní práce s uchazeči o zaměstnání, kteří jsou ohroženi rizikem nelegální práce</w:t>
      </w:r>
      <w:r w:rsidR="00E17382">
        <w:t>,</w:t>
      </w:r>
      <w:r w:rsidRPr="00D10A57">
        <w:t xml:space="preserve"> vede k uvědomění si jejich situace a zásadní změně jejich chování.</w:t>
      </w:r>
    </w:p>
    <w:p w14:paraId="132E3A50" w14:textId="77777777" w:rsidR="00EA170B" w:rsidRPr="00D10A57" w:rsidRDefault="00EA170B" w:rsidP="00D10A57">
      <w:pPr>
        <w:pStyle w:val="Styl1"/>
      </w:pPr>
      <w:r w:rsidRPr="00D10A57">
        <w:t>Díky specifickému přístupu se daří efektivně a s prokazatelnými výsledky pracovat s uchazeči o zaměstnání, kteří s vysokou pravděpodobností v souběhu s evidencí na ÚP ČR vykonávají nelegální práci či jsou díky dlouhodobé evidenci tomuto riziku vystaveni.</w:t>
      </w:r>
    </w:p>
    <w:p w14:paraId="6F7FB7AC" w14:textId="77777777" w:rsidR="00EA170B" w:rsidRPr="00D10A57" w:rsidRDefault="00EA170B" w:rsidP="00D10A57">
      <w:pPr>
        <w:pStyle w:val="Styl1"/>
        <w:rPr>
          <w:b/>
        </w:rPr>
      </w:pPr>
      <w:r w:rsidRPr="00D10A57">
        <w:rPr>
          <w:b/>
        </w:rPr>
        <w:lastRenderedPageBreak/>
        <w:t>g) sdílet zkušenosti a příklady dobré praxe formou mediálních kampaní a konferencí v oblasti diverzity na trhu práce</w:t>
      </w:r>
    </w:p>
    <w:p w14:paraId="11B62C8F" w14:textId="77777777" w:rsidR="00EA170B" w:rsidRPr="00D56307" w:rsidRDefault="00EA170B" w:rsidP="00D10A57">
      <w:pPr>
        <w:pStyle w:val="Styl1"/>
        <w:rPr>
          <w:b/>
        </w:rPr>
      </w:pPr>
      <w:r w:rsidRPr="00D56307">
        <w:rPr>
          <w:b/>
        </w:rPr>
        <w:t>h) dotačně podporovat v rámci svých existujících dotačních programů, a s využitím Evropských strukturálních a investičních fondů, rozvoj sítě bezplatného dluhového poradenství a vzdělávání sociálních pracovníků a pracovníků v sociálních službách v této oblasti</w:t>
      </w:r>
    </w:p>
    <w:p w14:paraId="14D83328" w14:textId="7751A18E" w:rsidR="00EA170B" w:rsidRPr="00D10A57" w:rsidRDefault="00EA170B" w:rsidP="00D10A57">
      <w:pPr>
        <w:pStyle w:val="Styl1"/>
      </w:pPr>
      <w:r w:rsidRPr="00D10A57">
        <w:t>Téměř ve všech projektech ÚP ČR je součástí klíčových aktivit finanční gramotnost, případně dluhové poradenství, a to buď přímo formou odborného školení či vzdělávacího kurzu nebo je finanční gramotnost zařazena jako součást některé z jiných poradenských činností. Od 1.</w:t>
      </w:r>
      <w:r w:rsidR="00E17382">
        <w:t> </w:t>
      </w:r>
      <w:r w:rsidR="007E5FC0">
        <w:t>ledna</w:t>
      </w:r>
      <w:r w:rsidR="00E17382">
        <w:t> </w:t>
      </w:r>
      <w:r w:rsidRPr="00D10A57">
        <w:t>2019 realizuje ÚP ČR národní projekt Podpora zaměstnanosti dlouhodobě evidovaných uchazečů o zaměstnání (</w:t>
      </w:r>
      <w:r w:rsidR="007E5FC0">
        <w:t>dále jen „</w:t>
      </w:r>
      <w:r w:rsidRPr="00D10A57">
        <w:t>PDU</w:t>
      </w:r>
      <w:r w:rsidR="007E5FC0">
        <w:t>“</w:t>
      </w:r>
      <w:r w:rsidRPr="00D10A57">
        <w:t xml:space="preserve">). Hlavním cílem projektu je zvýšení zaměstnanosti a zaměstnatelnosti dlouhodobě evidovaných uchazečů o zaměstnání na ÚP ČR. V rámci KA č. 4 projektu PDU jsou realizovány Programy / kurzy v oblasti finanční gramotnosti. Programy / kurzy jsou pro </w:t>
      </w:r>
      <w:r w:rsidR="007E5FC0">
        <w:t>cílové skupiny</w:t>
      </w:r>
      <w:r w:rsidRPr="00D10A57">
        <w:t xml:space="preserve"> zaměřeny zejména na dluhovou problematiku a aspekty zadluženosti, na základě posouzení potřeb dané skupiny.</w:t>
      </w:r>
    </w:p>
    <w:p w14:paraId="452F4AC4" w14:textId="11AFC5C4" w:rsidR="00EA170B" w:rsidRPr="00D10A57" w:rsidRDefault="00EA170B" w:rsidP="00D10A57">
      <w:pPr>
        <w:pStyle w:val="Styl1"/>
      </w:pPr>
      <w:r w:rsidRPr="00D10A57">
        <w:t xml:space="preserve">V roce 2021 realizoval ÚP ČR celkem 50 </w:t>
      </w:r>
      <w:r w:rsidR="007E5FC0">
        <w:t>RIP</w:t>
      </w:r>
      <w:r w:rsidRPr="00D10A57">
        <w:t>. V rámci realizace RIP je finanční gramotnost, případně dluhové poradenství součástí klíčových aktivit přímo (součástí aktivit projektu formou odborného školení) nebo je zařazena finanční gramotnost (případně dluhové poradenství) jako součást motivačního nebo poradenského programu, také je zařazována v rámci skupinového poradenství, případně v rámci doprovodných opatření.</w:t>
      </w:r>
    </w:p>
    <w:p w14:paraId="425414C0" w14:textId="5B68920D" w:rsidR="00EA170B" w:rsidRPr="00D10A57" w:rsidRDefault="00EA170B" w:rsidP="00D10A57">
      <w:pPr>
        <w:pStyle w:val="Styl1"/>
      </w:pPr>
      <w:r w:rsidRPr="00D10A57">
        <w:t>Podpora řešení dluhové problematiky byla zařazena jako jedna z aktivit výzvy na podporu koordinovaného přístupu k sociálně vyloučeným lokalitám č. 03_16_052 (výzva vyhlášená v O</w:t>
      </w:r>
      <w:r w:rsidR="007E5FC0">
        <w:t>P</w:t>
      </w:r>
      <w:r w:rsidRPr="00D10A57">
        <w:t xml:space="preserve">Z 2014–2020). V roce 2021 bylo v realizaci 30 projektů v hodnotě 133 mil. Kč, jednalo se většinou o tříleté projekty. </w:t>
      </w:r>
    </w:p>
    <w:p w14:paraId="2EACD188" w14:textId="0D6C2D6A" w:rsidR="00EA170B" w:rsidRPr="00D10A57" w:rsidRDefault="00EA170B" w:rsidP="00D10A57">
      <w:pPr>
        <w:pStyle w:val="Styl1"/>
      </w:pPr>
      <w:r w:rsidRPr="00D10A57">
        <w:t>Další dotační podpora bude řešena v rámci výzev O</w:t>
      </w:r>
      <w:r w:rsidR="007E5FC0">
        <w:t>PZ+</w:t>
      </w:r>
      <w:r w:rsidRPr="00D10A57">
        <w:t xml:space="preserve"> 2021–2027.</w:t>
      </w:r>
    </w:p>
    <w:p w14:paraId="36EF28B2" w14:textId="77777777" w:rsidR="00EA170B" w:rsidRPr="00D10A57" w:rsidRDefault="00EA170B" w:rsidP="00D10A57">
      <w:pPr>
        <w:pStyle w:val="Styl1"/>
        <w:rPr>
          <w:b/>
        </w:rPr>
      </w:pPr>
      <w:r w:rsidRPr="00D10A57">
        <w:rPr>
          <w:b/>
        </w:rPr>
        <w:t>Vzdělávání zaměstnanců ÚP ČR</w:t>
      </w:r>
    </w:p>
    <w:p w14:paraId="0FF909C9" w14:textId="19E16FFB" w:rsidR="00EA170B" w:rsidRPr="00D10A57" w:rsidRDefault="00EA170B" w:rsidP="00D10A57">
      <w:pPr>
        <w:pStyle w:val="Styl1"/>
      </w:pPr>
      <w:r w:rsidRPr="00D10A57">
        <w:t>V rámci SIP Efektivní služby zaměstnanosti – EFES, je v rámci KA č.</w:t>
      </w:r>
      <w:r w:rsidR="00E17382">
        <w:t> </w:t>
      </w:r>
      <w:r w:rsidRPr="00D10A57">
        <w:t xml:space="preserve">06 Vzdělávání zaměstnanců realizován od 1. </w:t>
      </w:r>
      <w:r w:rsidR="007E5FC0">
        <w:t>října</w:t>
      </w:r>
      <w:r w:rsidRPr="00D10A57">
        <w:t xml:space="preserve"> 2019 kurz „Finanční gramotnost“ pro cílovou skupinu projektu, tj. zaměstnanci ÚP</w:t>
      </w:r>
      <w:r w:rsidR="005802B5">
        <w:t> </w:t>
      </w:r>
      <w:r w:rsidRPr="00D10A57">
        <w:t>ČR na úseku zaměstnanosti a na úseku nepojistných sociálních dávek (sociální pracovníci).</w:t>
      </w:r>
    </w:p>
    <w:p w14:paraId="5FF924AE" w14:textId="77777777" w:rsidR="00EA170B" w:rsidRPr="00D10A57" w:rsidRDefault="00EA170B" w:rsidP="00D10A57">
      <w:pPr>
        <w:pStyle w:val="Styl1"/>
        <w:rPr>
          <w:b/>
        </w:rPr>
      </w:pPr>
      <w:r w:rsidRPr="00D10A57">
        <w:rPr>
          <w:b/>
        </w:rPr>
        <w:t>i) podporovat monitoring a evaluaci programu aktivní politiky zaměstnanosti, sledovat do jaké míry reagují na specifické potřeby romských uchazečů o zaměstnání na trhu práce</w:t>
      </w:r>
    </w:p>
    <w:p w14:paraId="74011E0B" w14:textId="77777777" w:rsidR="00EA170B" w:rsidRPr="00D10A57" w:rsidRDefault="00EA170B" w:rsidP="00D10A57">
      <w:pPr>
        <w:pStyle w:val="Styl1"/>
      </w:pPr>
      <w:r w:rsidRPr="00D10A57">
        <w:t xml:space="preserve">V roce 2021 pokračovala realizace projektu MPSV a Výzkumný ústav práce a sociálních věcí, v. v. i. „Vyhodnocování účinnosti a efektivity realizace aktivní politiky zaměstnanosti“. V tomto roce proběhly analýzy SÚPM, byla vydána výzkumná zpráva k vyhodnocení dopadu a cílenosti veřejně prospěšných prací se zřetelem na opakované účasti v programu a dokončení samotného systému monitoringu vyhodnocování nástrojů APZ.   </w:t>
      </w:r>
    </w:p>
    <w:p w14:paraId="69EA8F58" w14:textId="77777777" w:rsidR="00EA170B" w:rsidRPr="00D10A57" w:rsidRDefault="00EA170B" w:rsidP="00D10A57">
      <w:pPr>
        <w:pStyle w:val="Styl1"/>
        <w:rPr>
          <w:b/>
        </w:rPr>
      </w:pPr>
      <w:r w:rsidRPr="00D10A57">
        <w:rPr>
          <w:b/>
        </w:rPr>
        <w:t>j) monitorovat výskyt diskriminace na trhu práce a šířit principy rovného zacházení s romskými uchazeči o zaměstnání na trhu práce</w:t>
      </w:r>
    </w:p>
    <w:p w14:paraId="668A0CD7" w14:textId="24E7E38B" w:rsidR="005D506E" w:rsidRPr="00D10A57" w:rsidRDefault="00EA170B" w:rsidP="00D10A57">
      <w:pPr>
        <w:pStyle w:val="Styl1"/>
        <w:rPr>
          <w:b/>
        </w:rPr>
      </w:pPr>
      <w:r w:rsidRPr="00D10A57">
        <w:t>V případě, že Ú</w:t>
      </w:r>
      <w:r w:rsidR="007E5FC0">
        <w:t>P</w:t>
      </w:r>
      <w:r w:rsidRPr="00D10A57">
        <w:t xml:space="preserve"> ČR zjistí diskriminaci, předává podnět na SUÍP, který má gesci v daném postupovat. Ú</w:t>
      </w:r>
      <w:r w:rsidR="007E5FC0">
        <w:t>P</w:t>
      </w:r>
      <w:r w:rsidRPr="00D10A57">
        <w:t xml:space="preserve"> ČR pravidelně kontroluje v případě zveřejňování </w:t>
      </w:r>
      <w:r w:rsidR="007E5FC0">
        <w:t>volných pracovních míst</w:t>
      </w:r>
      <w:r w:rsidRPr="00D10A57">
        <w:t xml:space="preserve"> diskriminační prvky poptávaných volných pracovních míst zaměstnavatelů. </w:t>
      </w:r>
    </w:p>
    <w:p w14:paraId="591B8732" w14:textId="77777777" w:rsidR="00EA170B" w:rsidRPr="00D10A57" w:rsidRDefault="00EA170B" w:rsidP="00D10A57">
      <w:pPr>
        <w:pStyle w:val="Styl1"/>
        <w:rPr>
          <w:b/>
        </w:rPr>
      </w:pPr>
      <w:r w:rsidRPr="00D10A57">
        <w:rPr>
          <w:b/>
        </w:rPr>
        <w:lastRenderedPageBreak/>
        <w:t>k) působit preventivně vůči ztrátě bydlení romských domácností a omezovat využívání substandardních forem bydlení</w:t>
      </w:r>
    </w:p>
    <w:tbl>
      <w:tblPr>
        <w:tblStyle w:val="Mkatabulky"/>
        <w:tblW w:w="0" w:type="auto"/>
        <w:tblLook w:val="04A0" w:firstRow="1" w:lastRow="0" w:firstColumn="1" w:lastColumn="0" w:noHBand="0" w:noVBand="1"/>
      </w:tblPr>
      <w:tblGrid>
        <w:gridCol w:w="5684"/>
        <w:gridCol w:w="1025"/>
      </w:tblGrid>
      <w:tr w:rsidR="00EA170B" w:rsidRPr="00D10A57" w14:paraId="78C8EF08" w14:textId="77777777" w:rsidTr="004274AD">
        <w:trPr>
          <w:trHeight w:val="300"/>
        </w:trPr>
        <w:tc>
          <w:tcPr>
            <w:tcW w:w="0" w:type="auto"/>
            <w:gridSpan w:val="2"/>
            <w:shd w:val="clear" w:color="auto" w:fill="548DD4" w:themeFill="text2" w:themeFillTint="99"/>
            <w:noWrap/>
            <w:hideMark/>
          </w:tcPr>
          <w:p w14:paraId="101E6302" w14:textId="77777777" w:rsidR="00EA170B" w:rsidRPr="00D10A57" w:rsidRDefault="00EA170B" w:rsidP="00D56307">
            <w:pPr>
              <w:pStyle w:val="Styl1"/>
              <w:spacing w:after="0"/>
              <w:jc w:val="right"/>
              <w:rPr>
                <w:rFonts w:eastAsia="Times New Roman"/>
                <w:b/>
                <w:lang w:eastAsia="cs-CZ"/>
              </w:rPr>
            </w:pPr>
            <w:r w:rsidRPr="00D10A57">
              <w:rPr>
                <w:rFonts w:eastAsia="Times New Roman"/>
                <w:b/>
                <w:lang w:eastAsia="cs-CZ"/>
              </w:rPr>
              <w:t>Přehled sociálních služeb v ČR v oblasti řešení otázky bydlení</w:t>
            </w:r>
          </w:p>
        </w:tc>
      </w:tr>
      <w:tr w:rsidR="00EA170B" w:rsidRPr="00D10A57" w14:paraId="7B9B6962" w14:textId="77777777" w:rsidTr="004274AD">
        <w:trPr>
          <w:trHeight w:val="300"/>
        </w:trPr>
        <w:tc>
          <w:tcPr>
            <w:tcW w:w="0" w:type="auto"/>
            <w:noWrap/>
            <w:hideMark/>
          </w:tcPr>
          <w:p w14:paraId="4F8705A9" w14:textId="77777777" w:rsidR="00EA170B" w:rsidRPr="00D10A57" w:rsidRDefault="00EA170B" w:rsidP="00D10A57">
            <w:pPr>
              <w:pStyle w:val="Styl1"/>
              <w:spacing w:after="0"/>
              <w:rPr>
                <w:rFonts w:eastAsia="Times New Roman"/>
                <w:lang w:eastAsia="cs-CZ"/>
              </w:rPr>
            </w:pPr>
            <w:r w:rsidRPr="00D10A57">
              <w:rPr>
                <w:rFonts w:eastAsia="Times New Roman"/>
                <w:lang w:eastAsia="cs-CZ"/>
              </w:rPr>
              <w:t>azylové domy</w:t>
            </w:r>
          </w:p>
        </w:tc>
        <w:tc>
          <w:tcPr>
            <w:tcW w:w="0" w:type="auto"/>
            <w:noWrap/>
            <w:hideMark/>
          </w:tcPr>
          <w:p w14:paraId="09F0F2B3" w14:textId="77777777" w:rsidR="00EA170B" w:rsidRPr="00D10A57" w:rsidRDefault="00EA170B" w:rsidP="00D56307">
            <w:pPr>
              <w:pStyle w:val="Styl1"/>
              <w:spacing w:after="0"/>
              <w:jc w:val="right"/>
              <w:rPr>
                <w:rFonts w:eastAsia="Times New Roman"/>
                <w:lang w:eastAsia="cs-CZ"/>
              </w:rPr>
            </w:pPr>
            <w:r w:rsidRPr="00D10A57">
              <w:rPr>
                <w:rFonts w:eastAsia="Times New Roman"/>
                <w:lang w:eastAsia="cs-CZ"/>
              </w:rPr>
              <w:t>213</w:t>
            </w:r>
          </w:p>
        </w:tc>
      </w:tr>
      <w:tr w:rsidR="00EA170B" w:rsidRPr="00D10A57" w14:paraId="3D1F52BA" w14:textId="77777777" w:rsidTr="004274AD">
        <w:trPr>
          <w:trHeight w:val="300"/>
        </w:trPr>
        <w:tc>
          <w:tcPr>
            <w:tcW w:w="0" w:type="auto"/>
            <w:noWrap/>
            <w:hideMark/>
          </w:tcPr>
          <w:p w14:paraId="1426C2D3" w14:textId="77777777" w:rsidR="00EA170B" w:rsidRPr="00D10A57" w:rsidRDefault="00EA170B" w:rsidP="00D10A57">
            <w:pPr>
              <w:pStyle w:val="Styl1"/>
              <w:spacing w:after="0"/>
              <w:rPr>
                <w:rFonts w:eastAsia="Times New Roman"/>
                <w:lang w:eastAsia="cs-CZ"/>
              </w:rPr>
            </w:pPr>
            <w:r w:rsidRPr="00D10A57">
              <w:rPr>
                <w:rFonts w:eastAsia="Times New Roman"/>
                <w:lang w:eastAsia="cs-CZ"/>
              </w:rPr>
              <w:t>domy na půl cesty</w:t>
            </w:r>
          </w:p>
        </w:tc>
        <w:tc>
          <w:tcPr>
            <w:tcW w:w="0" w:type="auto"/>
            <w:noWrap/>
            <w:hideMark/>
          </w:tcPr>
          <w:p w14:paraId="2E0CD39F" w14:textId="77777777" w:rsidR="00EA170B" w:rsidRPr="00D10A57" w:rsidRDefault="00EA170B" w:rsidP="00D56307">
            <w:pPr>
              <w:pStyle w:val="Styl1"/>
              <w:spacing w:after="0"/>
              <w:jc w:val="right"/>
              <w:rPr>
                <w:rFonts w:eastAsia="Times New Roman"/>
                <w:lang w:eastAsia="cs-CZ"/>
              </w:rPr>
            </w:pPr>
            <w:r w:rsidRPr="00D10A57">
              <w:rPr>
                <w:rFonts w:eastAsia="Times New Roman"/>
                <w:lang w:eastAsia="cs-CZ"/>
              </w:rPr>
              <w:t>26</w:t>
            </w:r>
          </w:p>
        </w:tc>
      </w:tr>
      <w:tr w:rsidR="00EA170B" w:rsidRPr="00D10A57" w14:paraId="225C5D8A" w14:textId="77777777" w:rsidTr="004274AD">
        <w:trPr>
          <w:trHeight w:val="300"/>
        </w:trPr>
        <w:tc>
          <w:tcPr>
            <w:tcW w:w="0" w:type="auto"/>
            <w:noWrap/>
            <w:hideMark/>
          </w:tcPr>
          <w:p w14:paraId="75B58CD9" w14:textId="77777777" w:rsidR="00EA170B" w:rsidRPr="00D10A57" w:rsidRDefault="00EA170B" w:rsidP="00D10A57">
            <w:pPr>
              <w:pStyle w:val="Styl1"/>
              <w:spacing w:after="0"/>
              <w:rPr>
                <w:rFonts w:eastAsia="Times New Roman"/>
                <w:lang w:eastAsia="cs-CZ"/>
              </w:rPr>
            </w:pPr>
            <w:r w:rsidRPr="00D10A57">
              <w:rPr>
                <w:rFonts w:eastAsia="Times New Roman"/>
                <w:lang w:eastAsia="cs-CZ"/>
              </w:rPr>
              <w:t>chráněné bydlení</w:t>
            </w:r>
          </w:p>
        </w:tc>
        <w:tc>
          <w:tcPr>
            <w:tcW w:w="0" w:type="auto"/>
            <w:noWrap/>
            <w:hideMark/>
          </w:tcPr>
          <w:p w14:paraId="50E95485" w14:textId="77777777" w:rsidR="00EA170B" w:rsidRPr="00D10A57" w:rsidRDefault="00EA170B" w:rsidP="00D56307">
            <w:pPr>
              <w:pStyle w:val="Styl1"/>
              <w:spacing w:after="0"/>
              <w:jc w:val="right"/>
              <w:rPr>
                <w:rFonts w:eastAsia="Times New Roman"/>
                <w:lang w:eastAsia="cs-CZ"/>
              </w:rPr>
            </w:pPr>
            <w:r w:rsidRPr="00D10A57">
              <w:rPr>
                <w:rFonts w:eastAsia="Times New Roman"/>
                <w:lang w:eastAsia="cs-CZ"/>
              </w:rPr>
              <w:t>223</w:t>
            </w:r>
          </w:p>
        </w:tc>
      </w:tr>
      <w:tr w:rsidR="00EA170B" w:rsidRPr="00D10A57" w14:paraId="3F9AA76C" w14:textId="77777777" w:rsidTr="004274AD">
        <w:trPr>
          <w:trHeight w:val="300"/>
        </w:trPr>
        <w:tc>
          <w:tcPr>
            <w:tcW w:w="0" w:type="auto"/>
            <w:noWrap/>
            <w:hideMark/>
          </w:tcPr>
          <w:p w14:paraId="4C7D4E33" w14:textId="77777777" w:rsidR="00EA170B" w:rsidRPr="00D10A57" w:rsidRDefault="00EA170B" w:rsidP="00D10A57">
            <w:pPr>
              <w:pStyle w:val="Styl1"/>
              <w:spacing w:after="0"/>
              <w:rPr>
                <w:rFonts w:eastAsia="Times New Roman"/>
                <w:lang w:eastAsia="cs-CZ"/>
              </w:rPr>
            </w:pPr>
            <w:r w:rsidRPr="00D10A57">
              <w:rPr>
                <w:rFonts w:eastAsia="Times New Roman"/>
                <w:lang w:eastAsia="cs-CZ"/>
              </w:rPr>
              <w:t>noclehárny</w:t>
            </w:r>
          </w:p>
        </w:tc>
        <w:tc>
          <w:tcPr>
            <w:tcW w:w="0" w:type="auto"/>
            <w:noWrap/>
            <w:hideMark/>
          </w:tcPr>
          <w:p w14:paraId="7E2DD6E9" w14:textId="77777777" w:rsidR="00EA170B" w:rsidRPr="00D10A57" w:rsidRDefault="00EA170B" w:rsidP="00D56307">
            <w:pPr>
              <w:pStyle w:val="Styl1"/>
              <w:spacing w:after="0"/>
              <w:jc w:val="right"/>
              <w:rPr>
                <w:rFonts w:eastAsia="Times New Roman"/>
                <w:lang w:eastAsia="cs-CZ"/>
              </w:rPr>
            </w:pPr>
            <w:r w:rsidRPr="00D10A57">
              <w:rPr>
                <w:rFonts w:eastAsia="Times New Roman"/>
                <w:lang w:eastAsia="cs-CZ"/>
              </w:rPr>
              <w:t>79</w:t>
            </w:r>
          </w:p>
        </w:tc>
      </w:tr>
      <w:tr w:rsidR="00EA170B" w:rsidRPr="00D10A57" w14:paraId="004D1BFD" w14:textId="77777777" w:rsidTr="004274AD">
        <w:trPr>
          <w:trHeight w:val="300"/>
        </w:trPr>
        <w:tc>
          <w:tcPr>
            <w:tcW w:w="0" w:type="auto"/>
            <w:noWrap/>
            <w:hideMark/>
          </w:tcPr>
          <w:p w14:paraId="2B15C0F6" w14:textId="77777777" w:rsidR="00EA170B" w:rsidRPr="00D10A57" w:rsidRDefault="00EA170B" w:rsidP="00D10A57">
            <w:pPr>
              <w:pStyle w:val="Styl1"/>
              <w:spacing w:after="0"/>
              <w:rPr>
                <w:rFonts w:eastAsia="Times New Roman"/>
                <w:lang w:eastAsia="cs-CZ"/>
              </w:rPr>
            </w:pPr>
            <w:r w:rsidRPr="00D10A57">
              <w:rPr>
                <w:rFonts w:eastAsia="Times New Roman"/>
                <w:lang w:eastAsia="cs-CZ"/>
              </w:rPr>
              <w:t>podpora samostatného bydlení</w:t>
            </w:r>
          </w:p>
        </w:tc>
        <w:tc>
          <w:tcPr>
            <w:tcW w:w="0" w:type="auto"/>
            <w:noWrap/>
            <w:hideMark/>
          </w:tcPr>
          <w:p w14:paraId="7C987854" w14:textId="77777777" w:rsidR="00EA170B" w:rsidRPr="00D10A57" w:rsidRDefault="00EA170B" w:rsidP="00D56307">
            <w:pPr>
              <w:pStyle w:val="Styl1"/>
              <w:spacing w:after="0"/>
              <w:jc w:val="right"/>
              <w:rPr>
                <w:rFonts w:eastAsia="Times New Roman"/>
                <w:lang w:eastAsia="cs-CZ"/>
              </w:rPr>
            </w:pPr>
            <w:r w:rsidRPr="00D10A57">
              <w:rPr>
                <w:rFonts w:eastAsia="Times New Roman"/>
                <w:lang w:eastAsia="cs-CZ"/>
              </w:rPr>
              <w:t>57</w:t>
            </w:r>
          </w:p>
        </w:tc>
      </w:tr>
      <w:tr w:rsidR="00EA170B" w:rsidRPr="00D10A57" w14:paraId="7B970AC7" w14:textId="77777777" w:rsidTr="004274AD">
        <w:trPr>
          <w:trHeight w:val="300"/>
        </w:trPr>
        <w:tc>
          <w:tcPr>
            <w:tcW w:w="0" w:type="auto"/>
            <w:noWrap/>
            <w:hideMark/>
          </w:tcPr>
          <w:p w14:paraId="29377AEC" w14:textId="77777777" w:rsidR="00EA170B" w:rsidRPr="00D10A57" w:rsidRDefault="00EA170B" w:rsidP="00D10A57">
            <w:pPr>
              <w:pStyle w:val="Styl1"/>
              <w:spacing w:after="0"/>
              <w:rPr>
                <w:rFonts w:eastAsia="Times New Roman"/>
                <w:lang w:eastAsia="cs-CZ"/>
              </w:rPr>
            </w:pPr>
            <w:r w:rsidRPr="00D10A57">
              <w:rPr>
                <w:rFonts w:eastAsia="Times New Roman"/>
                <w:lang w:eastAsia="cs-CZ"/>
              </w:rPr>
              <w:t>odborné sociální poradenství</w:t>
            </w:r>
          </w:p>
        </w:tc>
        <w:tc>
          <w:tcPr>
            <w:tcW w:w="0" w:type="auto"/>
            <w:noWrap/>
            <w:hideMark/>
          </w:tcPr>
          <w:p w14:paraId="50738A8C" w14:textId="77777777" w:rsidR="00EA170B" w:rsidRPr="00D10A57" w:rsidRDefault="00EA170B" w:rsidP="00D56307">
            <w:pPr>
              <w:pStyle w:val="Styl1"/>
              <w:spacing w:after="0"/>
              <w:jc w:val="right"/>
              <w:rPr>
                <w:rFonts w:eastAsia="Times New Roman"/>
                <w:lang w:eastAsia="cs-CZ"/>
              </w:rPr>
            </w:pPr>
            <w:r w:rsidRPr="00D10A57">
              <w:rPr>
                <w:rFonts w:eastAsia="Times New Roman"/>
                <w:lang w:eastAsia="cs-CZ"/>
              </w:rPr>
              <w:t>542</w:t>
            </w:r>
          </w:p>
        </w:tc>
      </w:tr>
    </w:tbl>
    <w:p w14:paraId="6C85600A" w14:textId="77777777" w:rsidR="00EA170B" w:rsidRPr="00D10A57" w:rsidRDefault="00EA170B" w:rsidP="00D10A57">
      <w:pPr>
        <w:pStyle w:val="Styl1"/>
      </w:pPr>
      <w:r w:rsidRPr="00D10A57">
        <w:t>Zdroj dat: Registr poskytovatelů sociálních služeb</w:t>
      </w:r>
    </w:p>
    <w:p w14:paraId="53C24143" w14:textId="6F111380" w:rsidR="00EA170B" w:rsidRPr="00D10A57" w:rsidRDefault="00EA170B" w:rsidP="00D10A57">
      <w:pPr>
        <w:pStyle w:val="Styl1"/>
      </w:pPr>
      <w:r w:rsidRPr="00D10A57">
        <w:t>Data aktuální ke dni: 8.</w:t>
      </w:r>
      <w:r w:rsidR="007E5FC0">
        <w:t xml:space="preserve"> března </w:t>
      </w:r>
      <w:r w:rsidRPr="00D10A57">
        <w:t>2022</w:t>
      </w:r>
    </w:p>
    <w:p w14:paraId="5E4E9B41" w14:textId="77777777" w:rsidR="00EA170B" w:rsidRPr="00D10A57" w:rsidRDefault="00EA170B" w:rsidP="00D10A57">
      <w:pPr>
        <w:pStyle w:val="Styl1"/>
      </w:pPr>
      <w:r w:rsidRPr="00D10A57">
        <w:t>Podpora řešení problematiky bydlení prostřednictvím podpory a rozvoje sociální práce jako nástroje zprostředkujícího přístup k adekvátnímu bydlení a jeho udržení, zaměřené na koordinaci aktivit na místní úrovni a řešení prevence prostorového vyloučení a vzniku sociálně vyloučených lokalit i bezdomovectví byla jednou z aktivit výzvy na podporu koordinovaného přístupu k sociálně vyloučeným lokalitám č. 03_16_052. V roce 2021 bylo v realizaci 31 projektů v hodnotě 230 mil. Kč, jednalo se většinou o tříleté projekty.</w:t>
      </w:r>
    </w:p>
    <w:p w14:paraId="08A6E662" w14:textId="6F9409F5" w:rsidR="00EA170B" w:rsidRPr="00D10A57" w:rsidRDefault="00EA170B" w:rsidP="00D10A57">
      <w:pPr>
        <w:pStyle w:val="Styl1"/>
        <w:rPr>
          <w:color w:val="212121"/>
        </w:rPr>
      </w:pPr>
      <w:r w:rsidRPr="00D10A57">
        <w:rPr>
          <w:color w:val="212121"/>
        </w:rPr>
        <w:t>M</w:t>
      </w:r>
      <w:r w:rsidR="007E5FC0">
        <w:rPr>
          <w:color w:val="212121"/>
        </w:rPr>
        <w:t>PSV</w:t>
      </w:r>
      <w:r w:rsidRPr="00D10A57">
        <w:rPr>
          <w:color w:val="212121"/>
        </w:rPr>
        <w:t xml:space="preserve"> pomáhá předcházet ztrátě bydlení u romských domácností prostřednictvím systému sociálních dávek na bydlení, jako jsou příspěvek a</w:t>
      </w:r>
      <w:r w:rsidR="005802B5">
        <w:rPr>
          <w:color w:val="212121"/>
        </w:rPr>
        <w:t> </w:t>
      </w:r>
      <w:r w:rsidRPr="00D10A57">
        <w:rPr>
          <w:color w:val="212121"/>
        </w:rPr>
        <w:t>doplatek na bydlení, popř. mimořádná okamžitá pomoc. M</w:t>
      </w:r>
      <w:r w:rsidR="007E5FC0">
        <w:rPr>
          <w:color w:val="212121"/>
        </w:rPr>
        <w:t>PSV</w:t>
      </w:r>
      <w:r w:rsidRPr="00D10A57">
        <w:rPr>
          <w:color w:val="212121"/>
        </w:rPr>
        <w:t xml:space="preserve"> také podporuje prevenci ztráty bydlení a omezování využívání substandardních forem bydlení u romských domácností skrze dotační programy financované z rozpočtu ministerstva a</w:t>
      </w:r>
      <w:r w:rsidR="007E5FC0">
        <w:rPr>
          <w:color w:val="212121"/>
        </w:rPr>
        <w:t xml:space="preserve"> </w:t>
      </w:r>
      <w:r w:rsidRPr="00D10A57">
        <w:rPr>
          <w:color w:val="212121"/>
        </w:rPr>
        <w:t>fondů</w:t>
      </w:r>
      <w:r w:rsidR="007E5FC0">
        <w:rPr>
          <w:color w:val="212121"/>
        </w:rPr>
        <w:t xml:space="preserve"> EU</w:t>
      </w:r>
      <w:r w:rsidRPr="00D10A57">
        <w:rPr>
          <w:color w:val="212121"/>
        </w:rPr>
        <w:t>, ze kterých jsou realizovány projekty na podporu prevence ztráty bydlení a ukončování bytové nouze</w:t>
      </w:r>
      <w:r w:rsidRPr="00D10A57">
        <w:rPr>
          <w:color w:val="212121"/>
          <w:vertAlign w:val="superscript"/>
        </w:rPr>
        <w:footnoteReference w:id="8"/>
      </w:r>
      <w:r w:rsidRPr="00D10A57">
        <w:rPr>
          <w:color w:val="212121"/>
        </w:rPr>
        <w:t xml:space="preserve"> jednotlivců a rodin</w:t>
      </w:r>
      <w:r w:rsidRPr="00D56307">
        <w:rPr>
          <w:color w:val="212121"/>
        </w:rPr>
        <w:t>. Jedná se např. o projekty realizované OPZ.</w:t>
      </w:r>
    </w:p>
    <w:p w14:paraId="05E0E1F2" w14:textId="77777777" w:rsidR="00EA170B" w:rsidRPr="00D10A57" w:rsidRDefault="00EA170B" w:rsidP="00D10A57">
      <w:pPr>
        <w:pStyle w:val="Styl1"/>
        <w:rPr>
          <w:color w:val="212121"/>
        </w:rPr>
      </w:pPr>
      <w:r w:rsidRPr="00D10A57">
        <w:rPr>
          <w:color w:val="212121"/>
        </w:rPr>
        <w:t xml:space="preserve">MPSV také působí preventivně vůči ztrátě bydlení a bytové nouzi romských domácností v rámci systémového projektu </w:t>
      </w:r>
      <w:r w:rsidRPr="008E7E2C">
        <w:rPr>
          <w:b/>
          <w:color w:val="212121"/>
        </w:rPr>
        <w:t>„Sociální bydlení – metodická a informační podpora v oblasti sociálních agend“ (2016 - 2022)</w:t>
      </w:r>
      <w:r w:rsidRPr="00D10A57">
        <w:rPr>
          <w:color w:val="212121"/>
        </w:rPr>
        <w:t>, který si klade za cíl zavést a rozvíjet systém sociálního bydlení v ČR.. MPSV v rámci projektu podporovalo třináct projektů Housing First. Za dva roky díky projektům získalo domov více než 531 lidí, z toho 246 dětí. Podařilo se pro ně získat pronájmy v 200 bytech. Naprosté většině těchto lidí se díky podpoře sociálních pracovníků podařilo bydlení udržet a dodnes bydlí. V přibližně 40 procentech zabydlených domácností je alespoň jedna osoba romské národnosti.</w:t>
      </w:r>
      <w:r w:rsidRPr="00D10A57">
        <w:rPr>
          <w:color w:val="212121"/>
          <w:vertAlign w:val="superscript"/>
        </w:rPr>
        <w:footnoteReference w:id="9"/>
      </w:r>
    </w:p>
    <w:p w14:paraId="1F48B810" w14:textId="76853928" w:rsidR="00EA170B" w:rsidRPr="00D10A57" w:rsidRDefault="00EA170B" w:rsidP="00D10A57">
      <w:pPr>
        <w:pStyle w:val="Styl1"/>
        <w:rPr>
          <w:color w:val="212121"/>
        </w:rPr>
      </w:pPr>
      <w:r w:rsidRPr="00D10A57">
        <w:t>M</w:t>
      </w:r>
      <w:r w:rsidR="007E5FC0">
        <w:t>PSV</w:t>
      </w:r>
      <w:r w:rsidRPr="00D10A57">
        <w:t xml:space="preserve"> věcí předložilo vládě v září roku 2020 </w:t>
      </w:r>
      <w:r w:rsidRPr="00D10A57">
        <w:rPr>
          <w:color w:val="212121"/>
        </w:rPr>
        <w:t>Koncepci dostupného bydlení České republiky 2020–2025. Tento dokument je aktualizovaným materiálem Koncepce sociálního bydlení České republiky 2015-2025. Koncepce poukazuje na možná rizika problematického přístupu k bydlení (například z důvodu diskriminace či stereotypizace ze strany společnosti); zdůrazňuje potřebu standardních forem bydlení (tzn. mimo ubytovny a azylové domy) a zakotvení prostorových a kvalitativních standardů. Aktualizovaná verze Koncepce však nebyla vládou schválena.</w:t>
      </w:r>
    </w:p>
    <w:p w14:paraId="43CA0BAA" w14:textId="77777777" w:rsidR="00EA170B" w:rsidRPr="00D10A57" w:rsidRDefault="00EA170B" w:rsidP="00D10A57">
      <w:pPr>
        <w:pStyle w:val="Styl1"/>
      </w:pPr>
      <w:r w:rsidRPr="00D10A57">
        <w:rPr>
          <w:color w:val="212121"/>
        </w:rPr>
        <w:lastRenderedPageBreak/>
        <w:t>V roce 2021 probíhaly práce na novelizaci zákona č.</w:t>
      </w:r>
      <w:r w:rsidR="00372FE9">
        <w:rPr>
          <w:color w:val="212121"/>
        </w:rPr>
        <w:t> </w:t>
      </w:r>
      <w:r w:rsidRPr="00D10A57">
        <w:rPr>
          <w:color w:val="212121"/>
        </w:rPr>
        <w:t>108/2006 Sb., o sociálních službách, jehož součástí byl i návrh na ukotvení základní činnosti při poskytování sociální služby prevence ztráty bydlení. Návrh novely byl zamítnut senátem.</w:t>
      </w:r>
    </w:p>
    <w:p w14:paraId="392E4808" w14:textId="77777777" w:rsidR="00EA170B" w:rsidRPr="00D10A57" w:rsidRDefault="00EA170B" w:rsidP="00D10A57">
      <w:pPr>
        <w:pStyle w:val="Styl1"/>
        <w:rPr>
          <w:b/>
        </w:rPr>
      </w:pPr>
      <w:r w:rsidRPr="00D10A57">
        <w:rPr>
          <w:b/>
        </w:rPr>
        <w:t>l) zvyšovat motivaci zaměstnavatelů k zaměstnávání Romů</w:t>
      </w:r>
    </w:p>
    <w:p w14:paraId="3F8E3B7D" w14:textId="77777777" w:rsidR="00EA170B" w:rsidRPr="00D10A57" w:rsidRDefault="00EA170B" w:rsidP="00D10A57">
      <w:pPr>
        <w:pStyle w:val="Styl1"/>
      </w:pPr>
      <w:r w:rsidRPr="00D10A57">
        <w:t>Zaměstnavatelé jsou podporováni prostřednictvím dotovaných pracovních míst v rámci národního projektu PDU a 11 regionálních projektů zaměřených na cílovou skupinu dlouhodobě nezaměstnaných uchazečů o zaměstnání či zaměřených na sociálně vyloučené lokality.</w:t>
      </w:r>
    </w:p>
    <w:p w14:paraId="4E8D096B" w14:textId="00E396F5" w:rsidR="00EA170B" w:rsidRPr="00D10A57" w:rsidRDefault="00EA170B" w:rsidP="00D10A57">
      <w:pPr>
        <w:pStyle w:val="Styl1"/>
      </w:pPr>
      <w:r w:rsidRPr="00D10A57">
        <w:t xml:space="preserve">V rámci </w:t>
      </w:r>
      <w:r w:rsidR="004D2332">
        <w:t>APZ</w:t>
      </w:r>
      <w:r w:rsidRPr="00D10A57">
        <w:t xml:space="preserve"> existují nástroje zaměřené na podporu zaměstnávání uchazečů o zaměstnání vedených v evidenci uchazečů o zaměstnání na ÚP ČR, kterým nelze zprostředkovat vhodné zaměstnání. Jedná se o </w:t>
      </w:r>
      <w:r w:rsidR="004D2332" w:rsidRPr="007C763A">
        <w:rPr>
          <w:b/>
        </w:rPr>
        <w:t>SÚPM</w:t>
      </w:r>
      <w:r w:rsidRPr="00D10A57">
        <w:t xml:space="preserve"> </w:t>
      </w:r>
      <w:r w:rsidRPr="00D56307">
        <w:rPr>
          <w:b/>
        </w:rPr>
        <w:t>a veřejně prospěšné práce</w:t>
      </w:r>
      <w:r w:rsidRPr="00D10A57">
        <w:t xml:space="preserve"> (dále jen „VPP“). Oba nástroje jsou určeny k pracovnímu začleňování osob znevýhodněných na trhu práce, což se vztahuje rovněž na uchazeče o zaměstnání – příslušníky romské menšiny. Zaměstnavatelé jsou k</w:t>
      </w:r>
      <w:r w:rsidR="005802B5">
        <w:t> </w:t>
      </w:r>
      <w:r w:rsidRPr="00D10A57">
        <w:t>zaměstnávání znevýhodněných skupin uchazečů o zaměstnání motivováni poskytováním finančního příspěvku na mzdu či plat takto umístěné osoby. SÚPM a VPP jsou v rámci aktivní politiky zaměstnanosti každoročně nejvíce využívanými nástroji.</w:t>
      </w:r>
    </w:p>
    <w:p w14:paraId="13AF3400" w14:textId="77777777" w:rsidR="00EA170B" w:rsidRPr="00D10A57" w:rsidRDefault="00EA170B" w:rsidP="00D10A57">
      <w:pPr>
        <w:pStyle w:val="Styl1"/>
        <w:rPr>
          <w:b/>
        </w:rPr>
      </w:pPr>
      <w:r w:rsidRPr="00D10A57">
        <w:rPr>
          <w:b/>
        </w:rPr>
        <w:t>m) podporovat zaměstnavatele zaměstnávající dlouhodobě nezaměstnané</w:t>
      </w:r>
    </w:p>
    <w:p w14:paraId="436AAD94" w14:textId="3622E1D0" w:rsidR="00EA170B" w:rsidRPr="00D10A57" w:rsidRDefault="00EA170B" w:rsidP="00D10A57">
      <w:pPr>
        <w:pStyle w:val="Styl1"/>
      </w:pPr>
      <w:r w:rsidRPr="00D10A57">
        <w:t>K podpoře zaměstnávání osob dlouhodobě vedených v evidenci uchazečů o zaměstnání na</w:t>
      </w:r>
      <w:r w:rsidR="00372FE9">
        <w:t> </w:t>
      </w:r>
      <w:r w:rsidRPr="00D10A57">
        <w:t>ÚP ČR s</w:t>
      </w:r>
      <w:r w:rsidR="004D2332">
        <w:t>l</w:t>
      </w:r>
      <w:r w:rsidRPr="00D10A57">
        <w:t xml:space="preserve">ouží nástroje </w:t>
      </w:r>
      <w:r w:rsidR="004D2332">
        <w:t>APZ</w:t>
      </w:r>
      <w:r w:rsidRPr="00D10A57">
        <w:t xml:space="preserve">, a to SÚPM a VPP. Každoročně jsou zaměstnavatelům na umístěné uchazeče o zaměstnání poskytovány finanční příspěvky, jejichž účelem je právě motivace zaměstnavatelů k zaměstnávání znevýhodněných osob uchazečů o zaměstnání. V roce 2021 pokračovala realizace projektu ÚP ČR „Podpora zaměstnanosti dlouhodobě evidovaných uchazečů o zaměstnání“. Projekt je cíleně zaměřen na podporu zaměstnanosti uchazečů o zaměstnání dlouhodobě vedených v evidenci uchazečů o zaměstnání nebo ohrožených dlouhodobou nezaměstnaností z důvodu kumulace znevýhodnění. Projekt nabízí mix aktivit od poradenství, rekvalifikace, možnosti krátkodobého zaměstnání a zprostředkování zaměstnání. </w:t>
      </w:r>
    </w:p>
    <w:p w14:paraId="6E91EED7" w14:textId="77777777" w:rsidR="00EA170B" w:rsidRPr="00D10A57" w:rsidRDefault="00EA170B" w:rsidP="00D10A57">
      <w:pPr>
        <w:pStyle w:val="Styl1"/>
      </w:pPr>
      <w:r w:rsidRPr="00D10A57">
        <w:t>Zaměstnavatelé jsou podporováni prostřednictvím dotovaných pracovních míst v rámci národního projektu PDU a 11 regionálních projektů zaměřených na cílovou skupinu dlouhodobě nezaměstnaných uchazečů o zaměstnání či zaměřených na sociálně vyloučené lokality.</w:t>
      </w:r>
    </w:p>
    <w:p w14:paraId="6F849368" w14:textId="14F5B106" w:rsidR="00EA170B" w:rsidRPr="00D10A57" w:rsidRDefault="00EA170B" w:rsidP="00D10A57">
      <w:pPr>
        <w:pStyle w:val="Styl1"/>
        <w:rPr>
          <w:b/>
        </w:rPr>
      </w:pPr>
      <w:r w:rsidRPr="00D10A57">
        <w:rPr>
          <w:b/>
        </w:rPr>
        <w:t>n) spolupracovat s vedoucím Úřadu vlády ČR při poskytování metodické pomoci krajským koordinátorům pro záležitosti romské menšiny a jejich prostřednictvím pracovníkům obecních úřadů obcí s rozšířenou působností pověřených výkonem agendy integrace romské menšiny ve správním obvodu</w:t>
      </w:r>
    </w:p>
    <w:p w14:paraId="4C17ECCC" w14:textId="733DB3DD" w:rsidR="00EA170B" w:rsidRPr="007C763A" w:rsidRDefault="00EA170B" w:rsidP="00D10A57">
      <w:pPr>
        <w:pStyle w:val="Styl1"/>
        <w:rPr>
          <w:b/>
        </w:rPr>
      </w:pPr>
      <w:r w:rsidRPr="007C763A">
        <w:rPr>
          <w:b/>
        </w:rPr>
        <w:t xml:space="preserve">Seznam pracovních orgánů </w:t>
      </w:r>
      <w:r w:rsidR="004D2332" w:rsidRPr="007C763A">
        <w:rPr>
          <w:b/>
        </w:rPr>
        <w:t>MPSV</w:t>
      </w:r>
      <w:r w:rsidRPr="007C763A">
        <w:rPr>
          <w:b/>
        </w:rPr>
        <w:t xml:space="preserve"> (komise, výbory, pracovní skupiny), které se obsahově týkají tématu romské integrace či jiných témat souvisejících s romskou menšinou</w:t>
      </w:r>
      <w:r w:rsidR="00372FE9" w:rsidRPr="007C763A">
        <w:rPr>
          <w:b/>
        </w:rPr>
        <w:t>:</w:t>
      </w:r>
    </w:p>
    <w:p w14:paraId="4CE43D3A" w14:textId="77777777" w:rsidR="00EA170B" w:rsidRPr="00D10A57" w:rsidRDefault="00EA170B" w:rsidP="007C763A">
      <w:pPr>
        <w:pStyle w:val="Styl1"/>
      </w:pPr>
      <w:r w:rsidRPr="00D10A57">
        <w:t>1.</w:t>
      </w:r>
      <w:r w:rsidRPr="00D10A57">
        <w:tab/>
        <w:t>Programové partnerství pro implementaci PO 2 investiční priority 2.1 a 2.2 OPZ (PROP) – celkem 24 členů, mezi nimi byli i zástupci za následující organizace/instituce:</w:t>
      </w:r>
    </w:p>
    <w:p w14:paraId="6B0DC238" w14:textId="77777777" w:rsidR="00EA170B" w:rsidRPr="00D10A57" w:rsidRDefault="00EA170B" w:rsidP="007C763A">
      <w:pPr>
        <w:pStyle w:val="Styl1"/>
        <w:numPr>
          <w:ilvl w:val="0"/>
          <w:numId w:val="20"/>
        </w:numPr>
      </w:pPr>
      <w:r w:rsidRPr="00D10A57">
        <w:t>Rada vlády ČR pro záležitosti romské menšiny</w:t>
      </w:r>
    </w:p>
    <w:p w14:paraId="09E0CA9E" w14:textId="212A1FA5" w:rsidR="00EA170B" w:rsidRPr="00D10A57" w:rsidRDefault="00EA170B" w:rsidP="007C763A">
      <w:pPr>
        <w:pStyle w:val="Styl1"/>
        <w:numPr>
          <w:ilvl w:val="0"/>
          <w:numId w:val="20"/>
        </w:numPr>
      </w:pPr>
      <w:r w:rsidRPr="00D10A57">
        <w:t>Ú</w:t>
      </w:r>
      <w:r w:rsidR="00B65625">
        <w:t>V</w:t>
      </w:r>
      <w:r w:rsidRPr="00D10A57">
        <w:t xml:space="preserve"> ČR sekce pro lidská práva – Odbor lidských práv a ochrany menšin</w:t>
      </w:r>
    </w:p>
    <w:p w14:paraId="0FC9D503" w14:textId="77777777" w:rsidR="00EA170B" w:rsidRPr="00D10A57" w:rsidRDefault="00EA170B" w:rsidP="007C763A">
      <w:pPr>
        <w:pStyle w:val="Styl1"/>
        <w:numPr>
          <w:ilvl w:val="0"/>
          <w:numId w:val="20"/>
        </w:numPr>
      </w:pPr>
      <w:r w:rsidRPr="00D10A57">
        <w:lastRenderedPageBreak/>
        <w:t>Ministerstvo pro místní rozvoj – Odbor pro sociální začleňování</w:t>
      </w:r>
    </w:p>
    <w:p w14:paraId="4CFD7DC0" w14:textId="77777777" w:rsidR="00EA170B" w:rsidRPr="00D10A57" w:rsidRDefault="00EA170B" w:rsidP="007C763A">
      <w:pPr>
        <w:pStyle w:val="Styl1"/>
      </w:pPr>
      <w:r w:rsidRPr="00D10A57">
        <w:t>2.</w:t>
      </w:r>
      <w:r w:rsidRPr="00D10A57">
        <w:tab/>
        <w:t>Komise pro sociální začleňování – celkem 42 členů, mezi nimi jsou i zástupci za následující organizace/instituce:</w:t>
      </w:r>
    </w:p>
    <w:p w14:paraId="33CE084A" w14:textId="680CC83E" w:rsidR="00EA170B" w:rsidRPr="00D10A57" w:rsidRDefault="00EA170B" w:rsidP="007C763A">
      <w:pPr>
        <w:pStyle w:val="Styl1"/>
        <w:numPr>
          <w:ilvl w:val="0"/>
          <w:numId w:val="21"/>
        </w:numPr>
      </w:pPr>
      <w:r w:rsidRPr="00D10A57">
        <w:t>Ú</w:t>
      </w:r>
      <w:r w:rsidR="00B65625">
        <w:t>V</w:t>
      </w:r>
      <w:r w:rsidRPr="00D10A57">
        <w:t xml:space="preserve"> ČR sekce pro lidská práva – Odbor lidských práv a ochrany menšin </w:t>
      </w:r>
    </w:p>
    <w:p w14:paraId="0220DB0C" w14:textId="77777777" w:rsidR="00EA170B" w:rsidRPr="00D10A57" w:rsidRDefault="00EA170B" w:rsidP="007C763A">
      <w:pPr>
        <w:pStyle w:val="Styl1"/>
        <w:numPr>
          <w:ilvl w:val="0"/>
          <w:numId w:val="21"/>
        </w:numPr>
      </w:pPr>
      <w:r w:rsidRPr="00D10A57">
        <w:t xml:space="preserve">Rada vlády pro záležitosti romské menšiny </w:t>
      </w:r>
    </w:p>
    <w:p w14:paraId="41801EDF" w14:textId="77777777" w:rsidR="00EA170B" w:rsidRPr="00D10A57" w:rsidRDefault="00EA170B" w:rsidP="007C763A">
      <w:pPr>
        <w:pStyle w:val="Styl1"/>
        <w:numPr>
          <w:ilvl w:val="0"/>
          <w:numId w:val="21"/>
        </w:numPr>
      </w:pPr>
      <w:r w:rsidRPr="00D10A57">
        <w:t>Ministerstvo pro místní rozvoj – Odbor pro sociální začleňování</w:t>
      </w:r>
    </w:p>
    <w:p w14:paraId="6B2D1DBD" w14:textId="77777777" w:rsidR="00EA170B" w:rsidRPr="00D10A57" w:rsidRDefault="00EA170B" w:rsidP="007C763A">
      <w:pPr>
        <w:pStyle w:val="Styl1"/>
        <w:numPr>
          <w:ilvl w:val="0"/>
          <w:numId w:val="21"/>
        </w:numPr>
      </w:pPr>
      <w:r w:rsidRPr="00D10A57">
        <w:t>Společenství Romů na Moravě</w:t>
      </w:r>
    </w:p>
    <w:p w14:paraId="3CDACC81" w14:textId="77777777" w:rsidR="00EA170B" w:rsidRPr="00D10A57" w:rsidRDefault="00EA170B" w:rsidP="007C763A">
      <w:pPr>
        <w:pStyle w:val="Styl1"/>
        <w:numPr>
          <w:ilvl w:val="0"/>
          <w:numId w:val="21"/>
        </w:numPr>
      </w:pPr>
      <w:r w:rsidRPr="00D10A57">
        <w:t xml:space="preserve">IQ Roma servis, z. s. </w:t>
      </w:r>
    </w:p>
    <w:p w14:paraId="30E4399F" w14:textId="77777777" w:rsidR="00EA170B" w:rsidRPr="00D10A57" w:rsidRDefault="00EA170B" w:rsidP="007C763A">
      <w:pPr>
        <w:pStyle w:val="Styl1"/>
      </w:pPr>
      <w:r w:rsidRPr="00D10A57">
        <w:t>3.</w:t>
      </w:r>
      <w:r w:rsidRPr="00D10A57">
        <w:tab/>
        <w:t>Komise pro hodnocení projektů v rámci dotačního programu Podpora koordinátorů pro romské záležitosti</w:t>
      </w:r>
    </w:p>
    <w:p w14:paraId="3E834A8D" w14:textId="77777777" w:rsidR="00EA170B" w:rsidRPr="00D10A57" w:rsidRDefault="00EA170B" w:rsidP="007C763A">
      <w:pPr>
        <w:pStyle w:val="Styl1"/>
      </w:pPr>
      <w:r w:rsidRPr="00D10A57">
        <w:t>4.</w:t>
      </w:r>
      <w:r w:rsidRPr="00D10A57">
        <w:tab/>
        <w:t>Komise pro hodnocení projektů v rámci dotačního programu Podpora terénní práce</w:t>
      </w:r>
    </w:p>
    <w:p w14:paraId="4DCFC921" w14:textId="77777777" w:rsidR="00EA170B" w:rsidRPr="00D10A57" w:rsidRDefault="00EA170B" w:rsidP="007C763A">
      <w:pPr>
        <w:pStyle w:val="Styl1"/>
      </w:pPr>
      <w:r w:rsidRPr="00D10A57">
        <w:t>5.</w:t>
      </w:r>
      <w:r w:rsidRPr="00D10A57">
        <w:tab/>
        <w:t>Komise pro hodnocení projektů v rámci dotačního programu Prevence sociálního vyloučení a komunitní práce</w:t>
      </w:r>
    </w:p>
    <w:p w14:paraId="3763E2E3" w14:textId="77777777" w:rsidR="00D56307" w:rsidRPr="00A961AF" w:rsidRDefault="00EA170B" w:rsidP="007C763A">
      <w:pPr>
        <w:pStyle w:val="Styl1"/>
      </w:pPr>
      <w:r w:rsidRPr="00D10A57">
        <w:t>6.</w:t>
      </w:r>
      <w:r w:rsidRPr="00D10A57">
        <w:tab/>
        <w:t>Komise pro hodnocení projektů v rámci dotačních programů týkajících se romské integrace</w:t>
      </w:r>
    </w:p>
    <w:p w14:paraId="0E03E786" w14:textId="77777777" w:rsidR="00EA170B" w:rsidRPr="00D10A57" w:rsidRDefault="00EA170B" w:rsidP="00D10A57">
      <w:pPr>
        <w:pStyle w:val="Styl1"/>
        <w:rPr>
          <w:b/>
        </w:rPr>
      </w:pPr>
      <w:r w:rsidRPr="00D10A57">
        <w:rPr>
          <w:b/>
        </w:rPr>
        <w:t>Doplňující informace pro zpracování Zprávy o stavu romské menšiny v České republice za rok 2021</w:t>
      </w:r>
    </w:p>
    <w:p w14:paraId="46D5B6FA" w14:textId="77777777" w:rsidR="00EA170B" w:rsidRPr="00D10A57" w:rsidRDefault="00EA170B" w:rsidP="00D10A57">
      <w:pPr>
        <w:pStyle w:val="Styl1"/>
      </w:pPr>
      <w:r w:rsidRPr="00D10A57">
        <w:t xml:space="preserve">Dne 20. ledna 2020 byla usnesením č. 55 schválena </w:t>
      </w:r>
      <w:r w:rsidRPr="008E7E2C">
        <w:rPr>
          <w:b/>
        </w:rPr>
        <w:t>Strategie sociálního začleňování 2021-2030.</w:t>
      </w:r>
      <w:r w:rsidRPr="00D10A57">
        <w:t xml:space="preserve"> Strategie sociálního začleňování 2021–2030 (dále jen „Strategie“) je národní dokument, který zastřešuje hlavní oblasti významné pro sociální začleňování osob sociálně vyloučených a sociálním vyloučením ohrožených. Na základě Plánu nelegislativních úkolů vlády na rok 2021 bylo rozhodnuto o jeho rozšíření o témata z oblasti bezdomovectví z důvodu končící platnosti „Koncepce prevence a řešení problematiky bezdomovectví do roku 2020“. Rozšířená Strategie o vybraná témata z oblasti bezdomovectví byla schválena vládou České republiky usnesením č. 1169 dne 13. prosince 2021. Konkrétně byl materiál rozšířen o definici bezdomovectví dle evropské typologie ETHOS, o sociální práci v sociálním bydlení apod. Cílem je i mimo jiné zlepšit zdravotní dostupnost pro osoby bez domova a zaměřit se na lepší dostupnost nízkoprahových pobytových a ambulantních služeb pro osoby v extrémním sociálním vyloučení.</w:t>
      </w:r>
    </w:p>
    <w:p w14:paraId="0FD9709C" w14:textId="636478BA" w:rsidR="00D56307" w:rsidRDefault="00EA170B" w:rsidP="00D10A57">
      <w:pPr>
        <w:pStyle w:val="Styl1"/>
      </w:pPr>
      <w:r w:rsidRPr="00D10A57">
        <w:t>Ve 2. pololetí roku 2020 byla v rámci OPZ prioritní osy 2.2.,SC 1 - Zvýšit kvalitu a udržitelnost systému sociálních služeb, služeb pro rodiny a děti a dalších navazujících služeb podporujících sociální začleňování vyhlášená výzva č. 137 Budování kapacit romských  a</w:t>
      </w:r>
      <w:r w:rsidR="00372FE9">
        <w:t> </w:t>
      </w:r>
      <w:r w:rsidRPr="00D10A57">
        <w:t xml:space="preserve">proromských </w:t>
      </w:r>
      <w:r w:rsidR="00835E85">
        <w:t>NNO</w:t>
      </w:r>
      <w:r w:rsidRPr="00D10A57">
        <w:t xml:space="preserve"> pro zapojení do přípravy a implementace programů spolufinancovaných z fondů EU. Celková poskytnutá alokace pro tuto výzvu činila 30 mil. Kč. Do výzvy se mohly přihlásit romské a proromské organizace s právní formou obecně prospěšná společnost, spolek nebo ústav</w:t>
      </w:r>
      <w:r w:rsidRPr="00D10A57">
        <w:rPr>
          <w:rStyle w:val="Znakapoznpodarou"/>
        </w:rPr>
        <w:footnoteReference w:id="10"/>
      </w:r>
      <w:r w:rsidRPr="00D10A57">
        <w:t xml:space="preserve">. Do výzvy se přihlásilo 18 projektů. Hodnotícím procesem prošlo a finálně </w:t>
      </w:r>
      <w:r w:rsidRPr="00D10A57">
        <w:lastRenderedPageBreak/>
        <w:t>bylo podpořeno nakonec 8 projektů v celkové výši 29,1 mil. Kč. Realizace projektů byla zah</w:t>
      </w:r>
      <w:r w:rsidR="008E7E2C">
        <w:t>ájena 1</w:t>
      </w:r>
      <w:r w:rsidR="004D2332">
        <w:t>. ledna</w:t>
      </w:r>
      <w:r w:rsidR="008E7E2C">
        <w:t> 2021 a potrvá do 31. </w:t>
      </w:r>
      <w:r w:rsidR="004D2332">
        <w:t>prosince</w:t>
      </w:r>
      <w:r w:rsidR="008E7E2C">
        <w:t> </w:t>
      </w:r>
      <w:r w:rsidRPr="00D10A57">
        <w:t xml:space="preserve">2022. Mezi hlavní podporované aktivity patří podpora efektivní participace romských a proromských </w:t>
      </w:r>
      <w:r w:rsidR="00835E85">
        <w:t>NNO</w:t>
      </w:r>
      <w:r w:rsidRPr="00D10A57">
        <w:t xml:space="preserve"> na činnosti monitorovacích výborů, pracovních skupin a platforem jednotlivých operačních programů ESIF</w:t>
      </w:r>
      <w:r w:rsidR="00F355C2">
        <w:t>ndt</w:t>
      </w:r>
      <w:r w:rsidRPr="00D10A57">
        <w:t xml:space="preserve"> a v národních koordinačních strukturách, podpora jejich  zapojení do přípravy a implementace Do</w:t>
      </w:r>
      <w:r w:rsidR="004D2332">
        <w:t>P</w:t>
      </w:r>
      <w:r w:rsidRPr="00D10A57">
        <w:t xml:space="preserve"> a operačních programů spolufinancovaných z fondů EU a do procesu přípravy a realizace národních/regionálních/místních strategických dokumentů zaměřených nebo úzce souvisejících s integrací romské menšiny. Dále je v rámci výzvy podporována spolupráce romských a proromských organizací s veřejnou správou, podpora síťování a posílení partnerství s ostatními spolupracujícími organizacemi, včetně vzdělávání pracovníků romských a proromských organizací a přijímání opatření na zvyšování profesionality, organizačního řízení a plánování v romský</w:t>
      </w:r>
      <w:r w:rsidR="00FA3507" w:rsidRPr="00D10A57">
        <w:t xml:space="preserve">ch a proromských organizacích. </w:t>
      </w:r>
    </w:p>
    <w:p w14:paraId="23C1D7B5" w14:textId="77777777" w:rsidR="00EA170B" w:rsidRPr="00D10A57" w:rsidRDefault="00EA170B" w:rsidP="00D10A57">
      <w:pPr>
        <w:pStyle w:val="Styl1"/>
      </w:pPr>
      <w:r w:rsidRPr="00D10A57">
        <w:t>Seznam podpořených projektů:</w:t>
      </w:r>
    </w:p>
    <w:tbl>
      <w:tblPr>
        <w:tblW w:w="5000" w:type="pct"/>
        <w:tblLayout w:type="fixed"/>
        <w:tblCellMar>
          <w:left w:w="70" w:type="dxa"/>
          <w:right w:w="70" w:type="dxa"/>
        </w:tblCellMar>
        <w:tblLook w:val="04A0" w:firstRow="1" w:lastRow="0" w:firstColumn="1" w:lastColumn="0" w:noHBand="0" w:noVBand="1"/>
      </w:tblPr>
      <w:tblGrid>
        <w:gridCol w:w="1266"/>
        <w:gridCol w:w="1134"/>
        <w:gridCol w:w="2835"/>
        <w:gridCol w:w="1276"/>
        <w:gridCol w:w="1276"/>
        <w:gridCol w:w="1265"/>
      </w:tblGrid>
      <w:tr w:rsidR="000A00EB" w:rsidRPr="00D10A57" w14:paraId="47A49BA8" w14:textId="77777777" w:rsidTr="00F30E4C">
        <w:trPr>
          <w:trHeight w:val="517"/>
        </w:trPr>
        <w:tc>
          <w:tcPr>
            <w:tcW w:w="699" w:type="pct"/>
            <w:tcBorders>
              <w:top w:val="single" w:sz="8" w:space="0" w:color="auto"/>
              <w:left w:val="single" w:sz="8" w:space="0" w:color="auto"/>
              <w:bottom w:val="single" w:sz="8" w:space="0" w:color="auto"/>
              <w:right w:val="single" w:sz="4" w:space="0" w:color="auto"/>
            </w:tcBorders>
            <w:shd w:val="clear" w:color="auto" w:fill="548DD4" w:themeFill="text2" w:themeFillTint="99"/>
            <w:vAlign w:val="center"/>
            <w:hideMark/>
          </w:tcPr>
          <w:p w14:paraId="5E7CF5B9" w14:textId="77777777" w:rsidR="00EA170B" w:rsidRPr="00D10A57" w:rsidRDefault="00EA170B" w:rsidP="00D10A57">
            <w:pPr>
              <w:pStyle w:val="Styl1"/>
              <w:spacing w:after="0"/>
              <w:rPr>
                <w:rFonts w:eastAsia="Times New Roman"/>
                <w:b/>
                <w:sz w:val="20"/>
                <w:szCs w:val="20"/>
                <w:lang w:eastAsia="cs-CZ"/>
              </w:rPr>
            </w:pPr>
            <w:r w:rsidRPr="00D10A57">
              <w:rPr>
                <w:rFonts w:eastAsia="Times New Roman"/>
                <w:b/>
                <w:sz w:val="20"/>
                <w:szCs w:val="20"/>
                <w:lang w:eastAsia="cs-CZ"/>
              </w:rPr>
              <w:t>Registrační číslo projektu</w:t>
            </w:r>
          </w:p>
        </w:tc>
        <w:tc>
          <w:tcPr>
            <w:tcW w:w="626" w:type="pct"/>
            <w:tcBorders>
              <w:top w:val="single" w:sz="8" w:space="0" w:color="auto"/>
              <w:left w:val="nil"/>
              <w:bottom w:val="single" w:sz="8" w:space="0" w:color="auto"/>
              <w:right w:val="single" w:sz="4" w:space="0" w:color="auto"/>
            </w:tcBorders>
            <w:shd w:val="clear" w:color="auto" w:fill="548DD4" w:themeFill="text2" w:themeFillTint="99"/>
            <w:vAlign w:val="center"/>
            <w:hideMark/>
          </w:tcPr>
          <w:p w14:paraId="7AEB922B" w14:textId="77777777" w:rsidR="00EA170B" w:rsidRPr="00D10A57" w:rsidRDefault="00EA170B" w:rsidP="00D10A57">
            <w:pPr>
              <w:pStyle w:val="Styl1"/>
              <w:spacing w:after="0"/>
              <w:rPr>
                <w:rFonts w:eastAsia="Times New Roman"/>
                <w:b/>
                <w:sz w:val="20"/>
                <w:szCs w:val="20"/>
                <w:lang w:eastAsia="cs-CZ"/>
              </w:rPr>
            </w:pPr>
            <w:r w:rsidRPr="00D10A57">
              <w:rPr>
                <w:rFonts w:eastAsia="Times New Roman"/>
                <w:b/>
                <w:sz w:val="20"/>
                <w:szCs w:val="20"/>
                <w:lang w:eastAsia="cs-CZ"/>
              </w:rPr>
              <w:t>Příjemce</w:t>
            </w:r>
          </w:p>
        </w:tc>
        <w:tc>
          <w:tcPr>
            <w:tcW w:w="1566" w:type="pct"/>
            <w:tcBorders>
              <w:top w:val="single" w:sz="8" w:space="0" w:color="auto"/>
              <w:left w:val="nil"/>
              <w:bottom w:val="single" w:sz="8" w:space="0" w:color="auto"/>
              <w:right w:val="single" w:sz="4" w:space="0" w:color="auto"/>
            </w:tcBorders>
            <w:shd w:val="clear" w:color="auto" w:fill="548DD4" w:themeFill="text2" w:themeFillTint="99"/>
            <w:vAlign w:val="center"/>
            <w:hideMark/>
          </w:tcPr>
          <w:p w14:paraId="3A538544" w14:textId="77777777" w:rsidR="00EA170B" w:rsidRPr="00D10A57" w:rsidRDefault="00EA170B" w:rsidP="00D10A57">
            <w:pPr>
              <w:pStyle w:val="Styl1"/>
              <w:spacing w:after="0"/>
              <w:rPr>
                <w:rFonts w:eastAsia="Times New Roman"/>
                <w:b/>
                <w:sz w:val="20"/>
                <w:szCs w:val="20"/>
                <w:lang w:eastAsia="cs-CZ"/>
              </w:rPr>
            </w:pPr>
            <w:r w:rsidRPr="00D10A57">
              <w:rPr>
                <w:rFonts w:eastAsia="Times New Roman"/>
                <w:b/>
                <w:sz w:val="20"/>
                <w:szCs w:val="20"/>
                <w:lang w:eastAsia="cs-CZ"/>
              </w:rPr>
              <w:t>Název projektu</w:t>
            </w:r>
          </w:p>
        </w:tc>
        <w:tc>
          <w:tcPr>
            <w:tcW w:w="705" w:type="pct"/>
            <w:tcBorders>
              <w:top w:val="single" w:sz="8" w:space="0" w:color="auto"/>
              <w:left w:val="nil"/>
              <w:bottom w:val="single" w:sz="8" w:space="0" w:color="auto"/>
              <w:right w:val="single" w:sz="4" w:space="0" w:color="auto"/>
            </w:tcBorders>
            <w:shd w:val="clear" w:color="auto" w:fill="548DD4" w:themeFill="text2" w:themeFillTint="99"/>
            <w:vAlign w:val="center"/>
            <w:hideMark/>
          </w:tcPr>
          <w:p w14:paraId="312C4F1B" w14:textId="77777777" w:rsidR="00EA170B" w:rsidRPr="00D10A57" w:rsidRDefault="00EA170B" w:rsidP="00D10A57">
            <w:pPr>
              <w:pStyle w:val="Styl1"/>
              <w:spacing w:after="0"/>
              <w:rPr>
                <w:rFonts w:eastAsia="Times New Roman"/>
                <w:b/>
                <w:sz w:val="20"/>
                <w:szCs w:val="20"/>
                <w:lang w:eastAsia="cs-CZ"/>
              </w:rPr>
            </w:pPr>
            <w:r w:rsidRPr="00D10A57">
              <w:rPr>
                <w:rFonts w:eastAsia="Times New Roman"/>
                <w:b/>
                <w:sz w:val="20"/>
                <w:szCs w:val="20"/>
                <w:lang w:eastAsia="cs-CZ"/>
              </w:rPr>
              <w:t>Zahájení realizace</w:t>
            </w:r>
          </w:p>
        </w:tc>
        <w:tc>
          <w:tcPr>
            <w:tcW w:w="705" w:type="pct"/>
            <w:tcBorders>
              <w:top w:val="single" w:sz="8" w:space="0" w:color="auto"/>
              <w:left w:val="nil"/>
              <w:bottom w:val="single" w:sz="8" w:space="0" w:color="auto"/>
              <w:right w:val="single" w:sz="4" w:space="0" w:color="auto"/>
            </w:tcBorders>
            <w:shd w:val="clear" w:color="auto" w:fill="548DD4" w:themeFill="text2" w:themeFillTint="99"/>
            <w:vAlign w:val="center"/>
            <w:hideMark/>
          </w:tcPr>
          <w:p w14:paraId="0BE38AA4" w14:textId="77777777" w:rsidR="00EA170B" w:rsidRPr="00D10A57" w:rsidRDefault="00EA170B" w:rsidP="00D10A57">
            <w:pPr>
              <w:pStyle w:val="Styl1"/>
              <w:spacing w:after="0"/>
              <w:rPr>
                <w:rFonts w:eastAsia="Times New Roman"/>
                <w:b/>
                <w:sz w:val="20"/>
                <w:szCs w:val="20"/>
                <w:lang w:eastAsia="cs-CZ"/>
              </w:rPr>
            </w:pPr>
            <w:r w:rsidRPr="00D10A57">
              <w:rPr>
                <w:rFonts w:eastAsia="Times New Roman"/>
                <w:b/>
                <w:sz w:val="20"/>
                <w:szCs w:val="20"/>
                <w:lang w:eastAsia="cs-CZ"/>
              </w:rPr>
              <w:t>Ukončení realizace</w:t>
            </w:r>
          </w:p>
        </w:tc>
        <w:tc>
          <w:tcPr>
            <w:tcW w:w="699" w:type="pct"/>
            <w:tcBorders>
              <w:top w:val="single" w:sz="8" w:space="0" w:color="auto"/>
              <w:left w:val="nil"/>
              <w:bottom w:val="single" w:sz="8" w:space="0" w:color="auto"/>
              <w:right w:val="single" w:sz="8" w:space="0" w:color="auto"/>
            </w:tcBorders>
            <w:shd w:val="clear" w:color="auto" w:fill="548DD4" w:themeFill="text2" w:themeFillTint="99"/>
            <w:vAlign w:val="center"/>
            <w:hideMark/>
          </w:tcPr>
          <w:p w14:paraId="334A6229" w14:textId="77777777" w:rsidR="00EA170B" w:rsidRPr="00D10A57" w:rsidRDefault="00EA170B" w:rsidP="00D10A57">
            <w:pPr>
              <w:pStyle w:val="Styl1"/>
              <w:spacing w:after="0"/>
              <w:rPr>
                <w:rFonts w:eastAsia="Times New Roman"/>
                <w:b/>
                <w:sz w:val="20"/>
                <w:szCs w:val="20"/>
                <w:lang w:eastAsia="cs-CZ"/>
              </w:rPr>
            </w:pPr>
            <w:r w:rsidRPr="00D10A57">
              <w:rPr>
                <w:rFonts w:eastAsia="Times New Roman"/>
                <w:b/>
                <w:sz w:val="20"/>
                <w:szCs w:val="20"/>
                <w:lang w:eastAsia="cs-CZ"/>
              </w:rPr>
              <w:t>Schválená dotace v Kč</w:t>
            </w:r>
          </w:p>
        </w:tc>
      </w:tr>
      <w:tr w:rsidR="00FA3507" w:rsidRPr="00D10A57" w14:paraId="6EF8F0B2" w14:textId="77777777" w:rsidTr="00F30E4C">
        <w:trPr>
          <w:trHeight w:val="821"/>
        </w:trPr>
        <w:tc>
          <w:tcPr>
            <w:tcW w:w="699" w:type="pct"/>
            <w:tcBorders>
              <w:top w:val="nil"/>
              <w:left w:val="single" w:sz="8" w:space="0" w:color="auto"/>
              <w:bottom w:val="single" w:sz="4" w:space="0" w:color="auto"/>
              <w:right w:val="single" w:sz="4" w:space="0" w:color="auto"/>
            </w:tcBorders>
            <w:vAlign w:val="center"/>
            <w:hideMark/>
          </w:tcPr>
          <w:p w14:paraId="10F450EE" w14:textId="77777777" w:rsidR="00EA170B" w:rsidRPr="00D10A57" w:rsidRDefault="00DF0033" w:rsidP="00D10A57">
            <w:pPr>
              <w:pStyle w:val="Styl1"/>
              <w:spacing w:after="0"/>
              <w:rPr>
                <w:rFonts w:eastAsia="Times New Roman"/>
                <w:sz w:val="20"/>
                <w:szCs w:val="20"/>
                <w:lang w:eastAsia="cs-CZ"/>
              </w:rPr>
            </w:pPr>
            <w:hyperlink r:id="rId9" w:history="1">
              <w:r w:rsidR="00EA170B" w:rsidRPr="00D10A57">
                <w:rPr>
                  <w:rStyle w:val="Hypertextovodkaz"/>
                  <w:rFonts w:eastAsia="Times New Roman"/>
                  <w:sz w:val="20"/>
                  <w:szCs w:val="20"/>
                  <w:lang w:eastAsia="cs-CZ"/>
                </w:rPr>
                <w:t>CZ.03.2.63/0.0/0.0/20_137/0017051</w:t>
              </w:r>
            </w:hyperlink>
          </w:p>
        </w:tc>
        <w:tc>
          <w:tcPr>
            <w:tcW w:w="626" w:type="pct"/>
            <w:tcBorders>
              <w:top w:val="nil"/>
              <w:left w:val="nil"/>
              <w:bottom w:val="single" w:sz="4" w:space="0" w:color="auto"/>
              <w:right w:val="single" w:sz="4" w:space="0" w:color="auto"/>
            </w:tcBorders>
            <w:vAlign w:val="center"/>
            <w:hideMark/>
          </w:tcPr>
          <w:p w14:paraId="07D16639"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Slovo 21, z. s.</w:t>
            </w:r>
          </w:p>
        </w:tc>
        <w:tc>
          <w:tcPr>
            <w:tcW w:w="1566" w:type="pct"/>
            <w:tcBorders>
              <w:top w:val="nil"/>
              <w:left w:val="nil"/>
              <w:bottom w:val="single" w:sz="4" w:space="0" w:color="auto"/>
              <w:right w:val="single" w:sz="4" w:space="0" w:color="auto"/>
            </w:tcBorders>
            <w:vAlign w:val="center"/>
            <w:hideMark/>
          </w:tcPr>
          <w:p w14:paraId="074B4F2F"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Budování kapacit romských a proromských aktérů pro</w:t>
            </w:r>
            <w:r w:rsidR="003A2C3A">
              <w:rPr>
                <w:rFonts w:eastAsia="Times New Roman"/>
                <w:sz w:val="20"/>
                <w:szCs w:val="20"/>
                <w:lang w:eastAsia="cs-CZ"/>
              </w:rPr>
              <w:t> </w:t>
            </w:r>
            <w:r w:rsidRPr="00D10A57">
              <w:rPr>
                <w:rFonts w:eastAsia="Times New Roman"/>
                <w:sz w:val="20"/>
                <w:szCs w:val="20"/>
                <w:lang w:eastAsia="cs-CZ"/>
              </w:rPr>
              <w:t>zapojení do přípravy a implementace programů na</w:t>
            </w:r>
            <w:r w:rsidR="003A2C3A">
              <w:rPr>
                <w:rFonts w:eastAsia="Times New Roman"/>
                <w:sz w:val="20"/>
                <w:szCs w:val="20"/>
                <w:lang w:eastAsia="cs-CZ"/>
              </w:rPr>
              <w:t> </w:t>
            </w:r>
            <w:r w:rsidRPr="00D10A57">
              <w:rPr>
                <w:rFonts w:eastAsia="Times New Roman"/>
                <w:sz w:val="20"/>
                <w:szCs w:val="20"/>
                <w:lang w:eastAsia="cs-CZ"/>
              </w:rPr>
              <w:t>místní úrovni</w:t>
            </w:r>
          </w:p>
        </w:tc>
        <w:tc>
          <w:tcPr>
            <w:tcW w:w="705" w:type="pct"/>
            <w:tcBorders>
              <w:top w:val="nil"/>
              <w:left w:val="nil"/>
              <w:bottom w:val="single" w:sz="4" w:space="0" w:color="auto"/>
              <w:right w:val="single" w:sz="4" w:space="0" w:color="auto"/>
            </w:tcBorders>
            <w:noWrap/>
            <w:vAlign w:val="center"/>
            <w:hideMark/>
          </w:tcPr>
          <w:p w14:paraId="6F297392"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01.01.2021</w:t>
            </w:r>
          </w:p>
        </w:tc>
        <w:tc>
          <w:tcPr>
            <w:tcW w:w="705" w:type="pct"/>
            <w:tcBorders>
              <w:top w:val="nil"/>
              <w:left w:val="nil"/>
              <w:bottom w:val="single" w:sz="4" w:space="0" w:color="auto"/>
              <w:right w:val="single" w:sz="4" w:space="0" w:color="auto"/>
            </w:tcBorders>
            <w:noWrap/>
            <w:vAlign w:val="center"/>
            <w:hideMark/>
          </w:tcPr>
          <w:p w14:paraId="24439C68"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31.12.2022</w:t>
            </w:r>
          </w:p>
        </w:tc>
        <w:tc>
          <w:tcPr>
            <w:tcW w:w="699" w:type="pct"/>
            <w:tcBorders>
              <w:top w:val="nil"/>
              <w:left w:val="nil"/>
              <w:bottom w:val="single" w:sz="4" w:space="0" w:color="auto"/>
              <w:right w:val="single" w:sz="8" w:space="0" w:color="auto"/>
            </w:tcBorders>
            <w:noWrap/>
            <w:vAlign w:val="center"/>
            <w:hideMark/>
          </w:tcPr>
          <w:p w14:paraId="50D3F8B4" w14:textId="77777777" w:rsidR="00EA170B" w:rsidRPr="00D10A57" w:rsidRDefault="00EA170B" w:rsidP="00D56307">
            <w:pPr>
              <w:pStyle w:val="Styl1"/>
              <w:spacing w:after="0"/>
              <w:jc w:val="right"/>
              <w:rPr>
                <w:rFonts w:eastAsia="Times New Roman"/>
                <w:sz w:val="20"/>
                <w:szCs w:val="20"/>
                <w:lang w:eastAsia="cs-CZ"/>
              </w:rPr>
            </w:pPr>
            <w:r w:rsidRPr="00D10A57">
              <w:rPr>
                <w:rFonts w:eastAsia="Times New Roman"/>
                <w:sz w:val="20"/>
                <w:szCs w:val="20"/>
                <w:lang w:eastAsia="cs-CZ"/>
              </w:rPr>
              <w:t xml:space="preserve">2 224 600 </w:t>
            </w:r>
          </w:p>
        </w:tc>
      </w:tr>
      <w:tr w:rsidR="00FA3507" w:rsidRPr="00D10A57" w14:paraId="0551409E" w14:textId="77777777" w:rsidTr="00F30E4C">
        <w:trPr>
          <w:trHeight w:val="821"/>
        </w:trPr>
        <w:tc>
          <w:tcPr>
            <w:tcW w:w="699" w:type="pct"/>
            <w:tcBorders>
              <w:top w:val="nil"/>
              <w:left w:val="single" w:sz="8" w:space="0" w:color="auto"/>
              <w:bottom w:val="single" w:sz="4" w:space="0" w:color="auto"/>
              <w:right w:val="single" w:sz="4" w:space="0" w:color="auto"/>
            </w:tcBorders>
            <w:vAlign w:val="center"/>
            <w:hideMark/>
          </w:tcPr>
          <w:p w14:paraId="5F36DEAA" w14:textId="77777777" w:rsidR="00EA170B" w:rsidRPr="00D10A57" w:rsidRDefault="00DF0033" w:rsidP="00D10A57">
            <w:pPr>
              <w:pStyle w:val="Styl1"/>
              <w:spacing w:after="0"/>
              <w:rPr>
                <w:rFonts w:eastAsia="Times New Roman"/>
                <w:sz w:val="20"/>
                <w:szCs w:val="20"/>
                <w:lang w:eastAsia="cs-CZ"/>
              </w:rPr>
            </w:pPr>
            <w:hyperlink r:id="rId10" w:history="1">
              <w:r w:rsidR="00EA170B" w:rsidRPr="00D10A57">
                <w:rPr>
                  <w:rStyle w:val="Hypertextovodkaz"/>
                  <w:rFonts w:eastAsia="Times New Roman"/>
                  <w:sz w:val="20"/>
                  <w:szCs w:val="20"/>
                  <w:lang w:eastAsia="cs-CZ"/>
                </w:rPr>
                <w:t>CZ.03.2.63/0.0/0.0/20_137/0017055</w:t>
              </w:r>
            </w:hyperlink>
          </w:p>
        </w:tc>
        <w:tc>
          <w:tcPr>
            <w:tcW w:w="626" w:type="pct"/>
            <w:tcBorders>
              <w:top w:val="nil"/>
              <w:left w:val="nil"/>
              <w:bottom w:val="single" w:sz="4" w:space="0" w:color="auto"/>
              <w:right w:val="single" w:sz="4" w:space="0" w:color="auto"/>
            </w:tcBorders>
            <w:vAlign w:val="center"/>
            <w:hideMark/>
          </w:tcPr>
          <w:p w14:paraId="5708FF4A"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EUROTOPIA.CZ, o.p.s.</w:t>
            </w:r>
          </w:p>
        </w:tc>
        <w:tc>
          <w:tcPr>
            <w:tcW w:w="1566" w:type="pct"/>
            <w:tcBorders>
              <w:top w:val="nil"/>
              <w:left w:val="nil"/>
              <w:bottom w:val="single" w:sz="4" w:space="0" w:color="auto"/>
              <w:right w:val="single" w:sz="4" w:space="0" w:color="auto"/>
            </w:tcBorders>
            <w:vAlign w:val="center"/>
            <w:hideMark/>
          </w:tcPr>
          <w:p w14:paraId="0F36AA6E"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Zvyšování profesionality a</w:t>
            </w:r>
            <w:r w:rsidR="003A2C3A">
              <w:rPr>
                <w:rFonts w:eastAsia="Times New Roman"/>
                <w:sz w:val="20"/>
                <w:szCs w:val="20"/>
                <w:lang w:eastAsia="cs-CZ"/>
              </w:rPr>
              <w:t> </w:t>
            </w:r>
            <w:r w:rsidRPr="00D10A57">
              <w:rPr>
                <w:rFonts w:eastAsia="Times New Roman"/>
                <w:sz w:val="20"/>
                <w:szCs w:val="20"/>
                <w:lang w:eastAsia="cs-CZ"/>
              </w:rPr>
              <w:t>podpora síťování romských a proromských NNO a</w:t>
            </w:r>
            <w:r w:rsidR="003A2C3A">
              <w:rPr>
                <w:rFonts w:eastAsia="Times New Roman"/>
                <w:sz w:val="20"/>
                <w:szCs w:val="20"/>
                <w:lang w:eastAsia="cs-CZ"/>
              </w:rPr>
              <w:t> </w:t>
            </w:r>
            <w:r w:rsidRPr="00D10A57">
              <w:rPr>
                <w:rFonts w:eastAsia="Times New Roman"/>
                <w:sz w:val="20"/>
                <w:szCs w:val="20"/>
                <w:lang w:eastAsia="cs-CZ"/>
              </w:rPr>
              <w:t>spolupracujících subjektů</w:t>
            </w:r>
          </w:p>
        </w:tc>
        <w:tc>
          <w:tcPr>
            <w:tcW w:w="705" w:type="pct"/>
            <w:tcBorders>
              <w:top w:val="nil"/>
              <w:left w:val="nil"/>
              <w:bottom w:val="single" w:sz="4" w:space="0" w:color="auto"/>
              <w:right w:val="single" w:sz="4" w:space="0" w:color="auto"/>
            </w:tcBorders>
            <w:noWrap/>
            <w:vAlign w:val="center"/>
            <w:hideMark/>
          </w:tcPr>
          <w:p w14:paraId="3F34EAB2"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01.01.2021</w:t>
            </w:r>
          </w:p>
        </w:tc>
        <w:tc>
          <w:tcPr>
            <w:tcW w:w="705" w:type="pct"/>
            <w:tcBorders>
              <w:top w:val="nil"/>
              <w:left w:val="nil"/>
              <w:bottom w:val="single" w:sz="4" w:space="0" w:color="auto"/>
              <w:right w:val="single" w:sz="4" w:space="0" w:color="auto"/>
            </w:tcBorders>
            <w:noWrap/>
            <w:vAlign w:val="center"/>
            <w:hideMark/>
          </w:tcPr>
          <w:p w14:paraId="6C1C72FF"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31.12.2022</w:t>
            </w:r>
          </w:p>
        </w:tc>
        <w:tc>
          <w:tcPr>
            <w:tcW w:w="699" w:type="pct"/>
            <w:tcBorders>
              <w:top w:val="nil"/>
              <w:left w:val="nil"/>
              <w:bottom w:val="single" w:sz="4" w:space="0" w:color="auto"/>
              <w:right w:val="single" w:sz="8" w:space="0" w:color="auto"/>
            </w:tcBorders>
            <w:noWrap/>
            <w:vAlign w:val="center"/>
            <w:hideMark/>
          </w:tcPr>
          <w:p w14:paraId="1A7493A7" w14:textId="77777777" w:rsidR="00EA170B" w:rsidRPr="00D10A57" w:rsidRDefault="00EA170B" w:rsidP="00D56307">
            <w:pPr>
              <w:pStyle w:val="Styl1"/>
              <w:spacing w:after="0"/>
              <w:jc w:val="right"/>
              <w:rPr>
                <w:rFonts w:eastAsia="Times New Roman"/>
                <w:sz w:val="20"/>
                <w:szCs w:val="20"/>
                <w:lang w:eastAsia="cs-CZ"/>
              </w:rPr>
            </w:pPr>
            <w:r w:rsidRPr="00D10A57">
              <w:rPr>
                <w:rFonts w:eastAsia="Times New Roman"/>
                <w:sz w:val="20"/>
                <w:szCs w:val="20"/>
                <w:lang w:eastAsia="cs-CZ"/>
              </w:rPr>
              <w:t xml:space="preserve">2 216 032 </w:t>
            </w:r>
          </w:p>
        </w:tc>
      </w:tr>
      <w:tr w:rsidR="00FA3507" w:rsidRPr="00D10A57" w14:paraId="780A0424" w14:textId="77777777" w:rsidTr="00F30E4C">
        <w:trPr>
          <w:trHeight w:val="821"/>
        </w:trPr>
        <w:tc>
          <w:tcPr>
            <w:tcW w:w="699" w:type="pct"/>
            <w:tcBorders>
              <w:top w:val="nil"/>
              <w:left w:val="single" w:sz="8" w:space="0" w:color="auto"/>
              <w:bottom w:val="single" w:sz="4" w:space="0" w:color="auto"/>
              <w:right w:val="single" w:sz="4" w:space="0" w:color="auto"/>
            </w:tcBorders>
            <w:vAlign w:val="center"/>
            <w:hideMark/>
          </w:tcPr>
          <w:p w14:paraId="1928A3CD" w14:textId="77777777" w:rsidR="00EA170B" w:rsidRPr="00D10A57" w:rsidRDefault="00DF0033" w:rsidP="00D10A57">
            <w:pPr>
              <w:pStyle w:val="Styl1"/>
              <w:spacing w:after="0"/>
              <w:rPr>
                <w:rFonts w:eastAsia="Times New Roman"/>
                <w:sz w:val="20"/>
                <w:szCs w:val="20"/>
                <w:lang w:eastAsia="cs-CZ"/>
              </w:rPr>
            </w:pPr>
            <w:hyperlink r:id="rId11" w:history="1">
              <w:r w:rsidR="00EA170B" w:rsidRPr="00D10A57">
                <w:rPr>
                  <w:rStyle w:val="Hypertextovodkaz"/>
                  <w:rFonts w:eastAsia="Times New Roman"/>
                  <w:sz w:val="20"/>
                  <w:szCs w:val="20"/>
                  <w:lang w:eastAsia="cs-CZ"/>
                </w:rPr>
                <w:t>CZ.03.2.63/0.0/0.0/20_137/0017059</w:t>
              </w:r>
            </w:hyperlink>
          </w:p>
        </w:tc>
        <w:tc>
          <w:tcPr>
            <w:tcW w:w="626" w:type="pct"/>
            <w:tcBorders>
              <w:top w:val="nil"/>
              <w:left w:val="nil"/>
              <w:bottom w:val="single" w:sz="4" w:space="0" w:color="auto"/>
              <w:right w:val="single" w:sz="4" w:space="0" w:color="auto"/>
            </w:tcBorders>
            <w:vAlign w:val="center"/>
            <w:hideMark/>
          </w:tcPr>
          <w:p w14:paraId="47209E01"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Khamoro o.p.s.</w:t>
            </w:r>
          </w:p>
        </w:tc>
        <w:tc>
          <w:tcPr>
            <w:tcW w:w="1566" w:type="pct"/>
            <w:tcBorders>
              <w:top w:val="nil"/>
              <w:left w:val="nil"/>
              <w:bottom w:val="single" w:sz="4" w:space="0" w:color="auto"/>
              <w:right w:val="single" w:sz="4" w:space="0" w:color="auto"/>
            </w:tcBorders>
            <w:vAlign w:val="center"/>
            <w:hideMark/>
          </w:tcPr>
          <w:p w14:paraId="495A5E7C"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Budování kapacity romské organizace Khamoro o.p.s.</w:t>
            </w:r>
          </w:p>
        </w:tc>
        <w:tc>
          <w:tcPr>
            <w:tcW w:w="705" w:type="pct"/>
            <w:tcBorders>
              <w:top w:val="nil"/>
              <w:left w:val="nil"/>
              <w:bottom w:val="single" w:sz="4" w:space="0" w:color="auto"/>
              <w:right w:val="single" w:sz="4" w:space="0" w:color="auto"/>
            </w:tcBorders>
            <w:noWrap/>
            <w:vAlign w:val="center"/>
            <w:hideMark/>
          </w:tcPr>
          <w:p w14:paraId="2AE797E2"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01.01.2021</w:t>
            </w:r>
          </w:p>
        </w:tc>
        <w:tc>
          <w:tcPr>
            <w:tcW w:w="705" w:type="pct"/>
            <w:tcBorders>
              <w:top w:val="nil"/>
              <w:left w:val="nil"/>
              <w:bottom w:val="single" w:sz="4" w:space="0" w:color="auto"/>
              <w:right w:val="single" w:sz="4" w:space="0" w:color="auto"/>
            </w:tcBorders>
            <w:noWrap/>
            <w:vAlign w:val="center"/>
            <w:hideMark/>
          </w:tcPr>
          <w:p w14:paraId="11BA94F8"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31.12.2022</w:t>
            </w:r>
          </w:p>
        </w:tc>
        <w:tc>
          <w:tcPr>
            <w:tcW w:w="699" w:type="pct"/>
            <w:tcBorders>
              <w:top w:val="nil"/>
              <w:left w:val="nil"/>
              <w:bottom w:val="single" w:sz="4" w:space="0" w:color="auto"/>
              <w:right w:val="single" w:sz="8" w:space="0" w:color="auto"/>
            </w:tcBorders>
            <w:noWrap/>
            <w:vAlign w:val="center"/>
            <w:hideMark/>
          </w:tcPr>
          <w:p w14:paraId="3DF195BB" w14:textId="77777777" w:rsidR="00EA170B" w:rsidRPr="00D10A57" w:rsidRDefault="00EA170B" w:rsidP="00D56307">
            <w:pPr>
              <w:pStyle w:val="Styl1"/>
              <w:spacing w:after="0"/>
              <w:jc w:val="right"/>
              <w:rPr>
                <w:rFonts w:eastAsia="Times New Roman"/>
                <w:sz w:val="20"/>
                <w:szCs w:val="20"/>
                <w:lang w:eastAsia="cs-CZ"/>
              </w:rPr>
            </w:pPr>
            <w:r w:rsidRPr="00D10A57">
              <w:rPr>
                <w:rFonts w:eastAsia="Times New Roman"/>
                <w:sz w:val="20"/>
                <w:szCs w:val="20"/>
                <w:lang w:eastAsia="cs-CZ"/>
              </w:rPr>
              <w:t xml:space="preserve">3 901 632 </w:t>
            </w:r>
          </w:p>
        </w:tc>
      </w:tr>
      <w:tr w:rsidR="00FA3507" w:rsidRPr="00D10A57" w14:paraId="4A6D69FC" w14:textId="77777777" w:rsidTr="00F30E4C">
        <w:trPr>
          <w:trHeight w:val="821"/>
        </w:trPr>
        <w:tc>
          <w:tcPr>
            <w:tcW w:w="699" w:type="pct"/>
            <w:tcBorders>
              <w:top w:val="nil"/>
              <w:left w:val="single" w:sz="8" w:space="0" w:color="auto"/>
              <w:bottom w:val="single" w:sz="4" w:space="0" w:color="auto"/>
              <w:right w:val="single" w:sz="4" w:space="0" w:color="auto"/>
            </w:tcBorders>
            <w:vAlign w:val="center"/>
            <w:hideMark/>
          </w:tcPr>
          <w:p w14:paraId="334DD7C8" w14:textId="77777777" w:rsidR="00EA170B" w:rsidRPr="00D10A57" w:rsidRDefault="00DF0033" w:rsidP="00D10A57">
            <w:pPr>
              <w:pStyle w:val="Styl1"/>
              <w:spacing w:after="0"/>
              <w:rPr>
                <w:rFonts w:eastAsia="Times New Roman"/>
                <w:sz w:val="20"/>
                <w:szCs w:val="20"/>
                <w:lang w:eastAsia="cs-CZ"/>
              </w:rPr>
            </w:pPr>
            <w:hyperlink r:id="rId12" w:history="1">
              <w:r w:rsidR="00EA170B" w:rsidRPr="00D10A57">
                <w:rPr>
                  <w:rStyle w:val="Hypertextovodkaz"/>
                  <w:rFonts w:eastAsia="Times New Roman"/>
                  <w:sz w:val="20"/>
                  <w:szCs w:val="20"/>
                  <w:lang w:eastAsia="cs-CZ"/>
                </w:rPr>
                <w:t>CZ.03.2.63/0.0/0.0/20_137/0017061</w:t>
              </w:r>
            </w:hyperlink>
          </w:p>
        </w:tc>
        <w:tc>
          <w:tcPr>
            <w:tcW w:w="626" w:type="pct"/>
            <w:tcBorders>
              <w:top w:val="nil"/>
              <w:left w:val="nil"/>
              <w:bottom w:val="single" w:sz="4" w:space="0" w:color="auto"/>
              <w:right w:val="single" w:sz="4" w:space="0" w:color="auto"/>
            </w:tcBorders>
            <w:vAlign w:val="center"/>
            <w:hideMark/>
          </w:tcPr>
          <w:p w14:paraId="4C5BF37D"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IQ Roma servis, z.s.</w:t>
            </w:r>
          </w:p>
        </w:tc>
        <w:tc>
          <w:tcPr>
            <w:tcW w:w="1566" w:type="pct"/>
            <w:tcBorders>
              <w:top w:val="nil"/>
              <w:left w:val="nil"/>
              <w:bottom w:val="single" w:sz="4" w:space="0" w:color="auto"/>
              <w:right w:val="single" w:sz="4" w:space="0" w:color="auto"/>
            </w:tcBorders>
            <w:vAlign w:val="center"/>
            <w:hideMark/>
          </w:tcPr>
          <w:p w14:paraId="7E98E876"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Romové pro Evropu - budování kapacit IQ Roma servisu pro strategickou a</w:t>
            </w:r>
            <w:r w:rsidR="003A2C3A">
              <w:rPr>
                <w:rFonts w:eastAsia="Times New Roman"/>
                <w:sz w:val="20"/>
                <w:szCs w:val="20"/>
                <w:lang w:eastAsia="cs-CZ"/>
              </w:rPr>
              <w:t> </w:t>
            </w:r>
            <w:r w:rsidRPr="00D10A57">
              <w:rPr>
                <w:rFonts w:eastAsia="Times New Roman"/>
                <w:sz w:val="20"/>
                <w:szCs w:val="20"/>
                <w:lang w:eastAsia="cs-CZ"/>
              </w:rPr>
              <w:t>monitorovací činnost</w:t>
            </w:r>
          </w:p>
        </w:tc>
        <w:tc>
          <w:tcPr>
            <w:tcW w:w="705" w:type="pct"/>
            <w:tcBorders>
              <w:top w:val="nil"/>
              <w:left w:val="nil"/>
              <w:bottom w:val="single" w:sz="4" w:space="0" w:color="auto"/>
              <w:right w:val="single" w:sz="4" w:space="0" w:color="auto"/>
            </w:tcBorders>
            <w:noWrap/>
            <w:vAlign w:val="center"/>
            <w:hideMark/>
          </w:tcPr>
          <w:p w14:paraId="4B1ADFD7"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01.01.2021</w:t>
            </w:r>
          </w:p>
        </w:tc>
        <w:tc>
          <w:tcPr>
            <w:tcW w:w="705" w:type="pct"/>
            <w:tcBorders>
              <w:top w:val="nil"/>
              <w:left w:val="nil"/>
              <w:bottom w:val="single" w:sz="4" w:space="0" w:color="auto"/>
              <w:right w:val="single" w:sz="4" w:space="0" w:color="auto"/>
            </w:tcBorders>
            <w:noWrap/>
            <w:vAlign w:val="center"/>
            <w:hideMark/>
          </w:tcPr>
          <w:p w14:paraId="610A2760"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31.12.2022</w:t>
            </w:r>
          </w:p>
        </w:tc>
        <w:tc>
          <w:tcPr>
            <w:tcW w:w="699" w:type="pct"/>
            <w:tcBorders>
              <w:top w:val="nil"/>
              <w:left w:val="nil"/>
              <w:bottom w:val="single" w:sz="4" w:space="0" w:color="auto"/>
              <w:right w:val="single" w:sz="8" w:space="0" w:color="auto"/>
            </w:tcBorders>
            <w:noWrap/>
            <w:vAlign w:val="center"/>
            <w:hideMark/>
          </w:tcPr>
          <w:p w14:paraId="5D9579C5" w14:textId="77777777" w:rsidR="00EA170B" w:rsidRPr="00D10A57" w:rsidRDefault="00EA170B" w:rsidP="00D56307">
            <w:pPr>
              <w:pStyle w:val="Styl1"/>
              <w:spacing w:after="0"/>
              <w:jc w:val="right"/>
              <w:rPr>
                <w:rFonts w:eastAsia="Times New Roman"/>
                <w:sz w:val="20"/>
                <w:szCs w:val="20"/>
                <w:lang w:eastAsia="cs-CZ"/>
              </w:rPr>
            </w:pPr>
            <w:r w:rsidRPr="00D10A57">
              <w:rPr>
                <w:rFonts w:eastAsia="Times New Roman"/>
                <w:sz w:val="20"/>
                <w:szCs w:val="20"/>
                <w:lang w:eastAsia="cs-CZ"/>
              </w:rPr>
              <w:t>5 455 632</w:t>
            </w:r>
          </w:p>
        </w:tc>
      </w:tr>
      <w:tr w:rsidR="00FA3507" w:rsidRPr="00D10A57" w14:paraId="7F96BBCA" w14:textId="77777777" w:rsidTr="00F30E4C">
        <w:trPr>
          <w:trHeight w:val="821"/>
        </w:trPr>
        <w:tc>
          <w:tcPr>
            <w:tcW w:w="699" w:type="pct"/>
            <w:tcBorders>
              <w:top w:val="nil"/>
              <w:left w:val="single" w:sz="8" w:space="0" w:color="auto"/>
              <w:bottom w:val="single" w:sz="4" w:space="0" w:color="auto"/>
              <w:right w:val="single" w:sz="4" w:space="0" w:color="auto"/>
            </w:tcBorders>
            <w:vAlign w:val="center"/>
            <w:hideMark/>
          </w:tcPr>
          <w:p w14:paraId="6287C635" w14:textId="77777777" w:rsidR="00EA170B" w:rsidRPr="00D10A57" w:rsidRDefault="00DF0033" w:rsidP="00D10A57">
            <w:pPr>
              <w:pStyle w:val="Styl1"/>
              <w:spacing w:after="0"/>
              <w:rPr>
                <w:rFonts w:eastAsia="Times New Roman"/>
                <w:sz w:val="20"/>
                <w:szCs w:val="20"/>
                <w:lang w:eastAsia="cs-CZ"/>
              </w:rPr>
            </w:pPr>
            <w:hyperlink r:id="rId13" w:history="1">
              <w:r w:rsidR="00EA170B" w:rsidRPr="00D10A57">
                <w:rPr>
                  <w:rStyle w:val="Hypertextovodkaz"/>
                  <w:rFonts w:eastAsia="Times New Roman"/>
                  <w:sz w:val="20"/>
                  <w:szCs w:val="20"/>
                  <w:lang w:eastAsia="cs-CZ"/>
                </w:rPr>
                <w:t>CZ.03.2.63/0.0/0.0/20_137/0017062</w:t>
              </w:r>
            </w:hyperlink>
          </w:p>
        </w:tc>
        <w:tc>
          <w:tcPr>
            <w:tcW w:w="626" w:type="pct"/>
            <w:tcBorders>
              <w:top w:val="nil"/>
              <w:left w:val="nil"/>
              <w:bottom w:val="single" w:sz="4" w:space="0" w:color="auto"/>
              <w:right w:val="single" w:sz="4" w:space="0" w:color="auto"/>
            </w:tcBorders>
            <w:vAlign w:val="center"/>
            <w:hideMark/>
          </w:tcPr>
          <w:p w14:paraId="0DCBBB0B"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Romodrom o.p.s.</w:t>
            </w:r>
          </w:p>
        </w:tc>
        <w:tc>
          <w:tcPr>
            <w:tcW w:w="1566" w:type="pct"/>
            <w:tcBorders>
              <w:top w:val="nil"/>
              <w:left w:val="nil"/>
              <w:bottom w:val="single" w:sz="4" w:space="0" w:color="auto"/>
              <w:right w:val="single" w:sz="4" w:space="0" w:color="auto"/>
            </w:tcBorders>
            <w:vAlign w:val="center"/>
            <w:hideMark/>
          </w:tcPr>
          <w:p w14:paraId="5BD35C07"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Budování kapacit k</w:t>
            </w:r>
            <w:r w:rsidR="003A2C3A">
              <w:rPr>
                <w:rFonts w:eastAsia="Times New Roman"/>
                <w:sz w:val="20"/>
                <w:szCs w:val="20"/>
                <w:lang w:eastAsia="cs-CZ"/>
              </w:rPr>
              <w:t> </w:t>
            </w:r>
            <w:r w:rsidRPr="00D10A57">
              <w:rPr>
                <w:rFonts w:eastAsia="Times New Roman"/>
                <w:sz w:val="20"/>
                <w:szCs w:val="20"/>
                <w:lang w:eastAsia="cs-CZ"/>
              </w:rPr>
              <w:t>efektivnější spolupráci</w:t>
            </w:r>
          </w:p>
        </w:tc>
        <w:tc>
          <w:tcPr>
            <w:tcW w:w="705" w:type="pct"/>
            <w:tcBorders>
              <w:top w:val="nil"/>
              <w:left w:val="nil"/>
              <w:bottom w:val="single" w:sz="4" w:space="0" w:color="auto"/>
              <w:right w:val="single" w:sz="4" w:space="0" w:color="auto"/>
            </w:tcBorders>
            <w:noWrap/>
            <w:vAlign w:val="center"/>
            <w:hideMark/>
          </w:tcPr>
          <w:p w14:paraId="567E59E0"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01.01.2021</w:t>
            </w:r>
          </w:p>
        </w:tc>
        <w:tc>
          <w:tcPr>
            <w:tcW w:w="705" w:type="pct"/>
            <w:tcBorders>
              <w:top w:val="nil"/>
              <w:left w:val="nil"/>
              <w:bottom w:val="single" w:sz="4" w:space="0" w:color="auto"/>
              <w:right w:val="single" w:sz="4" w:space="0" w:color="auto"/>
            </w:tcBorders>
            <w:noWrap/>
            <w:vAlign w:val="center"/>
            <w:hideMark/>
          </w:tcPr>
          <w:p w14:paraId="484ABE57"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31.12.2022</w:t>
            </w:r>
          </w:p>
        </w:tc>
        <w:tc>
          <w:tcPr>
            <w:tcW w:w="699" w:type="pct"/>
            <w:tcBorders>
              <w:top w:val="nil"/>
              <w:left w:val="nil"/>
              <w:bottom w:val="single" w:sz="4" w:space="0" w:color="auto"/>
              <w:right w:val="single" w:sz="8" w:space="0" w:color="auto"/>
            </w:tcBorders>
            <w:noWrap/>
            <w:vAlign w:val="center"/>
            <w:hideMark/>
          </w:tcPr>
          <w:p w14:paraId="7674F2E2" w14:textId="77777777" w:rsidR="00EA170B" w:rsidRPr="00D10A57" w:rsidRDefault="00EA170B" w:rsidP="00D56307">
            <w:pPr>
              <w:pStyle w:val="Styl1"/>
              <w:spacing w:after="0"/>
              <w:jc w:val="right"/>
              <w:rPr>
                <w:rFonts w:eastAsia="Times New Roman"/>
                <w:sz w:val="20"/>
                <w:szCs w:val="20"/>
                <w:lang w:eastAsia="cs-CZ"/>
              </w:rPr>
            </w:pPr>
            <w:r w:rsidRPr="00D10A57">
              <w:rPr>
                <w:rFonts w:eastAsia="Times New Roman"/>
                <w:sz w:val="20"/>
                <w:szCs w:val="20"/>
                <w:lang w:eastAsia="cs-CZ"/>
              </w:rPr>
              <w:t xml:space="preserve">4 313 120 </w:t>
            </w:r>
          </w:p>
        </w:tc>
      </w:tr>
      <w:tr w:rsidR="00FA3507" w:rsidRPr="00D10A57" w14:paraId="4F4B22A0" w14:textId="77777777" w:rsidTr="00F30E4C">
        <w:trPr>
          <w:trHeight w:val="821"/>
        </w:trPr>
        <w:tc>
          <w:tcPr>
            <w:tcW w:w="699" w:type="pct"/>
            <w:tcBorders>
              <w:top w:val="nil"/>
              <w:left w:val="single" w:sz="8" w:space="0" w:color="auto"/>
              <w:bottom w:val="single" w:sz="4" w:space="0" w:color="auto"/>
              <w:right w:val="single" w:sz="4" w:space="0" w:color="auto"/>
            </w:tcBorders>
            <w:vAlign w:val="center"/>
            <w:hideMark/>
          </w:tcPr>
          <w:p w14:paraId="54AF1F9B" w14:textId="77777777" w:rsidR="00EA170B" w:rsidRPr="00D10A57" w:rsidRDefault="00DF0033" w:rsidP="00D10A57">
            <w:pPr>
              <w:pStyle w:val="Styl1"/>
              <w:spacing w:after="0"/>
              <w:rPr>
                <w:rFonts w:eastAsia="Times New Roman"/>
                <w:sz w:val="20"/>
                <w:szCs w:val="20"/>
                <w:lang w:eastAsia="cs-CZ"/>
              </w:rPr>
            </w:pPr>
            <w:hyperlink r:id="rId14" w:history="1">
              <w:r w:rsidR="00EA170B" w:rsidRPr="00D10A57">
                <w:rPr>
                  <w:rStyle w:val="Hypertextovodkaz"/>
                  <w:rFonts w:eastAsia="Times New Roman"/>
                  <w:sz w:val="20"/>
                  <w:szCs w:val="20"/>
                  <w:lang w:eastAsia="cs-CZ"/>
                </w:rPr>
                <w:t>CZ.03.2.63/0.0/0.0/20_137/0017063</w:t>
              </w:r>
            </w:hyperlink>
          </w:p>
        </w:tc>
        <w:tc>
          <w:tcPr>
            <w:tcW w:w="626" w:type="pct"/>
            <w:tcBorders>
              <w:top w:val="nil"/>
              <w:left w:val="nil"/>
              <w:bottom w:val="single" w:sz="4" w:space="0" w:color="auto"/>
              <w:right w:val="single" w:sz="4" w:space="0" w:color="auto"/>
            </w:tcBorders>
            <w:vAlign w:val="center"/>
            <w:hideMark/>
          </w:tcPr>
          <w:p w14:paraId="5D5C5473"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Romano jasnica, spolek</w:t>
            </w:r>
          </w:p>
        </w:tc>
        <w:tc>
          <w:tcPr>
            <w:tcW w:w="1566" w:type="pct"/>
            <w:tcBorders>
              <w:top w:val="nil"/>
              <w:left w:val="nil"/>
              <w:bottom w:val="single" w:sz="4" w:space="0" w:color="auto"/>
              <w:right w:val="single" w:sz="4" w:space="0" w:color="auto"/>
            </w:tcBorders>
            <w:vAlign w:val="center"/>
            <w:hideMark/>
          </w:tcPr>
          <w:p w14:paraId="3A20A322"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Rozvoj organizace</w:t>
            </w:r>
          </w:p>
        </w:tc>
        <w:tc>
          <w:tcPr>
            <w:tcW w:w="705" w:type="pct"/>
            <w:tcBorders>
              <w:top w:val="nil"/>
              <w:left w:val="nil"/>
              <w:bottom w:val="single" w:sz="4" w:space="0" w:color="auto"/>
              <w:right w:val="single" w:sz="4" w:space="0" w:color="auto"/>
            </w:tcBorders>
            <w:noWrap/>
            <w:vAlign w:val="center"/>
            <w:hideMark/>
          </w:tcPr>
          <w:p w14:paraId="111F23A6"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01.01.2021</w:t>
            </w:r>
          </w:p>
        </w:tc>
        <w:tc>
          <w:tcPr>
            <w:tcW w:w="705" w:type="pct"/>
            <w:tcBorders>
              <w:top w:val="nil"/>
              <w:left w:val="nil"/>
              <w:bottom w:val="single" w:sz="4" w:space="0" w:color="auto"/>
              <w:right w:val="single" w:sz="4" w:space="0" w:color="auto"/>
            </w:tcBorders>
            <w:noWrap/>
            <w:vAlign w:val="center"/>
            <w:hideMark/>
          </w:tcPr>
          <w:p w14:paraId="72A7580A"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31.12.2022</w:t>
            </w:r>
          </w:p>
        </w:tc>
        <w:tc>
          <w:tcPr>
            <w:tcW w:w="699" w:type="pct"/>
            <w:tcBorders>
              <w:top w:val="nil"/>
              <w:left w:val="nil"/>
              <w:bottom w:val="single" w:sz="4" w:space="0" w:color="auto"/>
              <w:right w:val="single" w:sz="8" w:space="0" w:color="auto"/>
            </w:tcBorders>
            <w:noWrap/>
            <w:vAlign w:val="center"/>
            <w:hideMark/>
          </w:tcPr>
          <w:p w14:paraId="18E97571" w14:textId="77777777" w:rsidR="00EA170B" w:rsidRPr="00D10A57" w:rsidRDefault="00EA170B" w:rsidP="00D56307">
            <w:pPr>
              <w:pStyle w:val="Styl1"/>
              <w:spacing w:after="0"/>
              <w:jc w:val="right"/>
              <w:rPr>
                <w:rFonts w:eastAsia="Times New Roman"/>
                <w:sz w:val="20"/>
                <w:szCs w:val="20"/>
                <w:lang w:eastAsia="cs-CZ"/>
              </w:rPr>
            </w:pPr>
            <w:r w:rsidRPr="00D10A57">
              <w:rPr>
                <w:rFonts w:eastAsia="Times New Roman"/>
                <w:sz w:val="20"/>
                <w:szCs w:val="20"/>
                <w:lang w:eastAsia="cs-CZ"/>
              </w:rPr>
              <w:t xml:space="preserve">2 333 520 </w:t>
            </w:r>
          </w:p>
        </w:tc>
      </w:tr>
      <w:tr w:rsidR="00FA3507" w:rsidRPr="00D10A57" w14:paraId="68D4A57A" w14:textId="77777777" w:rsidTr="00F30E4C">
        <w:trPr>
          <w:trHeight w:val="821"/>
        </w:trPr>
        <w:tc>
          <w:tcPr>
            <w:tcW w:w="699" w:type="pct"/>
            <w:tcBorders>
              <w:top w:val="nil"/>
              <w:left w:val="single" w:sz="8" w:space="0" w:color="auto"/>
              <w:bottom w:val="single" w:sz="4" w:space="0" w:color="auto"/>
              <w:right w:val="single" w:sz="4" w:space="0" w:color="auto"/>
            </w:tcBorders>
            <w:vAlign w:val="center"/>
            <w:hideMark/>
          </w:tcPr>
          <w:p w14:paraId="107C4545" w14:textId="77777777" w:rsidR="00EA170B" w:rsidRPr="00D10A57" w:rsidRDefault="00DF0033" w:rsidP="00D10A57">
            <w:pPr>
              <w:pStyle w:val="Styl1"/>
              <w:spacing w:after="0"/>
              <w:rPr>
                <w:rFonts w:eastAsia="Times New Roman"/>
                <w:sz w:val="20"/>
                <w:szCs w:val="20"/>
                <w:lang w:eastAsia="cs-CZ"/>
              </w:rPr>
            </w:pPr>
            <w:hyperlink r:id="rId15" w:history="1">
              <w:r w:rsidR="00EA170B" w:rsidRPr="00D10A57">
                <w:rPr>
                  <w:rStyle w:val="Hypertextovodkaz"/>
                  <w:rFonts w:eastAsia="Times New Roman"/>
                  <w:sz w:val="20"/>
                  <w:szCs w:val="20"/>
                  <w:lang w:eastAsia="cs-CZ"/>
                </w:rPr>
                <w:t>CZ.03.2.63/0.0/0.0/20_137/0017064</w:t>
              </w:r>
            </w:hyperlink>
          </w:p>
        </w:tc>
        <w:tc>
          <w:tcPr>
            <w:tcW w:w="626" w:type="pct"/>
            <w:tcBorders>
              <w:top w:val="nil"/>
              <w:left w:val="nil"/>
              <w:bottom w:val="single" w:sz="4" w:space="0" w:color="auto"/>
              <w:right w:val="single" w:sz="4" w:space="0" w:color="auto"/>
            </w:tcBorders>
            <w:vAlign w:val="center"/>
            <w:hideMark/>
          </w:tcPr>
          <w:p w14:paraId="0A7A2630"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Romská zaměstnanecká agentura v ČR</w:t>
            </w:r>
          </w:p>
        </w:tc>
        <w:tc>
          <w:tcPr>
            <w:tcW w:w="1566" w:type="pct"/>
            <w:tcBorders>
              <w:top w:val="nil"/>
              <w:left w:val="nil"/>
              <w:bottom w:val="single" w:sz="4" w:space="0" w:color="auto"/>
              <w:right w:val="single" w:sz="4" w:space="0" w:color="auto"/>
            </w:tcBorders>
            <w:vAlign w:val="center"/>
            <w:hideMark/>
          </w:tcPr>
          <w:p w14:paraId="0B17A2CF"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Akcelerátor profesionalizace romských a proromských NNO v oblasti zaměstnanosti, odborné vzdělanosti a</w:t>
            </w:r>
            <w:r w:rsidR="003A2C3A">
              <w:rPr>
                <w:rFonts w:eastAsia="Times New Roman"/>
                <w:sz w:val="20"/>
                <w:szCs w:val="20"/>
                <w:lang w:eastAsia="cs-CZ"/>
              </w:rPr>
              <w:t> </w:t>
            </w:r>
            <w:r w:rsidRPr="00D10A57">
              <w:rPr>
                <w:rFonts w:eastAsia="Times New Roman"/>
                <w:sz w:val="20"/>
                <w:szCs w:val="20"/>
                <w:lang w:eastAsia="cs-CZ"/>
              </w:rPr>
              <w:t>podnikání</w:t>
            </w:r>
          </w:p>
        </w:tc>
        <w:tc>
          <w:tcPr>
            <w:tcW w:w="705" w:type="pct"/>
            <w:tcBorders>
              <w:top w:val="nil"/>
              <w:left w:val="nil"/>
              <w:bottom w:val="single" w:sz="4" w:space="0" w:color="auto"/>
              <w:right w:val="single" w:sz="4" w:space="0" w:color="auto"/>
            </w:tcBorders>
            <w:noWrap/>
            <w:vAlign w:val="center"/>
            <w:hideMark/>
          </w:tcPr>
          <w:p w14:paraId="24CD887D"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01.01.2021</w:t>
            </w:r>
          </w:p>
        </w:tc>
        <w:tc>
          <w:tcPr>
            <w:tcW w:w="705" w:type="pct"/>
            <w:tcBorders>
              <w:top w:val="nil"/>
              <w:left w:val="nil"/>
              <w:bottom w:val="single" w:sz="4" w:space="0" w:color="auto"/>
              <w:right w:val="single" w:sz="4" w:space="0" w:color="auto"/>
            </w:tcBorders>
            <w:noWrap/>
            <w:vAlign w:val="center"/>
            <w:hideMark/>
          </w:tcPr>
          <w:p w14:paraId="7BF9DA1B"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31.12.2022</w:t>
            </w:r>
          </w:p>
        </w:tc>
        <w:tc>
          <w:tcPr>
            <w:tcW w:w="699" w:type="pct"/>
            <w:tcBorders>
              <w:top w:val="nil"/>
              <w:left w:val="nil"/>
              <w:bottom w:val="single" w:sz="4" w:space="0" w:color="auto"/>
              <w:right w:val="single" w:sz="8" w:space="0" w:color="auto"/>
            </w:tcBorders>
            <w:noWrap/>
            <w:vAlign w:val="center"/>
            <w:hideMark/>
          </w:tcPr>
          <w:p w14:paraId="3B312E94" w14:textId="77777777" w:rsidR="00EA170B" w:rsidRPr="00D10A57" w:rsidRDefault="00EA170B" w:rsidP="00D56307">
            <w:pPr>
              <w:pStyle w:val="Styl1"/>
              <w:spacing w:after="0"/>
              <w:jc w:val="right"/>
              <w:rPr>
                <w:rFonts w:eastAsia="Times New Roman"/>
                <w:sz w:val="20"/>
                <w:szCs w:val="20"/>
                <w:lang w:eastAsia="cs-CZ"/>
              </w:rPr>
            </w:pPr>
            <w:r w:rsidRPr="00D10A57">
              <w:rPr>
                <w:rFonts w:eastAsia="Times New Roman"/>
                <w:sz w:val="20"/>
                <w:szCs w:val="20"/>
                <w:lang w:eastAsia="cs-CZ"/>
              </w:rPr>
              <w:t xml:space="preserve">3 970 400 </w:t>
            </w:r>
          </w:p>
        </w:tc>
      </w:tr>
      <w:tr w:rsidR="00FA3507" w:rsidRPr="00D10A57" w14:paraId="458E24A4" w14:textId="77777777" w:rsidTr="00F30E4C">
        <w:trPr>
          <w:trHeight w:val="821"/>
        </w:trPr>
        <w:tc>
          <w:tcPr>
            <w:tcW w:w="699" w:type="pct"/>
            <w:tcBorders>
              <w:top w:val="nil"/>
              <w:left w:val="single" w:sz="8" w:space="0" w:color="auto"/>
              <w:bottom w:val="single" w:sz="4" w:space="0" w:color="auto"/>
              <w:right w:val="single" w:sz="4" w:space="0" w:color="auto"/>
            </w:tcBorders>
            <w:vAlign w:val="center"/>
            <w:hideMark/>
          </w:tcPr>
          <w:p w14:paraId="40DD1EA0" w14:textId="77777777" w:rsidR="00EA170B" w:rsidRPr="00D10A57" w:rsidRDefault="00DF0033" w:rsidP="00D10A57">
            <w:pPr>
              <w:pStyle w:val="Styl1"/>
              <w:spacing w:after="0"/>
              <w:rPr>
                <w:rFonts w:eastAsia="Times New Roman"/>
                <w:sz w:val="20"/>
                <w:szCs w:val="20"/>
                <w:lang w:eastAsia="cs-CZ"/>
              </w:rPr>
            </w:pPr>
            <w:hyperlink r:id="rId16" w:history="1">
              <w:r w:rsidR="00EA170B" w:rsidRPr="00D10A57">
                <w:rPr>
                  <w:rStyle w:val="Hypertextovodkaz"/>
                  <w:rFonts w:eastAsia="Times New Roman"/>
                  <w:sz w:val="20"/>
                  <w:szCs w:val="20"/>
                  <w:lang w:eastAsia="cs-CZ"/>
                </w:rPr>
                <w:t>CZ.03.2.63/0.0/0.0/20_137/0017065</w:t>
              </w:r>
            </w:hyperlink>
          </w:p>
        </w:tc>
        <w:tc>
          <w:tcPr>
            <w:tcW w:w="626" w:type="pct"/>
            <w:tcBorders>
              <w:top w:val="nil"/>
              <w:left w:val="nil"/>
              <w:bottom w:val="single" w:sz="4" w:space="0" w:color="auto"/>
              <w:right w:val="single" w:sz="4" w:space="0" w:color="auto"/>
            </w:tcBorders>
            <w:vAlign w:val="center"/>
            <w:hideMark/>
          </w:tcPr>
          <w:p w14:paraId="7DECA9C7"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RomPraha, z. s.</w:t>
            </w:r>
          </w:p>
        </w:tc>
        <w:tc>
          <w:tcPr>
            <w:tcW w:w="1566" w:type="pct"/>
            <w:tcBorders>
              <w:top w:val="nil"/>
              <w:left w:val="nil"/>
              <w:bottom w:val="single" w:sz="4" w:space="0" w:color="auto"/>
              <w:right w:val="single" w:sz="4" w:space="0" w:color="auto"/>
            </w:tcBorders>
            <w:vAlign w:val="center"/>
            <w:hideMark/>
          </w:tcPr>
          <w:p w14:paraId="7B3A2655"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Profesionalizace romských organizací</w:t>
            </w:r>
          </w:p>
        </w:tc>
        <w:tc>
          <w:tcPr>
            <w:tcW w:w="705" w:type="pct"/>
            <w:tcBorders>
              <w:top w:val="nil"/>
              <w:left w:val="nil"/>
              <w:bottom w:val="single" w:sz="4" w:space="0" w:color="auto"/>
              <w:right w:val="single" w:sz="4" w:space="0" w:color="auto"/>
            </w:tcBorders>
            <w:noWrap/>
            <w:vAlign w:val="center"/>
            <w:hideMark/>
          </w:tcPr>
          <w:p w14:paraId="00DD9294"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01.02.2021</w:t>
            </w:r>
          </w:p>
        </w:tc>
        <w:tc>
          <w:tcPr>
            <w:tcW w:w="705" w:type="pct"/>
            <w:tcBorders>
              <w:top w:val="nil"/>
              <w:left w:val="nil"/>
              <w:bottom w:val="single" w:sz="4" w:space="0" w:color="auto"/>
              <w:right w:val="single" w:sz="4" w:space="0" w:color="auto"/>
            </w:tcBorders>
            <w:noWrap/>
            <w:vAlign w:val="center"/>
            <w:hideMark/>
          </w:tcPr>
          <w:p w14:paraId="4F4CE971"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31.12.2022</w:t>
            </w:r>
          </w:p>
        </w:tc>
        <w:tc>
          <w:tcPr>
            <w:tcW w:w="699" w:type="pct"/>
            <w:tcBorders>
              <w:top w:val="nil"/>
              <w:left w:val="nil"/>
              <w:bottom w:val="single" w:sz="4" w:space="0" w:color="auto"/>
              <w:right w:val="single" w:sz="8" w:space="0" w:color="auto"/>
            </w:tcBorders>
            <w:noWrap/>
            <w:vAlign w:val="center"/>
            <w:hideMark/>
          </w:tcPr>
          <w:p w14:paraId="54A47E4D" w14:textId="77777777" w:rsidR="00EA170B" w:rsidRPr="00D10A57" w:rsidRDefault="00EA170B" w:rsidP="00D56307">
            <w:pPr>
              <w:pStyle w:val="Styl1"/>
              <w:spacing w:after="0"/>
              <w:jc w:val="right"/>
              <w:rPr>
                <w:rFonts w:eastAsia="Times New Roman"/>
                <w:sz w:val="20"/>
                <w:szCs w:val="20"/>
                <w:lang w:eastAsia="cs-CZ"/>
              </w:rPr>
            </w:pPr>
            <w:r w:rsidRPr="00D10A57">
              <w:rPr>
                <w:rFonts w:eastAsia="Times New Roman"/>
                <w:sz w:val="20"/>
                <w:szCs w:val="20"/>
                <w:lang w:eastAsia="cs-CZ"/>
              </w:rPr>
              <w:t xml:space="preserve">4 696 580 </w:t>
            </w:r>
          </w:p>
        </w:tc>
      </w:tr>
      <w:tr w:rsidR="00EA170B" w:rsidRPr="00D10A57" w14:paraId="157CEEAD" w14:textId="77777777" w:rsidTr="00F30E4C">
        <w:trPr>
          <w:trHeight w:val="429"/>
        </w:trPr>
        <w:tc>
          <w:tcPr>
            <w:tcW w:w="4301" w:type="pct"/>
            <w:gridSpan w:val="5"/>
            <w:tcBorders>
              <w:top w:val="nil"/>
              <w:left w:val="single" w:sz="8" w:space="0" w:color="auto"/>
              <w:bottom w:val="single" w:sz="8" w:space="0" w:color="auto"/>
              <w:right w:val="single" w:sz="4" w:space="0" w:color="auto"/>
            </w:tcBorders>
            <w:vAlign w:val="center"/>
            <w:hideMark/>
          </w:tcPr>
          <w:p w14:paraId="79208B28" w14:textId="77777777" w:rsidR="00EA170B" w:rsidRPr="00D10A57" w:rsidRDefault="00EA170B" w:rsidP="00D10A57">
            <w:pPr>
              <w:pStyle w:val="Styl1"/>
              <w:spacing w:after="0"/>
              <w:rPr>
                <w:rFonts w:eastAsia="Times New Roman"/>
                <w:sz w:val="20"/>
                <w:szCs w:val="20"/>
                <w:lang w:eastAsia="cs-CZ"/>
              </w:rPr>
            </w:pPr>
            <w:r w:rsidRPr="00D10A57">
              <w:rPr>
                <w:rFonts w:eastAsia="Times New Roman"/>
                <w:sz w:val="20"/>
                <w:szCs w:val="20"/>
                <w:lang w:eastAsia="cs-CZ"/>
              </w:rPr>
              <w:t>8 projektů v realizaci</w:t>
            </w:r>
          </w:p>
        </w:tc>
        <w:tc>
          <w:tcPr>
            <w:tcW w:w="699" w:type="pct"/>
            <w:tcBorders>
              <w:top w:val="nil"/>
              <w:left w:val="nil"/>
              <w:bottom w:val="single" w:sz="8" w:space="0" w:color="auto"/>
              <w:right w:val="single" w:sz="8" w:space="0" w:color="auto"/>
            </w:tcBorders>
            <w:noWrap/>
            <w:vAlign w:val="center"/>
            <w:hideMark/>
          </w:tcPr>
          <w:p w14:paraId="708766BA" w14:textId="77777777" w:rsidR="00EA170B" w:rsidRPr="00D10A57" w:rsidRDefault="00EA170B" w:rsidP="00D56307">
            <w:pPr>
              <w:pStyle w:val="Styl1"/>
              <w:spacing w:after="0"/>
              <w:jc w:val="right"/>
              <w:rPr>
                <w:rFonts w:eastAsia="Times New Roman"/>
                <w:sz w:val="20"/>
                <w:szCs w:val="20"/>
                <w:lang w:eastAsia="cs-CZ"/>
              </w:rPr>
            </w:pPr>
            <w:r w:rsidRPr="00D10A57">
              <w:rPr>
                <w:rFonts w:eastAsia="Times New Roman"/>
                <w:sz w:val="20"/>
                <w:szCs w:val="20"/>
                <w:lang w:eastAsia="cs-CZ"/>
              </w:rPr>
              <w:t>29 111 516</w:t>
            </w:r>
          </w:p>
        </w:tc>
      </w:tr>
    </w:tbl>
    <w:p w14:paraId="74DD151F" w14:textId="77777777" w:rsidR="00EA170B" w:rsidRPr="00D10A57" w:rsidRDefault="00EA170B" w:rsidP="00D10A57">
      <w:pPr>
        <w:pStyle w:val="Styl1"/>
      </w:pPr>
    </w:p>
    <w:p w14:paraId="608041E4" w14:textId="47F6BFD8" w:rsidR="00EA170B" w:rsidRPr="00D10A57" w:rsidRDefault="00EA170B" w:rsidP="00D10A57">
      <w:pPr>
        <w:pStyle w:val="Styl1"/>
      </w:pPr>
      <w:r w:rsidRPr="00D10A57">
        <w:lastRenderedPageBreak/>
        <w:t>M</w:t>
      </w:r>
      <w:r w:rsidR="004D2332">
        <w:t>PSV</w:t>
      </w:r>
      <w:r w:rsidRPr="00D10A57">
        <w:t xml:space="preserve"> v rámci dotací ze státního rozpočtu, ale i </w:t>
      </w:r>
      <w:r w:rsidR="004D2332">
        <w:t>ESIF</w:t>
      </w:r>
      <w:r w:rsidRPr="00D10A57">
        <w:t xml:space="preserve"> financuje provoz sociálních služeb, služeb pro rodiny a seniory bez ohledu na národnostní příslušnost. Služby jsou mimo jiné zaměřeny na osoby ohrožené na trhu práce, ohrožené sociálním vyloučením nebo sociálně vyloučené a jejich integraci. </w:t>
      </w:r>
    </w:p>
    <w:p w14:paraId="336CBCF1" w14:textId="77777777" w:rsidR="00EA170B" w:rsidRPr="00D10A57" w:rsidRDefault="00EA170B" w:rsidP="00D10A57">
      <w:pPr>
        <w:pStyle w:val="Styl1"/>
      </w:pPr>
      <w:r w:rsidRPr="00D10A57">
        <w:t xml:space="preserve">Cílem podpory jsou převážně rodiny, jak funkční, v rámci kterých je zájem působit preventivně a předcházet tak problémům, tak rodiny se zhoršenou situací, v rámci kterých je třeba řešit problémy (chudoba, nezaměstnanost, domácí násilí, náročnost péče, mezilidské vztahy, rodiny a senioři bez domova). V rámci dotačních titulů na podporu rodin a seniorů jsou podporovány neziskové organizace, které nabízejí aktivity směřující jak k obecnému zvyšování rodičovských kompetencí, tak k řešení konkrétních problémů skrze osvětu, vzdělávání či konkrétní právní, psychologické či sociální poradenství. </w:t>
      </w:r>
    </w:p>
    <w:p w14:paraId="6D993FB7" w14:textId="77777777" w:rsidR="00EA170B" w:rsidRPr="00D10A57" w:rsidRDefault="00EA170B" w:rsidP="00D10A57">
      <w:pPr>
        <w:pStyle w:val="Styl1"/>
      </w:pPr>
      <w:r w:rsidRPr="00D10A57">
        <w:t xml:space="preserve">MPSV realizuje každým rokem </w:t>
      </w:r>
      <w:r w:rsidRPr="00D56307">
        <w:rPr>
          <w:b/>
        </w:rPr>
        <w:t>národní dotační titul</w:t>
      </w:r>
      <w:r w:rsidRPr="00D10A57">
        <w:t xml:space="preserve"> (dále jen „NDT“) </w:t>
      </w:r>
      <w:r w:rsidRPr="00D56307">
        <w:rPr>
          <w:b/>
        </w:rPr>
        <w:t>Rodina</w:t>
      </w:r>
      <w:r w:rsidRPr="00D10A57">
        <w:t>. Cílem tohoto programu je podpora služeb pro rodinu preventivního a podpůrného charakteru. Tyto služby by měly posilovat rodičovské kompetence, zkvalitňovat rodinné vztahy, podporovat rodiny v péči o děti, jejich výchově a při harmonizaci práce a rodiny, a napomáhat při předcházení a řešení krizových situací v rodině, včetně domácího násilí, týrání a zneužívání dětí. Cílem je poskytnout komplexní pomoc rodině jako celku (tj. širší rodině včetně dětí a prarodičů). V</w:t>
      </w:r>
      <w:r w:rsidR="003A2C3A">
        <w:t> </w:t>
      </w:r>
      <w:r w:rsidRPr="00D10A57">
        <w:t>roce</w:t>
      </w:r>
      <w:r w:rsidR="003A2C3A">
        <w:t> </w:t>
      </w:r>
      <w:r w:rsidRPr="00D10A57">
        <w:t>2021 činila celková alokace uvedeného dotačního titulu 140 mil. Kč.</w:t>
      </w:r>
    </w:p>
    <w:p w14:paraId="2B2E4B57" w14:textId="602A9B75" w:rsidR="00EA170B" w:rsidRPr="00D10A57" w:rsidRDefault="00EA170B" w:rsidP="00D10A57">
      <w:pPr>
        <w:pStyle w:val="Styl1"/>
      </w:pPr>
      <w:r w:rsidRPr="00D10A57">
        <w:t xml:space="preserve">NDT je rozdělen do dvou dotačních oblastí. V první dotační oblasti – Preventivní aktivity na podporu rodiny, partnerství a rodičovství – je hlavním cílem posílit rodičovské kompetence, zkvalitnit rodinné vztahy, poskytnout komplexní pomoc rodinám s dětmi, které se mohou ocitnout nebo se ocitají v ohrožení a předcházet jeho případnému prohlubování. Podporovány jsou především aktivity směřující k předcházení negativních jevů v rodině, zároveň jsou tyto aktivity cílené nejen na úzce vymezenou skupinu rodin, ale na všechny rodiče a děti. V druhé dotační oblasti – Podpora práce s dětmi a rodinami v oblasti </w:t>
      </w:r>
      <w:r w:rsidR="00F355C2">
        <w:t xml:space="preserve">sociálně-právní ochrany dítěte (dále jen „SPOD“) </w:t>
      </w:r>
      <w:r w:rsidRPr="00D10A57">
        <w:t xml:space="preserve"> – je hlavním cílem podporovat přímou práci s ohroženými dětmi a rodinami. Aktivity jsou zaměřené zejména na rozvoj metod přímé práce s dětmi při řešení případů dětí a rodin, které jsou v agendě SPOD (výjimku tvoří aktivity pro osvojitelské rodiny a biologické děti pěstounů).</w:t>
      </w:r>
    </w:p>
    <w:p w14:paraId="2A0D05D3" w14:textId="5D9AB71C" w:rsidR="00EA170B" w:rsidRPr="00D10A57" w:rsidRDefault="00EA170B" w:rsidP="00D10A57">
      <w:pPr>
        <w:pStyle w:val="Styl1"/>
      </w:pPr>
      <w:r w:rsidRPr="00D10A57">
        <w:t>MPSV realizuje každoročně celonárodní soutěž, od roku 2018 spojenou jako „</w:t>
      </w:r>
      <w:r w:rsidRPr="008E7E2C">
        <w:rPr>
          <w:b/>
        </w:rPr>
        <w:t>Obec přátelská rodině a seniorům“</w:t>
      </w:r>
      <w:r w:rsidRPr="00D10A57">
        <w:t>, která má dvě dotační oblasti – I. Dotační oblast „Obec přátelská rodině“ a</w:t>
      </w:r>
      <w:r w:rsidR="003A2C3A">
        <w:t> </w:t>
      </w:r>
      <w:r w:rsidRPr="00D10A57">
        <w:t>II. dotační oblast „Obec přátelská seniorům“. Soutěž Obec přátelská rodině je soutěží pořádanou MPSV a Stálou komisí pro rodinu, rovné příležitosti a národnostní menšiny Poslanecké sněmovny Parlamentu ČR ve spolupráci se Sítí pro rodinu, Rodinným svazem ČR, Svazem měst a obcí ČR a Sdružením místních samospráv ČR. Program cílí na všechny obce, města, statutární města a městské části ČR, které mají za úkol propagovat pro-rodinnou atmosféru a podněcovat její rozvoj (např. realizací prorodinných opatření a aktivit) právě na komunální úrovni. V roce 2021 bylo oceněno v I. dotační oblasti celkem 15 obcí. Dotační oblast II. soutěže „Obec přátelská seniorům“ pořádá MPSV ve spolupráci s Radou vlády pro seniory a stárnutí populace a Sdružením místních samospráv ČR. Hlavním cílem dotačního titulu je podpora seniorů a mezigeneračního soužití na místní úrovni. Touto podporou se myslí zejména realizace aktivit a zavádění opatření na úrovni obcí vedoucích k podpoře seniorů v nich žijících a posilování mezigenerační soudržnosti osob. V roce 2021 bylo oceněno v II. dotační oblasti celkem 15 obcí. Celkově bylo v roce 2021 rozděleno mezi oceněné v obou dotačních oblastech přes 17 mil. Kč.</w:t>
      </w:r>
    </w:p>
    <w:p w14:paraId="50A5327D" w14:textId="136FA4AF" w:rsidR="00EA170B" w:rsidRPr="00D10A57" w:rsidRDefault="00EA170B" w:rsidP="00D10A57">
      <w:pPr>
        <w:pStyle w:val="Styl1"/>
      </w:pPr>
      <w:r w:rsidRPr="00D10A57">
        <w:t xml:space="preserve">MPSV v roce 2020 vytvořilo Pracovní skupinu k primární prevenci na podporu rodin, jejímž cílem je zhodnotit současný stav podpory rodin v oblasti služeb primární prevence zaměřené na služby péče o rodinu a doporučit opatření, která pomohou zlepšit postavení služeb zaměřených na primární prevenci v rezortu MPSV v souladu s opatřením v platné Koncepci </w:t>
      </w:r>
      <w:r w:rsidRPr="00D10A57">
        <w:lastRenderedPageBreak/>
        <w:t xml:space="preserve">rodinné politiky z roku 2017 - Opatření č. 11 – Legislativní ukotvení služeb primární prevence a zajištění jejich systémového financování. </w:t>
      </w:r>
    </w:p>
    <w:p w14:paraId="6C8EC025" w14:textId="77777777" w:rsidR="00EA170B" w:rsidRPr="00D10A57" w:rsidRDefault="00EA170B" w:rsidP="00D10A57">
      <w:pPr>
        <w:pStyle w:val="Styl1"/>
      </w:pPr>
      <w:r w:rsidRPr="00D10A57">
        <w:t>Jako klíčový faktor politiky zaměstnanosti a snižování chudoby v ČR jsou podporovány služby péče o děti. K těm patří např. poskytování služby péče o dítě v dětské skupině (zákon č.</w:t>
      </w:r>
      <w:r w:rsidR="003A2C3A">
        <w:t> </w:t>
      </w:r>
      <w:r w:rsidRPr="00D10A57">
        <w:t xml:space="preserve">247/2014 Sb. o poskytování služby péče o dítě v dětské skupině a o změně souvisejících zákonů, ve znění pozdějších předpisů, dále jen zákon o dětské skupině), od začátku roku 2016 byl rovněž zahájen projekt </w:t>
      </w:r>
      <w:r w:rsidRPr="00D56307">
        <w:rPr>
          <w:b/>
        </w:rPr>
        <w:t>Podpora implementace dětských skupin</w:t>
      </w:r>
      <w:r w:rsidRPr="00D10A57">
        <w:t>. V dětských skupinách je zaručena kvalita poskytované péče, neboť je stanoven například maximální počet dětí ve třídě i na pečující osobu, odborná kvalifikace pečujících osob, plán výchovy a péče, či hygienické požadavky. Od 1.</w:t>
      </w:r>
      <w:r w:rsidR="003A2C3A">
        <w:t> </w:t>
      </w:r>
      <w:r w:rsidRPr="00D10A57">
        <w:t>10.</w:t>
      </w:r>
      <w:r w:rsidR="003A2C3A">
        <w:t> </w:t>
      </w:r>
      <w:r w:rsidRPr="00D10A57">
        <w:t>2021 je nově účinná novela zákona o dětské skupině, jejímž cílem je zajistit udržitelný systém financování ze státního rozpočtu a dále navýšit kvalitu poskytovaných služeb. Novela přinesla řadu změn, zejména nastavení stabilního financování ze státního rozpočtu prostřednictvím příspěvku na provoz. Děti mohou nově navštěvovat dětskou skupinu již od 6 měsíců až do zahájení povinné školní docházky, pro děti od 6 měsíců do 12 měsíců je stanovena podmínka, že o ně může být pečováno maximálně ve skupině 4 dětí mladších čtyř let. Poskytovatelé mají dále nově povinnost používat v názvu služby označení „dětská skupina“. Je upravena také oblast odborné způsobilosti pečujících osob a</w:t>
      </w:r>
      <w:r w:rsidR="003A2C3A">
        <w:t> </w:t>
      </w:r>
      <w:r w:rsidRPr="00D10A57">
        <w:t xml:space="preserve">jejich další vzdělávání. Novela dále stanovuje všem poskytovatelům dětských skupin povinnost dodržovat standardy kvality péče o dítě v dětské skupině, jejichž cílem je stanovení základních požadavků na kvalitu poskytovaných služeb. </w:t>
      </w:r>
    </w:p>
    <w:p w14:paraId="3B6E4A5F" w14:textId="3D0D9C8D" w:rsidR="00EA170B" w:rsidRPr="00D10A57" w:rsidRDefault="00EA170B" w:rsidP="00D10A57">
      <w:pPr>
        <w:pStyle w:val="Styl1"/>
      </w:pPr>
      <w:r w:rsidRPr="00D10A57">
        <w:t>K datu 14.</w:t>
      </w:r>
      <w:r w:rsidR="003A2C3A">
        <w:t> </w:t>
      </w:r>
      <w:r w:rsidR="00F355C2">
        <w:t>března</w:t>
      </w:r>
      <w:r w:rsidR="003A2C3A">
        <w:t> </w:t>
      </w:r>
      <w:r w:rsidRPr="00D10A57">
        <w:t>2022 evidovalo MPSV cca 1</w:t>
      </w:r>
      <w:r w:rsidR="003A2C3A">
        <w:t> </w:t>
      </w:r>
      <w:r w:rsidRPr="00D10A57">
        <w:t>278 dětských skupin s platným oprávněním a</w:t>
      </w:r>
      <w:r w:rsidR="003A2C3A">
        <w:t> </w:t>
      </w:r>
      <w:r w:rsidRPr="00D10A57">
        <w:t>počtem míst 16</w:t>
      </w:r>
      <w:r w:rsidR="003A2C3A">
        <w:t> </w:t>
      </w:r>
      <w:r w:rsidRPr="00D10A57">
        <w:t xml:space="preserve">779. Celkový počet poskytovatelů byl k tomuto datu 876. Poskytovatelé služby péče o dítě </w:t>
      </w:r>
      <w:r w:rsidR="003A2C3A">
        <w:t xml:space="preserve">v </w:t>
      </w:r>
      <w:r w:rsidRPr="00D10A57">
        <w:t>dětských skupinách mohou mít různou právní subjektivitu. Jedná se například o spolky, obecně prospěšné společnosti, obce, akciové společnosti, ústavy, společnosti s ručením omezeným a další. V minulosti fungoval systémový projekt MPSV „Mikrojesle“, v rámci něhož probíhalo pilotní ověření služby, která se zaměřovala na péči o děti od 6 měsíců do 4 let věku v kolektivu maximálně čtyř dětí. Projekt Mikrojesle byl již ukončen a</w:t>
      </w:r>
      <w:r w:rsidR="003A2C3A">
        <w:t> </w:t>
      </w:r>
      <w:r w:rsidRPr="00D10A57">
        <w:t xml:space="preserve">služba se postupně transformuje na dětské skupiny. </w:t>
      </w:r>
    </w:p>
    <w:p w14:paraId="1127ECF7" w14:textId="77777777" w:rsidR="00EA170B" w:rsidRPr="00D10A57" w:rsidRDefault="00EA170B" w:rsidP="00D10A57">
      <w:pPr>
        <w:pStyle w:val="Styl1"/>
      </w:pPr>
      <w:r w:rsidRPr="00D10A57">
        <w:t>Z evropských fondů podporuje MPSV také mimoškolní péči o děti mladšího školního věku, která je důležitým prvkem pro integraci dětí ze znevýhodněného prostředí a působí jako prevence negativních sociálních jevů.</w:t>
      </w:r>
    </w:p>
    <w:p w14:paraId="43BA7A06" w14:textId="77777777" w:rsidR="00EA170B" w:rsidRPr="00D10A57" w:rsidRDefault="00EA170B" w:rsidP="00D10A57">
      <w:pPr>
        <w:pStyle w:val="Styl1"/>
      </w:pPr>
      <w:r w:rsidRPr="00D10A57">
        <w:t xml:space="preserve">MPSV pokračovalo v roce 2021 v realizaci systémového projektu </w:t>
      </w:r>
      <w:r w:rsidRPr="003312AB">
        <w:rPr>
          <w:b/>
        </w:rPr>
        <w:t>„Koordinace opatření na podporu sladění pracovního a rodinného života na úrovni krajů</w:t>
      </w:r>
      <w:r w:rsidRPr="00D10A57">
        <w:t>“. Cílem projektu je zlepšit koordinaci místních a celostátních politik na podporu rodin, a tím podpořit či vytvořit na regionální úrovni příznivé podmínky pro fungování rodin. Výsledkem projektu by mělo být, mimo jiné, vytvoření základu systémového uchopení rodinné politiky na krajské a obecní úrovni a posílení spolupráce mezi kraji a obcemi, zlepšení koordinace místních a celostátních politik v oblasti rodinné politiky a slaďování pracovního a rodinného života prostřednictvím zavedení udržitelného systému monitoringu potřeb rodin, tvorby koncepcí rodinné politiky na krajské a místní úrovni a systematické spolupráce mezi MPSV a kraji a obcemi. V rámci projektu probíhá průběžně sběr příkladů dobré praxe, které jsou zveřejňovány v elektronickém sborníku. V roce 2021 se projekt zaměřoval také na oblast primární prevence.</w:t>
      </w:r>
    </w:p>
    <w:p w14:paraId="63E81E28" w14:textId="5E5A46F4" w:rsidR="00EA170B" w:rsidRPr="00D10A57" w:rsidRDefault="00EA170B" w:rsidP="00D10A57">
      <w:pPr>
        <w:pStyle w:val="Styl1"/>
      </w:pPr>
      <w:r w:rsidRPr="00D10A57">
        <w:t>MPSV v návaznosti na Doporučení, kterým se zavádí evropská záruka pro děti (dále jen „doporučení“) aktuálně připravuje Akční plán k naplnění Záruky pro děti na období 2022–2030 (dále jen „akční plán“). Cílem doporučení je předcházet sociálnímu vyloučení dětí v nouzi a bojovat proti němu zajištěním jejich rovného přístupu ke klíčovým službám k předškolnímu vzdělávání a péči, ke vzdělávání (včetně školních činností), ke zdravotní péči, výživě a bydlení. Na přípravě akčního plánu se podílejí zástupci MPSV, ale i Ministerstva zdravotnictví, M</w:t>
      </w:r>
      <w:r w:rsidR="0070503B">
        <w:t>ŠMT</w:t>
      </w:r>
      <w:r w:rsidRPr="00D10A57">
        <w:t xml:space="preserve"> a M</w:t>
      </w:r>
      <w:r w:rsidR="0070503B">
        <w:t>MR</w:t>
      </w:r>
      <w:r w:rsidRPr="00D10A57">
        <w:t xml:space="preserve">. Akční plán byl rovněž konzultován se zástupci samosprávy a s vybranými zástupci </w:t>
      </w:r>
      <w:r w:rsidRPr="00D10A57">
        <w:lastRenderedPageBreak/>
        <w:t xml:space="preserve">neziskového sektoru. Nyní dochází k vypořádání připomínek z meziresortního připomínkovacího řízení. </w:t>
      </w:r>
    </w:p>
    <w:p w14:paraId="5AD9C689" w14:textId="47FBA5BB" w:rsidR="00EA170B" w:rsidRDefault="00EA170B" w:rsidP="00D10A57">
      <w:pPr>
        <w:pStyle w:val="Styl1"/>
      </w:pPr>
      <w:r w:rsidRPr="00D10A57">
        <w:t>Akční plán představuje rámcový dokument, který obsahuje převážně opatření, která jsou již zanesena ve schválených strategických a koncepčních dokumentech České republiky. Akční plán rovněž navazuje na Programové prohlášení vlády a zároveň napomáhá k naplňování národních cílů v oblastech zaměstnanosti, dovedností a snižování chudoby, které byly stanoveny v souvislosti s Akčním plánem pro implementaci zásad evropského pilíře sociálních práv. Akční plán obsahuje mj. vymezení cílové skupiny „dětí v nouzi“, přičemž v rámci ČR jsou do této skupiny zařazeny i děti žijící v romské m</w:t>
      </w:r>
      <w:r w:rsidR="0070503B">
        <w:t>enšině</w:t>
      </w:r>
      <w:r w:rsidRPr="00D10A57">
        <w:t xml:space="preserve">. Opatření v návrhové části dokumentu jsou tedy zaměřena i na tuto skupinu dětí.  </w:t>
      </w:r>
    </w:p>
    <w:p w14:paraId="6FA26616" w14:textId="77777777" w:rsidR="00A961AF" w:rsidRDefault="00A961AF">
      <w:pPr>
        <w:rPr>
          <w:rFonts w:ascii="Arial" w:hAnsi="Arial" w:cs="Arial"/>
          <w:color w:val="000000"/>
        </w:rPr>
      </w:pPr>
      <w:r>
        <w:br w:type="page"/>
      </w:r>
    </w:p>
    <w:p w14:paraId="44333E8C" w14:textId="577E8B8B" w:rsidR="003A7FDA" w:rsidRDefault="003A7FDA" w:rsidP="00D10A57">
      <w:pPr>
        <w:pStyle w:val="Nadpis1"/>
        <w:numPr>
          <w:ilvl w:val="0"/>
          <w:numId w:val="1"/>
        </w:numPr>
        <w:spacing w:line="240" w:lineRule="auto"/>
        <w:jc w:val="both"/>
        <w:rPr>
          <w:rFonts w:ascii="Arial" w:hAnsi="Arial" w:cs="Arial"/>
          <w:color w:val="auto"/>
          <w:sz w:val="24"/>
        </w:rPr>
      </w:pPr>
      <w:bookmarkStart w:id="11" w:name="_Toc112831375"/>
      <w:r w:rsidRPr="00D10A57">
        <w:rPr>
          <w:rFonts w:ascii="Arial" w:hAnsi="Arial" w:cs="Arial"/>
          <w:color w:val="auto"/>
          <w:sz w:val="24"/>
        </w:rPr>
        <w:lastRenderedPageBreak/>
        <w:t>M</w:t>
      </w:r>
      <w:r w:rsidR="006275E3" w:rsidRPr="00D10A57">
        <w:rPr>
          <w:rFonts w:ascii="Arial" w:hAnsi="Arial" w:cs="Arial"/>
          <w:color w:val="auto"/>
          <w:sz w:val="24"/>
        </w:rPr>
        <w:t>inisterstvo školství, mládeže a tělovýchovy</w:t>
      </w:r>
      <w:bookmarkEnd w:id="11"/>
    </w:p>
    <w:p w14:paraId="2CBC2DF0" w14:textId="09BDCA2B" w:rsidR="00ED7E0F" w:rsidRDefault="00ED7E0F" w:rsidP="007C763A"/>
    <w:p w14:paraId="51019808" w14:textId="717CBC68" w:rsidR="00ED7E0F" w:rsidRPr="007C763A" w:rsidRDefault="00ED7E0F" w:rsidP="007C763A">
      <w:pPr>
        <w:spacing w:line="240" w:lineRule="auto"/>
        <w:rPr>
          <w:rFonts w:ascii="Arial" w:hAnsi="Arial" w:cs="Arial"/>
          <w:color w:val="000000"/>
        </w:rPr>
      </w:pPr>
      <w:r w:rsidRPr="00605AFD">
        <w:rPr>
          <w:rFonts w:ascii="Arial" w:hAnsi="Arial" w:cs="Arial"/>
          <w:b/>
          <w:bCs/>
          <w:color w:val="000000"/>
        </w:rPr>
        <w:t>Informace o plnění usnesení vlády týkajících se integrace romské menšiny a aktivního postupu státní správy při uskutečňování opatření přijatých souvisejícími usneseními vlády ke dni 31. 12. 2021</w:t>
      </w:r>
    </w:p>
    <w:p w14:paraId="7CF351B4" w14:textId="77777777" w:rsidR="0096367A" w:rsidRPr="00D10A57" w:rsidRDefault="0096367A" w:rsidP="00D10A57">
      <w:pPr>
        <w:pStyle w:val="Default0"/>
        <w:spacing w:before="240"/>
        <w:jc w:val="both"/>
        <w:rPr>
          <w:b/>
          <w:color w:val="auto"/>
          <w:sz w:val="22"/>
          <w:szCs w:val="22"/>
        </w:rPr>
      </w:pPr>
      <w:r w:rsidRPr="00D10A57">
        <w:rPr>
          <w:b/>
          <w:color w:val="auto"/>
          <w:sz w:val="22"/>
          <w:szCs w:val="22"/>
        </w:rPr>
        <w:t xml:space="preserve">Usnesením vlády ze dne 11. května 2016 č. 416, k Revizi úkolů vyplývajících z usnesení vlády, týkajících se integrace romské menšiny, vláda uložila ministryni školství, mládeže a tělovýchovy: </w:t>
      </w:r>
    </w:p>
    <w:p w14:paraId="1D926639" w14:textId="77777777" w:rsidR="0096367A" w:rsidRPr="00D10A57" w:rsidRDefault="0096367A" w:rsidP="00D10A57">
      <w:pPr>
        <w:pStyle w:val="Default0"/>
        <w:jc w:val="both"/>
        <w:rPr>
          <w:color w:val="auto"/>
          <w:sz w:val="22"/>
          <w:szCs w:val="22"/>
        </w:rPr>
      </w:pPr>
    </w:p>
    <w:p w14:paraId="146847B1" w14:textId="77777777" w:rsidR="0096367A" w:rsidRPr="00D10A57" w:rsidRDefault="0096367A" w:rsidP="00D10A57">
      <w:pPr>
        <w:pStyle w:val="Default0"/>
        <w:jc w:val="both"/>
        <w:rPr>
          <w:b/>
          <w:bCs/>
          <w:color w:val="auto"/>
          <w:sz w:val="22"/>
          <w:szCs w:val="22"/>
        </w:rPr>
      </w:pPr>
      <w:r w:rsidRPr="00D10A57">
        <w:rPr>
          <w:b/>
          <w:bCs/>
          <w:color w:val="auto"/>
          <w:sz w:val="22"/>
          <w:szCs w:val="22"/>
        </w:rPr>
        <w:t xml:space="preserve">a) průběžně zařazovat mezi významné výzkumy resortu výzkumy a analýzy ve vztahu k romské menšině v oblasti rovného přístupu ke vzdělávání a předmět a cíle výzkumů a analýz konzultovat s Radou vlády pro záležitosti romské menšiny, </w:t>
      </w:r>
    </w:p>
    <w:p w14:paraId="7F930081" w14:textId="0523FA0B" w:rsidR="0096367A" w:rsidRPr="007C763A" w:rsidRDefault="0096367A" w:rsidP="007C763A">
      <w:pPr>
        <w:spacing w:before="240" w:line="240" w:lineRule="auto"/>
        <w:jc w:val="both"/>
        <w:rPr>
          <w:rFonts w:ascii="Arial" w:eastAsia="Calibri" w:hAnsi="Arial" w:cs="Arial"/>
        </w:rPr>
      </w:pPr>
      <w:r w:rsidRPr="00D10A57">
        <w:rPr>
          <w:rFonts w:ascii="Arial" w:eastAsia="Calibri" w:hAnsi="Arial" w:cs="Arial"/>
        </w:rPr>
        <w:t xml:space="preserve">Byla zadána realizace výzkumu v rámci TA ČR na téma "Analýza příčin vyššího podílu romských žáků vzdělávajících se dle </w:t>
      </w:r>
      <w:r w:rsidR="0070503B" w:rsidRPr="0070503B">
        <w:rPr>
          <w:rFonts w:ascii="Arial" w:eastAsia="Calibri" w:hAnsi="Arial" w:cs="Arial"/>
        </w:rPr>
        <w:t xml:space="preserve">Rámcového vzdělávacího programu RVP ZV </w:t>
      </w:r>
      <w:r w:rsidR="0070503B">
        <w:rPr>
          <w:rFonts w:ascii="Arial" w:eastAsia="Calibri" w:hAnsi="Arial" w:cs="Arial"/>
        </w:rPr>
        <w:t xml:space="preserve">se sníženými nároky na výstupy </w:t>
      </w:r>
      <w:r w:rsidR="0070503B" w:rsidRPr="0070503B">
        <w:rPr>
          <w:rFonts w:ascii="Arial" w:eastAsia="Calibri" w:hAnsi="Arial" w:cs="Arial"/>
        </w:rPr>
        <w:t xml:space="preserve">ze vzdělávání z důvodu mentálního postižení </w:t>
      </w:r>
      <w:r w:rsidR="0070503B">
        <w:rPr>
          <w:rFonts w:ascii="Arial" w:eastAsia="Calibri" w:hAnsi="Arial" w:cs="Arial"/>
        </w:rPr>
        <w:t>(dále jen „</w:t>
      </w:r>
      <w:r w:rsidRPr="00D10A57">
        <w:rPr>
          <w:rFonts w:ascii="Arial" w:eastAsia="Calibri" w:hAnsi="Arial" w:cs="Arial"/>
        </w:rPr>
        <w:t>RVP ZV UV</w:t>
      </w:r>
      <w:r w:rsidR="0070503B">
        <w:rPr>
          <w:rFonts w:ascii="Arial" w:eastAsia="Calibri" w:hAnsi="Arial" w:cs="Arial"/>
        </w:rPr>
        <w:t>“)</w:t>
      </w:r>
      <w:r w:rsidRPr="00D10A57">
        <w:rPr>
          <w:rFonts w:ascii="Arial" w:eastAsia="Calibri" w:hAnsi="Arial" w:cs="Arial"/>
        </w:rPr>
        <w:t xml:space="preserve"> ve třídách zřízených podle § 16 odst. 9, </w:t>
      </w:r>
      <w:r w:rsidR="003A2C3A">
        <w:rPr>
          <w:rFonts w:ascii="Arial" w:eastAsia="Calibri" w:hAnsi="Arial" w:cs="Arial"/>
        </w:rPr>
        <w:t>š</w:t>
      </w:r>
      <w:r w:rsidRPr="00D10A57">
        <w:rPr>
          <w:rFonts w:ascii="Arial" w:eastAsia="Calibri" w:hAnsi="Arial" w:cs="Arial"/>
        </w:rPr>
        <w:t>kolského zákona". Realizátory jsou PAQ Research a STEM. Hlavním cílem výzkumného projektu je zjistit příčiny vzdělávání romských žáků vzdělávaných dle RVP ZV UV a navrhnout soubor doporučení pro oblast vzdělávání i další sektory s cílem snížení počtu romských žáků ve školách a třídách zřizovaných dle § 16 odst. 9 školského zákona.</w:t>
      </w:r>
    </w:p>
    <w:p w14:paraId="45873F56" w14:textId="77777777" w:rsidR="0096367A" w:rsidRPr="00D10A57" w:rsidRDefault="0096367A" w:rsidP="007C763A">
      <w:pPr>
        <w:spacing w:line="240" w:lineRule="auto"/>
        <w:jc w:val="both"/>
        <w:rPr>
          <w:rFonts w:ascii="Arial" w:hAnsi="Arial" w:cs="Arial"/>
        </w:rPr>
      </w:pPr>
      <w:r w:rsidRPr="00D10A57">
        <w:rPr>
          <w:rFonts w:ascii="Arial" w:eastAsia="Calibri" w:hAnsi="Arial" w:cs="Arial"/>
        </w:rPr>
        <w:t>Na základě zjištění kvantitativní i kvalitativní části výzkumu bude vytvořena stručná metodika neadresného sběru etnicky senzitivních dat, která bude součástí výzkumné zprávy jako samostatná příloha. Příručka bude vytvořena právní expertkou na danou problematiku, která je součástí výzkumného týmu, přičemž stručně nastíní legislativní východiska problematiky, klíčová stanoviska orgánů veřejné správy či věcnou judikaturu a bude reflektovat výstupy aktuálních výzkumných projektů (např. projekt Vytvoření systému sběru kvantitativních dat pro vyhodnocování situace Romů v české společnosti realizovaný Výzkumným ústavem práce a sociálních věcí, v. v. i.).</w:t>
      </w:r>
    </w:p>
    <w:p w14:paraId="7095A46D" w14:textId="757FAB33" w:rsidR="0096367A" w:rsidRPr="00D10A57" w:rsidRDefault="0096367A" w:rsidP="007C763A">
      <w:pPr>
        <w:spacing w:line="240" w:lineRule="auto"/>
        <w:jc w:val="both"/>
        <w:rPr>
          <w:rFonts w:ascii="Arial" w:eastAsia="Calibri" w:hAnsi="Arial" w:cs="Arial"/>
          <w:color w:val="000000" w:themeColor="text1"/>
        </w:rPr>
      </w:pPr>
      <w:r w:rsidRPr="00D10A57">
        <w:rPr>
          <w:rFonts w:ascii="Arial" w:eastAsia="Calibri" w:hAnsi="Arial" w:cs="Arial"/>
        </w:rPr>
        <w:t>Realizace výzkumu od 1.</w:t>
      </w:r>
      <w:r w:rsidR="00F65E5A">
        <w:rPr>
          <w:rFonts w:ascii="Arial" w:eastAsia="Calibri" w:hAnsi="Arial" w:cs="Arial"/>
        </w:rPr>
        <w:t> </w:t>
      </w:r>
      <w:r w:rsidR="0070503B">
        <w:rPr>
          <w:rFonts w:ascii="Arial" w:eastAsia="Calibri" w:hAnsi="Arial" w:cs="Arial"/>
        </w:rPr>
        <w:t>prosince</w:t>
      </w:r>
      <w:r w:rsidR="00F65E5A">
        <w:rPr>
          <w:rFonts w:ascii="Arial" w:eastAsia="Calibri" w:hAnsi="Arial" w:cs="Arial"/>
        </w:rPr>
        <w:t> </w:t>
      </w:r>
      <w:r w:rsidRPr="00D10A57">
        <w:rPr>
          <w:rFonts w:ascii="Arial" w:eastAsia="Calibri" w:hAnsi="Arial" w:cs="Arial"/>
        </w:rPr>
        <w:t>2021 do 30.</w:t>
      </w:r>
      <w:r w:rsidR="00F65E5A">
        <w:rPr>
          <w:rFonts w:ascii="Arial" w:eastAsia="Calibri" w:hAnsi="Arial" w:cs="Arial"/>
        </w:rPr>
        <w:t> </w:t>
      </w:r>
      <w:r w:rsidR="0070503B">
        <w:rPr>
          <w:rFonts w:ascii="Arial" w:eastAsia="Calibri" w:hAnsi="Arial" w:cs="Arial"/>
        </w:rPr>
        <w:t>listopadu</w:t>
      </w:r>
      <w:r w:rsidR="00F65E5A">
        <w:rPr>
          <w:rFonts w:ascii="Arial" w:eastAsia="Calibri" w:hAnsi="Arial" w:cs="Arial"/>
        </w:rPr>
        <w:t> </w:t>
      </w:r>
      <w:r w:rsidRPr="00D10A57">
        <w:rPr>
          <w:rFonts w:ascii="Arial" w:eastAsia="Calibri" w:hAnsi="Arial" w:cs="Arial"/>
        </w:rPr>
        <w:t>2022</w:t>
      </w:r>
    </w:p>
    <w:p w14:paraId="37D1CFCD" w14:textId="77777777" w:rsidR="0096367A" w:rsidRPr="00D10A57" w:rsidRDefault="0096367A" w:rsidP="00510024">
      <w:pPr>
        <w:pStyle w:val="Default0"/>
        <w:jc w:val="both"/>
        <w:rPr>
          <w:color w:val="auto"/>
          <w:sz w:val="22"/>
          <w:szCs w:val="22"/>
        </w:rPr>
      </w:pPr>
      <w:r w:rsidRPr="00D10A57">
        <w:rPr>
          <w:b/>
          <w:bCs/>
          <w:color w:val="auto"/>
          <w:sz w:val="22"/>
          <w:szCs w:val="22"/>
        </w:rPr>
        <w:t>b) vymezit do roku 2021 činnost a odbornou kvalifikaci sociálního pedagoga, stanovit standard vzdělávání pro sociálního pedagoga a ukotvit tuto pozici v zákonu o pedagogických pracovnících a zajistit jejich financování,</w:t>
      </w:r>
    </w:p>
    <w:p w14:paraId="071DBC06" w14:textId="3481B651" w:rsidR="0096367A" w:rsidRPr="00D10A57" w:rsidRDefault="0096367A" w:rsidP="007C763A">
      <w:pPr>
        <w:spacing w:before="240" w:line="240" w:lineRule="auto"/>
        <w:jc w:val="both"/>
        <w:rPr>
          <w:rFonts w:ascii="Arial" w:eastAsia="Calibri" w:hAnsi="Arial" w:cs="Arial"/>
        </w:rPr>
      </w:pPr>
      <w:r w:rsidRPr="00D10A57">
        <w:rPr>
          <w:rFonts w:ascii="Arial" w:eastAsia="Calibri" w:hAnsi="Arial" w:cs="Arial"/>
        </w:rPr>
        <w:t xml:space="preserve">Na jaře 2021 byl Poslaneckou sněmovnou přijat pozměňovací návrh na zařazení sociálního pedagoga mezi pedagogické pracovníky. Proběhla zjištění počtu a identifikace škol, kde byla využita podpora personální šablony sociálního pedagoga v rámci </w:t>
      </w:r>
      <w:r w:rsidR="0070503B">
        <w:rPr>
          <w:rFonts w:ascii="Arial" w:eastAsia="Calibri" w:hAnsi="Arial" w:cs="Arial"/>
        </w:rPr>
        <w:t>O</w:t>
      </w:r>
      <w:r w:rsidRPr="00D10A57">
        <w:rPr>
          <w:rFonts w:ascii="Arial" w:eastAsia="Calibri" w:hAnsi="Arial" w:cs="Arial"/>
        </w:rPr>
        <w:t>peračního programu</w:t>
      </w:r>
      <w:r w:rsidR="0070503B">
        <w:rPr>
          <w:rFonts w:ascii="Arial" w:eastAsia="Calibri" w:hAnsi="Arial" w:cs="Arial"/>
        </w:rPr>
        <w:t xml:space="preserve"> výzkum, vývoj, vzdělávání</w:t>
      </w:r>
      <w:r w:rsidRPr="00D10A57">
        <w:rPr>
          <w:rFonts w:ascii="Arial" w:eastAsia="Calibri" w:hAnsi="Arial" w:cs="Arial"/>
        </w:rPr>
        <w:t xml:space="preserve"> </w:t>
      </w:r>
      <w:r w:rsidR="0070503B">
        <w:rPr>
          <w:rFonts w:ascii="Arial" w:eastAsia="Calibri" w:hAnsi="Arial" w:cs="Arial"/>
        </w:rPr>
        <w:t xml:space="preserve">(dále jen „OP </w:t>
      </w:r>
      <w:r w:rsidRPr="00D10A57">
        <w:rPr>
          <w:rFonts w:ascii="Arial" w:eastAsia="Calibri" w:hAnsi="Arial" w:cs="Arial"/>
        </w:rPr>
        <w:t>VVV</w:t>
      </w:r>
      <w:r w:rsidR="0070503B">
        <w:rPr>
          <w:rFonts w:ascii="Arial" w:eastAsia="Calibri" w:hAnsi="Arial" w:cs="Arial"/>
        </w:rPr>
        <w:t>“)</w:t>
      </w:r>
      <w:r w:rsidRPr="00D10A57">
        <w:rPr>
          <w:rFonts w:ascii="Arial" w:eastAsia="Calibri" w:hAnsi="Arial" w:cs="Arial"/>
        </w:rPr>
        <w:t xml:space="preserve">. </w:t>
      </w:r>
      <w:r w:rsidRPr="00D56307">
        <w:rPr>
          <w:rFonts w:ascii="Arial" w:eastAsia="Calibri" w:hAnsi="Arial" w:cs="Arial"/>
        </w:rPr>
        <w:t xml:space="preserve">Následně </w:t>
      </w:r>
      <w:r w:rsidR="00D56307">
        <w:rPr>
          <w:rFonts w:ascii="Arial" w:eastAsia="Calibri" w:hAnsi="Arial" w:cs="Arial"/>
        </w:rPr>
        <w:t>MŠMT</w:t>
      </w:r>
      <w:r w:rsidRPr="00D10A57">
        <w:rPr>
          <w:rFonts w:ascii="Arial" w:eastAsia="Calibri" w:hAnsi="Arial" w:cs="Arial"/>
        </w:rPr>
        <w:t xml:space="preserve"> oslovil</w:t>
      </w:r>
      <w:r w:rsidR="0070503B">
        <w:rPr>
          <w:rFonts w:ascii="Arial" w:eastAsia="Calibri" w:hAnsi="Arial" w:cs="Arial"/>
        </w:rPr>
        <w:t>o</w:t>
      </w:r>
      <w:r w:rsidRPr="00D10A57">
        <w:rPr>
          <w:rFonts w:ascii="Arial" w:eastAsia="Calibri" w:hAnsi="Arial" w:cs="Arial"/>
        </w:rPr>
        <w:t xml:space="preserve"> několik ředitelů</w:t>
      </w:r>
      <w:r w:rsidR="007424F5">
        <w:rPr>
          <w:rFonts w:ascii="Arial" w:eastAsia="Calibri" w:hAnsi="Arial" w:cs="Arial"/>
        </w:rPr>
        <w:t>/ředitelek</w:t>
      </w:r>
      <w:r w:rsidRPr="00D10A57">
        <w:rPr>
          <w:rFonts w:ascii="Arial" w:eastAsia="Calibri" w:hAnsi="Arial" w:cs="Arial"/>
        </w:rPr>
        <w:t xml:space="preserve"> těchto škol, aby zjistil</w:t>
      </w:r>
      <w:r w:rsidR="00790404">
        <w:rPr>
          <w:rFonts w:ascii="Arial" w:eastAsia="Calibri" w:hAnsi="Arial" w:cs="Arial"/>
        </w:rPr>
        <w:t>o</w:t>
      </w:r>
      <w:r w:rsidRPr="00D10A57">
        <w:rPr>
          <w:rFonts w:ascii="Arial" w:eastAsia="Calibri" w:hAnsi="Arial" w:cs="Arial"/>
        </w:rPr>
        <w:t xml:space="preserve"> zpětnou vazbu na využívání této pozice, popis činností, které tito pracovníci </w:t>
      </w:r>
      <w:r w:rsidR="003312AB">
        <w:rPr>
          <w:rFonts w:ascii="Arial" w:eastAsia="Calibri" w:hAnsi="Arial" w:cs="Arial"/>
        </w:rPr>
        <w:t>vykonávali, náplň práce apod. Z </w:t>
      </w:r>
      <w:r w:rsidRPr="00D10A57">
        <w:rPr>
          <w:rFonts w:ascii="Arial" w:eastAsia="Calibri" w:hAnsi="Arial" w:cs="Arial"/>
        </w:rPr>
        <w:t>těchto ředitelů</w:t>
      </w:r>
      <w:r w:rsidR="00790404">
        <w:rPr>
          <w:rFonts w:ascii="Arial" w:eastAsia="Calibri" w:hAnsi="Arial" w:cs="Arial"/>
        </w:rPr>
        <w:t>/ředitelek</w:t>
      </w:r>
      <w:r w:rsidRPr="00D10A57">
        <w:rPr>
          <w:rFonts w:ascii="Arial" w:eastAsia="Calibri" w:hAnsi="Arial" w:cs="Arial"/>
        </w:rPr>
        <w:t xml:space="preserve"> bychom zejména zmínili Mgr. Vlastimila Lisse ze Základní školy a Mateřské školy Kpt. Otakara Jaroše Louny</w:t>
      </w:r>
      <w:r w:rsidRPr="00D10A57">
        <w:rPr>
          <w:rFonts w:ascii="Arial" w:eastAsia="Arial" w:hAnsi="Arial" w:cs="Arial"/>
          <w:b/>
          <w:bCs/>
          <w:color w:val="000000" w:themeColor="text1"/>
          <w:sz w:val="20"/>
          <w:szCs w:val="20"/>
        </w:rPr>
        <w:t xml:space="preserve"> a </w:t>
      </w:r>
      <w:r w:rsidRPr="00D10A57">
        <w:rPr>
          <w:rFonts w:ascii="Arial" w:eastAsia="Calibri" w:hAnsi="Arial" w:cs="Arial"/>
        </w:rPr>
        <w:t>Mgr. Marii Čápovou ze Základní školy Ústí nad Labem, kteří dali</w:t>
      </w:r>
      <w:r w:rsidR="00790404">
        <w:rPr>
          <w:rFonts w:ascii="Arial" w:eastAsia="Calibri" w:hAnsi="Arial" w:cs="Arial"/>
        </w:rPr>
        <w:t xml:space="preserve"> MŠMT</w:t>
      </w:r>
      <w:r w:rsidRPr="00D10A57">
        <w:rPr>
          <w:rFonts w:ascii="Arial" w:eastAsia="Calibri" w:hAnsi="Arial" w:cs="Arial"/>
        </w:rPr>
        <w:t xml:space="preserve"> velice pozitivní zpětnou vazbu na využívání této pozice v jejich školách, ale také podklady, na jejichž základě činnosti pro ni nastavovali. Prostřednictvím paní ředitelky Čápové </w:t>
      </w:r>
      <w:r w:rsidR="00790404">
        <w:rPr>
          <w:rFonts w:ascii="Arial" w:eastAsia="Calibri" w:hAnsi="Arial" w:cs="Arial"/>
        </w:rPr>
        <w:t>MŠMT</w:t>
      </w:r>
      <w:r w:rsidRPr="00D10A57">
        <w:rPr>
          <w:rFonts w:ascii="Arial" w:eastAsia="Calibri" w:hAnsi="Arial" w:cs="Arial"/>
        </w:rPr>
        <w:t xml:space="preserve"> získal</w:t>
      </w:r>
      <w:r w:rsidR="00790404">
        <w:rPr>
          <w:rFonts w:ascii="Arial" w:eastAsia="Calibri" w:hAnsi="Arial" w:cs="Arial"/>
        </w:rPr>
        <w:t>o</w:t>
      </w:r>
      <w:r w:rsidRPr="00D10A57">
        <w:rPr>
          <w:rFonts w:ascii="Arial" w:eastAsia="Calibri" w:hAnsi="Arial" w:cs="Arial"/>
        </w:rPr>
        <w:t xml:space="preserve"> také kontakt na Mgr. Zdeňka Svobodu, Ph.D z Pedagogické fakulty Univerzity J. E. Purkyněho, který </w:t>
      </w:r>
      <w:r w:rsidR="00790404">
        <w:rPr>
          <w:rFonts w:ascii="Arial" w:eastAsia="Calibri" w:hAnsi="Arial" w:cs="Arial"/>
        </w:rPr>
        <w:t>MŠMT</w:t>
      </w:r>
      <w:r w:rsidRPr="00D10A57">
        <w:rPr>
          <w:rFonts w:ascii="Arial" w:eastAsia="Calibri" w:hAnsi="Arial" w:cs="Arial"/>
        </w:rPr>
        <w:t xml:space="preserve"> poskytl některé jimi zpracované materiály (za Asociaci vzdělavatelů v sociální pedagogice) a taktéž připomínkoval rešerši</w:t>
      </w:r>
      <w:r w:rsidR="00790404">
        <w:rPr>
          <w:rFonts w:ascii="Arial" w:eastAsia="Calibri" w:hAnsi="Arial" w:cs="Arial"/>
        </w:rPr>
        <w:t xml:space="preserve"> MŠMT</w:t>
      </w:r>
      <w:r w:rsidRPr="00D10A57">
        <w:rPr>
          <w:rFonts w:ascii="Arial" w:eastAsia="Calibri" w:hAnsi="Arial" w:cs="Arial"/>
        </w:rPr>
        <w:t xml:space="preserve"> činnosti sociálního pedagoga. Připravený podklad </w:t>
      </w:r>
      <w:r w:rsidR="00790404">
        <w:rPr>
          <w:rFonts w:ascii="Arial" w:eastAsia="Calibri" w:hAnsi="Arial" w:cs="Arial"/>
        </w:rPr>
        <w:t>MŠMT</w:t>
      </w:r>
      <w:r w:rsidRPr="00D10A57">
        <w:rPr>
          <w:rFonts w:ascii="Arial" w:eastAsia="Calibri" w:hAnsi="Arial" w:cs="Arial"/>
        </w:rPr>
        <w:t xml:space="preserve"> diskutoval</w:t>
      </w:r>
      <w:r w:rsidR="00790404">
        <w:rPr>
          <w:rFonts w:ascii="Arial" w:eastAsia="Calibri" w:hAnsi="Arial" w:cs="Arial"/>
        </w:rPr>
        <w:t>o</w:t>
      </w:r>
      <w:r w:rsidRPr="00D10A57">
        <w:rPr>
          <w:rFonts w:ascii="Arial" w:eastAsia="Calibri" w:hAnsi="Arial" w:cs="Arial"/>
        </w:rPr>
        <w:t xml:space="preserve"> také se zástupci M</w:t>
      </w:r>
      <w:r w:rsidR="007424F5">
        <w:rPr>
          <w:rFonts w:ascii="Arial" w:eastAsia="Calibri" w:hAnsi="Arial" w:cs="Arial"/>
        </w:rPr>
        <w:t>PSV</w:t>
      </w:r>
      <w:r w:rsidRPr="00D10A57">
        <w:rPr>
          <w:rFonts w:ascii="Arial" w:eastAsia="Calibri" w:hAnsi="Arial" w:cs="Arial"/>
        </w:rPr>
        <w:t xml:space="preserve">, zejména s ohledem na otázku zajištění sociální práce ve školách a případnou další specifikaci jeho činnosti. S ohledem na vývoj situace okolo novely </w:t>
      </w:r>
      <w:r w:rsidRPr="00D10A57">
        <w:rPr>
          <w:rFonts w:ascii="Arial" w:eastAsia="Calibri" w:hAnsi="Arial" w:cs="Arial"/>
        </w:rPr>
        <w:lastRenderedPageBreak/>
        <w:t xml:space="preserve">zákona o pedagogických pracovnících intenzita  aktivity </w:t>
      </w:r>
      <w:r w:rsidR="00790404">
        <w:rPr>
          <w:rFonts w:ascii="Arial" w:eastAsia="Calibri" w:hAnsi="Arial" w:cs="Arial"/>
        </w:rPr>
        <w:t xml:space="preserve">MŠMT </w:t>
      </w:r>
      <w:r w:rsidRPr="00D10A57">
        <w:rPr>
          <w:rFonts w:ascii="Arial" w:eastAsia="Calibri" w:hAnsi="Arial" w:cs="Arial"/>
        </w:rPr>
        <w:t xml:space="preserve">poklesla, neboť bylo zřejmé, že novela zřejmě nebude schválena. Problematika ve vztahu k pozici sociálního pedagoga byla ale nadále </w:t>
      </w:r>
      <w:r w:rsidR="00F57789">
        <w:rPr>
          <w:rFonts w:ascii="Arial" w:eastAsia="Calibri" w:hAnsi="Arial" w:cs="Arial"/>
        </w:rPr>
        <w:t>řešena. Byla navázána spolupráce</w:t>
      </w:r>
      <w:r w:rsidRPr="00D10A57">
        <w:rPr>
          <w:rFonts w:ascii="Arial" w:eastAsia="Calibri" w:hAnsi="Arial" w:cs="Arial"/>
        </w:rPr>
        <w:t xml:space="preserve"> s nadací SIRIUS, která zprostředkovala kontakty na další školy, které využívají pozici sociálního pedagoga, z důvodu opatření</w:t>
      </w:r>
      <w:r w:rsidR="007424F5">
        <w:rPr>
          <w:rFonts w:ascii="Arial" w:eastAsia="Calibri" w:hAnsi="Arial" w:cs="Arial"/>
        </w:rPr>
        <w:t xml:space="preserve"> související s pandemií covid-19</w:t>
      </w:r>
      <w:r w:rsidRPr="00D10A57">
        <w:rPr>
          <w:rFonts w:ascii="Arial" w:eastAsia="Calibri" w:hAnsi="Arial" w:cs="Arial"/>
        </w:rPr>
        <w:t xml:space="preserve"> </w:t>
      </w:r>
      <w:r w:rsidR="00790404">
        <w:rPr>
          <w:rFonts w:ascii="Arial" w:eastAsia="Calibri" w:hAnsi="Arial" w:cs="Arial"/>
        </w:rPr>
        <w:t>MŠMT</w:t>
      </w:r>
      <w:r w:rsidRPr="00D10A57">
        <w:rPr>
          <w:rFonts w:ascii="Arial" w:eastAsia="Calibri" w:hAnsi="Arial" w:cs="Arial"/>
        </w:rPr>
        <w:t xml:space="preserve"> navštívil</w:t>
      </w:r>
      <w:r w:rsidR="00790404">
        <w:rPr>
          <w:rFonts w:ascii="Arial" w:eastAsia="Calibri" w:hAnsi="Arial" w:cs="Arial"/>
        </w:rPr>
        <w:t>o</w:t>
      </w:r>
      <w:r w:rsidRPr="00D10A57">
        <w:rPr>
          <w:rFonts w:ascii="Arial" w:eastAsia="Calibri" w:hAnsi="Arial" w:cs="Arial"/>
        </w:rPr>
        <w:t xml:space="preserve"> doposud pouze 1 z těchto škol. </w:t>
      </w:r>
      <w:r w:rsidR="00790404">
        <w:rPr>
          <w:rFonts w:ascii="Arial" w:eastAsia="Calibri" w:hAnsi="Arial" w:cs="Arial"/>
        </w:rPr>
        <w:t>Z</w:t>
      </w:r>
      <w:r w:rsidRPr="00D10A57">
        <w:rPr>
          <w:rFonts w:ascii="Arial" w:eastAsia="Calibri" w:hAnsi="Arial" w:cs="Arial"/>
        </w:rPr>
        <w:t>áměrem</w:t>
      </w:r>
      <w:r w:rsidR="00790404">
        <w:rPr>
          <w:rFonts w:ascii="Arial" w:eastAsia="Calibri" w:hAnsi="Arial" w:cs="Arial"/>
        </w:rPr>
        <w:t xml:space="preserve"> MŠMT</w:t>
      </w:r>
      <w:r w:rsidRPr="00D10A57">
        <w:rPr>
          <w:rFonts w:ascii="Arial" w:eastAsia="Calibri" w:hAnsi="Arial" w:cs="Arial"/>
        </w:rPr>
        <w:t xml:space="preserve"> je i nadále podporovat sociálního pedagoga v rámci šablon i v dalším období v novém </w:t>
      </w:r>
      <w:r w:rsidR="007424F5">
        <w:rPr>
          <w:rFonts w:ascii="Arial" w:eastAsia="Calibri" w:hAnsi="Arial" w:cs="Arial"/>
        </w:rPr>
        <w:t>OP JAK</w:t>
      </w:r>
      <w:r w:rsidRPr="00D10A57">
        <w:rPr>
          <w:rFonts w:ascii="Arial" w:eastAsia="Calibri" w:hAnsi="Arial" w:cs="Arial"/>
        </w:rPr>
        <w:t xml:space="preserve">. </w:t>
      </w:r>
    </w:p>
    <w:p w14:paraId="1AC2EFC6" w14:textId="31D66CAB" w:rsidR="0096367A" w:rsidRPr="00D10A57" w:rsidRDefault="0096367A" w:rsidP="007C763A">
      <w:pPr>
        <w:spacing w:line="240" w:lineRule="auto"/>
        <w:jc w:val="both"/>
        <w:rPr>
          <w:rFonts w:ascii="Arial" w:hAnsi="Arial" w:cs="Arial"/>
        </w:rPr>
      </w:pPr>
      <w:r w:rsidRPr="00D10A57">
        <w:rPr>
          <w:rFonts w:ascii="Arial" w:eastAsia="Calibri" w:hAnsi="Arial" w:cs="Arial"/>
        </w:rPr>
        <w:t xml:space="preserve">Jako problematickou </w:t>
      </w:r>
      <w:r w:rsidR="00790404">
        <w:rPr>
          <w:rFonts w:ascii="Arial" w:eastAsia="Calibri" w:hAnsi="Arial" w:cs="Arial"/>
        </w:rPr>
        <w:t xml:space="preserve">MŠMT </w:t>
      </w:r>
      <w:r w:rsidRPr="00D10A57">
        <w:rPr>
          <w:rFonts w:ascii="Arial" w:eastAsia="Calibri" w:hAnsi="Arial" w:cs="Arial"/>
        </w:rPr>
        <w:t>vyhodnotil</w:t>
      </w:r>
      <w:r w:rsidR="00790404">
        <w:rPr>
          <w:rFonts w:ascii="Arial" w:eastAsia="Calibri" w:hAnsi="Arial" w:cs="Arial"/>
        </w:rPr>
        <w:t>o</w:t>
      </w:r>
      <w:r w:rsidRPr="00D10A57">
        <w:rPr>
          <w:rFonts w:ascii="Arial" w:eastAsia="Calibri" w:hAnsi="Arial" w:cs="Arial"/>
        </w:rPr>
        <w:t xml:space="preserve"> především tu skutečnost, že činnost sociálního pedagoga nebyla v předchozím projektovém období v šablonách OP VVV dostatečně jasně definována, a tedy představy o náplni práce a činnostech, které by tyto osoby ve školách měly zastávat, se výrazně lišily. Nadto byly finanční prostředky v rámci šablon omezeny, školy často dávaly přednost jiným pozicím (psychologům, speciálním pedagogům), a tedy byla šablona sociálního pedagoga využívána pouze malým počtem škol. To bohužel nepomohlo pozitivně vyhodnocení její potřebnosti a přínosu. Nyní by</w:t>
      </w:r>
      <w:r w:rsidR="00790404">
        <w:rPr>
          <w:rFonts w:ascii="Arial" w:eastAsia="Calibri" w:hAnsi="Arial" w:cs="Arial"/>
        </w:rPr>
        <w:t xml:space="preserve"> MŠMT</w:t>
      </w:r>
      <w:r w:rsidRPr="00D10A57">
        <w:rPr>
          <w:rFonts w:ascii="Arial" w:eastAsia="Calibri" w:hAnsi="Arial" w:cs="Arial"/>
        </w:rPr>
        <w:t xml:space="preserve"> chtěl</w:t>
      </w:r>
      <w:r w:rsidR="00790404">
        <w:rPr>
          <w:rFonts w:ascii="Arial" w:eastAsia="Calibri" w:hAnsi="Arial" w:cs="Arial"/>
        </w:rPr>
        <w:t>o</w:t>
      </w:r>
      <w:r w:rsidRPr="00D10A57">
        <w:rPr>
          <w:rFonts w:ascii="Arial" w:eastAsia="Calibri" w:hAnsi="Arial" w:cs="Arial"/>
        </w:rPr>
        <w:t>, i s vědomím významu pozice, věnovat více pozornosti podpoře a nastavení toho, jakou roli by sociální pedagog ve školách měl plnit, a využít jej konkrétně i v rámci podpory škol se sociokulturním znevýhodněním v rámci Národního plánu obnovy. Užší spolupráce se vzdělavateli, školami, NPI a MŠMT by měla přinést konkrétnější poznatky o tom, jak by měla být pozice využívána a povědomí o ní i jejím konkrétním obsahu a přínosu.</w:t>
      </w:r>
    </w:p>
    <w:p w14:paraId="43753E3F" w14:textId="77777777" w:rsidR="0096367A" w:rsidRPr="00D10A57" w:rsidRDefault="0096367A" w:rsidP="00D10A57">
      <w:pPr>
        <w:pStyle w:val="Default0"/>
        <w:jc w:val="both"/>
        <w:rPr>
          <w:b/>
          <w:bCs/>
          <w:color w:val="auto"/>
          <w:sz w:val="22"/>
          <w:szCs w:val="22"/>
        </w:rPr>
      </w:pPr>
      <w:r w:rsidRPr="00D10A57">
        <w:rPr>
          <w:b/>
          <w:color w:val="auto"/>
          <w:sz w:val="22"/>
          <w:szCs w:val="22"/>
        </w:rPr>
        <w:t>c</w:t>
      </w:r>
      <w:r w:rsidRPr="00D10A57">
        <w:rPr>
          <w:b/>
          <w:bCs/>
          <w:color w:val="auto"/>
          <w:sz w:val="22"/>
          <w:szCs w:val="22"/>
        </w:rPr>
        <w:t xml:space="preserve">) koordinovat průběžně, ve spolupráci s ministryní práce a sociálních věcí a ministrem zdravotnictví, činnost jednotlivých institucí, které o děti pečují (sociálně-právní ochrana dítěte, zdravotnická zařízení, pedagogicko-psychologické poradenství) ve sjednoceném systému, aby bylo dosaženo šance vytvářet společně sociální a pedagogicko-psychologické intervence problémů dětí z rizikového prostředí, dětí ze sociálně znevýhodněného prostředí a dětí s odlišným kulturním zázemím, </w:t>
      </w:r>
    </w:p>
    <w:p w14:paraId="03E1BD06" w14:textId="77777777" w:rsidR="0096367A" w:rsidRPr="00D10A57" w:rsidRDefault="0096367A" w:rsidP="00D10A57">
      <w:pPr>
        <w:pStyle w:val="Default0"/>
        <w:jc w:val="both"/>
        <w:rPr>
          <w:rFonts w:eastAsia="Calibri"/>
          <w:b/>
          <w:bCs/>
          <w:color w:val="000000" w:themeColor="text1"/>
        </w:rPr>
      </w:pPr>
    </w:p>
    <w:p w14:paraId="061D4342" w14:textId="77777777" w:rsidR="0096367A" w:rsidRPr="00D10A57" w:rsidRDefault="0096367A" w:rsidP="00D10A57">
      <w:pPr>
        <w:pStyle w:val="Default0"/>
        <w:jc w:val="both"/>
        <w:rPr>
          <w:rFonts w:eastAsia="Calibri"/>
          <w:color w:val="auto"/>
          <w:sz w:val="22"/>
          <w:szCs w:val="22"/>
        </w:rPr>
      </w:pPr>
      <w:r w:rsidRPr="00D10A57">
        <w:rPr>
          <w:rFonts w:eastAsia="Calibri"/>
          <w:color w:val="auto"/>
          <w:sz w:val="22"/>
          <w:szCs w:val="22"/>
        </w:rPr>
        <w:t xml:space="preserve">Evropská komise dne 25. března 2021 vydala návrh </w:t>
      </w:r>
      <w:r w:rsidRPr="00D56307">
        <w:rPr>
          <w:rFonts w:eastAsia="Calibri"/>
          <w:b/>
          <w:color w:val="auto"/>
          <w:sz w:val="22"/>
          <w:szCs w:val="22"/>
        </w:rPr>
        <w:t>Doporučení Rady, kterým se zavádí evropská záruka pro děti.</w:t>
      </w:r>
      <w:r w:rsidRPr="00D10A57">
        <w:rPr>
          <w:rFonts w:eastAsia="Calibri"/>
          <w:color w:val="auto"/>
          <w:sz w:val="22"/>
          <w:szCs w:val="22"/>
        </w:rPr>
        <w:t xml:space="preserve"> Cílem Záruky pro děti je předcházet sociálnímu vyloučení dětí v nouzi a bojovat proti němu zajištěním jejich rovného přístupu ke klíčovým službám (k předškolnímu vzdělávání a péči, ke vzdělávání, ke zdravotní péči, výživě a bydlení). Záruka je plně v souladu se zaměřením Národní strategie ochrany práv dětí na období 2021-2029, jejímž hlavním cílem je zajištění kvalitního života dětí tak, aby mohly vyrůstat v bezpečném rodinném prostředí a mít rovné příležitosti, které by mohly využít pro plný rozvoj svého potenciálu. MŠMT v úzké spolupráci s MPSV nastavuje priority a sjednocuje kroky, postoje a opatření tak, aby k naplňování Záruky spěly. MŠMT aktuálně finalizuje koncepci péče o ohrožené děti, která stanovuje priority do roku 2030, která je v souladu se Zárukou i Národní strategií ochrany práv dítěte.</w:t>
      </w:r>
    </w:p>
    <w:p w14:paraId="2BA9F7AC" w14:textId="77777777" w:rsidR="0096367A" w:rsidRPr="00D10A57" w:rsidRDefault="0096367A" w:rsidP="00D10A57">
      <w:pPr>
        <w:pStyle w:val="Default0"/>
        <w:jc w:val="both"/>
        <w:rPr>
          <w:rFonts w:eastAsia="Calibri"/>
          <w:color w:val="000000" w:themeColor="text1"/>
          <w:sz w:val="22"/>
          <w:szCs w:val="22"/>
        </w:rPr>
      </w:pPr>
    </w:p>
    <w:p w14:paraId="328F39E8" w14:textId="77777777" w:rsidR="0096367A" w:rsidRPr="00D10A57" w:rsidRDefault="0096367A" w:rsidP="00D10A57">
      <w:pPr>
        <w:pStyle w:val="Default0"/>
        <w:jc w:val="both"/>
        <w:rPr>
          <w:rFonts w:eastAsia="Calibri"/>
          <w:color w:val="auto"/>
        </w:rPr>
      </w:pPr>
      <w:r w:rsidRPr="00D10A57">
        <w:rPr>
          <w:rFonts w:eastAsia="Calibri"/>
          <w:color w:val="auto"/>
          <w:sz w:val="22"/>
          <w:szCs w:val="22"/>
        </w:rPr>
        <w:t>MŠMT rovněž spolupracuje s MPSV v oblasti řešení předčasných odchodů ze vzdělávání a probíhají diskuse na společných pracovních skupinách ohledně ukotvení sociální práce uvnitř a vně školy</w:t>
      </w:r>
      <w:r w:rsidRPr="00D10A57">
        <w:rPr>
          <w:rFonts w:eastAsia="Calibri"/>
          <w:color w:val="auto"/>
        </w:rPr>
        <w:t>.</w:t>
      </w:r>
    </w:p>
    <w:p w14:paraId="3BAD4A81" w14:textId="77777777" w:rsidR="0096367A" w:rsidRPr="00D10A57" w:rsidRDefault="0096367A" w:rsidP="00D10A57">
      <w:pPr>
        <w:pStyle w:val="Default0"/>
        <w:jc w:val="both"/>
        <w:rPr>
          <w:rFonts w:eastAsia="Calibri"/>
          <w:color w:val="000000" w:themeColor="text1"/>
        </w:rPr>
      </w:pPr>
    </w:p>
    <w:p w14:paraId="02100CCF" w14:textId="77777777" w:rsidR="0096367A" w:rsidRPr="00D10A57" w:rsidRDefault="0096367A" w:rsidP="00D10A57">
      <w:pPr>
        <w:pStyle w:val="Default0"/>
        <w:jc w:val="both"/>
        <w:rPr>
          <w:b/>
          <w:bCs/>
          <w:color w:val="auto"/>
          <w:sz w:val="22"/>
          <w:szCs w:val="22"/>
        </w:rPr>
      </w:pPr>
      <w:r w:rsidRPr="00D10A57">
        <w:rPr>
          <w:b/>
          <w:bCs/>
          <w:color w:val="auto"/>
          <w:sz w:val="22"/>
          <w:szCs w:val="22"/>
        </w:rPr>
        <w:t xml:space="preserve">d) průběžně realizovat opatření a programy v oblasti předškolního vzdělávání se zaměřením na zamezení segregace romských dětí v mateřských školách nebo v přípravných třídách základní školy, </w:t>
      </w:r>
    </w:p>
    <w:p w14:paraId="3CC821CA" w14:textId="77777777" w:rsidR="0096367A" w:rsidRPr="00D10A57" w:rsidRDefault="0096367A" w:rsidP="00D10A57">
      <w:pPr>
        <w:pStyle w:val="Default0"/>
        <w:jc w:val="both"/>
        <w:rPr>
          <w:rFonts w:eastAsia="Calibri"/>
          <w:color w:val="000000" w:themeColor="text1"/>
        </w:rPr>
      </w:pPr>
    </w:p>
    <w:p w14:paraId="64C50BE3" w14:textId="2EB1AD24" w:rsidR="0096367A" w:rsidRPr="00D10A57" w:rsidRDefault="0096367A" w:rsidP="007C763A">
      <w:pPr>
        <w:spacing w:line="240" w:lineRule="auto"/>
        <w:jc w:val="both"/>
        <w:rPr>
          <w:rFonts w:ascii="Arial" w:eastAsia="Calibri" w:hAnsi="Arial" w:cs="Arial"/>
        </w:rPr>
      </w:pPr>
      <w:r w:rsidRPr="00D10A57">
        <w:rPr>
          <w:rFonts w:ascii="Arial" w:eastAsia="Calibri" w:hAnsi="Arial" w:cs="Arial"/>
        </w:rPr>
        <w:t>K 30.</w:t>
      </w:r>
      <w:r w:rsidR="00790404">
        <w:rPr>
          <w:rFonts w:ascii="Arial" w:eastAsia="Calibri" w:hAnsi="Arial" w:cs="Arial"/>
        </w:rPr>
        <w:t xml:space="preserve"> září</w:t>
      </w:r>
      <w:r w:rsidR="00F65E5A">
        <w:rPr>
          <w:rFonts w:ascii="Arial" w:eastAsia="Calibri" w:hAnsi="Arial" w:cs="Arial"/>
        </w:rPr>
        <w:t> </w:t>
      </w:r>
      <w:r w:rsidRPr="00D10A57">
        <w:rPr>
          <w:rFonts w:ascii="Arial" w:eastAsia="Calibri" w:hAnsi="Arial" w:cs="Arial"/>
        </w:rPr>
        <w:t>2021 se odhadovalo zapojení dětí plnících povinné předškolní vzdělávání na 97,96</w:t>
      </w:r>
      <w:r w:rsidR="00F65E5A">
        <w:t> </w:t>
      </w:r>
      <w:r w:rsidRPr="00D10A57">
        <w:rPr>
          <w:rFonts w:ascii="Arial" w:eastAsia="Calibri" w:hAnsi="Arial" w:cs="Arial"/>
        </w:rPr>
        <w:t>%. Na základě dat MŠMT je patrné, že podíl dětí zapojených v povinném předškolním vzdělávání neustále roste. Od roku 2016, než byla tato regulace zavedena, se zvedl podíl takto zapojených dětí o 2,99 %.</w:t>
      </w:r>
    </w:p>
    <w:p w14:paraId="7665FB92" w14:textId="77777777" w:rsidR="0096367A" w:rsidRPr="00D10A57" w:rsidRDefault="0096367A" w:rsidP="007C763A">
      <w:pPr>
        <w:spacing w:line="240" w:lineRule="auto"/>
        <w:jc w:val="both"/>
        <w:rPr>
          <w:rFonts w:ascii="Arial" w:eastAsia="Calibri" w:hAnsi="Arial" w:cs="Arial"/>
        </w:rPr>
      </w:pPr>
      <w:r w:rsidRPr="00D10A57">
        <w:rPr>
          <w:rFonts w:ascii="Arial" w:eastAsia="Calibri" w:hAnsi="Arial" w:cs="Arial"/>
        </w:rPr>
        <w:lastRenderedPageBreak/>
        <w:t xml:space="preserve">V souladu se Strategií vzdělávací politiky České republiky do roku 2030+ vzniká v roce 2021 mj. Metodická příručka Pedagogická diagnostika v mateřské škole, která bude zveřejněna v prvním čtvrtletí roku 2022. Ve spolupráci v NPI jsou připracovány kurzy v DVPP zaměřené na diagnostiku předškolního dítěte. </w:t>
      </w:r>
    </w:p>
    <w:p w14:paraId="417116C3" w14:textId="714BF79F" w:rsidR="0096367A" w:rsidRPr="00D10A57" w:rsidRDefault="0096367A" w:rsidP="007C763A">
      <w:pPr>
        <w:spacing w:line="240" w:lineRule="auto"/>
        <w:jc w:val="both"/>
        <w:rPr>
          <w:rFonts w:ascii="Arial" w:eastAsia="Calibri" w:hAnsi="Arial" w:cs="Arial"/>
        </w:rPr>
      </w:pPr>
      <w:r w:rsidRPr="00D10A57">
        <w:rPr>
          <w:rFonts w:ascii="Arial" w:eastAsia="Calibri" w:hAnsi="Arial" w:cs="Arial"/>
        </w:rPr>
        <w:t>Metodická příručka Komunikace se zákonnými zástupci dětí v mateřské škole je součástí materiálů vydávaných M</w:t>
      </w:r>
      <w:r w:rsidR="00790404">
        <w:rPr>
          <w:rFonts w:ascii="Arial" w:eastAsia="Calibri" w:hAnsi="Arial" w:cs="Arial"/>
        </w:rPr>
        <w:t>ŠMT</w:t>
      </w:r>
      <w:r w:rsidRPr="00D10A57">
        <w:rPr>
          <w:rFonts w:ascii="Arial" w:eastAsia="Calibri" w:hAnsi="Arial" w:cs="Arial"/>
        </w:rPr>
        <w:t xml:space="preserve"> v souladu se Strategií vzdělávací politiky České republiky do roku 2030+ na pomoc učitelům a k jejich podpoře při komunikaci se zákonnými zástupci. Draft 1. verze byl připraven v roce 2021.</w:t>
      </w:r>
    </w:p>
    <w:p w14:paraId="2A830118" w14:textId="0A677BC9" w:rsidR="0096367A" w:rsidRPr="00D10A57" w:rsidRDefault="0096367A" w:rsidP="007C763A">
      <w:pPr>
        <w:spacing w:after="0" w:line="240" w:lineRule="auto"/>
        <w:jc w:val="both"/>
        <w:rPr>
          <w:rFonts w:ascii="Arial" w:eastAsia="Calibri" w:hAnsi="Arial" w:cs="Arial"/>
        </w:rPr>
      </w:pPr>
      <w:r w:rsidRPr="00D10A57">
        <w:rPr>
          <w:rFonts w:ascii="Arial" w:eastAsia="Calibri" w:hAnsi="Arial" w:cs="Arial"/>
        </w:rPr>
        <w:t>Cílem příručky je seznámit učitele mateřských škol s komunikací se zákonnými zástupci, a to před tím, než nastoupí dítě do mateřské školy, během školního roku a v okamžiku, kdy jsou děti ohroženy školním neúspěchem. Neméně důležitý cíl této publikace je podpora efektivní komunikace mezi školou a rodinou. Svědčí o tom například začleněná témata: společná třídní schůzka, rada školy, focus groups se zákonnými zástupci vybraných skupin, beseda pro zákonné zástupce nebo konzultace nad portfoliem dítěte.</w:t>
      </w:r>
    </w:p>
    <w:p w14:paraId="7ECDCFC7" w14:textId="77777777" w:rsidR="0096367A" w:rsidRPr="00D10A57" w:rsidRDefault="0096367A" w:rsidP="00D10A57">
      <w:pPr>
        <w:pStyle w:val="Default0"/>
        <w:jc w:val="both"/>
        <w:rPr>
          <w:rFonts w:eastAsia="Calibri"/>
          <w:color w:val="000000" w:themeColor="text1"/>
        </w:rPr>
      </w:pPr>
    </w:p>
    <w:p w14:paraId="38A9123C" w14:textId="77777777" w:rsidR="0096367A" w:rsidRPr="00D10A57" w:rsidRDefault="0096367A" w:rsidP="00D10A57">
      <w:pPr>
        <w:pStyle w:val="Default0"/>
        <w:jc w:val="both"/>
        <w:rPr>
          <w:b/>
          <w:bCs/>
          <w:color w:val="auto"/>
          <w:sz w:val="22"/>
          <w:szCs w:val="22"/>
        </w:rPr>
      </w:pPr>
      <w:r w:rsidRPr="00D10A57">
        <w:rPr>
          <w:b/>
          <w:bCs/>
          <w:color w:val="auto"/>
          <w:sz w:val="22"/>
          <w:szCs w:val="22"/>
        </w:rPr>
        <w:t xml:space="preserve">e) průběžně spolupracovat s vedoucím Úřadu vlády ČR při poskytování metodické pomoci krajským koordinátorům pro záležitosti romské menšiny a jejich prostřednictvím pracovníkům obecních úřadů obcí s rozšířenou působností pověřených výkonem agendy integrace romské menšiny ve správním obvodu, </w:t>
      </w:r>
    </w:p>
    <w:p w14:paraId="492D54E6" w14:textId="3F048C96" w:rsidR="0096367A" w:rsidRPr="00D10A57" w:rsidRDefault="0096367A" w:rsidP="007C763A">
      <w:pPr>
        <w:spacing w:before="240" w:after="0" w:line="240" w:lineRule="auto"/>
        <w:jc w:val="both"/>
        <w:rPr>
          <w:rFonts w:ascii="Arial" w:eastAsia="Calibri" w:hAnsi="Arial" w:cs="Arial"/>
        </w:rPr>
      </w:pPr>
      <w:r w:rsidRPr="00D10A57">
        <w:rPr>
          <w:rFonts w:ascii="Arial" w:eastAsia="Calibri" w:hAnsi="Arial" w:cs="Arial"/>
        </w:rPr>
        <w:t>Zástupci MŠMT se účastnili pravidelných jednání při Ú</w:t>
      </w:r>
      <w:r w:rsidR="00B65625">
        <w:rPr>
          <w:rFonts w:ascii="Arial" w:eastAsia="Calibri" w:hAnsi="Arial" w:cs="Arial"/>
        </w:rPr>
        <w:t>V</w:t>
      </w:r>
      <w:r w:rsidR="00661612">
        <w:rPr>
          <w:rFonts w:ascii="Arial" w:eastAsia="Calibri" w:hAnsi="Arial" w:cs="Arial"/>
        </w:rPr>
        <w:t xml:space="preserve"> ČR</w:t>
      </w:r>
      <w:r w:rsidRPr="00D10A57">
        <w:rPr>
          <w:rFonts w:ascii="Arial" w:eastAsia="Calibri" w:hAnsi="Arial" w:cs="Arial"/>
        </w:rPr>
        <w:t xml:space="preserve">. Dále probíhala spolupráce s Ministerstvem vnitra </w:t>
      </w:r>
      <w:r w:rsidR="00661612">
        <w:rPr>
          <w:rFonts w:ascii="Arial" w:eastAsia="Calibri" w:hAnsi="Arial" w:cs="Arial"/>
        </w:rPr>
        <w:t xml:space="preserve">(dále jen „MV“) </w:t>
      </w:r>
      <w:r w:rsidRPr="00D10A57">
        <w:rPr>
          <w:rFonts w:ascii="Arial" w:eastAsia="Calibri" w:hAnsi="Arial" w:cs="Arial"/>
        </w:rPr>
        <w:t>v otázce posuzování stanovení školských obvodů, zejména v případech, kdy je podezření, že stanovení školského obvodu je diskriminační vzhledem k romské menšině.</w:t>
      </w:r>
    </w:p>
    <w:p w14:paraId="6B1ED1DF" w14:textId="77777777" w:rsidR="005D506E" w:rsidRPr="00D10A57" w:rsidRDefault="005D506E" w:rsidP="00D10A57">
      <w:pPr>
        <w:pStyle w:val="Default0"/>
        <w:jc w:val="both"/>
        <w:rPr>
          <w:rFonts w:eastAsia="Calibri"/>
          <w:color w:val="auto"/>
          <w:sz w:val="22"/>
          <w:szCs w:val="22"/>
          <w:lang w:eastAsia="en-US"/>
        </w:rPr>
      </w:pPr>
    </w:p>
    <w:p w14:paraId="194B070E" w14:textId="2C9223AB" w:rsidR="00661612" w:rsidRPr="00D10A57" w:rsidRDefault="0096367A" w:rsidP="00D10A57">
      <w:pPr>
        <w:pStyle w:val="Default0"/>
        <w:jc w:val="both"/>
        <w:rPr>
          <w:b/>
          <w:bCs/>
          <w:color w:val="auto"/>
          <w:sz w:val="22"/>
          <w:szCs w:val="22"/>
        </w:rPr>
      </w:pPr>
      <w:r w:rsidRPr="00D10A57">
        <w:rPr>
          <w:b/>
          <w:bCs/>
          <w:color w:val="auto"/>
          <w:sz w:val="22"/>
          <w:szCs w:val="22"/>
        </w:rPr>
        <w:t xml:space="preserve">f) průběžně podporovat a rozvíjet další formy alternativních způsobů náhradní výchovy tak, aby děti vyrůstaly v přirozeném rodinném prostředí a podporovat užší spolupráci pracovníků ústavní péče s rodinou a orgány sociálně-právní ochrany dětí při jejich návratu do původních rodin, </w:t>
      </w:r>
    </w:p>
    <w:p w14:paraId="25033964" w14:textId="77777777" w:rsidR="0096367A" w:rsidRPr="00D10A57" w:rsidRDefault="0096367A" w:rsidP="007C763A">
      <w:pPr>
        <w:pStyle w:val="Default0"/>
        <w:jc w:val="both"/>
        <w:rPr>
          <w:rFonts w:eastAsia="Calibri"/>
        </w:rPr>
      </w:pPr>
    </w:p>
    <w:p w14:paraId="07BD74EB" w14:textId="77777777" w:rsidR="0096367A" w:rsidRPr="00D10A57" w:rsidRDefault="0096367A" w:rsidP="00D10A57">
      <w:pPr>
        <w:spacing w:line="240" w:lineRule="auto"/>
        <w:jc w:val="both"/>
        <w:rPr>
          <w:rFonts w:ascii="Arial" w:eastAsia="Calibri" w:hAnsi="Arial" w:cs="Arial"/>
        </w:rPr>
      </w:pPr>
      <w:r w:rsidRPr="00D10A57">
        <w:rPr>
          <w:rFonts w:ascii="Arial" w:eastAsia="Calibri" w:hAnsi="Arial" w:cs="Arial"/>
        </w:rPr>
        <w:t>V ČR probíhá postupná obměna sítě zařízení pro výkon ústavní a ochranné výchovy a zařízení pro preventivně výchovnou péči se specializovanými programy tak, aby:</w:t>
      </w:r>
    </w:p>
    <w:p w14:paraId="0A3B08B5" w14:textId="77777777" w:rsidR="0096367A" w:rsidRPr="00D10A57" w:rsidRDefault="0096367A" w:rsidP="00D10A57">
      <w:pPr>
        <w:pStyle w:val="Odstavecseseznamem"/>
        <w:numPr>
          <w:ilvl w:val="0"/>
          <w:numId w:val="17"/>
        </w:numPr>
        <w:spacing w:after="160"/>
        <w:rPr>
          <w:rFonts w:ascii="Arial" w:eastAsiaTheme="minorEastAsia" w:hAnsi="Arial" w:cs="Arial"/>
          <w:sz w:val="22"/>
        </w:rPr>
      </w:pPr>
      <w:r w:rsidRPr="00D10A57">
        <w:rPr>
          <w:rFonts w:ascii="Arial" w:eastAsia="Calibri" w:hAnsi="Arial" w:cs="Arial"/>
          <w:sz w:val="22"/>
        </w:rPr>
        <w:t>byly dostupné</w:t>
      </w:r>
    </w:p>
    <w:p w14:paraId="15C9B71D" w14:textId="77777777" w:rsidR="0096367A" w:rsidRPr="00D10A57" w:rsidRDefault="0096367A" w:rsidP="00D10A57">
      <w:pPr>
        <w:pStyle w:val="Odstavecseseznamem"/>
        <w:numPr>
          <w:ilvl w:val="0"/>
          <w:numId w:val="17"/>
        </w:numPr>
        <w:spacing w:after="160"/>
        <w:rPr>
          <w:rFonts w:ascii="Arial" w:eastAsiaTheme="minorEastAsia" w:hAnsi="Arial" w:cs="Arial"/>
          <w:sz w:val="22"/>
        </w:rPr>
      </w:pPr>
      <w:r w:rsidRPr="00D10A57">
        <w:rPr>
          <w:rFonts w:ascii="Arial" w:eastAsia="Calibri" w:hAnsi="Arial" w:cs="Arial"/>
          <w:sz w:val="22"/>
        </w:rPr>
        <w:t>byly specializované</w:t>
      </w:r>
    </w:p>
    <w:p w14:paraId="76827F37" w14:textId="77777777" w:rsidR="0096367A" w:rsidRPr="00D10A57" w:rsidRDefault="0096367A" w:rsidP="00D10A57">
      <w:pPr>
        <w:pStyle w:val="Odstavecseseznamem"/>
        <w:numPr>
          <w:ilvl w:val="0"/>
          <w:numId w:val="17"/>
        </w:numPr>
        <w:spacing w:after="160"/>
        <w:rPr>
          <w:rFonts w:ascii="Arial" w:eastAsiaTheme="minorEastAsia" w:hAnsi="Arial" w:cs="Arial"/>
          <w:sz w:val="22"/>
        </w:rPr>
      </w:pPr>
      <w:r w:rsidRPr="00D10A57">
        <w:rPr>
          <w:rFonts w:ascii="Arial" w:eastAsia="Calibri" w:hAnsi="Arial" w:cs="Arial"/>
          <w:sz w:val="22"/>
        </w:rPr>
        <w:t xml:space="preserve">poskytovaly péči na nezbytně nutnou dobu </w:t>
      </w:r>
    </w:p>
    <w:p w14:paraId="07575D37" w14:textId="77777777" w:rsidR="0096367A" w:rsidRPr="00D10A57" w:rsidRDefault="0096367A" w:rsidP="00D10A57">
      <w:pPr>
        <w:pStyle w:val="Odstavecseseznamem"/>
        <w:numPr>
          <w:ilvl w:val="0"/>
          <w:numId w:val="17"/>
        </w:numPr>
        <w:spacing w:after="160"/>
        <w:rPr>
          <w:rFonts w:ascii="Arial" w:eastAsiaTheme="minorEastAsia" w:hAnsi="Arial" w:cs="Arial"/>
          <w:sz w:val="22"/>
        </w:rPr>
      </w:pPr>
      <w:r w:rsidRPr="00D10A57">
        <w:rPr>
          <w:rFonts w:ascii="Arial" w:eastAsia="Calibri" w:hAnsi="Arial" w:cs="Arial"/>
          <w:sz w:val="22"/>
        </w:rPr>
        <w:t>poskytovaly péči v malých skupinách</w:t>
      </w:r>
    </w:p>
    <w:p w14:paraId="3D9FC0C0" w14:textId="77777777" w:rsidR="0096367A" w:rsidRPr="00D10A57" w:rsidRDefault="0096367A" w:rsidP="00D10A57">
      <w:pPr>
        <w:pStyle w:val="Odstavecseseznamem"/>
        <w:numPr>
          <w:ilvl w:val="0"/>
          <w:numId w:val="17"/>
        </w:numPr>
        <w:spacing w:after="160"/>
        <w:rPr>
          <w:rFonts w:ascii="Arial" w:eastAsiaTheme="minorEastAsia" w:hAnsi="Arial" w:cs="Arial"/>
          <w:sz w:val="22"/>
        </w:rPr>
      </w:pPr>
      <w:r w:rsidRPr="00D10A57">
        <w:rPr>
          <w:rFonts w:ascii="Arial" w:eastAsia="Calibri" w:hAnsi="Arial" w:cs="Arial"/>
          <w:sz w:val="22"/>
        </w:rPr>
        <w:t>síť byla prostupná všemi směry od prevence po intenzivní specializaci</w:t>
      </w:r>
    </w:p>
    <w:p w14:paraId="34B26150" w14:textId="77777777" w:rsidR="0096367A" w:rsidRPr="00D10A57" w:rsidRDefault="0096367A" w:rsidP="00D10A57">
      <w:pPr>
        <w:spacing w:line="240" w:lineRule="auto"/>
        <w:jc w:val="both"/>
        <w:rPr>
          <w:rFonts w:ascii="Arial" w:eastAsia="Calibri" w:hAnsi="Arial" w:cs="Arial"/>
        </w:rPr>
      </w:pPr>
      <w:r w:rsidRPr="00D10A57">
        <w:rPr>
          <w:rFonts w:ascii="Arial" w:eastAsia="Calibri" w:hAnsi="Arial" w:cs="Arial"/>
        </w:rPr>
        <w:t>Hlavní plánované intervence MŠMT do roku 2030:</w:t>
      </w:r>
    </w:p>
    <w:p w14:paraId="3A4C128E" w14:textId="77777777" w:rsidR="0096367A" w:rsidRPr="00D10A57" w:rsidRDefault="0096367A" w:rsidP="00D10A57">
      <w:pPr>
        <w:pStyle w:val="Odstavecseseznamem"/>
        <w:numPr>
          <w:ilvl w:val="0"/>
          <w:numId w:val="16"/>
        </w:numPr>
        <w:spacing w:after="160"/>
        <w:rPr>
          <w:rFonts w:ascii="Arial" w:eastAsia="Calibri" w:hAnsi="Arial" w:cs="Arial"/>
          <w:sz w:val="22"/>
          <w:szCs w:val="22"/>
        </w:rPr>
      </w:pPr>
      <w:r w:rsidRPr="00D10A57">
        <w:rPr>
          <w:rFonts w:ascii="Arial" w:eastAsia="Calibri" w:hAnsi="Arial" w:cs="Arial"/>
          <w:sz w:val="22"/>
          <w:szCs w:val="22"/>
        </w:rPr>
        <w:t>Ve školním prostředí podporovat zvyšování kompetencí pedagogů k včasné identifikaci potřeb dítěte tak, aby byly včas a efektivně realizovány nezbytné preventivní intervence vedoucí k odklonění od rizikového chování, příp. minimalizaci dopadů s rizikovým chováním souvisejících.</w:t>
      </w:r>
    </w:p>
    <w:p w14:paraId="137098EC" w14:textId="77777777" w:rsidR="0096367A" w:rsidRPr="00D10A57" w:rsidRDefault="0096367A" w:rsidP="00D10A57">
      <w:pPr>
        <w:spacing w:line="240" w:lineRule="auto"/>
        <w:jc w:val="both"/>
        <w:rPr>
          <w:rFonts w:ascii="Arial" w:eastAsia="Calibri" w:hAnsi="Arial" w:cs="Arial"/>
        </w:rPr>
      </w:pPr>
      <w:r w:rsidRPr="00D10A57">
        <w:rPr>
          <w:rFonts w:ascii="Arial" w:eastAsia="Calibri" w:hAnsi="Arial" w:cs="Arial"/>
        </w:rPr>
        <w:t>Indikátor: zvýšení počtu školních metodiků prevence absolvujících specializační studium ze současných 60% na 80% v roce 2030</w:t>
      </w:r>
    </w:p>
    <w:p w14:paraId="61A74636" w14:textId="77777777" w:rsidR="0096367A" w:rsidRPr="00D10A57" w:rsidRDefault="0096367A" w:rsidP="00D10A57">
      <w:pPr>
        <w:pStyle w:val="Odstavecseseznamem"/>
        <w:numPr>
          <w:ilvl w:val="0"/>
          <w:numId w:val="16"/>
        </w:numPr>
        <w:spacing w:after="160"/>
        <w:rPr>
          <w:rFonts w:ascii="Arial" w:hAnsi="Arial" w:cs="Arial"/>
          <w:sz w:val="22"/>
          <w:szCs w:val="22"/>
        </w:rPr>
      </w:pPr>
      <w:r w:rsidRPr="00D10A57">
        <w:rPr>
          <w:rFonts w:ascii="Arial" w:eastAsia="Calibri" w:hAnsi="Arial" w:cs="Arial"/>
          <w:sz w:val="22"/>
          <w:szCs w:val="22"/>
        </w:rPr>
        <w:t xml:space="preserve">Podpořit zvyšování profesních kompetencí pracovníků zařízení ve vztahu k dětem a jejich rodinám formou vzdělávacích programů, supervizí a stáží; zaměřených zejména na posilování sociálních kompetencí pracovníků, posilování pozitivního náhledu na dítě, empatického přístupu k dítěti a jeho rodině, posilování porozumění </w:t>
      </w:r>
      <w:r w:rsidRPr="00D10A57">
        <w:rPr>
          <w:rFonts w:ascii="Arial" w:eastAsia="Calibri" w:hAnsi="Arial" w:cs="Arial"/>
          <w:sz w:val="22"/>
          <w:szCs w:val="22"/>
        </w:rPr>
        <w:lastRenderedPageBreak/>
        <w:t>významu biologické rodiny v životě dítěte a dalších blízkých osob dítěte, podporu změny postojů k dítěti, ústavní výchově a jejím cílům atd.</w:t>
      </w:r>
    </w:p>
    <w:p w14:paraId="693D7376" w14:textId="77777777" w:rsidR="0096367A" w:rsidRPr="00D10A57" w:rsidRDefault="0096367A" w:rsidP="00D10A57">
      <w:pPr>
        <w:spacing w:line="240" w:lineRule="auto"/>
        <w:jc w:val="both"/>
        <w:rPr>
          <w:rFonts w:ascii="Arial" w:eastAsia="Calibri" w:hAnsi="Arial" w:cs="Arial"/>
        </w:rPr>
      </w:pPr>
      <w:r w:rsidRPr="00D10A57">
        <w:rPr>
          <w:rFonts w:ascii="Arial" w:eastAsia="Calibri" w:hAnsi="Arial" w:cs="Arial"/>
        </w:rPr>
        <w:t xml:space="preserve">Indikátor: nastavený efektivní systém vzdělávání pracovníků ÚV a OV a preventivně výchovné péče ve spolupráci s NPI, který bude dostupný v rámci celé ČR a bude zahrnovat cílené vzdělávání pro pracovníky zařízení PŘO a DD – zvýšit kvalifikovanost personálu o 20 % do roku 2030 (aktuálně stav je 80 % kvalifikovaných) </w:t>
      </w:r>
    </w:p>
    <w:p w14:paraId="75835AA5" w14:textId="77777777" w:rsidR="0096367A" w:rsidRPr="00D10A57" w:rsidRDefault="0096367A" w:rsidP="00D10A57">
      <w:pPr>
        <w:pStyle w:val="Odstavecseseznamem"/>
        <w:numPr>
          <w:ilvl w:val="0"/>
          <w:numId w:val="16"/>
        </w:numPr>
        <w:spacing w:after="160"/>
        <w:rPr>
          <w:rFonts w:ascii="Arial" w:hAnsi="Arial" w:cs="Arial"/>
          <w:sz w:val="22"/>
          <w:szCs w:val="22"/>
        </w:rPr>
      </w:pPr>
      <w:r w:rsidRPr="00D10A57">
        <w:rPr>
          <w:rFonts w:ascii="Arial" w:eastAsia="Calibri" w:hAnsi="Arial" w:cs="Arial"/>
          <w:sz w:val="22"/>
          <w:szCs w:val="22"/>
        </w:rPr>
        <w:t>Posilovat rozvoj kvality a dostupnosti zejména ambulantní služby za účelem vyšší míry prevence rizikového chování. Snižování procenta terciární a částečně sekundární prevence a upřednostnění prevence primární. Posílit preventivně výchovnou oblast a prevenci odchodů dětí z rodiny do ústavní výchovy, a to zejména transformací diagnostických ústavů a sjednocením a zkvalitněním činnosti středisek výchovné péče.</w:t>
      </w:r>
    </w:p>
    <w:p w14:paraId="4B39518B" w14:textId="77777777" w:rsidR="0096367A" w:rsidRPr="00D10A57" w:rsidRDefault="0096367A" w:rsidP="00D10A57">
      <w:pPr>
        <w:spacing w:line="240" w:lineRule="auto"/>
        <w:jc w:val="both"/>
        <w:rPr>
          <w:rFonts w:ascii="Arial" w:eastAsia="Calibri" w:hAnsi="Arial" w:cs="Arial"/>
        </w:rPr>
      </w:pPr>
      <w:r w:rsidRPr="00D10A57">
        <w:rPr>
          <w:rFonts w:ascii="Arial" w:eastAsia="Calibri" w:hAnsi="Arial" w:cs="Arial"/>
        </w:rPr>
        <w:t>Indikátor: fungující diagnostická centra a střediska výchovné péče tak, že v rámci NUTS II jsou služby dostupné pro oblast prevence; zavedené cílené, ověřené a efektivní služby ve spolupráci s MPSV pro bezproblémový odchod dětí do rodiny a vřazení do běžného života</w:t>
      </w:r>
    </w:p>
    <w:p w14:paraId="70FA2705" w14:textId="77777777" w:rsidR="0096367A" w:rsidRPr="00D10A57" w:rsidRDefault="0096367A" w:rsidP="00D10A57">
      <w:pPr>
        <w:pStyle w:val="Odstavecseseznamem"/>
        <w:numPr>
          <w:ilvl w:val="0"/>
          <w:numId w:val="16"/>
        </w:numPr>
        <w:spacing w:after="160"/>
        <w:rPr>
          <w:rFonts w:ascii="Arial" w:hAnsi="Arial" w:cs="Arial"/>
          <w:sz w:val="22"/>
          <w:szCs w:val="22"/>
        </w:rPr>
      </w:pPr>
      <w:r w:rsidRPr="00D10A57">
        <w:rPr>
          <w:rFonts w:ascii="Arial" w:eastAsia="Calibri" w:hAnsi="Arial" w:cs="Arial"/>
          <w:sz w:val="22"/>
          <w:szCs w:val="22"/>
        </w:rPr>
        <w:t>Sjednotit a zkvalitnit poskytovanou péči v zařízeních se specializovanou péčí (např. výchovně léčebný režim, děti se závislostí apod.) pomocí vytvoření specializovaných programů a minimalizací znaků ústavnosti v sociální kultuře zařízení.</w:t>
      </w:r>
    </w:p>
    <w:p w14:paraId="47B7EFBD" w14:textId="77777777" w:rsidR="0096367A" w:rsidRPr="00D10A57" w:rsidRDefault="0096367A" w:rsidP="00D10A57">
      <w:pPr>
        <w:spacing w:line="240" w:lineRule="auto"/>
        <w:jc w:val="both"/>
        <w:rPr>
          <w:rFonts w:ascii="Arial" w:eastAsia="Calibri" w:hAnsi="Arial" w:cs="Arial"/>
        </w:rPr>
      </w:pPr>
      <w:r w:rsidRPr="00D10A57">
        <w:rPr>
          <w:rFonts w:ascii="Arial" w:eastAsia="Calibri" w:hAnsi="Arial" w:cs="Arial"/>
        </w:rPr>
        <w:t>Indikátor: v rámci ČR dostupné specializované programy na úrovni NUTS II v oblasti adiktologické, psychiatrické péče, výchovně léčebné…)</w:t>
      </w:r>
    </w:p>
    <w:p w14:paraId="7675087D" w14:textId="77777777" w:rsidR="0096367A" w:rsidRPr="00D10A57" w:rsidRDefault="0096367A" w:rsidP="00D10A57">
      <w:pPr>
        <w:pStyle w:val="Odstavecseseznamem"/>
        <w:numPr>
          <w:ilvl w:val="0"/>
          <w:numId w:val="16"/>
        </w:numPr>
        <w:spacing w:after="160"/>
        <w:rPr>
          <w:rFonts w:ascii="Arial" w:hAnsi="Arial" w:cs="Arial"/>
          <w:sz w:val="22"/>
          <w:szCs w:val="22"/>
        </w:rPr>
      </w:pPr>
      <w:r w:rsidRPr="00D10A57">
        <w:rPr>
          <w:rFonts w:ascii="Arial" w:eastAsia="Calibri" w:hAnsi="Arial" w:cs="Arial"/>
          <w:sz w:val="22"/>
          <w:szCs w:val="22"/>
        </w:rPr>
        <w:t>Vytvořit moderní, efektivní, dostupný a prostupný systém s důrazem na kvalitu a profesionalitu poskytované péče o klienty (děti a jejich rodiny). Zvyšování kvality zařízení pro výkon ústavní a ochranné výchovy, a preventivně výchovné péče zřizovaných MŠMT.</w:t>
      </w:r>
    </w:p>
    <w:p w14:paraId="02D393A8" w14:textId="7D6F3467" w:rsidR="0096367A" w:rsidRPr="00D10A57" w:rsidRDefault="0096367A" w:rsidP="00D10A57">
      <w:pPr>
        <w:spacing w:line="240" w:lineRule="auto"/>
        <w:jc w:val="both"/>
        <w:rPr>
          <w:rFonts w:ascii="Arial" w:eastAsia="Calibri" w:hAnsi="Arial" w:cs="Arial"/>
        </w:rPr>
      </w:pPr>
      <w:r w:rsidRPr="00D10A57">
        <w:rPr>
          <w:rFonts w:ascii="Arial" w:eastAsia="Calibri" w:hAnsi="Arial" w:cs="Arial"/>
        </w:rPr>
        <w:t>Indikátor: všechna zařízení v ČR v oblasti ústavní a ochranné výchovy a pro preventivně výchovnou péči poskytují péči na základě Standardů kvality péče (hodnotí Č</w:t>
      </w:r>
      <w:r w:rsidR="002728F9">
        <w:rPr>
          <w:rFonts w:ascii="Arial" w:eastAsia="Calibri" w:hAnsi="Arial" w:cs="Arial"/>
        </w:rPr>
        <w:t>eská školní inspekce – dále jen „ČŠI“</w:t>
      </w:r>
      <w:r w:rsidRPr="00D10A57">
        <w:rPr>
          <w:rFonts w:ascii="Arial" w:eastAsia="Calibri" w:hAnsi="Arial" w:cs="Arial"/>
        </w:rPr>
        <w:t>)</w:t>
      </w:r>
    </w:p>
    <w:p w14:paraId="09D44B68" w14:textId="77777777" w:rsidR="0096367A" w:rsidRPr="00D10A57" w:rsidRDefault="0096367A" w:rsidP="00D10A57">
      <w:pPr>
        <w:pStyle w:val="Odstavecseseznamem"/>
        <w:numPr>
          <w:ilvl w:val="0"/>
          <w:numId w:val="16"/>
        </w:numPr>
        <w:spacing w:after="160"/>
        <w:rPr>
          <w:rFonts w:ascii="Arial" w:eastAsia="Calibri" w:hAnsi="Arial" w:cs="Arial"/>
          <w:sz w:val="22"/>
          <w:szCs w:val="22"/>
        </w:rPr>
      </w:pPr>
      <w:r w:rsidRPr="00D10A57">
        <w:rPr>
          <w:rFonts w:ascii="Arial" w:eastAsia="Calibri" w:hAnsi="Arial" w:cs="Arial"/>
          <w:sz w:val="22"/>
          <w:szCs w:val="22"/>
        </w:rPr>
        <w:t>Podpořit vzdělávání dětí v ústavní výchově v běžných školách, a to na základě podrobného vyhodnocení jejich vzdělávacích potřeb, a vytvořením plánu přechodu do škol, které nejsou organizační složkou ústavního zařízení.</w:t>
      </w:r>
    </w:p>
    <w:p w14:paraId="305D912D" w14:textId="77777777" w:rsidR="0096367A" w:rsidRPr="00D10A57" w:rsidRDefault="0096367A" w:rsidP="00D10A57">
      <w:pPr>
        <w:spacing w:line="240" w:lineRule="auto"/>
        <w:jc w:val="both"/>
        <w:rPr>
          <w:rFonts w:ascii="Arial" w:eastAsia="Calibri" w:hAnsi="Arial" w:cs="Arial"/>
        </w:rPr>
      </w:pPr>
      <w:r w:rsidRPr="00D10A57">
        <w:rPr>
          <w:rFonts w:ascii="Arial" w:eastAsia="Calibri" w:hAnsi="Arial" w:cs="Arial"/>
        </w:rPr>
        <w:t>Indikátor: každé dítě v rámci PROD má zpracovaný plán přechodu do škol v návaznosti na vyhodnocení jeho vzdělávacích potřeb</w:t>
      </w:r>
    </w:p>
    <w:p w14:paraId="10974541" w14:textId="77777777" w:rsidR="0096367A" w:rsidRPr="00D10A57" w:rsidRDefault="0096367A" w:rsidP="00D10A57">
      <w:pPr>
        <w:pStyle w:val="Odstavecseseznamem"/>
        <w:numPr>
          <w:ilvl w:val="0"/>
          <w:numId w:val="16"/>
        </w:numPr>
        <w:rPr>
          <w:rFonts w:ascii="Arial" w:eastAsia="Calibri" w:hAnsi="Arial" w:cs="Arial"/>
          <w:sz w:val="22"/>
          <w:szCs w:val="22"/>
        </w:rPr>
      </w:pPr>
      <w:r w:rsidRPr="00D10A57">
        <w:rPr>
          <w:rFonts w:ascii="Arial" w:eastAsia="Calibri" w:hAnsi="Arial" w:cs="Arial"/>
          <w:sz w:val="22"/>
          <w:szCs w:val="22"/>
        </w:rPr>
        <w:t>Minimalizovat dobu, kterou dítě stráví v zařízení pro ústavní výchovu a zmírňovat</w:t>
      </w:r>
      <w:r w:rsidR="00077FF3" w:rsidRPr="00D10A57">
        <w:rPr>
          <w:rFonts w:ascii="Arial" w:eastAsia="Calibri" w:hAnsi="Arial" w:cs="Arial"/>
          <w:sz w:val="22"/>
          <w:szCs w:val="22"/>
        </w:rPr>
        <w:t xml:space="preserve"> </w:t>
      </w:r>
      <w:r w:rsidRPr="00D10A57">
        <w:rPr>
          <w:rFonts w:ascii="Arial" w:eastAsia="Calibri" w:hAnsi="Arial" w:cs="Arial"/>
          <w:sz w:val="22"/>
          <w:szCs w:val="22"/>
        </w:rPr>
        <w:t xml:space="preserve">negativní dopad ústavní výchovy, a to posilováním vazby mezi dítětem a jeho rodinou </w:t>
      </w:r>
      <w:r w:rsidR="00077FF3" w:rsidRPr="00D10A57">
        <w:rPr>
          <w:rFonts w:ascii="Arial" w:eastAsia="Calibri" w:hAnsi="Arial" w:cs="Arial"/>
          <w:sz w:val="22"/>
          <w:szCs w:val="22"/>
        </w:rPr>
        <w:t xml:space="preserve">  </w:t>
      </w:r>
      <w:r w:rsidRPr="00D10A57">
        <w:rPr>
          <w:rFonts w:ascii="Arial" w:eastAsia="Calibri" w:hAnsi="Arial" w:cs="Arial"/>
          <w:sz w:val="22"/>
          <w:szCs w:val="22"/>
        </w:rPr>
        <w:t>(blízkými osobami), podporou pozitivních aspektů v kontaktu mezi dítětem a rodinou a podporou připravenosti rodiny pro návrat dítěte domů.</w:t>
      </w:r>
    </w:p>
    <w:p w14:paraId="16489802" w14:textId="77777777" w:rsidR="0096367A" w:rsidRPr="00D10A57" w:rsidRDefault="0096367A" w:rsidP="00D10A57">
      <w:pPr>
        <w:pStyle w:val="Default0"/>
        <w:jc w:val="both"/>
        <w:rPr>
          <w:rFonts w:eastAsia="Calibri"/>
          <w:color w:val="000000" w:themeColor="text1"/>
        </w:rPr>
      </w:pPr>
    </w:p>
    <w:p w14:paraId="79FC4832" w14:textId="77777777" w:rsidR="0096367A" w:rsidRPr="00D10A57" w:rsidRDefault="0096367A" w:rsidP="00D10A57">
      <w:pPr>
        <w:pStyle w:val="Default0"/>
        <w:jc w:val="both"/>
        <w:rPr>
          <w:b/>
          <w:bCs/>
          <w:color w:val="auto"/>
          <w:sz w:val="22"/>
          <w:szCs w:val="22"/>
        </w:rPr>
      </w:pPr>
      <w:r w:rsidRPr="00D10A57">
        <w:rPr>
          <w:b/>
          <w:bCs/>
          <w:color w:val="auto"/>
          <w:sz w:val="22"/>
          <w:szCs w:val="22"/>
        </w:rPr>
        <w:t xml:space="preserve">g) každoročně rozvíjet a finančně podporovat realizaci dotačního programu pro nestátní neziskové organizace k podpoře školního stravování žáků základních škol, </w:t>
      </w:r>
    </w:p>
    <w:p w14:paraId="5E6AA8F3" w14:textId="77777777" w:rsidR="0096367A" w:rsidRPr="00D10A57" w:rsidRDefault="0096367A" w:rsidP="00D10A57">
      <w:pPr>
        <w:pStyle w:val="Default0"/>
        <w:jc w:val="both"/>
        <w:rPr>
          <w:rFonts w:eastAsia="Calibri"/>
          <w:b/>
          <w:bCs/>
          <w:color w:val="000000" w:themeColor="text1"/>
        </w:rPr>
      </w:pPr>
    </w:p>
    <w:p w14:paraId="3CE06166" w14:textId="77777777" w:rsidR="0096367A" w:rsidRPr="00D10A57" w:rsidRDefault="0096367A" w:rsidP="007C763A">
      <w:pPr>
        <w:spacing w:line="240" w:lineRule="auto"/>
        <w:jc w:val="both"/>
        <w:rPr>
          <w:rFonts w:ascii="Arial" w:hAnsi="Arial" w:cs="Arial"/>
        </w:rPr>
      </w:pPr>
      <w:r w:rsidRPr="00D10A57">
        <w:rPr>
          <w:rFonts w:ascii="Arial" w:eastAsia="Calibri" w:hAnsi="Arial" w:cs="Arial"/>
        </w:rPr>
        <w:t>Účelem tohoto dotačního programu je podpořit školní stravování žáků základních škol, jejichž rodina se ocitla v dlouhodobé nepříznivé finanční situaci. Zapojením do tohoto dotačního programu by mělo dojít ke zlepšení podmínek pro řádný průběh povinné školní docházky těchto žáků.</w:t>
      </w:r>
    </w:p>
    <w:p w14:paraId="070547D8" w14:textId="77777777" w:rsidR="0096367A" w:rsidRPr="00D10A57" w:rsidRDefault="0096367A" w:rsidP="007C763A">
      <w:pPr>
        <w:spacing w:line="240" w:lineRule="auto"/>
        <w:jc w:val="both"/>
        <w:rPr>
          <w:rFonts w:ascii="Arial" w:hAnsi="Arial" w:cs="Arial"/>
        </w:rPr>
      </w:pPr>
      <w:r w:rsidRPr="00D10A57">
        <w:rPr>
          <w:rFonts w:ascii="Arial" w:eastAsia="Calibri" w:hAnsi="Arial" w:cs="Arial"/>
        </w:rPr>
        <w:t xml:space="preserve">Základním cílem programu je nejen zabezpečení pravidelné stravy pro žáky v rámci školního stravování, ale také zlepšení jejich podmínek při pobytu ve škole. K vedlejším efektům tedy </w:t>
      </w:r>
      <w:r w:rsidRPr="00D10A57">
        <w:rPr>
          <w:rFonts w:ascii="Arial" w:eastAsia="Calibri" w:hAnsi="Arial" w:cs="Arial"/>
        </w:rPr>
        <w:lastRenderedPageBreak/>
        <w:t>bude patřit i začlenění těchto žáků do třídního kolektivu prostřednictvím zajištění možnosti zúčastnit se i mimoškolních aktivit, a to díky prominutí úhrady za školní stravování.</w:t>
      </w:r>
    </w:p>
    <w:p w14:paraId="70A1EF60" w14:textId="77777777" w:rsidR="0096367A" w:rsidRPr="00D10A57" w:rsidRDefault="0096367A" w:rsidP="007C763A">
      <w:pPr>
        <w:spacing w:line="240" w:lineRule="auto"/>
        <w:jc w:val="both"/>
        <w:rPr>
          <w:rFonts w:ascii="Arial" w:hAnsi="Arial" w:cs="Arial"/>
        </w:rPr>
      </w:pPr>
      <w:r w:rsidRPr="00D10A57">
        <w:rPr>
          <w:rFonts w:ascii="Arial" w:eastAsia="Calibri" w:hAnsi="Arial" w:cs="Arial"/>
        </w:rPr>
        <w:t xml:space="preserve">Na program bylo v roce 2021 alokováno 60 000 000 Kč. Byl podpořen 1 žadatel - WOMEN FOR WOMEN, o.p.s., Vlastislavova 152/4, 140 00 Praha 4, dotace byla přidělena v požadované výši 51 589 544 000 Kč. Ve školním roce 2020/2021, resp. </w:t>
      </w:r>
      <w:r w:rsidR="00F65E5A">
        <w:rPr>
          <w:rFonts w:ascii="Arial" w:eastAsia="Calibri" w:hAnsi="Arial" w:cs="Arial"/>
        </w:rPr>
        <w:t>v</w:t>
      </w:r>
      <w:r w:rsidRPr="00D10A57">
        <w:rPr>
          <w:rFonts w:ascii="Arial" w:eastAsia="Calibri" w:hAnsi="Arial" w:cs="Arial"/>
        </w:rPr>
        <w:t xml:space="preserve"> části roku 2021, byla poskytnuta z finančních prostředků dotační výzvy úhrada obědů 9 242 dětem z 932 ZŠ/ŠJ. Ve školním roce 2021/2022, tedy opět v části roku 2021 byla poskytnuta úhrada obědů 9 414 dětem z 907 ZŠ/ŠJ.</w:t>
      </w:r>
    </w:p>
    <w:p w14:paraId="0F6921C6" w14:textId="2E3A5917" w:rsidR="0096367A" w:rsidRPr="00D10A57" w:rsidRDefault="00964086" w:rsidP="00510024">
      <w:pPr>
        <w:pStyle w:val="Default0"/>
        <w:jc w:val="both"/>
        <w:rPr>
          <w:rFonts w:eastAsia="Calibri"/>
          <w:sz w:val="22"/>
          <w:szCs w:val="22"/>
        </w:rPr>
      </w:pPr>
      <w:r>
        <w:rPr>
          <w:rFonts w:eastAsia="Calibri"/>
          <w:sz w:val="22"/>
          <w:szCs w:val="22"/>
        </w:rPr>
        <w:t>V</w:t>
      </w:r>
      <w:r w:rsidR="0096367A" w:rsidRPr="00D10A57">
        <w:rPr>
          <w:rFonts w:eastAsia="Calibri"/>
          <w:sz w:val="22"/>
          <w:szCs w:val="22"/>
        </w:rPr>
        <w:t>ýzva byla opětovně vyhlášena pro rok 2022 dne 15.</w:t>
      </w:r>
      <w:r w:rsidR="00661612">
        <w:rPr>
          <w:rFonts w:eastAsia="Calibri"/>
          <w:sz w:val="22"/>
          <w:szCs w:val="22"/>
        </w:rPr>
        <w:t xml:space="preserve"> března</w:t>
      </w:r>
      <w:r w:rsidR="0096367A" w:rsidRPr="00D10A57">
        <w:rPr>
          <w:rFonts w:eastAsia="Calibri"/>
          <w:sz w:val="22"/>
          <w:szCs w:val="22"/>
        </w:rPr>
        <w:t>, opět s alokací 60 mil. Kč</w:t>
      </w:r>
      <w:r w:rsidR="00F65E5A">
        <w:rPr>
          <w:rFonts w:eastAsia="Calibri"/>
          <w:sz w:val="22"/>
          <w:szCs w:val="22"/>
        </w:rPr>
        <w:t>.</w:t>
      </w:r>
    </w:p>
    <w:p w14:paraId="4F4171FC" w14:textId="77777777" w:rsidR="0096367A" w:rsidRPr="00D10A57" w:rsidRDefault="0096367A">
      <w:pPr>
        <w:pStyle w:val="Default0"/>
        <w:jc w:val="both"/>
        <w:rPr>
          <w:rFonts w:eastAsia="Calibri"/>
          <w:sz w:val="22"/>
          <w:szCs w:val="22"/>
        </w:rPr>
      </w:pPr>
    </w:p>
    <w:p w14:paraId="1CBEAE36" w14:textId="77777777" w:rsidR="0096367A" w:rsidRPr="00D10A57" w:rsidRDefault="0096367A">
      <w:pPr>
        <w:pStyle w:val="Default0"/>
        <w:jc w:val="both"/>
        <w:rPr>
          <w:color w:val="auto"/>
          <w:sz w:val="22"/>
          <w:szCs w:val="22"/>
        </w:rPr>
      </w:pPr>
      <w:r w:rsidRPr="00D10A57">
        <w:rPr>
          <w:b/>
          <w:bCs/>
          <w:color w:val="auto"/>
          <w:sz w:val="22"/>
          <w:szCs w:val="22"/>
        </w:rPr>
        <w:t>h) průběžně intenzivně monitorovat, prostřednictvím České školní inspekce, situaci romských dětí, žáků a studentů na všech úrovních vzdělávací soustavy, a identifikovat pochybení škol a školských poradenských zařízení ve vztahu k této cílové skupině. Prostřednictvím nápravných opatření zajistit ochranu práva na vzdělávání bez diskriminace a za účelem odstranění těchto pochybení zajišťovat antidiskriminační školení a metodickou podporu pracovníků škol a školských poradenských zařízení</w:t>
      </w:r>
      <w:r w:rsidRPr="00D10A57">
        <w:rPr>
          <w:color w:val="auto"/>
          <w:sz w:val="22"/>
          <w:szCs w:val="22"/>
        </w:rPr>
        <w:t xml:space="preserve">, </w:t>
      </w:r>
    </w:p>
    <w:p w14:paraId="5A2E030A" w14:textId="77777777" w:rsidR="0096367A" w:rsidRPr="00D10A57" w:rsidRDefault="0096367A">
      <w:pPr>
        <w:pStyle w:val="Default0"/>
        <w:jc w:val="both"/>
        <w:rPr>
          <w:rFonts w:eastAsia="Calibri"/>
          <w:color w:val="000000" w:themeColor="text1"/>
        </w:rPr>
      </w:pPr>
    </w:p>
    <w:p w14:paraId="32378407" w14:textId="77777777" w:rsidR="0096367A" w:rsidRPr="00D10A57" w:rsidRDefault="0096367A" w:rsidP="007C763A">
      <w:pPr>
        <w:spacing w:line="240" w:lineRule="auto"/>
        <w:jc w:val="both"/>
        <w:rPr>
          <w:rFonts w:ascii="Arial" w:eastAsia="Calibri" w:hAnsi="Arial" w:cs="Arial"/>
        </w:rPr>
      </w:pPr>
      <w:r w:rsidRPr="00D10A57">
        <w:rPr>
          <w:rFonts w:ascii="Arial" w:eastAsia="Calibri" w:hAnsi="Arial" w:cs="Arial"/>
        </w:rPr>
        <w:t>Ve sledovaném období kalendářního roku 2021 se ČŠI zabývala celkem osmi stížnostmi z kategorie diskriminace, přičemž pouze jedna z nich byla vyhodnocena jako důvodná, nicméně ani příčina podání stížnosti, ani její závěr nesouvisel s tématem romské etnicity. V kategorii vzdělávání příslušníků národnostních menšin nebyla v tomto období zařazena ani jedna stížnost.</w:t>
      </w:r>
    </w:p>
    <w:p w14:paraId="16D0E1E1" w14:textId="77777777" w:rsidR="0096367A" w:rsidRPr="00100FB9" w:rsidRDefault="0096367A" w:rsidP="007C763A">
      <w:pPr>
        <w:spacing w:line="240" w:lineRule="auto"/>
        <w:jc w:val="both"/>
        <w:rPr>
          <w:rFonts w:eastAsia="Calibri"/>
          <w:color w:val="000000" w:themeColor="text1"/>
        </w:rPr>
      </w:pPr>
      <w:r w:rsidRPr="00D56307">
        <w:rPr>
          <w:rFonts w:ascii="Arial" w:eastAsia="Calibri" w:hAnsi="Arial" w:cs="Arial"/>
        </w:rPr>
        <w:t>Monitoring situace romských dětí, žáků a studentů je prováděn pro interní účely ve spolupráci MŠMT a ČŠI. Vzhledem k tomu, že se jedná o citlivá data, není prezentováno veřejně.</w:t>
      </w:r>
    </w:p>
    <w:p w14:paraId="66762657" w14:textId="77777777" w:rsidR="0096367A" w:rsidRPr="00D10A57" w:rsidRDefault="0096367A" w:rsidP="00510024">
      <w:pPr>
        <w:pStyle w:val="Default0"/>
        <w:jc w:val="both"/>
        <w:rPr>
          <w:rFonts w:eastAsia="Calibri"/>
          <w:color w:val="000000" w:themeColor="text1"/>
        </w:rPr>
      </w:pPr>
    </w:p>
    <w:p w14:paraId="5DA9BAE2" w14:textId="77777777" w:rsidR="0096367A" w:rsidRPr="00D10A57" w:rsidRDefault="0096367A">
      <w:pPr>
        <w:pStyle w:val="Default0"/>
        <w:jc w:val="both"/>
        <w:rPr>
          <w:b/>
          <w:bCs/>
          <w:color w:val="auto"/>
          <w:sz w:val="22"/>
          <w:szCs w:val="22"/>
        </w:rPr>
      </w:pPr>
      <w:r w:rsidRPr="00D10A57">
        <w:rPr>
          <w:b/>
          <w:bCs/>
          <w:color w:val="auto"/>
          <w:sz w:val="22"/>
          <w:szCs w:val="22"/>
        </w:rPr>
        <w:t>i) průběžně zavádět mechanismy pro přístup romských dětí k předškolnímu vzdělávání</w:t>
      </w:r>
    </w:p>
    <w:p w14:paraId="537363CA" w14:textId="77777777" w:rsidR="0096367A" w:rsidRPr="00D10A57" w:rsidRDefault="0096367A">
      <w:pPr>
        <w:pStyle w:val="Default0"/>
        <w:jc w:val="both"/>
        <w:rPr>
          <w:color w:val="auto"/>
          <w:sz w:val="22"/>
          <w:szCs w:val="22"/>
        </w:rPr>
      </w:pPr>
    </w:p>
    <w:p w14:paraId="0CC8279C" w14:textId="0F78A2FF" w:rsidR="0096367A" w:rsidRPr="00D10A57" w:rsidRDefault="0096367A" w:rsidP="007C763A">
      <w:pPr>
        <w:spacing w:line="240" w:lineRule="auto"/>
        <w:jc w:val="both"/>
        <w:rPr>
          <w:rFonts w:ascii="Arial" w:eastAsia="Calibri" w:hAnsi="Arial" w:cs="Arial"/>
        </w:rPr>
      </w:pPr>
      <w:r w:rsidRPr="00D10A57">
        <w:rPr>
          <w:rFonts w:ascii="Arial" w:eastAsia="Calibri" w:hAnsi="Arial" w:cs="Arial"/>
        </w:rPr>
        <w:t>Byla schválena dotace pro rok 2021 na úhradu celodenního stravného pro děti ze</w:t>
      </w:r>
      <w:r w:rsidR="00D73902">
        <w:t> </w:t>
      </w:r>
      <w:r w:rsidRPr="00D10A57">
        <w:rPr>
          <w:rFonts w:ascii="Arial" w:eastAsia="Calibri" w:hAnsi="Arial" w:cs="Arial"/>
        </w:rPr>
        <w:t>socioekonomicky znevýhodněného prostředí v Karlovarském a Ústeckém kraji. Došlo k rozšíření dotačního programu na další školní rok o financování vzdělávacích aktivit a podporu spolupráce s rodinami pro děti ze socioekonomicky znevýhodněného prostředí v Karlovarském a Ústeckém kraji. Alokace pro Výzvu na období leden až prosinec 2022 je 20 000 000 Kč.</w:t>
      </w:r>
    </w:p>
    <w:p w14:paraId="75A43C5F" w14:textId="1F74F483" w:rsidR="0096367A" w:rsidRPr="00D10A57" w:rsidRDefault="0096367A" w:rsidP="00510024">
      <w:pPr>
        <w:pStyle w:val="Default0"/>
        <w:jc w:val="both"/>
        <w:rPr>
          <w:rFonts w:eastAsia="Calibri"/>
          <w:color w:val="auto"/>
          <w:sz w:val="22"/>
          <w:szCs w:val="22"/>
        </w:rPr>
      </w:pPr>
      <w:r w:rsidRPr="00D10A57">
        <w:rPr>
          <w:rFonts w:eastAsia="Calibri"/>
          <w:color w:val="auto"/>
          <w:sz w:val="22"/>
          <w:szCs w:val="22"/>
        </w:rPr>
        <w:t>V souladu se Strategií vzdělávací politiky České republiky do roku 2030+ probíhají jednání s M</w:t>
      </w:r>
      <w:r w:rsidR="002728F9">
        <w:rPr>
          <w:rFonts w:eastAsia="Calibri"/>
          <w:color w:val="auto"/>
          <w:sz w:val="22"/>
          <w:szCs w:val="22"/>
        </w:rPr>
        <w:t>PSV</w:t>
      </w:r>
      <w:r w:rsidRPr="00D10A57">
        <w:rPr>
          <w:rFonts w:eastAsia="Calibri"/>
          <w:color w:val="auto"/>
          <w:sz w:val="22"/>
          <w:szCs w:val="22"/>
        </w:rPr>
        <w:t>. MŠMT a MPSV připravily vznik informačního letáku na podporu zapoje</w:t>
      </w:r>
      <w:r w:rsidR="00001C36">
        <w:rPr>
          <w:rFonts w:eastAsia="Calibri"/>
          <w:color w:val="auto"/>
          <w:sz w:val="22"/>
          <w:szCs w:val="22"/>
        </w:rPr>
        <w:t>ní</w:t>
      </w:r>
      <w:r w:rsidRPr="00D10A57">
        <w:rPr>
          <w:rFonts w:eastAsia="Calibri"/>
          <w:color w:val="auto"/>
          <w:sz w:val="22"/>
          <w:szCs w:val="22"/>
        </w:rPr>
        <w:t xml:space="preserve"> dětí ze</w:t>
      </w:r>
      <w:r w:rsidR="002728F9">
        <w:rPr>
          <w:rFonts w:eastAsia="Calibri"/>
          <w:color w:val="auto"/>
          <w:sz w:val="22"/>
          <w:szCs w:val="22"/>
        </w:rPr>
        <w:t xml:space="preserve"> sociálně vyloučených lokalit (dále jen „</w:t>
      </w:r>
      <w:r w:rsidRPr="00D10A57">
        <w:rPr>
          <w:rFonts w:eastAsia="Calibri"/>
          <w:color w:val="auto"/>
          <w:sz w:val="22"/>
          <w:szCs w:val="22"/>
        </w:rPr>
        <w:t>SVL</w:t>
      </w:r>
      <w:r w:rsidR="002728F9">
        <w:rPr>
          <w:rFonts w:eastAsia="Calibri"/>
          <w:color w:val="auto"/>
          <w:sz w:val="22"/>
          <w:szCs w:val="22"/>
        </w:rPr>
        <w:t>“)</w:t>
      </w:r>
      <w:r w:rsidRPr="00D10A57">
        <w:rPr>
          <w:rFonts w:eastAsia="Calibri"/>
          <w:color w:val="auto"/>
          <w:sz w:val="22"/>
          <w:szCs w:val="22"/>
        </w:rPr>
        <w:t xml:space="preserve"> do předškolního vzdělávání. Leták je distribuován prostřednictvím MPSV na místa jako jsou azylové domy, OSPOD apod.</w:t>
      </w:r>
    </w:p>
    <w:p w14:paraId="38AD0B43" w14:textId="77777777" w:rsidR="0096367A" w:rsidRPr="00D10A57" w:rsidRDefault="0096367A">
      <w:pPr>
        <w:pStyle w:val="Default0"/>
        <w:jc w:val="both"/>
        <w:rPr>
          <w:color w:val="auto"/>
          <w:sz w:val="22"/>
          <w:szCs w:val="22"/>
        </w:rPr>
      </w:pPr>
    </w:p>
    <w:p w14:paraId="6195E1D4" w14:textId="77777777" w:rsidR="0096367A" w:rsidRPr="00D10A57" w:rsidRDefault="0096367A">
      <w:pPr>
        <w:pStyle w:val="Default0"/>
        <w:jc w:val="both"/>
        <w:rPr>
          <w:color w:val="auto"/>
          <w:sz w:val="22"/>
          <w:szCs w:val="22"/>
        </w:rPr>
      </w:pPr>
      <w:r w:rsidRPr="00D10A57">
        <w:rPr>
          <w:b/>
          <w:bCs/>
          <w:color w:val="auto"/>
          <w:sz w:val="22"/>
          <w:szCs w:val="22"/>
        </w:rPr>
        <w:t>j) průběžně projednávat s reprezentací vysokých škol možnosti uzpůsobení vzdělávacích programů fakult vzdělávajících učitele s jasným zřetelem na průřezové téma inkluzivního vzdělávání a multikulturality s ohledem na další vzdělávání vysokoškolských pedagogů fakult vzdělávajících učitele.</w:t>
      </w:r>
      <w:r w:rsidRPr="00D10A57">
        <w:rPr>
          <w:color w:val="auto"/>
          <w:sz w:val="22"/>
          <w:szCs w:val="22"/>
        </w:rPr>
        <w:t xml:space="preserve"> </w:t>
      </w:r>
    </w:p>
    <w:p w14:paraId="4E056FB6" w14:textId="77777777" w:rsidR="0096367A" w:rsidRPr="00D10A57" w:rsidRDefault="0096367A">
      <w:pPr>
        <w:pStyle w:val="Default0"/>
        <w:jc w:val="both"/>
        <w:rPr>
          <w:rFonts w:eastAsia="Calibri"/>
          <w:color w:val="auto"/>
          <w:sz w:val="22"/>
          <w:szCs w:val="22"/>
        </w:rPr>
      </w:pPr>
    </w:p>
    <w:p w14:paraId="419B6FF6" w14:textId="64D4F671" w:rsidR="0096367A" w:rsidRPr="00D10A57" w:rsidRDefault="0096367A">
      <w:pPr>
        <w:pStyle w:val="Default0"/>
        <w:jc w:val="both"/>
        <w:rPr>
          <w:rFonts w:eastAsia="Calibri"/>
          <w:color w:val="auto"/>
          <w:sz w:val="22"/>
          <w:szCs w:val="22"/>
        </w:rPr>
      </w:pPr>
      <w:r w:rsidRPr="00D10A57">
        <w:rPr>
          <w:rFonts w:eastAsiaTheme="minorEastAsia"/>
          <w:color w:val="auto"/>
          <w:sz w:val="22"/>
          <w:szCs w:val="22"/>
        </w:rPr>
        <w:t>MŠMT téma akcentuje v souvislosti s reformou přípravy učitelů, k níž se zavázali zástupci všech fakult připravujících učitele a ministr školství v memorandu, podepsaném 29.</w:t>
      </w:r>
      <w:r w:rsidR="00F57789">
        <w:rPr>
          <w:rFonts w:eastAsiaTheme="minorEastAsia"/>
          <w:color w:val="auto"/>
          <w:sz w:val="22"/>
          <w:szCs w:val="22"/>
        </w:rPr>
        <w:t> </w:t>
      </w:r>
      <w:r w:rsidR="002728F9">
        <w:rPr>
          <w:rFonts w:eastAsiaTheme="minorEastAsia"/>
          <w:color w:val="auto"/>
          <w:sz w:val="22"/>
          <w:szCs w:val="22"/>
        </w:rPr>
        <w:t>září</w:t>
      </w:r>
      <w:r w:rsidR="00F57789">
        <w:rPr>
          <w:rFonts w:eastAsiaTheme="minorEastAsia"/>
          <w:color w:val="auto"/>
          <w:sz w:val="22"/>
          <w:szCs w:val="22"/>
        </w:rPr>
        <w:t> </w:t>
      </w:r>
      <w:r w:rsidRPr="00D10A57">
        <w:rPr>
          <w:rFonts w:eastAsiaTheme="minorEastAsia"/>
          <w:color w:val="auto"/>
          <w:sz w:val="22"/>
          <w:szCs w:val="22"/>
        </w:rPr>
        <w:t xml:space="preserve">2021. Součástí reformy je definice kompetenčního profilu učitele a absolventa učitelské přípravy a jeho pravidelné vyhodnocování. Součástí profilu i vyhodnocování je na jedné straně práce s heterogenními kolektivy dětí a připravenost na inkluzivní vzdělávání v multikulturním prostředí. V závislosti na výsledcích vyhodnocování připravenosti absolventů bude vedena </w:t>
      </w:r>
      <w:r w:rsidRPr="00D10A57">
        <w:rPr>
          <w:rFonts w:eastAsiaTheme="minorEastAsia"/>
          <w:color w:val="auto"/>
          <w:sz w:val="22"/>
          <w:szCs w:val="22"/>
        </w:rPr>
        <w:lastRenderedPageBreak/>
        <w:t>intenzivní diskuze s fakultami nad oblastmi, kde je připravenost absolventů nižší, než bylo očekáváno. První vyhodnocení proběhne mezi květnem a srpnem 2022, diskuze s fakultami v druhé polovině roku 2022.</w:t>
      </w:r>
    </w:p>
    <w:p w14:paraId="0322F7DA" w14:textId="77777777" w:rsidR="0096367A" w:rsidRPr="00D10A57" w:rsidRDefault="0096367A">
      <w:pPr>
        <w:pStyle w:val="Default0"/>
        <w:jc w:val="both"/>
        <w:rPr>
          <w:rFonts w:eastAsia="Calibri"/>
          <w:color w:val="auto"/>
          <w:sz w:val="22"/>
          <w:szCs w:val="22"/>
        </w:rPr>
      </w:pPr>
    </w:p>
    <w:p w14:paraId="6F8B249C" w14:textId="51FC2E0C" w:rsidR="0096367A" w:rsidRPr="00D10A57" w:rsidRDefault="0096367A">
      <w:pPr>
        <w:pStyle w:val="Default0"/>
        <w:jc w:val="both"/>
        <w:rPr>
          <w:b/>
          <w:bCs/>
          <w:color w:val="auto"/>
          <w:sz w:val="22"/>
          <w:szCs w:val="22"/>
        </w:rPr>
      </w:pPr>
      <w:r w:rsidRPr="00D10A57">
        <w:rPr>
          <w:b/>
          <w:bCs/>
          <w:color w:val="auto"/>
          <w:sz w:val="22"/>
          <w:szCs w:val="22"/>
        </w:rPr>
        <w:t>Seznam pracovních orgánů M</w:t>
      </w:r>
      <w:r w:rsidR="002728F9">
        <w:rPr>
          <w:b/>
          <w:bCs/>
          <w:color w:val="auto"/>
          <w:sz w:val="22"/>
          <w:szCs w:val="22"/>
        </w:rPr>
        <w:t>ŠMT</w:t>
      </w:r>
      <w:r w:rsidRPr="00D10A57">
        <w:rPr>
          <w:b/>
          <w:bCs/>
          <w:color w:val="auto"/>
          <w:sz w:val="22"/>
          <w:szCs w:val="22"/>
        </w:rPr>
        <w:t xml:space="preserve"> (komise, výbory, pracovní skupiny), které se obsahově týkají tématu romské integrace či jiných témat souvisejících s romskou menšinou</w:t>
      </w:r>
    </w:p>
    <w:p w14:paraId="48085A47" w14:textId="77777777" w:rsidR="0096367A" w:rsidRPr="00D10A57" w:rsidRDefault="0096367A">
      <w:pPr>
        <w:pStyle w:val="Default0"/>
        <w:jc w:val="both"/>
        <w:rPr>
          <w:rFonts w:eastAsia="Calibri"/>
          <w:sz w:val="22"/>
          <w:szCs w:val="22"/>
        </w:rPr>
      </w:pPr>
    </w:p>
    <w:p w14:paraId="4DB231BB" w14:textId="527F69D6" w:rsidR="00964086" w:rsidRDefault="0096367A" w:rsidP="007C763A">
      <w:pPr>
        <w:spacing w:line="240" w:lineRule="auto"/>
        <w:jc w:val="both"/>
      </w:pPr>
      <w:r w:rsidRPr="00D10A57">
        <w:rPr>
          <w:rFonts w:ascii="Arial" w:eastAsiaTheme="minorEastAsia" w:hAnsi="Arial" w:cs="Arial"/>
        </w:rPr>
        <w:t>Výběrová komise pro poskytování neinvestičních dotací v rámci dotační výzvy podporu integrace romské menšiny v roce 2021.</w:t>
      </w:r>
    </w:p>
    <w:p w14:paraId="482AB251" w14:textId="77777777" w:rsidR="004C1927" w:rsidRPr="007C763A" w:rsidRDefault="0096367A">
      <w:pPr>
        <w:pStyle w:val="Styl3"/>
        <w:numPr>
          <w:ilvl w:val="0"/>
          <w:numId w:val="0"/>
        </w:numPr>
        <w:rPr>
          <w:sz w:val="22"/>
          <w:szCs w:val="22"/>
        </w:rPr>
      </w:pPr>
      <w:r w:rsidRPr="007C763A">
        <w:rPr>
          <w:sz w:val="22"/>
          <w:szCs w:val="22"/>
        </w:rPr>
        <w:t>Doplňující informace pro zpracování Zprávy o stavu romské menšiny</w:t>
      </w:r>
      <w:r w:rsidR="00964086" w:rsidRPr="007C763A">
        <w:rPr>
          <w:sz w:val="22"/>
          <w:szCs w:val="22"/>
        </w:rPr>
        <w:t xml:space="preserve"> v České republice za rok 2021 </w:t>
      </w:r>
    </w:p>
    <w:p w14:paraId="2907B008" w14:textId="77777777" w:rsidR="00964086" w:rsidRPr="00964086" w:rsidRDefault="00964086">
      <w:pPr>
        <w:pStyle w:val="Styl3"/>
        <w:numPr>
          <w:ilvl w:val="0"/>
          <w:numId w:val="0"/>
        </w:numPr>
      </w:pPr>
    </w:p>
    <w:p w14:paraId="26F8FE3F" w14:textId="77777777" w:rsidR="0096367A" w:rsidRPr="00D10A57" w:rsidRDefault="0096367A" w:rsidP="007C763A">
      <w:pPr>
        <w:spacing w:line="240" w:lineRule="auto"/>
        <w:jc w:val="both"/>
        <w:rPr>
          <w:rFonts w:ascii="Arial" w:eastAsia="Calibri" w:hAnsi="Arial" w:cs="Arial"/>
          <w:color w:val="000000" w:themeColor="text1"/>
        </w:rPr>
      </w:pPr>
      <w:r w:rsidRPr="00D10A57">
        <w:rPr>
          <w:rFonts w:ascii="Arial" w:eastAsiaTheme="minorEastAsia" w:hAnsi="Arial" w:cs="Arial"/>
        </w:rPr>
        <w:t>Zahájení realizace výzkumu Analýza příčin vyššího podílu romských žáků vzdělávajících se dle RVP ZV UV ve třídách zřízených podle § 16 odst. 9, Školského zákona (popsáno výše</w:t>
      </w:r>
      <w:r w:rsidRPr="00D10A57">
        <w:rPr>
          <w:rFonts w:ascii="Arial" w:eastAsia="Calibri" w:hAnsi="Arial" w:cs="Arial"/>
          <w:color w:val="000000" w:themeColor="text1"/>
        </w:rPr>
        <w:t>).</w:t>
      </w:r>
    </w:p>
    <w:p w14:paraId="393E7A79" w14:textId="77777777" w:rsidR="0096367A" w:rsidRPr="00D10A57" w:rsidRDefault="0096367A" w:rsidP="007C763A">
      <w:pPr>
        <w:spacing w:line="240" w:lineRule="auto"/>
        <w:jc w:val="both"/>
        <w:rPr>
          <w:rFonts w:ascii="Arial" w:hAnsi="Arial" w:cs="Arial"/>
          <w:b/>
          <w:bCs/>
        </w:rPr>
      </w:pPr>
      <w:r w:rsidRPr="00D10A57">
        <w:rPr>
          <w:rFonts w:ascii="Arial" w:hAnsi="Arial" w:cs="Arial"/>
          <w:b/>
          <w:bCs/>
        </w:rPr>
        <w:t xml:space="preserve">Jaká významná témata řešil Váš resort ve vztahu k příslušníkům romské menšiny, popřípadě jakým způsobem byly vyřešeny? </w:t>
      </w:r>
    </w:p>
    <w:p w14:paraId="2CED47A7" w14:textId="77777777" w:rsidR="0096367A" w:rsidRPr="001518D8" w:rsidRDefault="0096367A" w:rsidP="007C763A">
      <w:pPr>
        <w:spacing w:line="240" w:lineRule="auto"/>
        <w:jc w:val="both"/>
        <w:rPr>
          <w:rFonts w:ascii="Arial" w:eastAsiaTheme="minorEastAsia" w:hAnsi="Arial" w:cs="Arial"/>
          <w:u w:val="single"/>
        </w:rPr>
      </w:pPr>
      <w:r w:rsidRPr="001518D8">
        <w:rPr>
          <w:rFonts w:ascii="Arial" w:eastAsiaTheme="minorEastAsia" w:hAnsi="Arial" w:cs="Arial"/>
          <w:u w:val="single"/>
        </w:rPr>
        <w:t>Zefektivnění dotační výzvy Podpora sociálně znevýhodněných romských žáků středních škol, konzervatoří a studentů vyšších odborných škol</w:t>
      </w:r>
    </w:p>
    <w:p w14:paraId="25E2A763" w14:textId="77777777" w:rsidR="0096367A" w:rsidRPr="00D10A57" w:rsidRDefault="0096367A" w:rsidP="007C763A">
      <w:pPr>
        <w:spacing w:line="240" w:lineRule="auto"/>
        <w:jc w:val="both"/>
        <w:rPr>
          <w:rFonts w:ascii="Arial" w:eastAsiaTheme="minorEastAsia" w:hAnsi="Arial" w:cs="Arial"/>
        </w:rPr>
      </w:pPr>
      <w:r w:rsidRPr="00D10A57">
        <w:rPr>
          <w:rFonts w:ascii="Arial" w:eastAsiaTheme="minorEastAsia" w:hAnsi="Arial" w:cs="Arial"/>
        </w:rPr>
        <w:t>Důvodem přepracování konceptu výzvy byly klesající počty podpořených žáků, stále se</w:t>
      </w:r>
      <w:r w:rsidR="001518D8">
        <w:rPr>
          <w:rFonts w:ascii="Arial" w:eastAsiaTheme="minorEastAsia" w:hAnsi="Arial" w:cs="Arial"/>
        </w:rPr>
        <w:t> </w:t>
      </w:r>
      <w:r w:rsidRPr="00D10A57">
        <w:rPr>
          <w:rFonts w:ascii="Arial" w:eastAsiaTheme="minorEastAsia" w:hAnsi="Arial" w:cs="Arial"/>
        </w:rPr>
        <w:t>snižující počet škol, které se do výzvy zapojují a nedostatečná informovanost rodičů a žáků. Docházelo k odchodům žáků ze vzdělávání, a to zejména z důvodu vysoké absence, nezvládnutí učiva, nezájmu o studium a nulové motivace ze strany rodiny.</w:t>
      </w:r>
    </w:p>
    <w:p w14:paraId="033C5304" w14:textId="77777777" w:rsidR="0096367A" w:rsidRPr="00D10A57" w:rsidRDefault="0096367A" w:rsidP="007C763A">
      <w:pPr>
        <w:spacing w:line="240" w:lineRule="auto"/>
        <w:jc w:val="both"/>
        <w:rPr>
          <w:rFonts w:ascii="Arial" w:eastAsiaTheme="minorEastAsia" w:hAnsi="Arial" w:cs="Arial"/>
        </w:rPr>
      </w:pPr>
      <w:r w:rsidRPr="00D10A57">
        <w:rPr>
          <w:rFonts w:ascii="Arial" w:eastAsiaTheme="minorEastAsia" w:hAnsi="Arial" w:cs="Arial"/>
        </w:rPr>
        <w:t>V souvislosti se zefektivněním výzvy proběhla setkání se zástupci NNO. Výstupy z jednání byly zapracovány do konceptu nové verze dotační výzvy.</w:t>
      </w:r>
    </w:p>
    <w:p w14:paraId="3C496FF5" w14:textId="77777777" w:rsidR="0096367A" w:rsidRPr="00D10A57" w:rsidRDefault="0096367A" w:rsidP="007C763A">
      <w:pPr>
        <w:spacing w:line="240" w:lineRule="auto"/>
        <w:jc w:val="both"/>
        <w:rPr>
          <w:rFonts w:ascii="Arial" w:eastAsiaTheme="minorEastAsia" w:hAnsi="Arial" w:cs="Arial"/>
        </w:rPr>
      </w:pPr>
      <w:r w:rsidRPr="00D10A57">
        <w:rPr>
          <w:rFonts w:ascii="Arial" w:eastAsiaTheme="minorEastAsia" w:hAnsi="Arial" w:cs="Arial"/>
        </w:rPr>
        <w:t>Cílem zefektivnění výzvy je udržení romských žáků/studentů ve školách, podpora spolupráce s rodinou, vyzdvižení a podpora úspěchů romského žáka a navýšení počtu úspěšných absolventů středních škol, odborných učilišť a VOŠ, a to nejen sociálně znevýhodněných romských žáků a studentů, ale podporou všech romských žáků a studentů.</w:t>
      </w:r>
    </w:p>
    <w:p w14:paraId="6858E9FD" w14:textId="77777777" w:rsidR="0096367A" w:rsidRPr="00D10A57" w:rsidRDefault="0096367A" w:rsidP="007C763A">
      <w:pPr>
        <w:spacing w:line="240" w:lineRule="auto"/>
        <w:jc w:val="both"/>
        <w:rPr>
          <w:rFonts w:ascii="Arial" w:eastAsiaTheme="minorEastAsia" w:hAnsi="Arial" w:cs="Arial"/>
          <w:u w:val="single"/>
        </w:rPr>
      </w:pPr>
      <w:r w:rsidRPr="00D10A57">
        <w:rPr>
          <w:rFonts w:ascii="Arial" w:eastAsiaTheme="minorEastAsia" w:hAnsi="Arial" w:cs="Arial"/>
          <w:u w:val="single"/>
        </w:rPr>
        <w:t>Jednání s nakladateli učebnic ohledně zapracování textů o kultuře, historii a etnografii Romů</w:t>
      </w:r>
    </w:p>
    <w:p w14:paraId="3615738A" w14:textId="77777777" w:rsidR="0096367A" w:rsidRPr="00D10A57" w:rsidRDefault="0096367A" w:rsidP="007C763A">
      <w:pPr>
        <w:spacing w:line="240" w:lineRule="auto"/>
        <w:jc w:val="both"/>
        <w:rPr>
          <w:rFonts w:ascii="Arial" w:eastAsiaTheme="minorEastAsia" w:hAnsi="Arial" w:cs="Arial"/>
        </w:rPr>
      </w:pPr>
      <w:r w:rsidRPr="00D10A57">
        <w:rPr>
          <w:rFonts w:ascii="Arial" w:eastAsiaTheme="minorEastAsia" w:hAnsi="Arial" w:cs="Arial"/>
        </w:rPr>
        <w:t>Proběhlo jednání mezi zástupci MŠMT, zástupci nakladatelství vydávající učebnice (Fraus, Alter, Nová škola, Prodos, Didaktis), ředitelkou Muzea romské kultury v Brně Janou Horváthovou a odborníkem na romskou problematiku Tomášem Ščukou. Předmětem jednání byly závěry mezinárodního projektu „The representation of Roma in European textbooks“ a možnosti implementace jeho doporučení ve vzdělávání ve školách. Výzkum je společným projektem Romského vzdělávacího fondu, Rady Evropy a Institutu Georga Eckerta. Hlavním cílem výzkumu je analyzovat zastoupení romské problematiky ve školních osnovách a učebnicích používaných v primárním a sekundárním vzdělávání nejen v České republice.</w:t>
      </w:r>
    </w:p>
    <w:p w14:paraId="6FFE4CCC" w14:textId="77777777" w:rsidR="0096367A" w:rsidRPr="00D10A57" w:rsidRDefault="0096367A" w:rsidP="007C763A">
      <w:pPr>
        <w:spacing w:line="240" w:lineRule="auto"/>
        <w:jc w:val="both"/>
        <w:rPr>
          <w:rFonts w:ascii="Arial" w:eastAsiaTheme="minorEastAsia" w:hAnsi="Arial" w:cs="Arial"/>
        </w:rPr>
      </w:pPr>
      <w:r w:rsidRPr="00D10A57">
        <w:rPr>
          <w:rFonts w:ascii="Arial" w:eastAsiaTheme="minorEastAsia" w:hAnsi="Arial" w:cs="Arial"/>
        </w:rPr>
        <w:t>Primárním diskutovaným bodem proto byly možnosti zařazení témat souvisejících s romským etnikem do školních učebnic, a to jak z pohledu historie romského etnika, tak pohledu sociálních souvislostí i romského jazyka a literatury.</w:t>
      </w:r>
    </w:p>
    <w:p w14:paraId="09D51BE2" w14:textId="7D0C0AA9" w:rsidR="0096367A" w:rsidRPr="00D10A57" w:rsidRDefault="0096367A" w:rsidP="007C763A">
      <w:pPr>
        <w:spacing w:line="240" w:lineRule="auto"/>
        <w:jc w:val="both"/>
        <w:rPr>
          <w:rFonts w:ascii="Arial" w:eastAsiaTheme="minorEastAsia" w:hAnsi="Arial" w:cs="Arial"/>
        </w:rPr>
      </w:pPr>
      <w:r w:rsidRPr="00D10A57">
        <w:rPr>
          <w:rFonts w:ascii="Arial" w:eastAsiaTheme="minorEastAsia" w:hAnsi="Arial" w:cs="Arial"/>
        </w:rPr>
        <w:t>Během jednání došlo k dohodě mezi MŠMT a M</w:t>
      </w:r>
      <w:r w:rsidR="00835E85">
        <w:rPr>
          <w:rFonts w:ascii="Arial" w:eastAsiaTheme="minorEastAsia" w:hAnsi="Arial" w:cs="Arial"/>
        </w:rPr>
        <w:t>RK</w:t>
      </w:r>
      <w:r w:rsidRPr="00D10A57">
        <w:rPr>
          <w:rFonts w:ascii="Arial" w:eastAsiaTheme="minorEastAsia" w:hAnsi="Arial" w:cs="Arial"/>
        </w:rPr>
        <w:t xml:space="preserve"> na navazující spolupráci při odborném posuzování textů nových učebnic v oblasti romské problematiky, u nichž nakladatelé žádají o udělení schvalovací doložky. Byla také diskutována potřeba odborné podpory pro autory učebnic, jako podklad pro zpracování romských témat v učebnicích. Jednání s nakladatelstvími a zástupci romských organizací budou nadále pokračovat.</w:t>
      </w:r>
    </w:p>
    <w:p w14:paraId="4F9B649F" w14:textId="77777777" w:rsidR="0096367A" w:rsidRPr="00D10A57" w:rsidRDefault="0096367A" w:rsidP="007C763A">
      <w:pPr>
        <w:spacing w:line="240" w:lineRule="auto"/>
        <w:jc w:val="both"/>
        <w:rPr>
          <w:rFonts w:ascii="Arial" w:eastAsia="Calibri" w:hAnsi="Arial" w:cs="Arial"/>
          <w:b/>
          <w:bCs/>
          <w:color w:val="000000" w:themeColor="text1"/>
        </w:rPr>
      </w:pPr>
      <w:r w:rsidRPr="00D10A57">
        <w:rPr>
          <w:rFonts w:ascii="Arial" w:eastAsia="Calibri" w:hAnsi="Arial" w:cs="Arial"/>
          <w:b/>
          <w:bCs/>
          <w:color w:val="000000" w:themeColor="text1"/>
        </w:rPr>
        <w:lastRenderedPageBreak/>
        <w:t>Jaké trendy v oblasti romské integrace byly Vašim resortem v roce 2021 zaznamenány, a k jakému vývoji došlo oproti roku 2020?</w:t>
      </w:r>
    </w:p>
    <w:p w14:paraId="17701875" w14:textId="77777777" w:rsidR="0096367A" w:rsidRPr="00D10A57" w:rsidRDefault="0096367A" w:rsidP="007C763A">
      <w:pPr>
        <w:spacing w:line="240" w:lineRule="auto"/>
        <w:jc w:val="both"/>
        <w:rPr>
          <w:rFonts w:ascii="Arial" w:hAnsi="Arial" w:cs="Arial"/>
        </w:rPr>
      </w:pPr>
      <w:r w:rsidRPr="00D10A57">
        <w:rPr>
          <w:rFonts w:ascii="Arial" w:eastAsia="Calibri" w:hAnsi="Arial" w:cs="Arial"/>
        </w:rPr>
        <w:t>Od školního roku 2016/2017 realizuje MŠMT na všech základních školách kvalifikované odhady o počtu romských žáků, a to vždy k 30. září</w:t>
      </w:r>
      <w:r w:rsidR="001518D8">
        <w:rPr>
          <w:rFonts w:ascii="Arial" w:eastAsia="Calibri" w:hAnsi="Arial" w:cs="Arial"/>
        </w:rPr>
        <w:t>.</w:t>
      </w:r>
      <w:r w:rsidRPr="00D10A57">
        <w:rPr>
          <w:rFonts w:ascii="Arial" w:eastAsia="Calibri" w:hAnsi="Arial" w:cs="Arial"/>
        </w:rPr>
        <w:t xml:space="preserve"> Podle RVP ZV bylo ve školním roce 2020/21 vzděláváno 98,1 % romských žáků v základních školách. Při meziročním porovnání je zjevné výrazné navýšení podílu romských žáků vzdělávaných podle RVP ZV (v roce 2019 celkem 96,8 %, v roce 2018 celkem 95,2 %, v roce 2017 celkem 92,5 %). Podle RVP ZV UV bylo vzděláváno 11,9 % romských žáků z celkového počtu romských žáků vzdělávaných podle sjednoceného RVP ZV.</w:t>
      </w:r>
    </w:p>
    <w:p w14:paraId="4266FB2C" w14:textId="77777777" w:rsidR="0096367A" w:rsidRPr="00D10A57" w:rsidRDefault="001518D8" w:rsidP="007C763A">
      <w:pPr>
        <w:spacing w:line="240" w:lineRule="auto"/>
        <w:jc w:val="both"/>
        <w:rPr>
          <w:rFonts w:ascii="Arial" w:hAnsi="Arial" w:cs="Arial"/>
        </w:rPr>
      </w:pPr>
      <w:r>
        <w:rPr>
          <w:rFonts w:ascii="Arial" w:eastAsia="Calibri" w:hAnsi="Arial" w:cs="Arial"/>
        </w:rPr>
        <w:t>I</w:t>
      </w:r>
      <w:r w:rsidR="0096367A" w:rsidRPr="00D10A57">
        <w:rPr>
          <w:rFonts w:ascii="Arial" w:eastAsia="Calibri" w:hAnsi="Arial" w:cs="Arial"/>
        </w:rPr>
        <w:t xml:space="preserve"> přes řadu komplexních opatření, která byla v rámci výkonu rozsudku D. H. a ostatní doposud přijata, jakož i vynaložené finanční prostředky</w:t>
      </w:r>
      <w:r>
        <w:rPr>
          <w:rFonts w:ascii="Arial" w:eastAsia="Calibri" w:hAnsi="Arial" w:cs="Arial"/>
        </w:rPr>
        <w:t>,</w:t>
      </w:r>
      <w:r w:rsidR="0096367A" w:rsidRPr="00D10A57">
        <w:rPr>
          <w:rFonts w:ascii="Arial" w:eastAsia="Calibri" w:hAnsi="Arial" w:cs="Arial"/>
        </w:rPr>
        <w:t xml:space="preserve"> i nadále přetrvává nadměrný počet romských žáků, kteří se vzdělávají dle RVP ZV UV z důvodu lehkého mentálního postižení. Odstranění nerovnosti a překážek v přístupu romských žáků ke vzdělání </w:t>
      </w:r>
      <w:r>
        <w:rPr>
          <w:rFonts w:ascii="Arial" w:eastAsia="Calibri" w:hAnsi="Arial" w:cs="Arial"/>
        </w:rPr>
        <w:t xml:space="preserve">MŠMT </w:t>
      </w:r>
      <w:r w:rsidR="0096367A" w:rsidRPr="00D10A57">
        <w:rPr>
          <w:rFonts w:ascii="Arial" w:eastAsia="Calibri" w:hAnsi="Arial" w:cs="Arial"/>
        </w:rPr>
        <w:t>nadále přikládá velkou důležitost. To dokládá nejen nastavení nové Strategie vzdělávací politiky České republiky do</w:t>
      </w:r>
      <w:r>
        <w:rPr>
          <w:rFonts w:ascii="Arial" w:eastAsia="Calibri" w:hAnsi="Arial" w:cs="Arial"/>
        </w:rPr>
        <w:t> </w:t>
      </w:r>
      <w:r w:rsidR="0096367A" w:rsidRPr="00D10A57">
        <w:rPr>
          <w:rFonts w:ascii="Arial" w:eastAsia="Calibri" w:hAnsi="Arial" w:cs="Arial"/>
        </w:rPr>
        <w:t>roku 2030+, která se zaměřuje mj. na snížení nerovnosti k přístupu ke vzdělání, ale i probíhající zmiňované analýzy, ať již ve vztahu k předškolnímu vzdělávání nebo ve vztahu k</w:t>
      </w:r>
      <w:r>
        <w:rPr>
          <w:rFonts w:ascii="Arial" w:eastAsia="Calibri" w:hAnsi="Arial" w:cs="Arial"/>
        </w:rPr>
        <w:t> </w:t>
      </w:r>
      <w:r w:rsidR="0096367A" w:rsidRPr="00D10A57">
        <w:rPr>
          <w:rFonts w:ascii="Arial" w:eastAsia="Calibri" w:hAnsi="Arial" w:cs="Arial"/>
        </w:rPr>
        <w:t>důvodům umísťování romských žáků vzdělávaných dle RVP ZV UV mimo běžné školy a</w:t>
      </w:r>
      <w:r>
        <w:rPr>
          <w:rFonts w:ascii="Arial" w:eastAsia="Calibri" w:hAnsi="Arial" w:cs="Arial"/>
        </w:rPr>
        <w:t> </w:t>
      </w:r>
      <w:r w:rsidR="0096367A" w:rsidRPr="00D10A57">
        <w:rPr>
          <w:rFonts w:ascii="Arial" w:eastAsia="Calibri" w:hAnsi="Arial" w:cs="Arial"/>
        </w:rPr>
        <w:t>třídy. Za stěžejní je považováno zřízení Expertního fóra, které se zabývá komplexní analýzou příčin dosavadní míry dopadu přijatých reforem na romské žáky, jehož výstupy se budou zabývat dotčené státní orgány včetně MŠMT. Další vývoj bude nutné sledovat v čase, a to i s ohledem na výsledky daných analýz a přijetí jimi navržených opatření.</w:t>
      </w:r>
    </w:p>
    <w:p w14:paraId="03BEA972" w14:textId="77777777" w:rsidR="0096367A" w:rsidRPr="00D10A57" w:rsidRDefault="0096367A" w:rsidP="007C763A">
      <w:pPr>
        <w:spacing w:line="240" w:lineRule="auto"/>
        <w:jc w:val="both"/>
        <w:rPr>
          <w:rFonts w:ascii="Arial" w:eastAsia="Calibri" w:hAnsi="Arial" w:cs="Arial"/>
          <w:b/>
          <w:u w:val="single"/>
        </w:rPr>
      </w:pPr>
      <w:r w:rsidRPr="00D10A57">
        <w:rPr>
          <w:rFonts w:ascii="Arial" w:eastAsia="Calibri" w:hAnsi="Arial" w:cs="Arial"/>
          <w:b/>
          <w:u w:val="single"/>
        </w:rPr>
        <w:t>Dotační programy 2021:</w:t>
      </w:r>
    </w:p>
    <w:p w14:paraId="44772174" w14:textId="77777777" w:rsidR="0096367A" w:rsidRPr="00D10A57" w:rsidRDefault="0096367A" w:rsidP="007C763A">
      <w:pPr>
        <w:spacing w:line="240" w:lineRule="auto"/>
        <w:jc w:val="both"/>
        <w:rPr>
          <w:rFonts w:ascii="Arial" w:eastAsia="Calibri" w:hAnsi="Arial" w:cs="Arial"/>
          <w:u w:val="single"/>
        </w:rPr>
      </w:pPr>
      <w:r w:rsidRPr="00D10A57">
        <w:rPr>
          <w:rFonts w:ascii="Arial" w:eastAsia="Calibri" w:hAnsi="Arial" w:cs="Arial"/>
          <w:u w:val="single"/>
        </w:rPr>
        <w:t>Program na podporu integrace romské menšiny</w:t>
      </w:r>
    </w:p>
    <w:p w14:paraId="294B2AF8" w14:textId="77777777" w:rsidR="0096367A" w:rsidRPr="00D10A57" w:rsidRDefault="0096367A" w:rsidP="007C763A">
      <w:pPr>
        <w:spacing w:line="240" w:lineRule="auto"/>
        <w:jc w:val="both"/>
        <w:rPr>
          <w:rFonts w:ascii="Arial" w:eastAsia="Calibri" w:hAnsi="Arial" w:cs="Arial"/>
        </w:rPr>
      </w:pPr>
      <w:r w:rsidRPr="00D10A57">
        <w:rPr>
          <w:rFonts w:ascii="Arial" w:eastAsia="Calibri" w:hAnsi="Arial" w:cs="Arial"/>
        </w:rPr>
        <w:t>MŠMT se pomocí této výzvy rozhodlo podpořit vzdělávání romských dětí a žáků, kteří přicházejí z nerovného prostředí, ve kterém jim hrozí nejen sociální vyloučení, ale také nerovné šance pro získání kvalitního vzdělání. Cílem výzvy je zajištění základních podmínek pro rozvoj společného vzdělávání romských žáků v hlavním vzdělávacím proudu prostřednictvím projektů, které podporují předškolní vzdělávání romských dětí, zvyšují jejich účast v předškolním vzdělávání i připravenost na úspěšné zahájení školní docházky, podporují spolupráci rodiny a školy v oblasti předškolního a základního vzdělávání, přispívají k úspěšnému vzdělávání romských žáků na základní škole a působí preventivně proti předčasnému ukončování vzdělávání romských žáků, podporují úspěšný přechod romských žáků základních škol na střední školy a napomáhají úspěšné integraci romských a ostatních dětí a žáků prostřednictvím volnočasových aktivit. Výzva směřuje na podporu takových aktivit, do kterých se mohou zapojit nejen romské děti, ale také děti, které sdílejí společný prostor, tak aby bylo možné rozvíjet interkulturní dialog a podpořit vzájemné porozumění v tomto procesu.</w:t>
      </w:r>
    </w:p>
    <w:p w14:paraId="43BC3F0A" w14:textId="77777777" w:rsidR="0096367A" w:rsidRPr="00D10A57" w:rsidRDefault="0096367A" w:rsidP="0060572D">
      <w:pPr>
        <w:spacing w:line="240" w:lineRule="auto"/>
        <w:jc w:val="both"/>
        <w:rPr>
          <w:rFonts w:ascii="Arial" w:eastAsia="Calibri" w:hAnsi="Arial" w:cs="Arial"/>
        </w:rPr>
      </w:pPr>
      <w:r w:rsidRPr="00D10A57">
        <w:rPr>
          <w:rFonts w:ascii="Arial" w:eastAsia="Calibri" w:hAnsi="Arial" w:cs="Arial"/>
        </w:rPr>
        <w:t>Dotaci bylo možné žádat na realizaci projektů, týkajících se těchto tematických okruhů:</w:t>
      </w:r>
    </w:p>
    <w:p w14:paraId="27CB3F65" w14:textId="77777777" w:rsidR="0096367A" w:rsidRPr="00D10A57" w:rsidRDefault="0096367A" w:rsidP="0060572D">
      <w:pPr>
        <w:spacing w:line="240" w:lineRule="auto"/>
        <w:jc w:val="both"/>
        <w:rPr>
          <w:rFonts w:ascii="Arial" w:eastAsia="Calibri" w:hAnsi="Arial" w:cs="Arial"/>
        </w:rPr>
      </w:pPr>
      <w:r w:rsidRPr="00D10A57">
        <w:rPr>
          <w:rFonts w:ascii="Arial" w:eastAsia="Calibri" w:hAnsi="Arial" w:cs="Arial"/>
        </w:rPr>
        <w:t>Tematický okruh A – Předškolní vzdělávání</w:t>
      </w:r>
    </w:p>
    <w:p w14:paraId="3B4BDA96" w14:textId="77777777" w:rsidR="0096367A" w:rsidRPr="00D10A57" w:rsidRDefault="0096367A" w:rsidP="0060572D">
      <w:pPr>
        <w:spacing w:line="240" w:lineRule="auto"/>
        <w:jc w:val="both"/>
        <w:rPr>
          <w:rFonts w:ascii="Arial" w:eastAsia="Calibri" w:hAnsi="Arial" w:cs="Arial"/>
        </w:rPr>
      </w:pPr>
      <w:r w:rsidRPr="00D10A57">
        <w:rPr>
          <w:rFonts w:ascii="Arial" w:eastAsia="Calibri" w:hAnsi="Arial" w:cs="Arial"/>
        </w:rPr>
        <w:t>Tematický okruh B – Spolupráce rodiny a školy v oblasti předškolního a základního vzdělávání</w:t>
      </w:r>
    </w:p>
    <w:p w14:paraId="680D7E9D" w14:textId="77777777" w:rsidR="0096367A" w:rsidRPr="00D10A57" w:rsidRDefault="0096367A" w:rsidP="0060572D">
      <w:pPr>
        <w:spacing w:line="240" w:lineRule="auto"/>
        <w:jc w:val="both"/>
        <w:rPr>
          <w:rFonts w:ascii="Arial" w:eastAsia="Calibri" w:hAnsi="Arial" w:cs="Arial"/>
        </w:rPr>
      </w:pPr>
      <w:r w:rsidRPr="00D10A57">
        <w:rPr>
          <w:rFonts w:ascii="Arial" w:eastAsia="Calibri" w:hAnsi="Arial" w:cs="Arial"/>
        </w:rPr>
        <w:t>Tematický okruh C – Vzdělávání romských žáků na základní škole a podpora úspěšného přechodu na střední škole do konce 1.</w:t>
      </w:r>
      <w:r w:rsidR="001518D8">
        <w:rPr>
          <w:rFonts w:ascii="Arial" w:eastAsia="Calibri" w:hAnsi="Arial" w:cs="Arial"/>
        </w:rPr>
        <w:t> </w:t>
      </w:r>
      <w:r w:rsidRPr="00D10A57">
        <w:rPr>
          <w:rFonts w:ascii="Arial" w:eastAsia="Calibri" w:hAnsi="Arial" w:cs="Arial"/>
        </w:rPr>
        <w:t>ročníku</w:t>
      </w:r>
    </w:p>
    <w:p w14:paraId="68BF29DF" w14:textId="77777777" w:rsidR="0096367A" w:rsidRPr="00D10A57" w:rsidRDefault="0096367A" w:rsidP="0060572D">
      <w:pPr>
        <w:spacing w:line="240" w:lineRule="auto"/>
        <w:jc w:val="both"/>
        <w:rPr>
          <w:rFonts w:ascii="Arial" w:eastAsia="Calibri" w:hAnsi="Arial" w:cs="Arial"/>
        </w:rPr>
      </w:pPr>
      <w:r w:rsidRPr="00D10A57">
        <w:rPr>
          <w:rFonts w:ascii="Arial" w:eastAsia="Calibri" w:hAnsi="Arial" w:cs="Arial"/>
        </w:rPr>
        <w:t xml:space="preserve">Tematický okruh D – Volnočasové aktivity pro romské děti a žáky </w:t>
      </w:r>
    </w:p>
    <w:p w14:paraId="08B62BE1" w14:textId="77777777" w:rsidR="0096367A" w:rsidRPr="00D10A57" w:rsidRDefault="0096367A" w:rsidP="0060572D">
      <w:pPr>
        <w:spacing w:line="240" w:lineRule="auto"/>
        <w:jc w:val="both"/>
        <w:rPr>
          <w:rFonts w:ascii="Arial" w:eastAsia="Calibri" w:hAnsi="Arial" w:cs="Arial"/>
        </w:rPr>
      </w:pPr>
      <w:r w:rsidRPr="00D10A57">
        <w:rPr>
          <w:rFonts w:ascii="Arial" w:eastAsia="Calibri" w:hAnsi="Arial" w:cs="Arial"/>
        </w:rPr>
        <w:t>Okruh příjemců: SP, US, OPS, CPO, NaNF, VVI, veřejná VŠ, školy a školská zařízení, které prokazatelně vykonávají činnosti ve prospěch romské komunity nejméně 1 rok.</w:t>
      </w:r>
    </w:p>
    <w:p w14:paraId="4FBDFE60" w14:textId="77777777" w:rsidR="00D56307" w:rsidRDefault="0096367A" w:rsidP="007C763A">
      <w:pPr>
        <w:spacing w:line="240" w:lineRule="auto"/>
        <w:jc w:val="both"/>
        <w:rPr>
          <w:rFonts w:ascii="Arial" w:eastAsia="Calibri" w:hAnsi="Arial" w:cs="Arial"/>
        </w:rPr>
      </w:pPr>
      <w:r w:rsidRPr="00D10A57">
        <w:rPr>
          <w:rFonts w:ascii="Arial" w:eastAsia="Calibri" w:hAnsi="Arial" w:cs="Arial"/>
        </w:rPr>
        <w:lastRenderedPageBreak/>
        <w:t>Alokace: 12 875 000 Kč</w:t>
      </w:r>
    </w:p>
    <w:p w14:paraId="46D48616" w14:textId="77777777" w:rsidR="0096367A" w:rsidRPr="00D10A57" w:rsidRDefault="0096367A" w:rsidP="007C763A">
      <w:pPr>
        <w:spacing w:line="240" w:lineRule="auto"/>
        <w:jc w:val="both"/>
        <w:rPr>
          <w:rFonts w:ascii="Arial" w:eastAsia="Calibri" w:hAnsi="Arial" w:cs="Arial"/>
        </w:rPr>
      </w:pPr>
      <w:r w:rsidRPr="00D10A57">
        <w:rPr>
          <w:rFonts w:ascii="Arial" w:eastAsia="Calibri" w:hAnsi="Arial" w:cs="Arial"/>
        </w:rPr>
        <w:t>Přehled dotací v roce 2021</w:t>
      </w:r>
    </w:p>
    <w:tbl>
      <w:tblPr>
        <w:tblW w:w="0" w:type="auto"/>
        <w:tblLook w:val="04A0" w:firstRow="1" w:lastRow="0" w:firstColumn="1" w:lastColumn="0" w:noHBand="0" w:noVBand="1"/>
      </w:tblPr>
      <w:tblGrid>
        <w:gridCol w:w="2734"/>
        <w:gridCol w:w="4913"/>
        <w:gridCol w:w="1405"/>
      </w:tblGrid>
      <w:tr w:rsidR="0096367A" w:rsidRPr="00D10A57" w14:paraId="791082B4"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shd w:val="clear" w:color="auto" w:fill="548DD4" w:themeFill="text2" w:themeFillTint="99"/>
          </w:tcPr>
          <w:p w14:paraId="6228D255" w14:textId="77777777" w:rsidR="0096367A" w:rsidRPr="00D10A57" w:rsidRDefault="0096367A" w:rsidP="00D56307">
            <w:pPr>
              <w:spacing w:after="0"/>
              <w:rPr>
                <w:rFonts w:ascii="Arial" w:eastAsia="Calibri" w:hAnsi="Arial" w:cs="Arial"/>
                <w:b/>
                <w:bCs/>
                <w:sz w:val="20"/>
                <w:szCs w:val="20"/>
              </w:rPr>
            </w:pPr>
            <w:r w:rsidRPr="00D10A57">
              <w:rPr>
                <w:rFonts w:ascii="Arial" w:eastAsia="Calibri" w:hAnsi="Arial" w:cs="Arial"/>
                <w:b/>
                <w:bCs/>
                <w:sz w:val="20"/>
                <w:szCs w:val="20"/>
              </w:rPr>
              <w:t>Registrační název žadatele</w:t>
            </w:r>
          </w:p>
        </w:tc>
        <w:tc>
          <w:tcPr>
            <w:tcW w:w="0" w:type="auto"/>
            <w:tcBorders>
              <w:top w:val="single" w:sz="8" w:space="0" w:color="auto"/>
              <w:left w:val="single" w:sz="8" w:space="0" w:color="auto"/>
              <w:bottom w:val="single" w:sz="8" w:space="0" w:color="auto"/>
              <w:right w:val="single" w:sz="8" w:space="0" w:color="auto"/>
            </w:tcBorders>
            <w:shd w:val="clear" w:color="auto" w:fill="548DD4" w:themeFill="text2" w:themeFillTint="99"/>
          </w:tcPr>
          <w:p w14:paraId="5319E6A3" w14:textId="77777777" w:rsidR="0096367A" w:rsidRPr="00D10A57" w:rsidRDefault="0096367A" w:rsidP="00D10A57">
            <w:pPr>
              <w:spacing w:after="0"/>
              <w:jc w:val="both"/>
              <w:rPr>
                <w:rFonts w:ascii="Arial" w:eastAsia="Calibri" w:hAnsi="Arial" w:cs="Arial"/>
                <w:b/>
                <w:bCs/>
                <w:sz w:val="20"/>
                <w:szCs w:val="20"/>
              </w:rPr>
            </w:pPr>
            <w:r w:rsidRPr="00D10A57">
              <w:rPr>
                <w:rFonts w:ascii="Arial" w:eastAsia="Calibri" w:hAnsi="Arial" w:cs="Arial"/>
                <w:b/>
                <w:bCs/>
                <w:sz w:val="20"/>
                <w:szCs w:val="20"/>
              </w:rPr>
              <w:t>Název projektu</w:t>
            </w:r>
          </w:p>
        </w:tc>
        <w:tc>
          <w:tcPr>
            <w:tcW w:w="0" w:type="auto"/>
            <w:tcBorders>
              <w:top w:val="single" w:sz="8" w:space="0" w:color="auto"/>
              <w:left w:val="single" w:sz="8" w:space="0" w:color="auto"/>
              <w:bottom w:val="single" w:sz="8" w:space="0" w:color="auto"/>
              <w:right w:val="single" w:sz="8" w:space="0" w:color="auto"/>
            </w:tcBorders>
            <w:shd w:val="clear" w:color="auto" w:fill="548DD4" w:themeFill="text2" w:themeFillTint="99"/>
          </w:tcPr>
          <w:p w14:paraId="23B1DA4D" w14:textId="77777777" w:rsidR="0096367A" w:rsidRPr="00D10A57" w:rsidRDefault="0096367A" w:rsidP="00D10A57">
            <w:pPr>
              <w:spacing w:after="0"/>
              <w:jc w:val="both"/>
              <w:rPr>
                <w:rFonts w:ascii="Arial" w:eastAsia="Calibri" w:hAnsi="Arial" w:cs="Arial"/>
                <w:b/>
                <w:bCs/>
                <w:sz w:val="20"/>
                <w:szCs w:val="20"/>
              </w:rPr>
            </w:pPr>
            <w:r w:rsidRPr="00D10A57">
              <w:rPr>
                <w:rFonts w:ascii="Arial" w:eastAsia="Calibri" w:hAnsi="Arial" w:cs="Arial"/>
                <w:b/>
                <w:bCs/>
                <w:sz w:val="20"/>
                <w:szCs w:val="20"/>
              </w:rPr>
              <w:t>Přidělená dotace (v</w:t>
            </w:r>
            <w:r w:rsidR="001518D8">
              <w:rPr>
                <w:rFonts w:ascii="Arial" w:eastAsia="Calibri" w:hAnsi="Arial" w:cs="Arial"/>
                <w:b/>
                <w:bCs/>
                <w:sz w:val="20"/>
                <w:szCs w:val="20"/>
              </w:rPr>
              <w:t> </w:t>
            </w:r>
            <w:r w:rsidRPr="00D10A57">
              <w:rPr>
                <w:rFonts w:ascii="Arial" w:eastAsia="Calibri" w:hAnsi="Arial" w:cs="Arial"/>
                <w:b/>
                <w:bCs/>
                <w:sz w:val="20"/>
                <w:szCs w:val="20"/>
              </w:rPr>
              <w:t>Kč)</w:t>
            </w:r>
          </w:p>
        </w:tc>
      </w:tr>
      <w:tr w:rsidR="0096367A" w:rsidRPr="00D10A57" w14:paraId="1935304F"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09731F37"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Šance pro Tebe, z.s.</w:t>
            </w:r>
          </w:p>
        </w:tc>
        <w:tc>
          <w:tcPr>
            <w:tcW w:w="0" w:type="auto"/>
            <w:tcBorders>
              <w:top w:val="single" w:sz="8" w:space="0" w:color="auto"/>
              <w:left w:val="single" w:sz="8" w:space="0" w:color="auto"/>
              <w:bottom w:val="single" w:sz="8" w:space="0" w:color="auto"/>
              <w:right w:val="single" w:sz="8" w:space="0" w:color="auto"/>
            </w:tcBorders>
            <w:vAlign w:val="bottom"/>
          </w:tcPr>
          <w:p w14:paraId="20814325"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Předškolní příprava a včasná péče na Chrudimsku a ve Vysokém Mýtě</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9F9A4D5"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1 000 000</w:t>
            </w:r>
          </w:p>
        </w:tc>
      </w:tr>
      <w:tr w:rsidR="0096367A" w:rsidRPr="00D10A57" w14:paraId="0BBC5619"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288B11A1"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Slovo 21, z. s.</w:t>
            </w:r>
          </w:p>
        </w:tc>
        <w:tc>
          <w:tcPr>
            <w:tcW w:w="0" w:type="auto"/>
            <w:tcBorders>
              <w:top w:val="single" w:sz="8" w:space="0" w:color="auto"/>
              <w:left w:val="single" w:sz="8" w:space="0" w:color="auto"/>
              <w:bottom w:val="single" w:sz="8" w:space="0" w:color="auto"/>
              <w:right w:val="single" w:sz="8" w:space="0" w:color="auto"/>
            </w:tcBorders>
            <w:vAlign w:val="bottom"/>
          </w:tcPr>
          <w:p w14:paraId="7A30198A"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Dža dureder 2021</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250AAFC"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753 445</w:t>
            </w:r>
          </w:p>
        </w:tc>
      </w:tr>
      <w:tr w:rsidR="0096367A" w:rsidRPr="00D10A57" w14:paraId="2F76B1C5"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533FBAAC"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KoCeRo - komunitní centrum Rovnost o.p.s.</w:t>
            </w:r>
          </w:p>
        </w:tc>
        <w:tc>
          <w:tcPr>
            <w:tcW w:w="0" w:type="auto"/>
            <w:tcBorders>
              <w:top w:val="single" w:sz="8" w:space="0" w:color="auto"/>
              <w:left w:val="single" w:sz="8" w:space="0" w:color="auto"/>
              <w:bottom w:val="single" w:sz="8" w:space="0" w:color="auto"/>
              <w:right w:val="single" w:sz="8" w:space="0" w:color="auto"/>
            </w:tcBorders>
            <w:vAlign w:val="bottom"/>
          </w:tcPr>
          <w:p w14:paraId="4EE93E29"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Barevný svět kolem nás</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5029764"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408 350</w:t>
            </w:r>
          </w:p>
        </w:tc>
      </w:tr>
      <w:tr w:rsidR="0096367A" w:rsidRPr="00D10A57" w14:paraId="196CDAA1"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778E8F41"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SPOLEČNOST TADY A TEĎ, o.p.s.</w:t>
            </w:r>
          </w:p>
        </w:tc>
        <w:tc>
          <w:tcPr>
            <w:tcW w:w="0" w:type="auto"/>
            <w:tcBorders>
              <w:top w:val="single" w:sz="8" w:space="0" w:color="auto"/>
              <w:left w:val="single" w:sz="8" w:space="0" w:color="auto"/>
              <w:bottom w:val="single" w:sz="8" w:space="0" w:color="auto"/>
              <w:right w:val="single" w:sz="8" w:space="0" w:color="auto"/>
            </w:tcBorders>
            <w:vAlign w:val="bottom"/>
          </w:tcPr>
          <w:p w14:paraId="331AB5C3"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Podpora vzdělávání TADY A TEĎ</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2BBCB24"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449 000</w:t>
            </w:r>
          </w:p>
        </w:tc>
      </w:tr>
      <w:tr w:rsidR="0096367A" w:rsidRPr="00D10A57" w14:paraId="456CF765"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000C0EF6"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ROMEA, o.p.s.</w:t>
            </w:r>
          </w:p>
        </w:tc>
        <w:tc>
          <w:tcPr>
            <w:tcW w:w="0" w:type="auto"/>
            <w:tcBorders>
              <w:top w:val="single" w:sz="8" w:space="0" w:color="auto"/>
              <w:left w:val="single" w:sz="8" w:space="0" w:color="auto"/>
              <w:bottom w:val="single" w:sz="8" w:space="0" w:color="auto"/>
              <w:right w:val="single" w:sz="8" w:space="0" w:color="auto"/>
            </w:tcBorders>
            <w:vAlign w:val="bottom"/>
          </w:tcPr>
          <w:p w14:paraId="69A696E2"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Romský mentor 2021 – integrace romských dětí realizací volnočasových aktivit a doučování</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6F739B0"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535 433</w:t>
            </w:r>
          </w:p>
        </w:tc>
      </w:tr>
      <w:tr w:rsidR="0096367A" w:rsidRPr="00D10A57" w14:paraId="00F61DFD"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005BAB19"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Vějíř Kladno, z. s.</w:t>
            </w:r>
          </w:p>
        </w:tc>
        <w:tc>
          <w:tcPr>
            <w:tcW w:w="0" w:type="auto"/>
            <w:tcBorders>
              <w:top w:val="single" w:sz="8" w:space="0" w:color="auto"/>
              <w:left w:val="single" w:sz="8" w:space="0" w:color="auto"/>
              <w:bottom w:val="single" w:sz="8" w:space="0" w:color="auto"/>
              <w:right w:val="single" w:sz="8" w:space="0" w:color="auto"/>
            </w:tcBorders>
            <w:vAlign w:val="bottom"/>
          </w:tcPr>
          <w:p w14:paraId="57BF838C"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Přípravný program Vějíř</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92664CE"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972 700</w:t>
            </w:r>
          </w:p>
        </w:tc>
      </w:tr>
      <w:tr w:rsidR="0096367A" w:rsidRPr="00D10A57" w14:paraId="094B4543"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7CE91CA4"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Oblastní charita Most</w:t>
            </w:r>
          </w:p>
        </w:tc>
        <w:tc>
          <w:tcPr>
            <w:tcW w:w="0" w:type="auto"/>
            <w:tcBorders>
              <w:top w:val="single" w:sz="8" w:space="0" w:color="auto"/>
              <w:left w:val="single" w:sz="8" w:space="0" w:color="auto"/>
              <w:bottom w:val="single" w:sz="8" w:space="0" w:color="auto"/>
              <w:right w:val="single" w:sz="8" w:space="0" w:color="auto"/>
            </w:tcBorders>
            <w:vAlign w:val="bottom"/>
          </w:tcPr>
          <w:p w14:paraId="15FCC674"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Učíme se učit prostřednictvím metody Grunnlaget</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D560D5C"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560 539</w:t>
            </w:r>
          </w:p>
        </w:tc>
      </w:tr>
      <w:tr w:rsidR="0096367A" w:rsidRPr="00D10A57" w14:paraId="07F7501E"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27ACCFB7"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Dživ Lačes z.s.</w:t>
            </w:r>
          </w:p>
        </w:tc>
        <w:tc>
          <w:tcPr>
            <w:tcW w:w="0" w:type="auto"/>
            <w:tcBorders>
              <w:top w:val="single" w:sz="8" w:space="0" w:color="auto"/>
              <w:left w:val="single" w:sz="8" w:space="0" w:color="auto"/>
              <w:bottom w:val="single" w:sz="8" w:space="0" w:color="auto"/>
              <w:right w:val="single" w:sz="8" w:space="0" w:color="auto"/>
            </w:tcBorders>
            <w:vAlign w:val="bottom"/>
          </w:tcPr>
          <w:p w14:paraId="2BA9780C"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KAMAS TE SIKĽOL 2021</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F6F32A9"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327 272</w:t>
            </w:r>
          </w:p>
        </w:tc>
      </w:tr>
      <w:tr w:rsidR="0096367A" w:rsidRPr="00D10A57" w14:paraId="552BBEA0"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35C956C1"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Společnost Podané ruce o.p.s.</w:t>
            </w:r>
          </w:p>
        </w:tc>
        <w:tc>
          <w:tcPr>
            <w:tcW w:w="0" w:type="auto"/>
            <w:tcBorders>
              <w:top w:val="single" w:sz="8" w:space="0" w:color="auto"/>
              <w:left w:val="single" w:sz="8" w:space="0" w:color="auto"/>
              <w:bottom w:val="single" w:sz="8" w:space="0" w:color="auto"/>
              <w:right w:val="single" w:sz="8" w:space="0" w:color="auto"/>
            </w:tcBorders>
            <w:vAlign w:val="bottom"/>
          </w:tcPr>
          <w:p w14:paraId="08120B60"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 xml:space="preserve">„Zažiji úspěch – zakusím respekt - učí se mi lépe II.“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74B0C83"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214 506</w:t>
            </w:r>
          </w:p>
        </w:tc>
      </w:tr>
      <w:tr w:rsidR="0096367A" w:rsidRPr="00D10A57" w14:paraId="2F95FA5E"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0A3CF371"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Oblastní charita Pardubice</w:t>
            </w:r>
          </w:p>
        </w:tc>
        <w:tc>
          <w:tcPr>
            <w:tcW w:w="0" w:type="auto"/>
            <w:tcBorders>
              <w:top w:val="single" w:sz="8" w:space="0" w:color="auto"/>
              <w:left w:val="single" w:sz="8" w:space="0" w:color="auto"/>
              <w:bottom w:val="single" w:sz="8" w:space="0" w:color="auto"/>
              <w:right w:val="single" w:sz="8" w:space="0" w:color="auto"/>
            </w:tcBorders>
            <w:vAlign w:val="bottom"/>
          </w:tcPr>
          <w:p w14:paraId="5F53FE6E"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Zapojení romského koordinátora do spolupráce romských rodin a mateřské, základní školy a volnočasové aktivity napomáhající úspěšné integraci romských a ostatních dětí</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454ADA2"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150 502</w:t>
            </w:r>
          </w:p>
        </w:tc>
      </w:tr>
      <w:tr w:rsidR="0096367A" w:rsidRPr="00D10A57" w14:paraId="3382F186"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27B2ABCF"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Městská charita České Budějovice</w:t>
            </w:r>
          </w:p>
        </w:tc>
        <w:tc>
          <w:tcPr>
            <w:tcW w:w="0" w:type="auto"/>
            <w:tcBorders>
              <w:top w:val="single" w:sz="8" w:space="0" w:color="auto"/>
              <w:left w:val="single" w:sz="8" w:space="0" w:color="auto"/>
              <w:bottom w:val="single" w:sz="8" w:space="0" w:color="auto"/>
              <w:right w:val="single" w:sz="8" w:space="0" w:color="auto"/>
            </w:tcBorders>
            <w:vAlign w:val="bottom"/>
          </w:tcPr>
          <w:p w14:paraId="0C75FEDE"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Učíme se po škole 2021</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5BF35E2"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255 112</w:t>
            </w:r>
          </w:p>
        </w:tc>
      </w:tr>
      <w:tr w:rsidR="0096367A" w:rsidRPr="00D10A57" w14:paraId="7ED738EB"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41787407"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Základní škola Brodek u Prostějova, příspěvková organizace</w:t>
            </w:r>
          </w:p>
        </w:tc>
        <w:tc>
          <w:tcPr>
            <w:tcW w:w="0" w:type="auto"/>
            <w:tcBorders>
              <w:top w:val="single" w:sz="8" w:space="0" w:color="auto"/>
              <w:left w:val="single" w:sz="8" w:space="0" w:color="auto"/>
              <w:bottom w:val="single" w:sz="8" w:space="0" w:color="auto"/>
              <w:right w:val="single" w:sz="8" w:space="0" w:color="auto"/>
            </w:tcBorders>
            <w:vAlign w:val="bottom"/>
          </w:tcPr>
          <w:p w14:paraId="4507FBEC"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 xml:space="preserve"> ZŠ Brodek u Prostějova - Škola pro všechny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E585C3B"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201 894</w:t>
            </w:r>
          </w:p>
        </w:tc>
      </w:tr>
      <w:tr w:rsidR="0096367A" w:rsidRPr="00D10A57" w14:paraId="129737E6"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21AF8862"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Bunkr, o.p.s.</w:t>
            </w:r>
          </w:p>
        </w:tc>
        <w:tc>
          <w:tcPr>
            <w:tcW w:w="0" w:type="auto"/>
            <w:tcBorders>
              <w:top w:val="single" w:sz="8" w:space="0" w:color="auto"/>
              <w:left w:val="single" w:sz="8" w:space="0" w:color="auto"/>
              <w:bottom w:val="single" w:sz="8" w:space="0" w:color="auto"/>
              <w:right w:val="single" w:sz="8" w:space="0" w:color="auto"/>
            </w:tcBorders>
            <w:vAlign w:val="bottom"/>
          </w:tcPr>
          <w:p w14:paraId="660FD890"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Odpoledne nap(i)lno</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8F3F8AA"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199 218</w:t>
            </w:r>
          </w:p>
        </w:tc>
      </w:tr>
      <w:tr w:rsidR="0096367A" w:rsidRPr="00D10A57" w14:paraId="74593900"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4E48377D"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RSOP z.s.</w:t>
            </w:r>
          </w:p>
        </w:tc>
        <w:tc>
          <w:tcPr>
            <w:tcW w:w="0" w:type="auto"/>
            <w:tcBorders>
              <w:top w:val="single" w:sz="8" w:space="0" w:color="auto"/>
              <w:left w:val="single" w:sz="8" w:space="0" w:color="auto"/>
              <w:bottom w:val="single" w:sz="8" w:space="0" w:color="auto"/>
              <w:right w:val="single" w:sz="8" w:space="0" w:color="auto"/>
            </w:tcBorders>
            <w:vAlign w:val="bottom"/>
          </w:tcPr>
          <w:p w14:paraId="43859472"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Předškolní a školní vzdělávání romských dětí</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69CB1AD"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176 000</w:t>
            </w:r>
          </w:p>
        </w:tc>
      </w:tr>
      <w:tr w:rsidR="0096367A" w:rsidRPr="00D10A57" w14:paraId="186EE13E"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1DEC9848"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Romano jasnica, spolek</w:t>
            </w:r>
          </w:p>
        </w:tc>
        <w:tc>
          <w:tcPr>
            <w:tcW w:w="0" w:type="auto"/>
            <w:tcBorders>
              <w:top w:val="single" w:sz="8" w:space="0" w:color="auto"/>
              <w:left w:val="single" w:sz="8" w:space="0" w:color="auto"/>
              <w:bottom w:val="single" w:sz="8" w:space="0" w:color="auto"/>
              <w:right w:val="single" w:sz="8" w:space="0" w:color="auto"/>
            </w:tcBorders>
            <w:vAlign w:val="bottom"/>
          </w:tcPr>
          <w:p w14:paraId="189ACF8F"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Předškolní centrum Šneček v Trmicích</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6196CC8"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675 960</w:t>
            </w:r>
          </w:p>
        </w:tc>
      </w:tr>
      <w:tr w:rsidR="0096367A" w:rsidRPr="00D10A57" w14:paraId="15BAFA62"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70C3BDEB"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Inclusio o.p.s.</w:t>
            </w:r>
          </w:p>
        </w:tc>
        <w:tc>
          <w:tcPr>
            <w:tcW w:w="0" w:type="auto"/>
            <w:tcBorders>
              <w:top w:val="single" w:sz="8" w:space="0" w:color="auto"/>
              <w:left w:val="single" w:sz="8" w:space="0" w:color="auto"/>
              <w:bottom w:val="single" w:sz="8" w:space="0" w:color="auto"/>
              <w:right w:val="single" w:sz="8" w:space="0" w:color="auto"/>
            </w:tcBorders>
            <w:vAlign w:val="bottom"/>
          </w:tcPr>
          <w:p w14:paraId="2059DBA1"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Klub Imagion 2021</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24B81B0"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363 400</w:t>
            </w:r>
          </w:p>
        </w:tc>
      </w:tr>
      <w:tr w:rsidR="0096367A" w:rsidRPr="00D10A57" w14:paraId="387D1F50"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412432FB"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Kleja, z.s.</w:t>
            </w:r>
          </w:p>
        </w:tc>
        <w:tc>
          <w:tcPr>
            <w:tcW w:w="0" w:type="auto"/>
            <w:tcBorders>
              <w:top w:val="single" w:sz="8" w:space="0" w:color="auto"/>
              <w:left w:val="single" w:sz="8" w:space="0" w:color="auto"/>
              <w:bottom w:val="single" w:sz="8" w:space="0" w:color="auto"/>
              <w:right w:val="single" w:sz="8" w:space="0" w:color="auto"/>
            </w:tcBorders>
            <w:vAlign w:val="bottom"/>
          </w:tcPr>
          <w:p w14:paraId="24C49590"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Předškolní centrum Klíček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4AA68A4"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668 910</w:t>
            </w:r>
          </w:p>
        </w:tc>
      </w:tr>
      <w:tr w:rsidR="0096367A" w:rsidRPr="00D10A57" w14:paraId="6692CA46"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332721B2"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KAPPA-HELP, z.s.</w:t>
            </w:r>
          </w:p>
        </w:tc>
        <w:tc>
          <w:tcPr>
            <w:tcW w:w="0" w:type="auto"/>
            <w:tcBorders>
              <w:top w:val="single" w:sz="8" w:space="0" w:color="auto"/>
              <w:left w:val="single" w:sz="8" w:space="0" w:color="auto"/>
              <w:bottom w:val="single" w:sz="8" w:space="0" w:color="auto"/>
              <w:right w:val="single" w:sz="8" w:space="0" w:color="auto"/>
            </w:tcBorders>
            <w:vAlign w:val="bottom"/>
          </w:tcPr>
          <w:p w14:paraId="7F447723"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 hudbou tady a teď</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09B72E1"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83 000</w:t>
            </w:r>
          </w:p>
        </w:tc>
      </w:tr>
      <w:tr w:rsidR="0096367A" w:rsidRPr="00D10A57" w14:paraId="7CB7F6FF"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2866C389"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Aufori, o.p.s.</w:t>
            </w:r>
          </w:p>
        </w:tc>
        <w:tc>
          <w:tcPr>
            <w:tcW w:w="0" w:type="auto"/>
            <w:tcBorders>
              <w:top w:val="single" w:sz="8" w:space="0" w:color="auto"/>
              <w:left w:val="single" w:sz="8" w:space="0" w:color="auto"/>
              <w:bottom w:val="single" w:sz="8" w:space="0" w:color="auto"/>
              <w:right w:val="single" w:sz="8" w:space="0" w:color="auto"/>
            </w:tcBorders>
            <w:vAlign w:val="bottom"/>
          </w:tcPr>
          <w:p w14:paraId="0968377D"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Učí (se) celá rodina - terénní pedagogická práce v sociálně ohrožených romských rodinách</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E256C48"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986 588</w:t>
            </w:r>
          </w:p>
        </w:tc>
      </w:tr>
      <w:tr w:rsidR="0096367A" w:rsidRPr="00D10A57" w14:paraId="3CB31776"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388B83C2"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RomPraha, z. s.</w:t>
            </w:r>
          </w:p>
        </w:tc>
        <w:tc>
          <w:tcPr>
            <w:tcW w:w="0" w:type="auto"/>
            <w:tcBorders>
              <w:top w:val="single" w:sz="8" w:space="0" w:color="auto"/>
              <w:left w:val="single" w:sz="8" w:space="0" w:color="auto"/>
              <w:bottom w:val="single" w:sz="8" w:space="0" w:color="auto"/>
              <w:right w:val="single" w:sz="8" w:space="0" w:color="auto"/>
            </w:tcBorders>
            <w:vAlign w:val="bottom"/>
          </w:tcPr>
          <w:p w14:paraId="5B4A6B56"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Komplexní poradenství romským rodinám a vedení romských rodin s cílem zvýšení zapojenosti romských dětí do institucionalizované předškolní přípravy.</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104B57B"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289 000</w:t>
            </w:r>
          </w:p>
        </w:tc>
      </w:tr>
      <w:tr w:rsidR="0096367A" w:rsidRPr="00D10A57" w14:paraId="0BF079BC"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3D97D34C"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Spolek pro mimoškolní aktivity PALAESTRA</w:t>
            </w:r>
          </w:p>
        </w:tc>
        <w:tc>
          <w:tcPr>
            <w:tcW w:w="0" w:type="auto"/>
            <w:tcBorders>
              <w:top w:val="single" w:sz="8" w:space="0" w:color="auto"/>
              <w:left w:val="single" w:sz="8" w:space="0" w:color="auto"/>
              <w:bottom w:val="single" w:sz="8" w:space="0" w:color="auto"/>
              <w:right w:val="single" w:sz="8" w:space="0" w:color="auto"/>
            </w:tcBorders>
            <w:vAlign w:val="bottom"/>
          </w:tcPr>
          <w:p w14:paraId="0491E4C1"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Volnočasové centrum Palaestra</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C0160EE"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698 020</w:t>
            </w:r>
          </w:p>
        </w:tc>
      </w:tr>
      <w:tr w:rsidR="0096367A" w:rsidRPr="00D10A57" w14:paraId="6B0E184B"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237ACABC"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Společenství Romů na Moravě Romano jekhetaniben pre Morava</w:t>
            </w:r>
          </w:p>
        </w:tc>
        <w:tc>
          <w:tcPr>
            <w:tcW w:w="0" w:type="auto"/>
            <w:tcBorders>
              <w:top w:val="single" w:sz="8" w:space="0" w:color="auto"/>
              <w:left w:val="single" w:sz="8" w:space="0" w:color="auto"/>
              <w:bottom w:val="single" w:sz="8" w:space="0" w:color="auto"/>
              <w:right w:val="single" w:sz="8" w:space="0" w:color="auto"/>
            </w:tcBorders>
            <w:vAlign w:val="bottom"/>
          </w:tcPr>
          <w:p w14:paraId="38C052EF"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Řemesla nás baví 2</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453A5CFC"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238 336</w:t>
            </w:r>
          </w:p>
        </w:tc>
      </w:tr>
      <w:tr w:rsidR="0096367A" w:rsidRPr="00D10A57" w14:paraId="67BEA1D7"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16C6F2E7"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Základní škola Kojetín, Svatopluka Čecha 586, okres Přerov</w:t>
            </w:r>
          </w:p>
        </w:tc>
        <w:tc>
          <w:tcPr>
            <w:tcW w:w="0" w:type="auto"/>
            <w:tcBorders>
              <w:top w:val="single" w:sz="8" w:space="0" w:color="auto"/>
              <w:left w:val="single" w:sz="8" w:space="0" w:color="auto"/>
              <w:bottom w:val="single" w:sz="8" w:space="0" w:color="auto"/>
              <w:right w:val="single" w:sz="8" w:space="0" w:color="auto"/>
            </w:tcBorders>
            <w:vAlign w:val="bottom"/>
          </w:tcPr>
          <w:p w14:paraId="696152EB"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Vzdělání je budoucnost</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5B6FAC1"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85 500</w:t>
            </w:r>
          </w:p>
        </w:tc>
      </w:tr>
      <w:tr w:rsidR="0096367A" w:rsidRPr="00D10A57" w14:paraId="4580959C"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1753AC3F"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lastRenderedPageBreak/>
              <w:t>Přátelé Lipiny, z.s.</w:t>
            </w:r>
          </w:p>
        </w:tc>
        <w:tc>
          <w:tcPr>
            <w:tcW w:w="0" w:type="auto"/>
            <w:tcBorders>
              <w:top w:val="single" w:sz="8" w:space="0" w:color="auto"/>
              <w:left w:val="single" w:sz="8" w:space="0" w:color="auto"/>
              <w:bottom w:val="single" w:sz="8" w:space="0" w:color="auto"/>
              <w:right w:val="single" w:sz="8" w:space="0" w:color="auto"/>
            </w:tcBorders>
            <w:vAlign w:val="bottom"/>
          </w:tcPr>
          <w:p w14:paraId="00039906"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Podpora vzdělávání a  volnočasových aktivit v sociálně vyloučené lokalitě ulice Míru.</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5122E22"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137 476</w:t>
            </w:r>
          </w:p>
        </w:tc>
      </w:tr>
      <w:tr w:rsidR="0096367A" w:rsidRPr="00D10A57" w14:paraId="447BB48C"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70F85F5E"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Centrum společného zájmu, z.s.</w:t>
            </w:r>
          </w:p>
        </w:tc>
        <w:tc>
          <w:tcPr>
            <w:tcW w:w="0" w:type="auto"/>
            <w:tcBorders>
              <w:top w:val="single" w:sz="8" w:space="0" w:color="auto"/>
              <w:left w:val="single" w:sz="8" w:space="0" w:color="auto"/>
              <w:bottom w:val="single" w:sz="8" w:space="0" w:color="auto"/>
              <w:right w:val="single" w:sz="8" w:space="0" w:color="auto"/>
            </w:tcBorders>
            <w:vAlign w:val="bottom"/>
          </w:tcPr>
          <w:p w14:paraId="036F8BA5"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Spolu to zvládneme 2021</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94CDB08"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313 600</w:t>
            </w:r>
          </w:p>
        </w:tc>
      </w:tr>
      <w:tr w:rsidR="0096367A" w:rsidRPr="00D10A57" w14:paraId="163EC5C6"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58CA3540"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S.T.O.P., z.s.</w:t>
            </w:r>
          </w:p>
        </w:tc>
        <w:tc>
          <w:tcPr>
            <w:tcW w:w="0" w:type="auto"/>
            <w:tcBorders>
              <w:top w:val="single" w:sz="8" w:space="0" w:color="auto"/>
              <w:left w:val="single" w:sz="8" w:space="0" w:color="auto"/>
              <w:bottom w:val="single" w:sz="8" w:space="0" w:color="auto"/>
              <w:right w:val="single" w:sz="8" w:space="0" w:color="auto"/>
            </w:tcBorders>
            <w:vAlign w:val="bottom"/>
          </w:tcPr>
          <w:p w14:paraId="6069C2A6"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 xml:space="preserve">Podpora vzdělávání a osobnostního rozvoje romských dětí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45D3172"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995 216</w:t>
            </w:r>
          </w:p>
        </w:tc>
      </w:tr>
      <w:tr w:rsidR="0096367A" w:rsidRPr="00D10A57" w14:paraId="11B50A22"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0135EADD"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Charita Frýdek - Místek</w:t>
            </w:r>
          </w:p>
        </w:tc>
        <w:tc>
          <w:tcPr>
            <w:tcW w:w="0" w:type="auto"/>
            <w:tcBorders>
              <w:top w:val="single" w:sz="8" w:space="0" w:color="auto"/>
              <w:left w:val="single" w:sz="8" w:space="0" w:color="auto"/>
              <w:bottom w:val="single" w:sz="8" w:space="0" w:color="auto"/>
              <w:right w:val="single" w:sz="8" w:space="0" w:color="auto"/>
            </w:tcBorders>
            <w:vAlign w:val="bottom"/>
          </w:tcPr>
          <w:p w14:paraId="0C7FE107"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Podpora vzdělávání romských dětí ve Frýdku-Místku</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0E87AA0"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667 200</w:t>
            </w:r>
          </w:p>
        </w:tc>
      </w:tr>
      <w:tr w:rsidR="0096367A" w:rsidRPr="00D10A57" w14:paraId="3B74B4D5"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69526672"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ČHAVORIKANO LUMA - kroužek her a nápadů, z.s.</w:t>
            </w:r>
          </w:p>
        </w:tc>
        <w:tc>
          <w:tcPr>
            <w:tcW w:w="0" w:type="auto"/>
            <w:tcBorders>
              <w:top w:val="single" w:sz="8" w:space="0" w:color="auto"/>
              <w:left w:val="single" w:sz="8" w:space="0" w:color="auto"/>
              <w:bottom w:val="single" w:sz="8" w:space="0" w:color="auto"/>
              <w:right w:val="single" w:sz="8" w:space="0" w:color="auto"/>
            </w:tcBorders>
            <w:vAlign w:val="bottom"/>
          </w:tcPr>
          <w:p w14:paraId="19310C6E"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Phure daja le čhavensa - mezigenerační volnočasové vzdělávání na sídlišti Horní Maršov (Krupka)</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9B68E10"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203 180</w:t>
            </w:r>
          </w:p>
        </w:tc>
      </w:tr>
      <w:tr w:rsidR="0096367A" w:rsidRPr="00D10A57" w14:paraId="05DC716C" w14:textId="77777777" w:rsidTr="004C1927">
        <w:trPr>
          <w:trHeight w:val="15"/>
        </w:trPr>
        <w:tc>
          <w:tcPr>
            <w:tcW w:w="0" w:type="auto"/>
            <w:tcBorders>
              <w:top w:val="single" w:sz="8" w:space="0" w:color="auto"/>
              <w:left w:val="single" w:sz="8" w:space="0" w:color="auto"/>
              <w:bottom w:val="single" w:sz="8" w:space="0" w:color="auto"/>
              <w:right w:val="single" w:sz="8" w:space="0" w:color="auto"/>
            </w:tcBorders>
            <w:vAlign w:val="bottom"/>
          </w:tcPr>
          <w:p w14:paraId="074A31FD"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Základní škola a Mateřská škola Krásná Lípa, příspěvková organizace</w:t>
            </w:r>
          </w:p>
        </w:tc>
        <w:tc>
          <w:tcPr>
            <w:tcW w:w="0" w:type="auto"/>
            <w:tcBorders>
              <w:top w:val="single" w:sz="8" w:space="0" w:color="auto"/>
              <w:left w:val="single" w:sz="8" w:space="0" w:color="auto"/>
              <w:bottom w:val="single" w:sz="8" w:space="0" w:color="auto"/>
              <w:right w:val="single" w:sz="8" w:space="0" w:color="auto"/>
            </w:tcBorders>
            <w:vAlign w:val="bottom"/>
          </w:tcPr>
          <w:p w14:paraId="446C6BE2"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Klub Včelka 2021</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E73A70E" w14:textId="77777777" w:rsidR="0096367A" w:rsidRPr="00D10A57" w:rsidRDefault="0096367A" w:rsidP="00D56307">
            <w:pPr>
              <w:spacing w:after="0"/>
              <w:jc w:val="right"/>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265 643</w:t>
            </w:r>
          </w:p>
        </w:tc>
      </w:tr>
    </w:tbl>
    <w:p w14:paraId="74F7EB96" w14:textId="77777777" w:rsidR="0096367A" w:rsidRPr="00D10A57" w:rsidRDefault="0096367A" w:rsidP="00D10A57">
      <w:pPr>
        <w:spacing w:before="240"/>
        <w:jc w:val="both"/>
        <w:rPr>
          <w:rFonts w:ascii="Arial" w:eastAsia="Calibri" w:hAnsi="Arial" w:cs="Arial"/>
          <w:u w:val="single"/>
        </w:rPr>
      </w:pPr>
      <w:r w:rsidRPr="00D10A57">
        <w:rPr>
          <w:rFonts w:ascii="Arial" w:eastAsia="Calibri" w:hAnsi="Arial" w:cs="Arial"/>
          <w:u w:val="single"/>
        </w:rPr>
        <w:t>Podpora sociálně znevýhodněných romských žáků středních škol, konzervatoří a studentů vyšších odborných škol na rok 2021</w:t>
      </w:r>
    </w:p>
    <w:p w14:paraId="6615D1E6" w14:textId="77777777" w:rsidR="0096367A" w:rsidRPr="00D10A57" w:rsidRDefault="0096367A" w:rsidP="00D10A57">
      <w:pPr>
        <w:jc w:val="both"/>
        <w:rPr>
          <w:rFonts w:ascii="Arial" w:eastAsia="Calibri" w:hAnsi="Arial" w:cs="Arial"/>
        </w:rPr>
      </w:pPr>
      <w:r w:rsidRPr="00D10A57">
        <w:rPr>
          <w:rFonts w:ascii="Arial" w:eastAsia="Calibri" w:hAnsi="Arial" w:cs="Arial"/>
        </w:rPr>
        <w:t>Cílem výzvy je podpořit romské žáky/studenty ve studiu, zlepšit vzdělávací výsledky romských žáků/ studentů, zamezit předčasným odchodům romských žáků/studentů ze SŠ, a VOŠ a z konzervatoří, zvýšit počet romských žáků/studentů, kteří úspěšně ukončí vzdělávání na SŠ, konzervatoři a VOŠ a zvýšit počet romských žáků/studentů, kteří budou motivováni ke vzdělávání na vysokých školách.</w:t>
      </w:r>
    </w:p>
    <w:p w14:paraId="6E2260DC" w14:textId="77777777" w:rsidR="00D51693" w:rsidRPr="00D10A57" w:rsidRDefault="0096367A" w:rsidP="00D10A57">
      <w:pPr>
        <w:jc w:val="both"/>
        <w:rPr>
          <w:rFonts w:ascii="Arial" w:eastAsia="Calibri" w:hAnsi="Arial" w:cs="Arial"/>
        </w:rPr>
      </w:pPr>
      <w:r w:rsidRPr="00D10A57">
        <w:rPr>
          <w:rFonts w:ascii="Arial" w:eastAsia="Calibri" w:hAnsi="Arial" w:cs="Arial"/>
        </w:rPr>
        <w:t>Ve výzvě byly podporovány tyto aktivity:</w:t>
      </w:r>
    </w:p>
    <w:p w14:paraId="37EABEE0" w14:textId="77777777" w:rsidR="0096367A" w:rsidRPr="00D10A57" w:rsidRDefault="0096367A" w:rsidP="00D10A57">
      <w:pPr>
        <w:jc w:val="both"/>
        <w:rPr>
          <w:rFonts w:ascii="Arial" w:eastAsia="Calibri" w:hAnsi="Arial" w:cs="Arial"/>
        </w:rPr>
      </w:pPr>
      <w:r w:rsidRPr="00D10A57">
        <w:rPr>
          <w:rFonts w:ascii="Arial" w:eastAsia="Calibri" w:hAnsi="Arial" w:cs="Arial"/>
        </w:rPr>
        <w:t>a) aktivita A: zajištění finanční a materiální podpory žáků/studentů (finanční podpora na úplatu za vzdělávání, stravné, cestovné, ubytování a školní potřeby),</w:t>
      </w:r>
    </w:p>
    <w:p w14:paraId="43A96108" w14:textId="77777777" w:rsidR="0096367A" w:rsidRPr="00D10A57" w:rsidRDefault="0096367A" w:rsidP="00D10A57">
      <w:pPr>
        <w:spacing w:line="240" w:lineRule="auto"/>
        <w:jc w:val="both"/>
        <w:rPr>
          <w:rFonts w:ascii="Arial" w:eastAsia="Calibri" w:hAnsi="Arial" w:cs="Arial"/>
        </w:rPr>
      </w:pPr>
      <w:r w:rsidRPr="00D10A57">
        <w:rPr>
          <w:rFonts w:ascii="Arial" w:eastAsia="Calibri" w:hAnsi="Arial" w:cs="Arial"/>
        </w:rPr>
        <w:t>b) aktivita B: zajištění přímé podpory vzdělávání (podpora pro žáky/studenty, kteří žádají o podporu v rámci aktivity A.).</w:t>
      </w:r>
    </w:p>
    <w:p w14:paraId="53FC3896" w14:textId="77777777" w:rsidR="00D51693" w:rsidRPr="00D10A57" w:rsidRDefault="0096367A" w:rsidP="00D10A57">
      <w:pPr>
        <w:spacing w:line="240" w:lineRule="auto"/>
        <w:jc w:val="both"/>
        <w:rPr>
          <w:rFonts w:ascii="Arial" w:eastAsia="Calibri" w:hAnsi="Arial" w:cs="Arial"/>
        </w:rPr>
      </w:pPr>
      <w:r w:rsidRPr="00D10A57">
        <w:rPr>
          <w:rFonts w:ascii="Arial" w:eastAsia="Calibri" w:hAnsi="Arial" w:cs="Arial"/>
        </w:rPr>
        <w:t>Okruh příjemců: SŠ, VOŠ, konzervatoře</w:t>
      </w:r>
    </w:p>
    <w:p w14:paraId="0E13B3AD" w14:textId="77777777" w:rsidR="0096367A" w:rsidRDefault="0096367A" w:rsidP="00D10A57">
      <w:pPr>
        <w:spacing w:line="240" w:lineRule="auto"/>
        <w:jc w:val="both"/>
        <w:rPr>
          <w:rFonts w:ascii="Arial" w:eastAsia="Calibri" w:hAnsi="Arial" w:cs="Arial"/>
        </w:rPr>
      </w:pPr>
      <w:r w:rsidRPr="00D10A57">
        <w:rPr>
          <w:rFonts w:ascii="Arial" w:eastAsia="Calibri" w:hAnsi="Arial" w:cs="Arial"/>
        </w:rPr>
        <w:t>Alokace: 7 000 000 Kč</w:t>
      </w:r>
    </w:p>
    <w:p w14:paraId="24E0BDE1" w14:textId="77777777" w:rsidR="0096367A" w:rsidRPr="00D56307" w:rsidRDefault="0096367A" w:rsidP="00D10A57">
      <w:pPr>
        <w:spacing w:line="240" w:lineRule="auto"/>
        <w:jc w:val="both"/>
        <w:rPr>
          <w:rFonts w:ascii="Arial" w:eastAsia="Calibri" w:hAnsi="Arial" w:cs="Arial"/>
        </w:rPr>
      </w:pPr>
      <w:r w:rsidRPr="00D56307">
        <w:rPr>
          <w:rFonts w:ascii="Arial" w:eastAsia="Calibri" w:hAnsi="Arial" w:cs="Arial"/>
        </w:rPr>
        <w:t>Dotace leden–červen 2021</w:t>
      </w:r>
    </w:p>
    <w:tbl>
      <w:tblPr>
        <w:tblW w:w="0" w:type="auto"/>
        <w:tblLayout w:type="fixed"/>
        <w:tblLook w:val="04A0" w:firstRow="1" w:lastRow="0" w:firstColumn="1" w:lastColumn="0" w:noHBand="0" w:noVBand="1"/>
      </w:tblPr>
      <w:tblGrid>
        <w:gridCol w:w="6934"/>
        <w:gridCol w:w="2126"/>
      </w:tblGrid>
      <w:tr w:rsidR="0096367A" w:rsidRPr="00D10A57" w14:paraId="3F6CA541"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bottom"/>
          </w:tcPr>
          <w:p w14:paraId="5CE125E5" w14:textId="77777777" w:rsidR="0096367A" w:rsidRPr="00D10A57" w:rsidRDefault="0096367A" w:rsidP="00D10A57">
            <w:pPr>
              <w:spacing w:after="0"/>
              <w:jc w:val="both"/>
              <w:rPr>
                <w:rFonts w:ascii="Arial" w:eastAsia="Calibri" w:hAnsi="Arial" w:cs="Arial"/>
                <w:b/>
                <w:bCs/>
                <w:color w:val="000000" w:themeColor="text1"/>
                <w:sz w:val="20"/>
                <w:szCs w:val="20"/>
              </w:rPr>
            </w:pPr>
            <w:r w:rsidRPr="00D10A57">
              <w:rPr>
                <w:rFonts w:ascii="Arial" w:eastAsia="Calibri" w:hAnsi="Arial" w:cs="Arial"/>
                <w:b/>
                <w:bCs/>
                <w:color w:val="000000" w:themeColor="text1"/>
                <w:sz w:val="20"/>
                <w:szCs w:val="20"/>
              </w:rPr>
              <w:t>Registrační název žadatele</w:t>
            </w:r>
          </w:p>
        </w:tc>
        <w:tc>
          <w:tcPr>
            <w:tcW w:w="2126"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bottom"/>
          </w:tcPr>
          <w:p w14:paraId="4477B522" w14:textId="77777777" w:rsidR="0096367A" w:rsidRPr="00D10A57" w:rsidRDefault="0096367A" w:rsidP="00D10A57">
            <w:pPr>
              <w:spacing w:after="0"/>
              <w:jc w:val="both"/>
              <w:rPr>
                <w:rFonts w:ascii="Arial" w:eastAsia="Calibri" w:hAnsi="Arial" w:cs="Arial"/>
                <w:b/>
                <w:bCs/>
                <w:color w:val="000000" w:themeColor="text1"/>
                <w:sz w:val="20"/>
                <w:szCs w:val="20"/>
              </w:rPr>
            </w:pPr>
            <w:r w:rsidRPr="00D10A57">
              <w:rPr>
                <w:rFonts w:ascii="Arial" w:eastAsia="Calibri" w:hAnsi="Arial" w:cs="Arial"/>
                <w:b/>
                <w:bCs/>
                <w:color w:val="000000" w:themeColor="text1"/>
                <w:sz w:val="20"/>
                <w:szCs w:val="20"/>
              </w:rPr>
              <w:t xml:space="preserve">Výše dotace (v Kč) </w:t>
            </w:r>
          </w:p>
        </w:tc>
      </w:tr>
      <w:tr w:rsidR="0096367A" w:rsidRPr="00D10A57" w14:paraId="173BBDD8"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460C8887"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odborné učiliště zemědělské a služeb, Dačice, nám. Republiky 86</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69DE7BAE" w14:textId="5201E004"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 xml:space="preserve"> 6 000</w:t>
            </w:r>
          </w:p>
        </w:tc>
      </w:tr>
      <w:tr w:rsidR="0096367A" w:rsidRPr="00D10A57" w14:paraId="6669BB4D"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69EED611"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odborná škola MORAVA o.p.s.</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0A9738C6" w14:textId="2CFBE593"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20 000</w:t>
            </w:r>
          </w:p>
        </w:tc>
      </w:tr>
      <w:tr w:rsidR="0096367A" w:rsidRPr="00D10A57" w14:paraId="23BF5B2E"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01435BBB"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Brno, Charbulova,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1022D7D9" w14:textId="56A3165D"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20 000</w:t>
            </w:r>
          </w:p>
        </w:tc>
      </w:tr>
      <w:tr w:rsidR="0096367A" w:rsidRPr="00D10A57" w14:paraId="59A1F7B0"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7F19AD4A"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Odborné učiliště a praktická škola Brno,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1719F392" w14:textId="499DBF15"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 xml:space="preserve"> 5 000</w:t>
            </w:r>
          </w:p>
        </w:tc>
      </w:tr>
      <w:tr w:rsidR="0096367A" w:rsidRPr="00D10A57" w14:paraId="7FB7716A"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35A7F800"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zdravotnická škola Brno, Jaselská,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07E1E268" w14:textId="43B8658A"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14 180</w:t>
            </w:r>
          </w:p>
        </w:tc>
      </w:tr>
      <w:tr w:rsidR="0096367A" w:rsidRPr="00D10A57" w14:paraId="710DD214"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3B86F435"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Mateřská škola, základní škola a střední škola Vyškov,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4353631B" w14:textId="141C41F7"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 xml:space="preserve"> 9 100</w:t>
            </w:r>
          </w:p>
        </w:tc>
      </w:tr>
      <w:tr w:rsidR="0096367A" w:rsidRPr="00D10A57" w14:paraId="33A0EE20"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3A415036"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odborné učiliště tradičních řemesel a Vyšší odborná škola, spol. s 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76AF06B3" w14:textId="1B1B6A9D"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14 000</w:t>
            </w:r>
          </w:p>
        </w:tc>
      </w:tr>
      <w:tr w:rsidR="0096367A" w:rsidRPr="00D10A57" w14:paraId="1FE5760D"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3FDC0715"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Gemini Brno,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77089913" w14:textId="05D5C043"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 xml:space="preserve"> 5 000</w:t>
            </w:r>
          </w:p>
        </w:tc>
      </w:tr>
      <w:tr w:rsidR="0096367A" w:rsidRPr="00D10A57" w14:paraId="03CE1984"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40EE85D9"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živnostenská Sokolov,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1991A75B" w14:textId="743D78CB"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21 200</w:t>
            </w:r>
          </w:p>
        </w:tc>
      </w:tr>
      <w:tr w:rsidR="0096367A" w:rsidRPr="00D10A57" w14:paraId="29B58C2A"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14B58D0F"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Hotelová škola Světlá a Střední odborná škola řemesel Velké Meziříčí</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13F14375" w14:textId="754FF542"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21 200</w:t>
            </w:r>
          </w:p>
        </w:tc>
      </w:tr>
      <w:tr w:rsidR="0096367A" w:rsidRPr="00D10A57" w14:paraId="3E4DB00D"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34CEE4A0"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a Základní škola Sluneční, Hostinné</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00259EE7" w14:textId="1780EC60"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 xml:space="preserve"> 2 500</w:t>
            </w:r>
          </w:p>
        </w:tc>
      </w:tr>
      <w:tr w:rsidR="0096367A" w:rsidRPr="00D10A57" w14:paraId="6828EBDE"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4567BC0A"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lastRenderedPageBreak/>
              <w:t>Vyšší odborná škola a Střední průmyslová škola, Rychnov nad Kněžnou, U Stadionu 1166</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37A5A147" w14:textId="47F8DB0B"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 xml:space="preserve"> 5 000</w:t>
            </w:r>
          </w:p>
        </w:tc>
      </w:tr>
      <w:tr w:rsidR="0096367A" w:rsidRPr="00D10A57" w14:paraId="0494F8D3"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04EDA401"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průmyslová škola, Odborná škola a Základní škola, Nové Město nad Metují</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2BB9739C" w14:textId="30F8095E"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78 400</w:t>
            </w:r>
          </w:p>
        </w:tc>
      </w:tr>
      <w:tr w:rsidR="0096367A" w:rsidRPr="00D10A57" w14:paraId="3AA943A3"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621A5F43"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průmyslová škola stavební a Obchodní akademie arch. Jana Letzela, Náchod,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28C5786A" w14:textId="368C22DB"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11 000</w:t>
            </w:r>
          </w:p>
        </w:tc>
      </w:tr>
      <w:tr w:rsidR="0096367A" w:rsidRPr="00D10A57" w14:paraId="17428C20"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0A94A8D9"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odborná škola ochrany osob a majetku s.r.o.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041E3E24" w14:textId="3921FEE1"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13 200</w:t>
            </w:r>
          </w:p>
        </w:tc>
      </w:tr>
      <w:tr w:rsidR="0096367A" w:rsidRPr="00D10A57" w14:paraId="020E3292"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6F065F12"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Vyšší odborná škola DAKOL a Střední škola DAKOL, o.p.s.</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627A1F43" w14:textId="683BD6FA"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12 000</w:t>
            </w:r>
          </w:p>
        </w:tc>
      </w:tr>
      <w:tr w:rsidR="0096367A" w:rsidRPr="00D10A57" w14:paraId="5749A552"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75B6CDB9"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odborná škola a Základní škola, Město Albrechtice,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00FF2561" w14:textId="5AB31B79"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 xml:space="preserve"> 2 040</w:t>
            </w:r>
          </w:p>
        </w:tc>
      </w:tr>
      <w:tr w:rsidR="0096367A" w:rsidRPr="00D10A57" w14:paraId="6C7E4DAD"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3F5825A3"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odborná škola, Bruntál,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33A8C445" w14:textId="2431C4F4"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76 000</w:t>
            </w:r>
          </w:p>
        </w:tc>
      </w:tr>
      <w:tr w:rsidR="0096367A" w:rsidRPr="00D10A57" w14:paraId="40495546"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4476D20B"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Odborné učiliště a Praktická škola, Hlučín,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1D64D4ED" w14:textId="245D8FDF"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21 500</w:t>
            </w:r>
          </w:p>
        </w:tc>
      </w:tr>
      <w:tr w:rsidR="0096367A" w:rsidRPr="00D10A57" w14:paraId="378EB305"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58593BB7"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Odborné učiliště a Praktická škola, Nový Jičín,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7254BAC9" w14:textId="34651F93"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 xml:space="preserve"> 5 000</w:t>
            </w:r>
          </w:p>
        </w:tc>
      </w:tr>
      <w:tr w:rsidR="0096367A" w:rsidRPr="00D10A57" w14:paraId="61D4289E"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7876A659"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Bezpečnostně právní akademie Ostrava, s. r. o., střední škola</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7AD894DF" w14:textId="267921C5"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14 000</w:t>
            </w:r>
          </w:p>
        </w:tc>
      </w:tr>
      <w:tr w:rsidR="0096367A" w:rsidRPr="00D10A57" w14:paraId="4E94F7B9"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23272E1C"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Havířov-Prostřední Suchá,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3120B38D" w14:textId="10115477"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17 200</w:t>
            </w:r>
          </w:p>
        </w:tc>
      </w:tr>
      <w:tr w:rsidR="0096367A" w:rsidRPr="00D10A57" w14:paraId="74BF89EE"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43F04355"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hotelnictví, gastronomie a služeb SČMSD Šilheřovice, s.r.o.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7353E686" w14:textId="03E2212A"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 xml:space="preserve"> 5 000</w:t>
            </w:r>
          </w:p>
        </w:tc>
      </w:tr>
      <w:tr w:rsidR="0096367A" w:rsidRPr="00D10A57" w14:paraId="3FBD5A38"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731B54FC"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Odborné učiliště a Základní škola, Křenovice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7A984C8B" w14:textId="151F0A1F"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 xml:space="preserve"> 152 600</w:t>
            </w:r>
          </w:p>
        </w:tc>
      </w:tr>
      <w:tr w:rsidR="0096367A" w:rsidRPr="00D10A57" w14:paraId="6D4DB428"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5E3AFB92"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zdravotnická škola a Vyšší odborná škola zdravotnická Emanuela Pöttinga a Jazyková škola s právem státní jazykové zkoušky Olomouc</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17D1F917" w14:textId="62D41423"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13 200</w:t>
            </w:r>
          </w:p>
        </w:tc>
      </w:tr>
      <w:tr w:rsidR="0096367A" w:rsidRPr="00D10A57" w14:paraId="0DF88E4C"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59054356"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řemesel a Odborné učiliště Lipová - lázně</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39F52E28" w14:textId="7D156A7D"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 xml:space="preserve"> 145 000</w:t>
            </w:r>
          </w:p>
        </w:tc>
      </w:tr>
      <w:tr w:rsidR="0096367A" w:rsidRPr="00D10A57" w14:paraId="1442EB41"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1377C451"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gastronomie, farmářství a služeb Jeseník</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74B30E92" w14:textId="39A32D34"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40 000</w:t>
            </w:r>
          </w:p>
        </w:tc>
      </w:tr>
      <w:tr w:rsidR="0096367A" w:rsidRPr="00D10A57" w14:paraId="1B52C943"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6647EBF6"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odborná škola podnikání a obchodu, spol. s 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703423EA" w14:textId="4409FE08"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13 200</w:t>
            </w:r>
          </w:p>
        </w:tc>
      </w:tr>
      <w:tr w:rsidR="0096367A" w:rsidRPr="00D10A57" w14:paraId="342A2163"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51FFCF8D"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odborná škola, Šumperk, Zemědělská 3</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5DCA479C" w14:textId="4E634016"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 xml:space="preserve"> 5 000</w:t>
            </w:r>
          </w:p>
        </w:tc>
      </w:tr>
      <w:tr w:rsidR="0096367A" w:rsidRPr="00D10A57" w14:paraId="292B3A97"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4F4F9427"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Odborné učiliště a Praktická škola, Mohelnice, Vodní 27</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3AF3770E" w14:textId="509E7B43"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24 000</w:t>
            </w:r>
          </w:p>
        </w:tc>
      </w:tr>
      <w:tr w:rsidR="0096367A" w:rsidRPr="00D10A57" w14:paraId="039E3BA7"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7A7378E9"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odborná škola Olomouc spol. s 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3AF27C7B" w14:textId="6AEB8910"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15 000</w:t>
            </w:r>
          </w:p>
        </w:tc>
      </w:tr>
      <w:tr w:rsidR="0096367A" w:rsidRPr="00D10A57" w14:paraId="45C78EE6"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68631549"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průmyslová škola Hranice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3C348463" w14:textId="68F60ED7"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12 200</w:t>
            </w:r>
          </w:p>
        </w:tc>
      </w:tr>
      <w:tr w:rsidR="0096367A" w:rsidRPr="00D10A57" w14:paraId="3DAAF60D"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13C1EB98" w14:textId="77777777" w:rsidR="0096367A" w:rsidRPr="00D10A57" w:rsidRDefault="0096367A" w:rsidP="001518D8">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polytechnická, Olomouc, Rooseveltova 79</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1177D820" w14:textId="42A43AD4"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 xml:space="preserve"> 8 510</w:t>
            </w:r>
          </w:p>
        </w:tc>
      </w:tr>
      <w:tr w:rsidR="0096367A" w:rsidRPr="00D10A57" w14:paraId="4FD1FC45"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62AE33ED"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Moravská střední škola s.r.o.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500AF7D1" w14:textId="31719FFF"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15 000</w:t>
            </w:r>
          </w:p>
        </w:tc>
      </w:tr>
      <w:tr w:rsidR="0096367A" w:rsidRPr="00D10A57" w14:paraId="77A9C79F"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45C7B9C2"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Bor, Plzeňská 231</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1A2E2763" w14:textId="6F13D054"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51 400</w:t>
            </w:r>
          </w:p>
        </w:tc>
      </w:tr>
      <w:tr w:rsidR="0096367A" w:rsidRPr="00D10A57" w14:paraId="12EEFD76"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475C039D"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odborná škola managementu a práva, s.r.o.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30038AC2" w14:textId="662C066C"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 xml:space="preserve"> 425 000</w:t>
            </w:r>
          </w:p>
        </w:tc>
      </w:tr>
      <w:tr w:rsidR="0096367A" w:rsidRPr="00D10A57" w14:paraId="2AB84D90"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757E4831"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Integrovaná střední škola, Jesenice, Žatecká 1</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08A48613" w14:textId="41FF4A41"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26 200</w:t>
            </w:r>
          </w:p>
        </w:tc>
      </w:tr>
      <w:tr w:rsidR="0096367A" w:rsidRPr="00D10A57" w14:paraId="0FA55B7B"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7B844BCD"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Obchodní akademie a Vyšší odborná škola, Příbram I, Na Příkopech 104</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1D5CE40C" w14:textId="79D08477"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17 000</w:t>
            </w:r>
          </w:p>
        </w:tc>
      </w:tr>
      <w:tr w:rsidR="0096367A" w:rsidRPr="00D10A57" w14:paraId="3FB10376"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55B33D39"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hotelová škola, Vyšší odborná škola a Jazyková škola s právem státní jazykové zkoušky s.r.o.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58408EBE" w14:textId="4F76B5CD"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 xml:space="preserve"> 8 000</w:t>
            </w:r>
          </w:p>
        </w:tc>
      </w:tr>
      <w:tr w:rsidR="0096367A" w:rsidRPr="00D10A57" w14:paraId="2788A7E7"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04DEAA0D"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zdravotnická škola a Obchodní akademie, Rumburk,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6D2E6294" w14:textId="18295AF5"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40 000</w:t>
            </w:r>
          </w:p>
        </w:tc>
      </w:tr>
      <w:tr w:rsidR="0096367A" w:rsidRPr="00D10A57" w14:paraId="542B368D"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409DFE31"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obchodu a služeb s.r.o.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082D7D43" w14:textId="0593288C"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 xml:space="preserve"> 197 500</w:t>
            </w:r>
          </w:p>
        </w:tc>
      </w:tr>
      <w:tr w:rsidR="0096367A" w:rsidRPr="00D10A57" w14:paraId="30351044"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18D89671"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Vyšší odborná škola, Střední průmyslová škola a Střední odborná škola, Varnsdorf,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48103103" w14:textId="79873788"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339 300</w:t>
            </w:r>
          </w:p>
        </w:tc>
      </w:tr>
      <w:tr w:rsidR="0096367A" w:rsidRPr="00D10A57" w14:paraId="212E4318"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7EBDC1D0"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odborné učiliště a Střední odborná škola SČMSD, Žatec, s.r.o.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50C142D8" w14:textId="536A50D8"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50 400</w:t>
            </w:r>
          </w:p>
        </w:tc>
      </w:tr>
      <w:tr w:rsidR="0096367A" w:rsidRPr="00D10A57" w14:paraId="21451C91"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06D0B568"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průmyslová škola elektrotechnická a zařízení pro další vzdělávání pedagogických pracovníků, spol. s 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0FCC076A" w14:textId="30AC52CD"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16 000</w:t>
            </w:r>
          </w:p>
        </w:tc>
      </w:tr>
      <w:tr w:rsidR="0096367A" w:rsidRPr="00D10A57" w14:paraId="3B6944B6"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73659CD9"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Soukromá obchodní akademie, spol. s 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1C3F1730" w14:textId="5DF13E44"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21 000</w:t>
            </w:r>
          </w:p>
        </w:tc>
      </w:tr>
      <w:tr w:rsidR="0096367A" w:rsidRPr="00D10A57" w14:paraId="321C5826"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507DBD67"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obchodu, řemesel, služeb a Základní škola, Ústí nad Labem,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02D7F69B" w14:textId="7CE13987"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10 000</w:t>
            </w:r>
          </w:p>
        </w:tc>
      </w:tr>
      <w:tr w:rsidR="0096367A" w:rsidRPr="00D10A57" w14:paraId="723CE847"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046E7A5C"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technická, Most,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1D58C9A8" w14:textId="6768E7DA"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58 000</w:t>
            </w:r>
          </w:p>
        </w:tc>
      </w:tr>
      <w:tr w:rsidR="0096367A" w:rsidRPr="00D10A57" w14:paraId="60DBBE83"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25A7D91E"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odborná škola a Střední odborné učiliště, Roudnice nad Labem, Neklanova 1806,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334107FA" w14:textId="3E93811E"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44 200</w:t>
            </w:r>
          </w:p>
        </w:tc>
      </w:tr>
      <w:tr w:rsidR="0096367A" w:rsidRPr="00D10A57" w14:paraId="7369AF06"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6928865F"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lastRenderedPageBreak/>
              <w:t>Odborné učiliště Kelč</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52B7E219" w14:textId="3BCD3D75"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 xml:space="preserve"> 169 600</w:t>
            </w:r>
          </w:p>
        </w:tc>
      </w:tr>
      <w:tr w:rsidR="0096367A" w:rsidRPr="00D10A57" w14:paraId="080F8F69"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386C6022"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Integrovaná střední škola - Centrum odborné přípravy a Jazyková škola s právem státní jazykové zkoušky Valašské Meziříčí</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30B0C202" w14:textId="4BBB7803"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 xml:space="preserve"> 5 000</w:t>
            </w:r>
          </w:p>
        </w:tc>
      </w:tr>
      <w:tr w:rsidR="0096367A" w:rsidRPr="00D10A57" w14:paraId="642BE7FF"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vAlign w:val="bottom"/>
          </w:tcPr>
          <w:p w14:paraId="57FD69F6"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odborná škola Josefa Sousedíka Vsetín</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2FD6F2C3" w14:textId="71F7E201"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25 200</w:t>
            </w:r>
          </w:p>
        </w:tc>
      </w:tr>
    </w:tbl>
    <w:p w14:paraId="03701495" w14:textId="77777777" w:rsidR="00964086" w:rsidRDefault="0096367A" w:rsidP="00D10A57">
      <w:pPr>
        <w:spacing w:before="240"/>
        <w:jc w:val="both"/>
        <w:rPr>
          <w:rFonts w:ascii="Arial" w:eastAsia="Calibri" w:hAnsi="Arial" w:cs="Arial"/>
        </w:rPr>
      </w:pPr>
      <w:r w:rsidRPr="00D10A57">
        <w:rPr>
          <w:rFonts w:ascii="Arial" w:eastAsia="Calibri" w:hAnsi="Arial" w:cs="Arial"/>
        </w:rPr>
        <w:t xml:space="preserve"> </w:t>
      </w:r>
    </w:p>
    <w:p w14:paraId="7DD23DAA" w14:textId="77777777" w:rsidR="0096367A" w:rsidRPr="00D10A57" w:rsidRDefault="0096367A" w:rsidP="00D10A57">
      <w:pPr>
        <w:spacing w:before="240"/>
        <w:jc w:val="both"/>
        <w:rPr>
          <w:rFonts w:ascii="Arial" w:eastAsia="Calibri" w:hAnsi="Arial" w:cs="Arial"/>
        </w:rPr>
      </w:pPr>
      <w:r w:rsidRPr="00D10A57">
        <w:rPr>
          <w:rFonts w:ascii="Arial" w:eastAsia="Calibri" w:hAnsi="Arial" w:cs="Arial"/>
        </w:rPr>
        <w:t>Dotace září – prosinec 2021</w:t>
      </w:r>
    </w:p>
    <w:tbl>
      <w:tblPr>
        <w:tblW w:w="0" w:type="auto"/>
        <w:tblLayout w:type="fixed"/>
        <w:tblLook w:val="04A0" w:firstRow="1" w:lastRow="0" w:firstColumn="1" w:lastColumn="0" w:noHBand="0" w:noVBand="1"/>
      </w:tblPr>
      <w:tblGrid>
        <w:gridCol w:w="6934"/>
        <w:gridCol w:w="2126"/>
      </w:tblGrid>
      <w:tr w:rsidR="0096367A" w:rsidRPr="00D10A57" w14:paraId="45A887EA"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bottom"/>
          </w:tcPr>
          <w:p w14:paraId="0594A30A" w14:textId="77777777" w:rsidR="0096367A" w:rsidRPr="00D10A57" w:rsidRDefault="0096367A" w:rsidP="00D10A57">
            <w:pPr>
              <w:spacing w:after="0"/>
              <w:jc w:val="both"/>
              <w:rPr>
                <w:rFonts w:ascii="Arial" w:eastAsia="Calibri" w:hAnsi="Arial" w:cs="Arial"/>
                <w:b/>
                <w:bCs/>
                <w:color w:val="000000" w:themeColor="text1"/>
                <w:sz w:val="20"/>
                <w:szCs w:val="20"/>
              </w:rPr>
            </w:pPr>
            <w:r w:rsidRPr="00D10A57">
              <w:rPr>
                <w:rFonts w:ascii="Arial" w:eastAsia="Calibri" w:hAnsi="Arial" w:cs="Arial"/>
                <w:b/>
                <w:bCs/>
                <w:color w:val="000000" w:themeColor="text1"/>
                <w:sz w:val="20"/>
                <w:szCs w:val="20"/>
              </w:rPr>
              <w:t>Registrační název žadatele</w:t>
            </w:r>
          </w:p>
        </w:tc>
        <w:tc>
          <w:tcPr>
            <w:tcW w:w="2126"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bottom"/>
          </w:tcPr>
          <w:p w14:paraId="323F68E9" w14:textId="77777777" w:rsidR="0096367A" w:rsidRPr="00D10A57" w:rsidRDefault="0096367A" w:rsidP="00D10A57">
            <w:pPr>
              <w:spacing w:after="0"/>
              <w:jc w:val="both"/>
              <w:rPr>
                <w:rFonts w:ascii="Arial" w:eastAsia="Calibri" w:hAnsi="Arial" w:cs="Arial"/>
                <w:b/>
                <w:bCs/>
                <w:color w:val="000000" w:themeColor="text1"/>
                <w:sz w:val="20"/>
                <w:szCs w:val="20"/>
              </w:rPr>
            </w:pPr>
            <w:r w:rsidRPr="00D10A57">
              <w:rPr>
                <w:rFonts w:ascii="Arial" w:eastAsia="Calibri" w:hAnsi="Arial" w:cs="Arial"/>
                <w:b/>
                <w:bCs/>
                <w:color w:val="000000" w:themeColor="text1"/>
                <w:sz w:val="20"/>
                <w:szCs w:val="20"/>
              </w:rPr>
              <w:t>Výše dotace (v Kč)</w:t>
            </w:r>
          </w:p>
        </w:tc>
      </w:tr>
      <w:tr w:rsidR="0096367A" w:rsidRPr="00D10A57" w14:paraId="313DBDA8"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6D72EA9B"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odborné učiliště zemědělské a služeb, Dačice, nám. Republiky 86</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6C9F2AE6" w14:textId="4DA6352D"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13 000</w:t>
            </w:r>
          </w:p>
        </w:tc>
      </w:tr>
      <w:tr w:rsidR="0096367A" w:rsidRPr="00D10A57" w14:paraId="522E20D3"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28A19280"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řemeslná a Základní škola, Soběslav, Wilsonova 405</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597E0261" w14:textId="7C52E014"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5 000</w:t>
            </w:r>
          </w:p>
        </w:tc>
      </w:tr>
      <w:tr w:rsidR="0096367A" w:rsidRPr="00D10A57" w14:paraId="042F1722"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4EAE1378"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Mateřská škola, základní škola a střední škola Vyškov,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072DD41D" w14:textId="126B4C37"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13 200</w:t>
            </w:r>
          </w:p>
        </w:tc>
      </w:tr>
      <w:tr w:rsidR="0096367A" w:rsidRPr="00D10A57" w14:paraId="3F65A6EC"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1D97287A"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odborné učiliště tradičních řemesel a Vyšší odborná škola, spol. s 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4AF8A1D8" w14:textId="395791A7"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12 000</w:t>
            </w:r>
          </w:p>
        </w:tc>
      </w:tr>
      <w:tr w:rsidR="0096367A" w:rsidRPr="00D10A57" w14:paraId="33B05737"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39C18234"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Brno, Charbulova,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4FACCFE5" w14:textId="6F7B8BEE"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20 000</w:t>
            </w:r>
          </w:p>
        </w:tc>
      </w:tr>
      <w:tr w:rsidR="0096367A" w:rsidRPr="00D10A57" w14:paraId="568CCF4E"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0F0E965A"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odborná škola MORAVA o.p.s.</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3DAAA51B" w14:textId="71B4289D"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11 200</w:t>
            </w:r>
          </w:p>
        </w:tc>
      </w:tr>
      <w:tr w:rsidR="0096367A" w:rsidRPr="00D10A57" w14:paraId="7E3A690B"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72F9BCA6"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zdravotnická škola Brno, Jaselská,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71C719EC" w14:textId="2786F251"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6 260</w:t>
            </w:r>
          </w:p>
        </w:tc>
      </w:tr>
      <w:tr w:rsidR="0096367A" w:rsidRPr="00D10A57" w14:paraId="2DDCE949"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21DCC402"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odborná škola a střední odborné učiliště Hustopeče,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2D5841B1" w14:textId="7F0ADAD3"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5 100</w:t>
            </w:r>
          </w:p>
        </w:tc>
      </w:tr>
      <w:tr w:rsidR="0096367A" w:rsidRPr="00D10A57" w14:paraId="4BEF4792"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0EEE6206"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odborné učiliště Kyjov,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6A33451D" w14:textId="5E79C2D7"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4 300</w:t>
            </w:r>
          </w:p>
        </w:tc>
      </w:tr>
      <w:tr w:rsidR="0096367A" w:rsidRPr="00D10A57" w14:paraId="7F4E17D4"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3599844E"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Soukromá střední odborná škola manažerská a zdravotnická s.r.o.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5D757D20" w14:textId="0034AB6B"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5 000</w:t>
            </w:r>
          </w:p>
        </w:tc>
      </w:tr>
      <w:tr w:rsidR="0096367A" w:rsidRPr="00D10A57" w14:paraId="6A5B8537"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71F50CBC"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živnostenská Sokolov,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60F677B7" w14:textId="7FA0DE44"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18 800</w:t>
            </w:r>
          </w:p>
        </w:tc>
      </w:tr>
      <w:tr w:rsidR="0096367A" w:rsidRPr="00D10A57" w14:paraId="01151CC0"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541271BC"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průmyslová škola, Odborná škola a Základní škola, Nové Město nad Metují</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62A22292" w14:textId="597BD1F6"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67 600</w:t>
            </w:r>
          </w:p>
        </w:tc>
      </w:tr>
      <w:tr w:rsidR="0096367A" w:rsidRPr="00D10A57" w14:paraId="6FA65CC9"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21FC9FD5"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a Základní škola Sluneční, Hostinné</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738C7D0D" w14:textId="7E32AAF2"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4 000</w:t>
            </w:r>
          </w:p>
        </w:tc>
      </w:tr>
      <w:tr w:rsidR="0096367A" w:rsidRPr="00D10A57" w14:paraId="67EF4844"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5C427365"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Vyšší odborná škola a Střední průmyslová škola, Rychnov nad Kněžnou, U Stadionu 1166</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7C51C493" w14:textId="78D50B49"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6 000</w:t>
            </w:r>
          </w:p>
        </w:tc>
      </w:tr>
      <w:tr w:rsidR="0096367A" w:rsidRPr="00D10A57" w14:paraId="568C6FE5"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61B4451F"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průmyslová škola stavební a Obchodní akademie arch. Jana Letzela, Náchod,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5BCCB018" w14:textId="201ED5A6"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13 000</w:t>
            </w:r>
          </w:p>
        </w:tc>
      </w:tr>
      <w:tr w:rsidR="0096367A" w:rsidRPr="00D10A57" w14:paraId="6ED7A47C"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64AD8299"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Bezpečnostně právní akademie, s.r.o., střední škola</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6F7822B0" w14:textId="59F70AF5"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8 000</w:t>
            </w:r>
          </w:p>
        </w:tc>
      </w:tr>
      <w:tr w:rsidR="0096367A" w:rsidRPr="00D10A57" w14:paraId="48E5275B"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61CE0E46"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AHOL - Střední škola gastronomie, turismu a lázeňství</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39067C8E" w14:textId="756C480B"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9 800</w:t>
            </w:r>
          </w:p>
        </w:tc>
      </w:tr>
      <w:tr w:rsidR="0096367A" w:rsidRPr="00D10A57" w14:paraId="4FD5E64E"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1A23AABF"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odborná škola a Základní škola, Město Albrechtice,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655A2F4F" w14:textId="5614D58A"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9 000</w:t>
            </w:r>
          </w:p>
        </w:tc>
      </w:tr>
      <w:tr w:rsidR="0096367A" w:rsidRPr="00D10A57" w14:paraId="032D3B62"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5BF11ACC"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Vyšší odborná škola DAKOL a Střední škola DAKOL, o.p.s.</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4B9DE37E" w14:textId="7850FF99"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14 000</w:t>
            </w:r>
          </w:p>
        </w:tc>
      </w:tr>
      <w:tr w:rsidR="0096367A" w:rsidRPr="00D10A57" w14:paraId="4AE19F78"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794BD393"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odborná škola, Bruntál,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6D00985A" w14:textId="566A8312"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64 000</w:t>
            </w:r>
          </w:p>
        </w:tc>
      </w:tr>
      <w:tr w:rsidR="0096367A" w:rsidRPr="00D10A57" w14:paraId="428043FE"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4CAF924A"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společného stravování, Ostrava-Hrabůvka,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068BF69B" w14:textId="4F33385B"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13 000</w:t>
            </w:r>
          </w:p>
        </w:tc>
      </w:tr>
      <w:tr w:rsidR="0096367A" w:rsidRPr="00D10A57" w14:paraId="698E2970"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4DBD3D24"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Odborné učiliště a Praktická škola, Hlučín,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6FDF6E0F" w14:textId="7B05EDB2"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10 300</w:t>
            </w:r>
          </w:p>
        </w:tc>
      </w:tr>
      <w:tr w:rsidR="0096367A" w:rsidRPr="00D10A57" w14:paraId="72ECAECF"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0DD88E6C"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Havířov-Prostřední Suchá,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47DC8BD1" w14:textId="2D7CC26C"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14 800</w:t>
            </w:r>
          </w:p>
        </w:tc>
      </w:tr>
      <w:tr w:rsidR="0096367A" w:rsidRPr="00D10A57" w14:paraId="1BDA9C75"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7CFB2BE3"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Odborné učiliště a Praktická škola, Nový Jičín,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4ACFAADC" w14:textId="263B6D59"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6 000</w:t>
            </w:r>
          </w:p>
        </w:tc>
      </w:tr>
      <w:tr w:rsidR="0096367A" w:rsidRPr="00D10A57" w14:paraId="112FCDEF"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2CB0E283"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hotelnictví, gastronomie a služeb SČMSD Šilheřovice, s.r.o.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18EE834D" w14:textId="50DEA714"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12 000</w:t>
            </w:r>
          </w:p>
        </w:tc>
      </w:tr>
      <w:tr w:rsidR="0096367A" w:rsidRPr="00D10A57" w14:paraId="69EFF85A"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71FBFCB3"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odborná škola ochrany osob a majetku s.r.o.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6B1A45AD" w14:textId="08BC8981"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10 400</w:t>
            </w:r>
          </w:p>
        </w:tc>
      </w:tr>
      <w:tr w:rsidR="0096367A" w:rsidRPr="00D10A57" w14:paraId="5AACF455"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3617944D"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Odborné učiliště a Základní škola, Křenovice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41A10E43" w14:textId="43F3C82B"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257 000</w:t>
            </w:r>
          </w:p>
        </w:tc>
      </w:tr>
      <w:tr w:rsidR="0096367A" w:rsidRPr="00D10A57" w14:paraId="19AB9EAF"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38265279"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řemesel a Odborné učiliště Lipová - lázně</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3136AD85" w14:textId="7A52FD33"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172 000</w:t>
            </w:r>
          </w:p>
        </w:tc>
      </w:tr>
      <w:tr w:rsidR="0096367A" w:rsidRPr="00D10A57" w14:paraId="33904AB1"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67F37178"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odborná škola podnikání a obchodu, spol. s 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0154F6E4" w14:textId="5CC876BA"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11 800</w:t>
            </w:r>
          </w:p>
        </w:tc>
      </w:tr>
      <w:tr w:rsidR="0096367A" w:rsidRPr="00D10A57" w14:paraId="5E5ABC3D"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418E352E"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zdravotnická škola a Vyšší odborná škola zdravotnická Emanuela Pöttinga a Jazyková škola s právem státní jazykové zkoušky Olomouc</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079AF2A1" w14:textId="117F9850"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11 800</w:t>
            </w:r>
          </w:p>
        </w:tc>
      </w:tr>
      <w:tr w:rsidR="0096367A" w:rsidRPr="00D10A57" w14:paraId="6D15B4C2"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59F46160"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lastRenderedPageBreak/>
              <w:t>Střední odborná škola Olomouc spol. s 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0F488B53" w14:textId="6702E743"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10 720</w:t>
            </w:r>
          </w:p>
        </w:tc>
      </w:tr>
      <w:tr w:rsidR="0096367A" w:rsidRPr="00D10A57" w14:paraId="137E01E4"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74C46CDC"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gastronomie, farmářství a služeb Jeseník</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2E9133D3" w14:textId="756EEA00"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62 500</w:t>
            </w:r>
          </w:p>
        </w:tc>
      </w:tr>
      <w:tr w:rsidR="0096367A" w:rsidRPr="00D10A57" w14:paraId="0DA1AF8E"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641B524E"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gastronomie a služeb, Přerov, Šířava 7</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0731694F" w14:textId="3B13FB16"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44 600</w:t>
            </w:r>
          </w:p>
        </w:tc>
      </w:tr>
      <w:tr w:rsidR="0096367A" w:rsidRPr="00D10A57" w14:paraId="79C5607D"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0ED88260"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elektrotechnická, Lipník nad Bečvou, Tyršova 781</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230E61A9" w14:textId="089442DA"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5 000</w:t>
            </w:r>
          </w:p>
        </w:tc>
      </w:tr>
      <w:tr w:rsidR="0096367A" w:rsidRPr="00D10A57" w14:paraId="24BA746A"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2413A248"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Moravská střední škola s.r.o.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20457C33" w14:textId="3AD56017"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8 000</w:t>
            </w:r>
          </w:p>
        </w:tc>
      </w:tr>
      <w:tr w:rsidR="0096367A" w:rsidRPr="00D10A57" w14:paraId="770D9406"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2010CFB7"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průmyslová škola Hranice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3FFD64B7" w14:textId="26D4235B"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10 800</w:t>
            </w:r>
          </w:p>
        </w:tc>
      </w:tr>
      <w:tr w:rsidR="0096367A" w:rsidRPr="00D10A57" w14:paraId="3E92BDE9"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5EF49853"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Odborné učiliště Chroustovice, Zámek 1</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68848297" w14:textId="335D1B19"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6 000</w:t>
            </w:r>
          </w:p>
        </w:tc>
      </w:tr>
      <w:tr w:rsidR="0096367A" w:rsidRPr="00D10A57" w14:paraId="08965C05"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1E8C726E"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Bor, Plzeňská 231</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0D0EB730" w14:textId="15E55B09"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31 800</w:t>
            </w:r>
          </w:p>
        </w:tc>
      </w:tr>
      <w:tr w:rsidR="0096367A" w:rsidRPr="00D10A57" w14:paraId="5669A0A0"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0B54EC68"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Hotelová škola, Obchodní akademie a Střední průmyslová škola, Teplice, Benešovo náměstí 1,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53FE1B49" w14:textId="1AE230A7"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20 000</w:t>
            </w:r>
          </w:p>
        </w:tc>
      </w:tr>
      <w:tr w:rsidR="0096367A" w:rsidRPr="00D10A57" w14:paraId="7CCB7E10"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2D44038D"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obchodu a služeb s.r.o.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25490181" w14:textId="72713BF9"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155 300</w:t>
            </w:r>
          </w:p>
        </w:tc>
      </w:tr>
      <w:tr w:rsidR="0096367A" w:rsidRPr="00D10A57" w14:paraId="08669137"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25B0219A"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Vyšší odborná škola, Střední průmyslová škola a Střední odborná škola, Varnsdorf,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7105D919" w14:textId="7D16C055"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319 900</w:t>
            </w:r>
          </w:p>
        </w:tc>
      </w:tr>
      <w:tr w:rsidR="0096367A" w:rsidRPr="00D10A57" w14:paraId="1D86247F"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61DDABA4"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zdravotnická škola a Obchodní akademie, Rumburk,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100EA96B" w14:textId="6CDD66E6"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47 000</w:t>
            </w:r>
          </w:p>
        </w:tc>
      </w:tr>
      <w:tr w:rsidR="0096367A" w:rsidRPr="00D10A57" w14:paraId="66B992DA"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3E32DF93"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Soukromá obchodní akademie, spol. s r.o.</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40B7D029" w14:textId="04C186A9"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12 000</w:t>
            </w:r>
          </w:p>
        </w:tc>
      </w:tr>
      <w:tr w:rsidR="0096367A" w:rsidRPr="00D10A57" w14:paraId="79A9206C"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7843ACDA"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odborná škola a Střední odborné učiliště, Roudnice nad Labem, Neklanova 1806,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574B2A78" w14:textId="0F57B3AD"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42 000</w:t>
            </w:r>
          </w:p>
        </w:tc>
      </w:tr>
      <w:tr w:rsidR="0096367A" w:rsidRPr="00D10A57" w14:paraId="6111C0D7"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684DBF7A"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škola technická, Most, příspěvková organizace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09B7890F" w14:textId="3294A2C1"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96 000</w:t>
            </w:r>
          </w:p>
        </w:tc>
      </w:tr>
      <w:tr w:rsidR="0096367A" w:rsidRPr="00D10A57" w14:paraId="5007435C"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011FE162"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Odborné učiliště Kelč</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3F1627F2" w14:textId="0B3494B7"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174 900</w:t>
            </w:r>
          </w:p>
        </w:tc>
      </w:tr>
      <w:tr w:rsidR="0096367A" w:rsidRPr="00D10A57" w14:paraId="14DA2A0B" w14:textId="77777777" w:rsidTr="00046E09">
        <w:trPr>
          <w:trHeight w:val="15"/>
        </w:trPr>
        <w:tc>
          <w:tcPr>
            <w:tcW w:w="6934" w:type="dxa"/>
            <w:tcBorders>
              <w:top w:val="single" w:sz="8" w:space="0" w:color="auto"/>
              <w:left w:val="single" w:sz="8" w:space="0" w:color="auto"/>
              <w:bottom w:val="single" w:sz="8" w:space="0" w:color="auto"/>
              <w:right w:val="single" w:sz="8" w:space="0" w:color="auto"/>
            </w:tcBorders>
            <w:shd w:val="clear" w:color="auto" w:fill="auto"/>
            <w:vAlign w:val="bottom"/>
          </w:tcPr>
          <w:p w14:paraId="41AFFA90" w14:textId="77777777" w:rsidR="0096367A" w:rsidRPr="00D10A57" w:rsidRDefault="0096367A" w:rsidP="00D10A57">
            <w:pPr>
              <w:spacing w:after="0"/>
              <w:jc w:val="both"/>
              <w:rPr>
                <w:rFonts w:ascii="Arial" w:eastAsia="Calibri" w:hAnsi="Arial" w:cs="Arial"/>
                <w:color w:val="000000" w:themeColor="text1"/>
                <w:sz w:val="20"/>
                <w:szCs w:val="20"/>
              </w:rPr>
            </w:pPr>
            <w:r w:rsidRPr="00D10A57">
              <w:rPr>
                <w:rFonts w:ascii="Arial" w:eastAsia="Calibri" w:hAnsi="Arial" w:cs="Arial"/>
                <w:color w:val="000000" w:themeColor="text1"/>
                <w:sz w:val="20"/>
                <w:szCs w:val="20"/>
              </w:rPr>
              <w:t>Střední odborná škola Josefa Sousedíka Vsetín</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172C2D7F" w14:textId="7B39F8B5" w:rsidR="0096367A" w:rsidRPr="00D10A57" w:rsidRDefault="0096367A" w:rsidP="00D56307">
            <w:pPr>
              <w:spacing w:after="0"/>
              <w:jc w:val="right"/>
              <w:rPr>
                <w:rFonts w:ascii="Arial" w:eastAsia="Calibri" w:hAnsi="Arial" w:cs="Arial"/>
                <w:bCs/>
                <w:color w:val="000000" w:themeColor="text1"/>
                <w:sz w:val="20"/>
                <w:szCs w:val="20"/>
              </w:rPr>
            </w:pPr>
            <w:r w:rsidRPr="00D10A57">
              <w:rPr>
                <w:rFonts w:ascii="Arial" w:eastAsia="Calibri" w:hAnsi="Arial" w:cs="Arial"/>
                <w:bCs/>
                <w:color w:val="000000" w:themeColor="text1"/>
                <w:sz w:val="20"/>
                <w:szCs w:val="20"/>
              </w:rPr>
              <w:t>11 800</w:t>
            </w:r>
          </w:p>
        </w:tc>
      </w:tr>
    </w:tbl>
    <w:p w14:paraId="108BB7B9" w14:textId="77777777" w:rsidR="00D56307" w:rsidRDefault="00D56307" w:rsidP="00D10A57">
      <w:pPr>
        <w:jc w:val="both"/>
        <w:rPr>
          <w:rFonts w:ascii="Arial" w:eastAsia="Calibri" w:hAnsi="Arial" w:cs="Arial"/>
        </w:rPr>
      </w:pPr>
    </w:p>
    <w:p w14:paraId="5B13F1DF" w14:textId="77777777" w:rsidR="00A961AF" w:rsidRDefault="00A961AF">
      <w:pPr>
        <w:rPr>
          <w:rFonts w:ascii="Arial" w:eastAsia="Calibri" w:hAnsi="Arial" w:cs="Arial"/>
        </w:rPr>
      </w:pPr>
      <w:r>
        <w:rPr>
          <w:rFonts w:ascii="Arial" w:eastAsia="Calibri" w:hAnsi="Arial" w:cs="Arial"/>
        </w:rPr>
        <w:br w:type="page"/>
      </w:r>
    </w:p>
    <w:p w14:paraId="2732E4A9" w14:textId="77777777" w:rsidR="00F95F79" w:rsidRPr="00D10A57" w:rsidRDefault="00F95F79" w:rsidP="00D10A57">
      <w:pPr>
        <w:pStyle w:val="Nadpis1"/>
        <w:numPr>
          <w:ilvl w:val="0"/>
          <w:numId w:val="1"/>
        </w:numPr>
        <w:spacing w:line="240" w:lineRule="auto"/>
        <w:jc w:val="both"/>
        <w:rPr>
          <w:rFonts w:ascii="Arial" w:hAnsi="Arial" w:cs="Arial"/>
          <w:color w:val="auto"/>
          <w:sz w:val="24"/>
        </w:rPr>
      </w:pPr>
      <w:bookmarkStart w:id="12" w:name="_Toc112831376"/>
      <w:r w:rsidRPr="00D10A57">
        <w:rPr>
          <w:rFonts w:ascii="Arial" w:hAnsi="Arial" w:cs="Arial"/>
          <w:color w:val="auto"/>
          <w:sz w:val="24"/>
        </w:rPr>
        <w:lastRenderedPageBreak/>
        <w:t>Ministerstvo vnitra</w:t>
      </w:r>
      <w:bookmarkEnd w:id="12"/>
    </w:p>
    <w:p w14:paraId="667AE968" w14:textId="3B9967A6" w:rsidR="00F95F79" w:rsidRDefault="00F95F79" w:rsidP="00D10A57">
      <w:pPr>
        <w:pStyle w:val="Styl1"/>
      </w:pPr>
    </w:p>
    <w:p w14:paraId="072A14BD" w14:textId="7A050B46" w:rsidR="00ED7E0F" w:rsidRPr="007C763A" w:rsidRDefault="00ED7E0F" w:rsidP="007C763A">
      <w:pPr>
        <w:spacing w:line="240" w:lineRule="auto"/>
        <w:rPr>
          <w:b/>
          <w:bCs/>
        </w:rPr>
      </w:pPr>
      <w:r w:rsidRPr="00605AFD">
        <w:rPr>
          <w:rFonts w:ascii="Arial" w:hAnsi="Arial" w:cs="Arial"/>
          <w:b/>
          <w:bCs/>
          <w:color w:val="000000"/>
        </w:rPr>
        <w:t>Informace o plnění usnesení vlády týkajících se integrace romské menšiny a aktivního postupu státní správy při uskutečňování opatření přijatých souvisejícími usneseními vlády ke dni 31. 12. 2021</w:t>
      </w:r>
    </w:p>
    <w:p w14:paraId="0764F94C" w14:textId="77777777" w:rsidR="00354D23" w:rsidRDefault="00354D23" w:rsidP="00D10A57">
      <w:pPr>
        <w:pStyle w:val="Styl1"/>
        <w:rPr>
          <w:b/>
        </w:rPr>
      </w:pPr>
      <w:r w:rsidRPr="00354D23">
        <w:rPr>
          <w:b/>
        </w:rPr>
        <w:t>Usnesením vlády ze dne 11. května 2016 č. 416, k Revizi úkolů vyplývajících z usnesení vlády, týkajících se integrace romské menšiny, vláda uložila ministru vnitra průběžně:</w:t>
      </w:r>
    </w:p>
    <w:p w14:paraId="389E47C1" w14:textId="77777777" w:rsidR="00077345" w:rsidRPr="00187DCA" w:rsidRDefault="007D0A61" w:rsidP="00D10A57">
      <w:pPr>
        <w:pStyle w:val="Styl1"/>
        <w:rPr>
          <w:b/>
          <w:bCs/>
          <w:iCs/>
        </w:rPr>
      </w:pPr>
      <w:r w:rsidRPr="00187DCA">
        <w:rPr>
          <w:b/>
          <w:bCs/>
          <w:iCs/>
        </w:rPr>
        <w:t xml:space="preserve">a) </w:t>
      </w:r>
      <w:r w:rsidR="00077345" w:rsidRPr="00187DCA">
        <w:rPr>
          <w:b/>
          <w:bCs/>
          <w:iCs/>
        </w:rPr>
        <w:t>zařazovat témata integrace romské menšiny mezi významné výzkumy resortu.</w:t>
      </w:r>
    </w:p>
    <w:p w14:paraId="2B33814B" w14:textId="77777777" w:rsidR="00077345" w:rsidRPr="00D10A57" w:rsidRDefault="00077345" w:rsidP="00D10A57">
      <w:pPr>
        <w:pStyle w:val="Styl1"/>
      </w:pPr>
      <w:r w:rsidRPr="00D10A57">
        <w:t xml:space="preserve">V roce 2021 nebyl realizován žádný výzkum. </w:t>
      </w:r>
    </w:p>
    <w:p w14:paraId="71F3ED57" w14:textId="77777777" w:rsidR="00077345" w:rsidRPr="00187DCA" w:rsidRDefault="007D0A61" w:rsidP="00D10A57">
      <w:pPr>
        <w:pStyle w:val="Styl1"/>
        <w:rPr>
          <w:b/>
          <w:bCs/>
          <w:iCs/>
        </w:rPr>
      </w:pPr>
      <w:r w:rsidRPr="00187DCA">
        <w:rPr>
          <w:b/>
          <w:bCs/>
          <w:iCs/>
        </w:rPr>
        <w:t xml:space="preserve">b) </w:t>
      </w:r>
      <w:r w:rsidR="00077345" w:rsidRPr="00187DCA">
        <w:rPr>
          <w:b/>
          <w:bCs/>
          <w:iCs/>
        </w:rPr>
        <w:t>působit, na základě poznatků z výkonu dozoru nad vydáváním a obsahem obecně závazných vyhlášek územních samosprávných celků, usnesení, rozhodnutí a jiných opatření jejich orgánů, preventivně formou doporučení pro obce a kraje s cílem předcházet diskriminačním praktikám, například v oblasti přístupu k obecnímu bytovému fondu nebo v oblasti veřejného pořádku.</w:t>
      </w:r>
    </w:p>
    <w:p w14:paraId="35E50D4E" w14:textId="4FF6ADE9" w:rsidR="00077345" w:rsidRPr="00D10A57" w:rsidRDefault="00077345" w:rsidP="00D10A57">
      <w:pPr>
        <w:pStyle w:val="Styl1"/>
      </w:pPr>
      <w:r w:rsidRPr="00D10A57">
        <w:t>Odbor veřejné správy, dozoru a kontroly M</w:t>
      </w:r>
      <w:r w:rsidR="008D306E">
        <w:t>V</w:t>
      </w:r>
      <w:r w:rsidRPr="00D10A57">
        <w:t xml:space="preserve"> (dále jen „ODK“) v roce 2021 posuzoval zákonnost 9872 obecně závazných vyhlášek a 6811 jejich návrhů. Při jejich posouzení v rámci abstraktní kontroly zákonnosti nezjistil, že by obce přímo diskriminovaly některou skupinu občanů z důvodu rasy, národnosti či etnika.</w:t>
      </w:r>
    </w:p>
    <w:p w14:paraId="2F3C35FD" w14:textId="77D97705" w:rsidR="00077345" w:rsidRPr="00D10A57" w:rsidRDefault="00077345" w:rsidP="00D10A57">
      <w:pPr>
        <w:pStyle w:val="Styl1"/>
      </w:pPr>
      <w:r w:rsidRPr="00D10A57">
        <w:t>ODK věnuje v rámci své dozorové činnosti nad obecně závaznými vyhláškami obcí dlouhodobě pozornost problematice segregace ve školství a své poznatky a doporučení, jakož i poznatky M</w:t>
      </w:r>
      <w:r w:rsidR="008D306E">
        <w:t>ŠMT</w:t>
      </w:r>
      <w:r w:rsidRPr="00D10A57">
        <w:t xml:space="preserve"> a Kanceláře veřejného ochránce práv zapracoval již v roce 2017 do Metodického doporučení k činnosti ÚSC č. 6 - Tvorba obecně závazných vyhlášek (stanovení školských obvodů spádových mateřských a základních škol). Toto doporučení bylo distribuováno obcím v tištěné podobě a je trvale přístupné na webových stránkách M</w:t>
      </w:r>
      <w:r w:rsidR="008D306E">
        <w:t>V</w:t>
      </w:r>
      <w:r w:rsidRPr="00D10A57">
        <w:t>.</w:t>
      </w:r>
    </w:p>
    <w:p w14:paraId="33EFFDC8" w14:textId="1DA684DC" w:rsidR="00077345" w:rsidRPr="00D10A57" w:rsidRDefault="00077345" w:rsidP="00D10A57">
      <w:pPr>
        <w:pStyle w:val="Styl1"/>
      </w:pPr>
      <w:r w:rsidRPr="00D10A57">
        <w:t xml:space="preserve">V rámci plnění úkolů stanovených Strategií sociálního začleňování 2021−2030 provádí </w:t>
      </w:r>
      <w:r w:rsidR="008D306E">
        <w:t>ODK</w:t>
      </w:r>
      <w:r w:rsidRPr="00D10A57">
        <w:t xml:space="preserve"> M</w:t>
      </w:r>
      <w:r w:rsidR="008D306E">
        <w:t>V</w:t>
      </w:r>
      <w:r w:rsidRPr="00D10A57">
        <w:t xml:space="preserve"> posuzování zákonnosti pravidel (zásad) pro přidělování obecních bytů. Pravidla pro přidělování obecních bytů, zjištěná v rámci kontrolní činnosti M</w:t>
      </w:r>
      <w:r w:rsidR="008D306E">
        <w:t>V</w:t>
      </w:r>
      <w:r w:rsidRPr="00D10A57">
        <w:t xml:space="preserve"> nebo na základě podnětu, jsou posuzována po obsahové stránce z pohledu případné diskriminace a možnosti omezení přístupu k bytům. Důležitým aspektem celé problematiky je skutečnost, že obce nemají povinnost vydat pravidla pro přidělování obecních bytů. Vyhodnocení dozoru viz níže v rámci pasáže týkající se naplňování Strategií sociálního začleňování 2021−2030.</w:t>
      </w:r>
    </w:p>
    <w:p w14:paraId="79492A8F" w14:textId="1843AD0A" w:rsidR="008D306E" w:rsidRPr="00187DCA" w:rsidRDefault="007D0A61" w:rsidP="00D10A57">
      <w:pPr>
        <w:pStyle w:val="Styl3"/>
        <w:numPr>
          <w:ilvl w:val="0"/>
          <w:numId w:val="0"/>
        </w:numPr>
      </w:pPr>
      <w:r w:rsidRPr="00187DCA">
        <w:rPr>
          <w:bCs w:val="0"/>
          <w:iCs/>
        </w:rPr>
        <w:t>c)</w:t>
      </w:r>
      <w:r w:rsidRPr="00187DCA">
        <w:t xml:space="preserve"> </w:t>
      </w:r>
      <w:r w:rsidR="00077345" w:rsidRPr="00187DCA">
        <w:t>zařazovat do vybraných vzdělávacích programů pro úředníky územních samosprávných celků téma antidiskriminačního přístupu k občanům, zavádění principů dobré správy do praxe a multikulturní výchovy</w:t>
      </w:r>
    </w:p>
    <w:p w14:paraId="0C758FCC" w14:textId="77777777" w:rsidR="001518D8" w:rsidRDefault="001518D8" w:rsidP="007C763A">
      <w:pPr>
        <w:pStyle w:val="Styl3"/>
        <w:numPr>
          <w:ilvl w:val="0"/>
          <w:numId w:val="0"/>
        </w:numPr>
      </w:pPr>
    </w:p>
    <w:p w14:paraId="151A307F" w14:textId="77520630" w:rsidR="00077345" w:rsidRPr="00D10A57" w:rsidRDefault="00077345" w:rsidP="00D10A57">
      <w:pPr>
        <w:pStyle w:val="Styl1"/>
      </w:pPr>
      <w:r w:rsidRPr="00D10A57">
        <w:t>M</w:t>
      </w:r>
      <w:r w:rsidR="008D306E">
        <w:t>V</w:t>
      </w:r>
      <w:r w:rsidRPr="00D10A57">
        <w:t xml:space="preserve"> mělo v roce 2021 akreditovány tyto vzdělávací programy pro úředníky územních samosprávných celků v oblasti multikulturní komunikace, sociální integrace a antidiskriminačním přístupům k občanům:</w:t>
      </w:r>
    </w:p>
    <w:tbl>
      <w:tblPr>
        <w:tblStyle w:val="Mkatabulky"/>
        <w:tblW w:w="0" w:type="auto"/>
        <w:tblLook w:val="04A0" w:firstRow="1" w:lastRow="0" w:firstColumn="1" w:lastColumn="0" w:noHBand="0" w:noVBand="1"/>
      </w:tblPr>
      <w:tblGrid>
        <w:gridCol w:w="1980"/>
        <w:gridCol w:w="7082"/>
      </w:tblGrid>
      <w:tr w:rsidR="00077345" w:rsidRPr="00D10A57" w14:paraId="0355B0A3" w14:textId="77777777" w:rsidTr="00EA170B">
        <w:tc>
          <w:tcPr>
            <w:tcW w:w="1980" w:type="dxa"/>
            <w:vAlign w:val="center"/>
          </w:tcPr>
          <w:p w14:paraId="28C33222" w14:textId="77777777" w:rsidR="00077345" w:rsidRPr="00D10A57" w:rsidRDefault="00077345" w:rsidP="00D10A57">
            <w:pPr>
              <w:pStyle w:val="Styl1"/>
              <w:spacing w:after="0"/>
              <w:rPr>
                <w:sz w:val="20"/>
                <w:szCs w:val="20"/>
              </w:rPr>
            </w:pPr>
            <w:r w:rsidRPr="00D10A57">
              <w:rPr>
                <w:sz w:val="20"/>
                <w:szCs w:val="20"/>
              </w:rPr>
              <w:t>bfz o.p.s.</w:t>
            </w:r>
          </w:p>
        </w:tc>
        <w:tc>
          <w:tcPr>
            <w:tcW w:w="7082" w:type="dxa"/>
            <w:vAlign w:val="center"/>
          </w:tcPr>
          <w:p w14:paraId="63670C74" w14:textId="77777777" w:rsidR="00077345" w:rsidRPr="00D10A57" w:rsidRDefault="00077345" w:rsidP="00D10A57">
            <w:pPr>
              <w:pStyle w:val="Styl1"/>
              <w:spacing w:after="0"/>
              <w:rPr>
                <w:sz w:val="20"/>
                <w:szCs w:val="20"/>
              </w:rPr>
            </w:pPr>
            <w:r w:rsidRPr="00D10A57">
              <w:rPr>
                <w:sz w:val="20"/>
                <w:szCs w:val="20"/>
              </w:rPr>
              <w:t>Specifika práce s romskou rodinou</w:t>
            </w:r>
          </w:p>
        </w:tc>
      </w:tr>
    </w:tbl>
    <w:p w14:paraId="0965FF50" w14:textId="77777777" w:rsidR="001518D8" w:rsidRDefault="001518D8" w:rsidP="00D10A57">
      <w:pPr>
        <w:pStyle w:val="Styl1"/>
      </w:pPr>
    </w:p>
    <w:p w14:paraId="290045FA" w14:textId="77777777" w:rsidR="00077345" w:rsidRPr="00D10A57" w:rsidRDefault="00077345" w:rsidP="00D10A57">
      <w:pPr>
        <w:pStyle w:val="Styl1"/>
      </w:pPr>
      <w:r w:rsidRPr="00D10A57">
        <w:t xml:space="preserve">V roce 2021 Institut pro veřejnou správu Praha žádný aktivní kurz k romské problematice nenabízel. V portfoliu sice má kurzy Obec a romská problematika, Romská problematika </w:t>
      </w:r>
      <w:r w:rsidRPr="00D10A57">
        <w:lastRenderedPageBreak/>
        <w:t>v územních samosprávných celcích, Romská menšina z pohledu územní samosprávy a Historie a kultura Romů, nicméně pro dlouhodobý nezájem je už ale nevypisuje.</w:t>
      </w:r>
    </w:p>
    <w:p w14:paraId="0A895E37" w14:textId="20C44A10" w:rsidR="00077345" w:rsidRPr="00D10A57" w:rsidRDefault="00077345" w:rsidP="00D10A57">
      <w:pPr>
        <w:pStyle w:val="Styl1"/>
      </w:pPr>
      <w:r w:rsidRPr="00D10A57">
        <w:t>Od roku 2010 Vyšší policejní škola a Střední policejní škola MV v</w:t>
      </w:r>
      <w:r w:rsidR="008D306E">
        <w:t> </w:t>
      </w:r>
      <w:r w:rsidRPr="00D10A57">
        <w:t>Holešově</w:t>
      </w:r>
      <w:r w:rsidR="008D306E">
        <w:t xml:space="preserve"> (dále jen „VPŠ a SPŠ MV v Holešově“)</w:t>
      </w:r>
      <w:r w:rsidRPr="00D10A57">
        <w:t xml:space="preserve"> realizovala dva projekty zaměřené na vzdělávání žáků z národnostních menšin v oboru vzdělání Bezpečnostně právní činnost (kód 68-42-M/01) „Příprava a výběr žáků z národnostních menšin ke vzdělávání ve VPŠ a SPŠ MV v Holešově“ a „Vzdělávání žáků národnostních menšin ve VPŠ a SPŠ MV v Holešově“. Oba projekty byly spolufinancovány Evropským sociálním fondem prostřednictvím Operačního programu Vzdělávání pro konkurenceschopnost a státním rozpočtem České republiky. Pětiletá udržitelnost projektů zaměřená na vzdělávání žáků národnostních menšin ve VPŠ a SPŠ MV v Holešově byla v červnu 2018 ukončena.</w:t>
      </w:r>
    </w:p>
    <w:p w14:paraId="52F02804" w14:textId="77777777" w:rsidR="00077345" w:rsidRPr="00D10A57" w:rsidRDefault="00077345" w:rsidP="00D10A57">
      <w:pPr>
        <w:pStyle w:val="Styl1"/>
      </w:pPr>
      <w:r w:rsidRPr="00D10A57">
        <w:t>Škola realizuje již třetím rokem školní projekt „Integrace cizinců v rámci středního odborného vzdělávání v oboru Bezpečnostně právní činnost (kód 68-42-M/01) ve VPŠ a SPŠ MV v Holešově“. Projekt vychází mimo jiné z priorit stanovených ve Strategii pro práci Policie ČR ve vztahu k národnostním menšinám do roku 2020. Ukončení projektu je stanoveno na srpen 2022.</w:t>
      </w:r>
    </w:p>
    <w:p w14:paraId="623BF898" w14:textId="77777777" w:rsidR="00077345" w:rsidRPr="00D10A57" w:rsidRDefault="00077345" w:rsidP="00D10A57">
      <w:pPr>
        <w:pStyle w:val="Styl1"/>
      </w:pPr>
      <w:r w:rsidRPr="00D10A57">
        <w:t>Školní projekt „Integrace cizinců v rámci středního odborného vzdělávání v oboru Bezpečnostně právní činnost (kód 68-42-M/01) ve VPŠ a SPŠ MV v Holešově je plně financován z rozpočtu školy.</w:t>
      </w:r>
    </w:p>
    <w:p w14:paraId="31BCC293" w14:textId="77777777" w:rsidR="00077345" w:rsidRPr="00D10A57" w:rsidRDefault="00077345" w:rsidP="00D10A57">
      <w:pPr>
        <w:pStyle w:val="Styl1"/>
      </w:pPr>
      <w:r w:rsidRPr="00D10A57">
        <w:t>Cílovou skupinou projektu jsou cizinci a příslušníci národnostních menšin – žáci 8. a 9. tříd základních škol a jejich rodiče, dále pak již přijatí žáci ke vzdělávání ve čtyřletém vzdělávacím programu v oboru Bezpečnostně právní činnost.</w:t>
      </w:r>
    </w:p>
    <w:p w14:paraId="318155B3" w14:textId="0AC77801" w:rsidR="00077345" w:rsidRPr="00D10A57" w:rsidRDefault="00077345" w:rsidP="00D10A57">
      <w:pPr>
        <w:pStyle w:val="Styl1"/>
      </w:pPr>
      <w:r w:rsidRPr="00D10A57">
        <w:t>Členové realizačního týmu projektu „Integrace cizinců v rámci středního odborného vzdělávání v oboru Bezpečnostně právní činnost (kód 68-42-M/01) ve VPŠ a SPŠ MV v Holešově“ úzce spolupracují s krajskými koordinátory pro romské záležitosti a romskými poradci. Dále spolupracuj</w:t>
      </w:r>
      <w:r w:rsidR="004D132A">
        <w:t>í</w:t>
      </w:r>
      <w:r w:rsidRPr="00D10A57">
        <w:t xml:space="preserve"> s Centry na podporu integrace cizinců, krajskými úřady – odbory školství, mládeže a tělovýchovy, </w:t>
      </w:r>
      <w:r w:rsidR="004D132A">
        <w:t>ÚP ČR</w:t>
      </w:r>
      <w:r w:rsidRPr="00D10A57">
        <w:t>, pedagogicko-psychologickými poradnami, výchovnými pracovníky základních škol a personálními odbory Policie ČR v rámci výběru vhodných uchazečů ke vzdělávání v oboru vzdělání Bezpečnostně právní činnost ve VPŠ a SPŠ MV v Holešově.</w:t>
      </w:r>
    </w:p>
    <w:p w14:paraId="49C174C4" w14:textId="77777777" w:rsidR="00077345" w:rsidRPr="00D10A57" w:rsidRDefault="00077345" w:rsidP="00D10A57">
      <w:pPr>
        <w:pStyle w:val="Styl1"/>
      </w:pPr>
      <w:r w:rsidRPr="00D10A57">
        <w:t>Zkušenosti se systematickým vzděláváním Romů má škola již od roku 2007. Ve školním roce 2020/2021 se v oboru vzdělání Bezpečnostně právní činnost vzdělávali 2 žáci hlásící se k romské národnosti.</w:t>
      </w:r>
    </w:p>
    <w:p w14:paraId="1DA95AA6" w14:textId="436EDBCF" w:rsidR="00077345" w:rsidRPr="00D10A57" w:rsidRDefault="00077345" w:rsidP="00D10A57">
      <w:pPr>
        <w:pStyle w:val="Styl1"/>
      </w:pPr>
      <w:r w:rsidRPr="00D10A57">
        <w:t xml:space="preserve">Policie ČR má upravenu formu práce s menšinami pokynem policejního prezidenta č. 258 ze dne 20. prosince 2013 o činnosti na úseku menšin. Na základě tohoto pokynu jsou mimo jiné v jednotlivých krajích zřizovány pozice styčného důstojníka a pracovní skupiny pro práci s menšinami. V současné době </w:t>
      </w:r>
      <w:r w:rsidRPr="00D10A57">
        <w:rPr>
          <w:b/>
        </w:rPr>
        <w:t>Policie ČR disponuje 14 styčnými důstojníky</w:t>
      </w:r>
      <w:r w:rsidRPr="00D10A57">
        <w:t xml:space="preserve"> (dále jen „SD“) při všech </w:t>
      </w:r>
      <w:r w:rsidR="004D132A">
        <w:t>Krajských ředitelství policie (dále jen „</w:t>
      </w:r>
      <w:r w:rsidRPr="00D10A57">
        <w:t>KŘP</w:t>
      </w:r>
      <w:r w:rsidR="004D132A">
        <w:t>“)</w:t>
      </w:r>
      <w:r w:rsidRPr="00D10A57">
        <w:t>, které metodicky vede a koordinuje SD Ředitelství služby pořádkové policie P</w:t>
      </w:r>
      <w:r w:rsidR="004D132A">
        <w:t>olicejního prezídia</w:t>
      </w:r>
      <w:r w:rsidRPr="00D10A57">
        <w:t xml:space="preserve"> ČR (</w:t>
      </w:r>
      <w:r w:rsidR="004D132A">
        <w:t>dále jen „</w:t>
      </w:r>
      <w:r w:rsidRPr="00D10A57">
        <w:t>ŘSPP</w:t>
      </w:r>
      <w:r w:rsidR="004D132A">
        <w:t>“</w:t>
      </w:r>
      <w:r w:rsidRPr="00D10A57">
        <w:t xml:space="preserve">). Policie ČR tedy disponuje 14 pracovními skupinami, ve kterých pracuje celkem 258 členů. V rámci plnění úkolů na úseku práce s menšinami dochází k cílevědomému posilování metodického, personálního a organizačního zázemí Policie ČR a posilování důvěry mezi příslušníky menšinových skupin a Policií ČR. Hlavním principem policejní práce na úseku menšin je otevřená komunikace s menšinovými skupinami založená na vzájemné důvěře a respektu. Policie ČR usiluje o prohloubení vazeb s dalšími zainteresovanými státními i neziskovými subjekty, se kterými spolupracuje při řešení kritických situací minoritních skupin a osob ohrožených sociálním vyloučením. Policie ČR se prostřednictvím SD a jejich pracovních </w:t>
      </w:r>
      <w:r w:rsidRPr="00D10A57">
        <w:lastRenderedPageBreak/>
        <w:t>skupin podílí zejména na situační prevenci</w:t>
      </w:r>
      <w:r w:rsidR="004D132A">
        <w:t>.</w:t>
      </w:r>
      <w:r w:rsidRPr="00D10A57">
        <w:t xml:space="preserve"> </w:t>
      </w:r>
      <w:r w:rsidR="004D132A">
        <w:t>P</w:t>
      </w:r>
      <w:r w:rsidRPr="00D10A57">
        <w:t xml:space="preserve">ůsobením přímo v ohnisku vzniklého problému předchází opakování trestné činnosti, případně vytváří podmínky k odvracení odvetných akcí. Policie ČR disponuje zásluhou </w:t>
      </w:r>
      <w:r w:rsidR="004D132A">
        <w:t>SD</w:t>
      </w:r>
      <w:r w:rsidRPr="00D10A57">
        <w:t xml:space="preserve"> a pracovních skupin relevantními informacemi a kontakty, na jejichž základě dokáže úspěšně předvídat ohniska možných konfliktů a ve spolupráci s organizacemi působícími v SVL je schopna nacházet společné řešení konkrétních problémů, včas zamezit případným negativním tendencím a tím přispívá ke stabilizaci vztahů uvnitř lokalit se zvýšenou koncentrací menšin a předchází problémům soužití s majoritní částí obyvatelstva. Policie ČR tak sehrává důležitou roli při prevenci i řešení konfliktů v SV</w:t>
      </w:r>
      <w:r w:rsidR="008D306E">
        <w:t>L</w:t>
      </w:r>
      <w:r w:rsidRPr="00D10A57">
        <w:t xml:space="preserve"> a jejich okolí.</w:t>
      </w:r>
    </w:p>
    <w:p w14:paraId="050744CF" w14:textId="41B31642" w:rsidR="00077345" w:rsidRPr="00D10A57" w:rsidRDefault="00077345" w:rsidP="00D10A57">
      <w:pPr>
        <w:pStyle w:val="Styl1"/>
      </w:pPr>
      <w:r w:rsidRPr="00D10A57">
        <w:t xml:space="preserve">Ředitelství služby pořádkové policie PP ČR v roce 2021 pokračovalo ve vedení projektu č. 6 – </w:t>
      </w:r>
      <w:r w:rsidRPr="00D10A57">
        <w:rPr>
          <w:b/>
        </w:rPr>
        <w:t>„Zavádění policejních specialistů pro práci s romskou menšinou v sociálně vyloučených lokalitách“</w:t>
      </w:r>
      <w:r w:rsidRPr="00D10A57">
        <w:t xml:space="preserve">, reg. č. NF-CZ14-PDP-6-005-2014, který byl součástí programu CZ-14 (Spolupráce v rámci Schengenu a boj proti přeshraniční a organizované trestné činnosti, včetně nezákonného obchodování s lidmi a migraci zločineckých skupin). Předmětná projektová aktivita byla identifikována rovněž v souvislosti s potřebou naplňování cílů dokumentu „Strategie pro práci Policie České republiky ve vztahu k menšinám“. Tento projekt bude až do dubna 2022 naplňován v režimu udržitelnosti. Mezi hlavní cíle projektu patřilo vyškolení celkem </w:t>
      </w:r>
      <w:r w:rsidRPr="00D10A57">
        <w:rPr>
          <w:b/>
        </w:rPr>
        <w:t>40 policistů</w:t>
      </w:r>
      <w:r w:rsidRPr="00D10A57">
        <w:t xml:space="preserve"> základních organizačních článků policie, jejichž výkon služby je orientován zejména na přímý výkon služby mezi romskou menšinou, dále zvýšení kvalifikace stávajících styčných důstojníků pro menšiny jednotlivých KŘP a proškolení 10 policejních manažerů k uvedené problematice. Přínosem je zefektivnění činnosti útvarů Policie ČR v oblasti práce s romskou menšinou v </w:t>
      </w:r>
      <w:r w:rsidR="004D132A">
        <w:t>SVL</w:t>
      </w:r>
      <w:r w:rsidRPr="00D10A57">
        <w:t>, zajištění vzájemné výměny informací mezi organizačními složkami Policie ČR, které se bezprostředně podílejí na této problematice a zabezpečení koordinace činností zejména mezi Policií ČR a M</w:t>
      </w:r>
      <w:r w:rsidR="00242201">
        <w:t>V</w:t>
      </w:r>
      <w:r w:rsidRPr="00D10A57">
        <w:t>, orgány státní správy a samosprávy</w:t>
      </w:r>
      <w:r w:rsidR="00242201">
        <w:t>, NNO</w:t>
      </w:r>
      <w:r w:rsidRPr="00D10A57">
        <w:t xml:space="preserve"> a dalšími pomáhajícími subjekty. Cílů projektu bylo dosaženo. </w:t>
      </w:r>
    </w:p>
    <w:p w14:paraId="02E77D03" w14:textId="77777777" w:rsidR="00077345" w:rsidRPr="00D56307" w:rsidRDefault="00077345" w:rsidP="00D56307">
      <w:pPr>
        <w:pStyle w:val="Styl1"/>
        <w:rPr>
          <w:b/>
        </w:rPr>
      </w:pPr>
      <w:r w:rsidRPr="00D56307">
        <w:rPr>
          <w:b/>
        </w:rPr>
        <w:t>Současný stav specialistů v rámci KŘP</w:t>
      </w:r>
    </w:p>
    <w:p w14:paraId="05B39E55" w14:textId="77777777" w:rsidR="00077345" w:rsidRPr="00D10A57" w:rsidRDefault="00077345" w:rsidP="00D10A57">
      <w:pPr>
        <w:pStyle w:val="Styl1"/>
        <w:numPr>
          <w:ilvl w:val="0"/>
          <w:numId w:val="18"/>
        </w:numPr>
      </w:pPr>
      <w:r w:rsidRPr="00D10A57">
        <w:t xml:space="preserve">Krajské ředitelství policie Moravskoslezského kraje </w:t>
      </w:r>
      <w:r w:rsidRPr="00D10A57">
        <w:tab/>
        <w:t xml:space="preserve">- 28 specialistů </w:t>
      </w:r>
    </w:p>
    <w:p w14:paraId="56CDC5DF" w14:textId="77777777" w:rsidR="00077345" w:rsidRPr="00D10A57" w:rsidRDefault="00077345" w:rsidP="00D10A57">
      <w:pPr>
        <w:pStyle w:val="Styl1"/>
        <w:numPr>
          <w:ilvl w:val="0"/>
          <w:numId w:val="18"/>
        </w:numPr>
      </w:pPr>
      <w:r w:rsidRPr="00D10A57">
        <w:t>Krajské ředitelství policie Olomouckého kraje</w:t>
      </w:r>
      <w:r w:rsidRPr="00D10A57">
        <w:tab/>
      </w:r>
      <w:r w:rsidRPr="00D10A57">
        <w:tab/>
        <w:t xml:space="preserve">- 12 specialistů </w:t>
      </w:r>
    </w:p>
    <w:p w14:paraId="2F2CE62D" w14:textId="77777777" w:rsidR="00077345" w:rsidRPr="00D10A57" w:rsidRDefault="00077345" w:rsidP="00D10A57">
      <w:pPr>
        <w:pStyle w:val="Styl1"/>
        <w:numPr>
          <w:ilvl w:val="0"/>
          <w:numId w:val="18"/>
        </w:numPr>
      </w:pPr>
      <w:r w:rsidRPr="00D10A57">
        <w:t xml:space="preserve">Krajské ředitelství policie Karlovarského kraje </w:t>
      </w:r>
      <w:r w:rsidRPr="00D10A57">
        <w:tab/>
      </w:r>
      <w:r w:rsidRPr="00D10A57">
        <w:tab/>
        <w:t>- 10 specialistů</w:t>
      </w:r>
    </w:p>
    <w:p w14:paraId="688725A9" w14:textId="77777777" w:rsidR="00077345" w:rsidRPr="00D10A57" w:rsidRDefault="00077345" w:rsidP="00D10A57">
      <w:pPr>
        <w:pStyle w:val="Styl1"/>
        <w:numPr>
          <w:ilvl w:val="0"/>
          <w:numId w:val="18"/>
        </w:numPr>
      </w:pPr>
      <w:r w:rsidRPr="00D10A57">
        <w:t xml:space="preserve">Krajské ředitelství policie Ústeckého kraje </w:t>
      </w:r>
      <w:r w:rsidRPr="00D10A57">
        <w:tab/>
      </w:r>
      <w:r w:rsidRPr="00D10A57">
        <w:tab/>
        <w:t xml:space="preserve"> </w:t>
      </w:r>
      <w:r w:rsidRPr="00D10A57">
        <w:tab/>
        <w:t>- 10 specialistů</w:t>
      </w:r>
    </w:p>
    <w:p w14:paraId="23BCB204" w14:textId="77777777" w:rsidR="00077345" w:rsidRPr="00D10A57" w:rsidRDefault="00077345" w:rsidP="00D10A57">
      <w:pPr>
        <w:pStyle w:val="Styl1"/>
      </w:pPr>
      <w:r w:rsidRPr="00D10A57">
        <w:t>V rámci Policie ČR se na práci s menšinami v roce 2021 specializovalo 14 styčných důstojníků, 258 členů pracovních skupin a 60 specialistů pro práci s menšinami. Celkem se v rámci Policie ČR specializuje na práci s menšinami 332 policistů (dále jen „policejních specialistů“).</w:t>
      </w:r>
    </w:p>
    <w:p w14:paraId="19061354" w14:textId="77777777" w:rsidR="00077345" w:rsidRPr="00D10A57" w:rsidRDefault="00077345" w:rsidP="00D10A57">
      <w:pPr>
        <w:pStyle w:val="Styl1"/>
      </w:pPr>
      <w:r w:rsidRPr="00D10A57">
        <w:t>V režimu udržitelnosti projektu byly v roce 2021 nakoupeny notebooky, mobilní telefony a další zařízení. Tento nákup z části pokryl nutnou obměnu vybavení policejních specialistů pro práci s menšinami a dílem byl určen k dovybavení policistů, kteří se policejními specialisty stali v roce 2020. Nákup nových zařízení pro dovybavení nově ustanovených specialistů se týkal celkem 14 ks notebooků, 5 ks mobilních telefonů a 9 ks SIM karet. K obměně stávajících zařízení bylo nakoupeno 7 ks bezdrátových kompletů klávesnice s myší a 5 ks notebooků.</w:t>
      </w:r>
    </w:p>
    <w:p w14:paraId="1920491F" w14:textId="77777777" w:rsidR="00077345" w:rsidRPr="00D10A57" w:rsidRDefault="00077345" w:rsidP="00D10A57">
      <w:pPr>
        <w:pStyle w:val="Styl1"/>
      </w:pPr>
      <w:r w:rsidRPr="00D10A57">
        <w:t>Dne 7. září 2021 se konala schůzka policejního prezidenta s metodikem policejní práce ve vztahu k menšinám ŘSPP a představiteli významných romských organizací, která se týkala bezpečnostní situace a medializace zákroků Policie ČR proti Stanislavu Tomášovi v Teplicích a při potyčce vodáků s místními Romy v Sokolově.</w:t>
      </w:r>
    </w:p>
    <w:p w14:paraId="06A1E84E" w14:textId="49712844" w:rsidR="00077345" w:rsidRPr="00D10A57" w:rsidRDefault="00077345" w:rsidP="00D10A57">
      <w:pPr>
        <w:pStyle w:val="Styl1"/>
      </w:pPr>
      <w:r w:rsidRPr="00D10A57">
        <w:t xml:space="preserve">Ve dnech 29. – 30. září 2021 se vedení ŘSPP, metodik a </w:t>
      </w:r>
      <w:r w:rsidR="00242201">
        <w:t>SD</w:t>
      </w:r>
      <w:r w:rsidRPr="00D10A57">
        <w:t xml:space="preserve"> všech KŘP zúčastnili </w:t>
      </w:r>
      <w:r w:rsidRPr="00D10A57">
        <w:rPr>
          <w:b/>
        </w:rPr>
        <w:t xml:space="preserve">pracovního jednání </w:t>
      </w:r>
      <w:r w:rsidR="00242201">
        <w:rPr>
          <w:b/>
        </w:rPr>
        <w:t>SD</w:t>
      </w:r>
      <w:r w:rsidRPr="00D10A57">
        <w:rPr>
          <w:b/>
        </w:rPr>
        <w:t xml:space="preserve"> pro menšiny Policie ČR a krajských koordinátorů pro romské záležitosti</w:t>
      </w:r>
      <w:r w:rsidRPr="00D10A57">
        <w:t xml:space="preserve">, </w:t>
      </w:r>
      <w:r w:rsidRPr="00D10A57">
        <w:lastRenderedPageBreak/>
        <w:t>které se konalo v účelovém zařízení M</w:t>
      </w:r>
      <w:r w:rsidR="00242201">
        <w:t>V</w:t>
      </w:r>
      <w:r w:rsidRPr="00D10A57">
        <w:t xml:space="preserve"> Spiritka. Část tohoto jednání byla vyčleněna pro samostatnou poradu se </w:t>
      </w:r>
      <w:r w:rsidR="00242201">
        <w:t>SD</w:t>
      </w:r>
      <w:r w:rsidRPr="00D10A57">
        <w:t xml:space="preserve">, ze které vzešla nová koncepce vyhotovování zpráv KŘP o činnosti na úseku menšin. </w:t>
      </w:r>
    </w:p>
    <w:p w14:paraId="0C59BB1A" w14:textId="4A335080" w:rsidR="00077345" w:rsidRPr="00D10A57" w:rsidRDefault="00077345" w:rsidP="00D10A57">
      <w:pPr>
        <w:pStyle w:val="Styl1"/>
      </w:pPr>
      <w:r w:rsidRPr="00D10A57">
        <w:t>V roce 2021 se policejní specialisté pro práci s menšinami podíleli na řadě jednání týkajících se nepokojů mezi Romy, které vyvolaly zákroky policie v Teplicích, Sokolově, Přerově a Hradci Králové. Na jednáních byla dohodnuta spolupráce s</w:t>
      </w:r>
      <w:r w:rsidR="00242201">
        <w:t xml:space="preserve"> organizací </w:t>
      </w:r>
      <w:r w:rsidRPr="00D10A57">
        <w:t>Romodrom</w:t>
      </w:r>
      <w:r w:rsidR="00242201">
        <w:t xml:space="preserve">, </w:t>
      </w:r>
      <w:r w:rsidRPr="00D10A57">
        <w:t>členy Rady vlády pro </w:t>
      </w:r>
      <w:r w:rsidR="00242201">
        <w:t xml:space="preserve">záležitosti </w:t>
      </w:r>
      <w:r w:rsidRPr="00D10A57">
        <w:t xml:space="preserve">romské </w:t>
      </w:r>
      <w:r w:rsidR="00242201">
        <w:t>menšiny</w:t>
      </w:r>
      <w:r w:rsidRPr="00D10A57">
        <w:t xml:space="preserve"> a církevními představiteli při organizaci multidisciplinárních jednání, která budou v následujících letech realizována postupně v jednotlivých krajích. Smyslem těchto setkání je budování vzájemné důvěry, navazování kontaktů a dohodnutí společné strategie pro zklidňování situace v případě vzniku podobných problematických situací, jaké byly řešeny v roce 2021.</w:t>
      </w:r>
    </w:p>
    <w:p w14:paraId="696B81DA" w14:textId="0B2414D5" w:rsidR="00077345" w:rsidRPr="00D10A57" w:rsidRDefault="00077345" w:rsidP="00D10A57">
      <w:pPr>
        <w:pStyle w:val="Styl1"/>
      </w:pPr>
      <w:r w:rsidRPr="00D10A57">
        <w:t xml:space="preserve">V roce 2021 </w:t>
      </w:r>
      <w:r w:rsidR="00242201">
        <w:t>pokračovalo</w:t>
      </w:r>
      <w:r w:rsidRPr="00D10A57">
        <w:t xml:space="preserve"> mapování SVL a jejich vyhodnocení ve vztahu k potenciálním bezpečnostním hrozbám a rizikům. Výstupem tohoto úsilí je ucelený přehled lokalit se zvýšenou koncentrací menšin. </w:t>
      </w:r>
    </w:p>
    <w:p w14:paraId="5C6164E1" w14:textId="77777777" w:rsidR="00077345" w:rsidRPr="00D10A57" w:rsidRDefault="00077345" w:rsidP="00D10A57">
      <w:pPr>
        <w:pStyle w:val="Styl1"/>
      </w:pPr>
      <w:r w:rsidRPr="00D10A57">
        <w:t xml:space="preserve">Již od začátku roku 2020 realizuje Policie ČR </w:t>
      </w:r>
      <w:r w:rsidRPr="00D10A57">
        <w:rPr>
          <w:b/>
        </w:rPr>
        <w:t>kampaň</w:t>
      </w:r>
      <w:r w:rsidRPr="00D10A57">
        <w:t xml:space="preserve">, zaměřenou </w:t>
      </w:r>
      <w:r w:rsidRPr="00D10A57">
        <w:rPr>
          <w:b/>
        </w:rPr>
        <w:t>na zvýšení zájmu příslušníků menšin o práci u Policie ČR</w:t>
      </w:r>
      <w:r w:rsidRPr="00D10A57">
        <w:t xml:space="preserve">. Cílem kampaně je prohloubit a zvýšit důvěru příslušníků menšin v práci Policie ČR a napomoci k zaměstnávání příslušníků menšin v řadách Policie ČR, přičemž souvisejícím významným cílem je podpora integrace osob z menšinového prostředí. Tento trend významně podporuje i účast SD a členů pracovních skupin na besedách a přednáškách a předáváním informací přímo v prostředí SVL, škol a nízkoprahových zařízení. </w:t>
      </w:r>
    </w:p>
    <w:p w14:paraId="1F680008" w14:textId="77777777" w:rsidR="00077345" w:rsidRPr="00D10A57" w:rsidRDefault="00077345" w:rsidP="00D10A57">
      <w:pPr>
        <w:pStyle w:val="Styl1"/>
      </w:pPr>
      <w:r w:rsidRPr="00D10A57">
        <w:t>Mezi hlavní aktivity policejních specialistů v roce 2021 lze zařadit řadu jednání, týkajících se nepokojů mezi Romy, které vyvolaly zákroky policie v Teplicích, Sokolově, Přerově a Hradci Králové. Na těchto jednáních byly úspěšně aplikovány principy budování vzájemné důvěry a v několika případech došlo k odvrácení tendencí ke konání protestních akcí, které byly vyvolány šířením nepravdivých zpráv na sociálních sítích.</w:t>
      </w:r>
    </w:p>
    <w:p w14:paraId="73D5E2C8" w14:textId="023FED80" w:rsidR="00077345" w:rsidRPr="00D10A57" w:rsidRDefault="00077345" w:rsidP="00D10A57">
      <w:pPr>
        <w:pStyle w:val="Styl1"/>
      </w:pPr>
      <w:r w:rsidRPr="00D10A57">
        <w:t>SD a členové pracovních skupin pro menšiny se v roce 2021 účastnili aktivit a jednání multidisciplinárních týmů řešících problematiku menšin a sociálního vyloučení. Mezi příklady těchto aktivit patří:</w:t>
      </w:r>
    </w:p>
    <w:p w14:paraId="6F6A157A" w14:textId="77777777" w:rsidR="00077345" w:rsidRPr="00D10A57" w:rsidRDefault="00077345" w:rsidP="007C763A">
      <w:pPr>
        <w:pStyle w:val="Styl1"/>
        <w:numPr>
          <w:ilvl w:val="0"/>
          <w:numId w:val="36"/>
        </w:numPr>
      </w:pPr>
      <w:r w:rsidRPr="00D10A57">
        <w:t>Účast na jednáních Rady vlády pro záležitosti romské menšiny.</w:t>
      </w:r>
    </w:p>
    <w:p w14:paraId="53C6EF37" w14:textId="77777777" w:rsidR="00077345" w:rsidRPr="00D10A57" w:rsidRDefault="00077345" w:rsidP="007C763A">
      <w:pPr>
        <w:pStyle w:val="Styl1"/>
        <w:numPr>
          <w:ilvl w:val="0"/>
          <w:numId w:val="36"/>
        </w:numPr>
      </w:pPr>
      <w:r w:rsidRPr="00D10A57">
        <w:t>Účast na realizaci projektu městských obvodů Moravská Ostrava a Přívoz, Ostrava- Jih, Ostrava - Poruba, Ostrava - Vítkovice a Slezská Ostrava statutárního města Ostrava „Posílení prevence kriminality v Ostravě prostřednictvím asistentů prevence kriminality a multidisciplinárního přístupu“.</w:t>
      </w:r>
    </w:p>
    <w:p w14:paraId="11D4019A" w14:textId="77777777" w:rsidR="00077345" w:rsidRPr="00D10A57" w:rsidRDefault="00077345" w:rsidP="007C763A">
      <w:pPr>
        <w:pStyle w:val="Styl1"/>
        <w:numPr>
          <w:ilvl w:val="0"/>
          <w:numId w:val="36"/>
        </w:numPr>
      </w:pPr>
      <w:r w:rsidRPr="00D10A57">
        <w:t>Účast na pravidelných jednáních krajských výborů pro národnostní menšiny a pracovních jednáních státní správy, které pořádá Centrum na podporu integrace cizinců.</w:t>
      </w:r>
    </w:p>
    <w:p w14:paraId="0D4E24A6" w14:textId="77777777" w:rsidR="00077345" w:rsidRPr="00D10A57" w:rsidRDefault="00077345" w:rsidP="007C763A">
      <w:pPr>
        <w:pStyle w:val="Styl1"/>
        <w:numPr>
          <w:ilvl w:val="0"/>
          <w:numId w:val="36"/>
        </w:numPr>
      </w:pPr>
      <w:r w:rsidRPr="00D10A57">
        <w:t>Jednání s Federací židovských obcí v České republice, Židovským muzeem v Praze a Chabadem Lubavitch – Czech Republic o.p.s..</w:t>
      </w:r>
    </w:p>
    <w:p w14:paraId="09E0B486" w14:textId="77777777" w:rsidR="00077345" w:rsidRPr="00D10A57" w:rsidRDefault="00077345" w:rsidP="007C763A">
      <w:pPr>
        <w:pStyle w:val="Styl1"/>
        <w:numPr>
          <w:ilvl w:val="0"/>
          <w:numId w:val="36"/>
        </w:numPr>
      </w:pPr>
      <w:r w:rsidRPr="00D10A57">
        <w:t>Účast na příměstském táboře pro romské děti, který pořádal IQ Roma servis Břeclav. Cílem příměstského tábora je vytváření důvěry v Policii ČR.</w:t>
      </w:r>
    </w:p>
    <w:p w14:paraId="0C7A1F59" w14:textId="77777777" w:rsidR="00077345" w:rsidRPr="00D10A57" w:rsidRDefault="00077345" w:rsidP="007C763A">
      <w:pPr>
        <w:pStyle w:val="Styl1"/>
        <w:numPr>
          <w:ilvl w:val="0"/>
          <w:numId w:val="36"/>
        </w:numPr>
      </w:pPr>
      <w:r w:rsidRPr="00D10A57">
        <w:t>Participace na preventivních projektech města Mělníka a Mladé Boleslavi „Bezpečné město“, které spočívají ve vzájemném informování o zjištěných problémech v dané lokalitě a hledání okamžitých řešení.</w:t>
      </w:r>
    </w:p>
    <w:p w14:paraId="44114251" w14:textId="77777777" w:rsidR="00077345" w:rsidRPr="00D10A57" w:rsidRDefault="00077345" w:rsidP="00D10A57">
      <w:pPr>
        <w:pStyle w:val="Styl1"/>
      </w:pPr>
      <w:r w:rsidRPr="00D10A57">
        <w:lastRenderedPageBreak/>
        <w:t>Mezi významné aktivity v rámci policejní práce s menšinami patří účast na akcích pořádaných romskými organizacemi, jako je například:</w:t>
      </w:r>
    </w:p>
    <w:p w14:paraId="652A04FA" w14:textId="77777777" w:rsidR="00077345" w:rsidRPr="00D10A57" w:rsidRDefault="00077345" w:rsidP="007C763A">
      <w:pPr>
        <w:pStyle w:val="Styl1"/>
        <w:numPr>
          <w:ilvl w:val="0"/>
          <w:numId w:val="37"/>
        </w:numPr>
      </w:pPr>
      <w:r w:rsidRPr="00D10A57">
        <w:t>Účast styčných důstojníků na pietním aktu u památníku romského holokaustu v obci Lety.</w:t>
      </w:r>
    </w:p>
    <w:p w14:paraId="180DC5B6" w14:textId="77777777" w:rsidR="00077345" w:rsidRPr="00D10A57" w:rsidRDefault="00077345" w:rsidP="007C763A">
      <w:pPr>
        <w:pStyle w:val="Styl1"/>
        <w:numPr>
          <w:ilvl w:val="0"/>
          <w:numId w:val="37"/>
        </w:numPr>
      </w:pPr>
      <w:r w:rsidRPr="00D10A57">
        <w:t xml:space="preserve">Účast na pohřbech lokálně významných Romů v Ústí nad Labem, v Dubanech (okr. Prostějov) a v Kojetíně. </w:t>
      </w:r>
    </w:p>
    <w:p w14:paraId="63669741" w14:textId="6986EADD" w:rsidR="00077345" w:rsidRPr="00D10A57" w:rsidRDefault="00077345" w:rsidP="00B65625">
      <w:pPr>
        <w:pStyle w:val="Styl1"/>
      </w:pPr>
      <w:r w:rsidRPr="00D10A57">
        <w:t xml:space="preserve">Realizace většiny plánovaných aktivit však byla z důvodu omezení v souvislosti s pandemií </w:t>
      </w:r>
      <w:r w:rsidR="0032169D">
        <w:t>c</w:t>
      </w:r>
      <w:r w:rsidRPr="00D10A57">
        <w:t>ovid</w:t>
      </w:r>
      <w:r w:rsidR="0032169D">
        <w:t>-</w:t>
      </w:r>
      <w:r w:rsidRPr="00D10A57">
        <w:t>19 zrušena, nebo přesunuta na rok 2022.</w:t>
      </w:r>
    </w:p>
    <w:p w14:paraId="71C58508" w14:textId="77777777" w:rsidR="00077345" w:rsidRDefault="007D0A61" w:rsidP="00D10A57">
      <w:pPr>
        <w:pStyle w:val="Styl3"/>
        <w:numPr>
          <w:ilvl w:val="0"/>
          <w:numId w:val="0"/>
        </w:numPr>
      </w:pPr>
      <w:r w:rsidRPr="007C763A">
        <w:rPr>
          <w:bCs w:val="0"/>
          <w:iCs/>
        </w:rPr>
        <w:t>d)</w:t>
      </w:r>
      <w:r w:rsidRPr="00D10A57">
        <w:t xml:space="preserve"> </w:t>
      </w:r>
      <w:r w:rsidR="00077345" w:rsidRPr="00D10A57">
        <w:t>začleňovat poznatky a praktické zkušenosti koordinátorů pro záležitosti romské menšiny a romských poradců a poskytovatelů sociálních služeb příslušníkům romské menšiny do celoživotního vzdělávání příslušníků a zaměstnanců Policie České republiky.</w:t>
      </w:r>
    </w:p>
    <w:p w14:paraId="418D7DBD" w14:textId="77777777" w:rsidR="003312AB" w:rsidRPr="00D10A57" w:rsidRDefault="003312AB" w:rsidP="00D10A57">
      <w:pPr>
        <w:pStyle w:val="Styl3"/>
        <w:numPr>
          <w:ilvl w:val="0"/>
          <w:numId w:val="0"/>
        </w:numPr>
      </w:pPr>
    </w:p>
    <w:p w14:paraId="6C1DA2FC" w14:textId="77777777" w:rsidR="00077345" w:rsidRPr="00D10A57" w:rsidRDefault="00077345" w:rsidP="00D10A57">
      <w:pPr>
        <w:pStyle w:val="Styl1"/>
      </w:pPr>
      <w:r w:rsidRPr="00D10A57">
        <w:t xml:space="preserve">V </w:t>
      </w:r>
      <w:r w:rsidRPr="00D10A57">
        <w:rPr>
          <w:b/>
          <w:bCs/>
        </w:rPr>
        <w:t xml:space="preserve">oblasti terciárního vzdělávání policistů </w:t>
      </w:r>
      <w:r w:rsidRPr="00D10A57">
        <w:t>se problematika romské integrace promítá do modulů zaměřených na právní disciplíny. Nejvýrazněji se však odráží v modulu Multikulturní společnost. V rámci komunikace v multikulturním prostředí jsou zmiňovány dvě základní, nejvíce zastoupené komunity v ČR – romská a vietnamská – v tématu: Rasismus a práce policistů ČR s menšinami se zaměřením na vietnamskou a romskou komunitu. Cílem je výchova policistů k respektu a toleranci s důrazem na hodnotu lidství. Důraz je kladen na komunikaci a jednání bez rasových a xenofobních prvků.</w:t>
      </w:r>
    </w:p>
    <w:p w14:paraId="480289E5" w14:textId="54764DB4" w:rsidR="00077345" w:rsidRPr="00D10A57" w:rsidRDefault="00077345" w:rsidP="00D10A57">
      <w:pPr>
        <w:pStyle w:val="Styl1"/>
      </w:pPr>
      <w:r w:rsidRPr="00D10A57">
        <w:t>Nad rámec usnesení vlády týkajících se integrace romské menšiny a aktivního postupu státní správy při uskutečňování opatření přijatých souvisejícími usneseními vlády ke dni 31. </w:t>
      </w:r>
      <w:r w:rsidR="00B342BD">
        <w:t>prosince</w:t>
      </w:r>
      <w:r w:rsidRPr="00D10A57">
        <w:t xml:space="preserve"> 2021 realizovala škola v listopadu 2021 třídenní kurz „Policista v multikulturním prostředí“. Kurzu se zúčastnilo 16 policistů z </w:t>
      </w:r>
      <w:r w:rsidR="00B342BD">
        <w:t>KŘP</w:t>
      </w:r>
      <w:r w:rsidRPr="00D10A57">
        <w:t xml:space="preserve"> Ostrava, Brno, Olomouc a Zlín. Součástí kurzu byla přednáška v rozsahu deseti vyučovacích hodin k nové Strategii rovnosti, začlenění a participace Romů (Strategie romské integrace) 2021 - 2030.</w:t>
      </w:r>
    </w:p>
    <w:p w14:paraId="2470E2D8" w14:textId="77777777" w:rsidR="00D56307" w:rsidRDefault="00077345" w:rsidP="00D10A57">
      <w:pPr>
        <w:pStyle w:val="Styl1"/>
        <w:rPr>
          <w:b/>
          <w:szCs w:val="24"/>
        </w:rPr>
      </w:pPr>
      <w:r w:rsidRPr="00D10A57">
        <w:t xml:space="preserve">Přednáška byla zejména zaměřena </w:t>
      </w:r>
      <w:r w:rsidRPr="00D10A57">
        <w:rPr>
          <w:b/>
        </w:rPr>
        <w:t xml:space="preserve">na oblast anticiganismu, diskriminace z důvodu romské národnosti </w:t>
      </w:r>
      <w:r w:rsidRPr="00D10A57">
        <w:t>a praktické zkušenosti policistů v jednotlivých krajích s občany národnostních menšin.</w:t>
      </w:r>
    </w:p>
    <w:p w14:paraId="19BB4B58" w14:textId="77777777" w:rsidR="00077345" w:rsidRPr="00D10A57" w:rsidRDefault="00077345" w:rsidP="00D10A57">
      <w:pPr>
        <w:pStyle w:val="Styl1"/>
        <w:rPr>
          <w:b/>
          <w:szCs w:val="24"/>
        </w:rPr>
      </w:pPr>
      <w:r w:rsidRPr="00D10A57">
        <w:rPr>
          <w:b/>
          <w:szCs w:val="24"/>
        </w:rPr>
        <w:t>Doplňující informace pro zpracování Zprávy o stavu romské menšiny v České republice za rok 2021</w:t>
      </w:r>
    </w:p>
    <w:p w14:paraId="41461E66" w14:textId="7F8EC317" w:rsidR="00077345" w:rsidRPr="00D10A57" w:rsidRDefault="00077345" w:rsidP="00D10A57">
      <w:pPr>
        <w:pStyle w:val="Styl1"/>
      </w:pPr>
      <w:r w:rsidRPr="00D10A57">
        <w:t>M</w:t>
      </w:r>
      <w:r w:rsidR="00B342BD">
        <w:t>V</w:t>
      </w:r>
      <w:r w:rsidRPr="00D10A57">
        <w:t xml:space="preserve"> dlouhodobě a systémově podporuje </w:t>
      </w:r>
      <w:r w:rsidRPr="00D10A57">
        <w:rPr>
          <w:b/>
        </w:rPr>
        <w:t>specifické projekty zvyšující bezpečí v sociálně vyloučených lokalitách,</w:t>
      </w:r>
      <w:r w:rsidRPr="00D10A57">
        <w:t xml:space="preserve"> a to jak finanční podporou, tak vydáváním metodik, pořádáním seminářů a konferencí. </w:t>
      </w:r>
    </w:p>
    <w:p w14:paraId="3A090812" w14:textId="6991B614" w:rsidR="00077345" w:rsidRPr="00D10A57" w:rsidRDefault="00077345" w:rsidP="00D10A57">
      <w:pPr>
        <w:pStyle w:val="Styl1"/>
      </w:pPr>
      <w:r w:rsidRPr="00D10A57">
        <w:t>M</w:t>
      </w:r>
      <w:r w:rsidR="00B342BD">
        <w:t>V</w:t>
      </w:r>
      <w:r w:rsidRPr="00D10A57">
        <w:t xml:space="preserve"> pokračovalo v podpoře preventivních aktivit v rámci </w:t>
      </w:r>
      <w:r w:rsidRPr="00D10A57">
        <w:rPr>
          <w:b/>
        </w:rPr>
        <w:t xml:space="preserve">Programu prevence kriminality na místní úrovni 2021 </w:t>
      </w:r>
      <w:r w:rsidRPr="00D10A57">
        <w:t>(dále jen „Program PK“) v souladu s vládou schválenou „Strategií prevence kriminality v České republice na léta 2016 až 2020“, prodloužené usnesením vlády č. 652 ze dne 15. června 2020.</w:t>
      </w:r>
    </w:p>
    <w:p w14:paraId="07876C4A" w14:textId="77777777" w:rsidR="00077345" w:rsidRPr="00D10A57" w:rsidRDefault="00077345" w:rsidP="00D10A57">
      <w:pPr>
        <w:pStyle w:val="Styl1"/>
      </w:pPr>
      <w:r w:rsidRPr="00D10A57">
        <w:t xml:space="preserve">Hlavními cíli Programu PK bylo </w:t>
      </w:r>
      <w:r w:rsidRPr="00D10A57">
        <w:rPr>
          <w:b/>
        </w:rPr>
        <w:t>posílení pocitu bezpečí občanů, eliminace kriminálně rizikových jevů a ochrana lokálních komunit</w:t>
      </w:r>
      <w:r w:rsidRPr="00D10A57">
        <w:t xml:space="preserve"> před kriminalitou. </w:t>
      </w:r>
    </w:p>
    <w:p w14:paraId="71520CE0" w14:textId="160309EA" w:rsidR="00077345" w:rsidRPr="00D10A57" w:rsidRDefault="00077345" w:rsidP="00D10A57">
      <w:pPr>
        <w:pStyle w:val="Styl1"/>
      </w:pPr>
      <w:r w:rsidRPr="00D10A57">
        <w:t xml:space="preserve">Nejdůležitější podmínky byly zachovány z předchozích let (soulad se </w:t>
      </w:r>
      <w:r w:rsidR="00B342BD" w:rsidRPr="00D10A57">
        <w:t>Strategií prevence kriminality v České republice na léta 2016 až 2020</w:t>
      </w:r>
      <w:r w:rsidRPr="00D10A57">
        <w:t xml:space="preserve">, pracovní skupina prevence kriminality, </w:t>
      </w:r>
      <w:r w:rsidRPr="00D10A57">
        <w:lastRenderedPageBreak/>
        <w:t>manažer prevence kriminality, víceletá strategie PK na místní úrovni, bezpečnostní analýza ad.).</w:t>
      </w:r>
    </w:p>
    <w:p w14:paraId="73C4DDD7" w14:textId="759456CA" w:rsidR="00077345" w:rsidRPr="00D10A57" w:rsidRDefault="00077345" w:rsidP="00D10A57">
      <w:pPr>
        <w:pStyle w:val="Styl1"/>
      </w:pPr>
      <w:r w:rsidRPr="00D10A57">
        <w:t xml:space="preserve">Nově byly v Zásadách zavedeny limity na počet podpořených </w:t>
      </w:r>
      <w:r w:rsidR="00B342BD">
        <w:t>asistentů na prevenci kriminality (dále jen „</w:t>
      </w:r>
      <w:r w:rsidRPr="00D10A57">
        <w:t>APK</w:t>
      </w:r>
      <w:r w:rsidR="00B342BD">
        <w:t>“)</w:t>
      </w:r>
      <w:r w:rsidRPr="00D10A57">
        <w:t>, a to na max. 4 APK.</w:t>
      </w:r>
    </w:p>
    <w:p w14:paraId="627F73AB" w14:textId="0DA01806" w:rsidR="00077345" w:rsidRPr="00D10A57" w:rsidRDefault="003312AB" w:rsidP="00D10A57">
      <w:pPr>
        <w:pStyle w:val="Styl1"/>
      </w:pPr>
      <w:r>
        <w:t>M</w:t>
      </w:r>
      <w:r w:rsidR="00B342BD">
        <w:t>V</w:t>
      </w:r>
      <w:r w:rsidR="00077345" w:rsidRPr="00D10A57">
        <w:t xml:space="preserve"> posuzovalo</w:t>
      </w:r>
      <w:r w:rsidR="00077345" w:rsidRPr="00D10A57">
        <w:rPr>
          <w:b/>
        </w:rPr>
        <w:t xml:space="preserve"> 206 žádostí 106 žadatelů </w:t>
      </w:r>
      <w:r w:rsidR="00077345" w:rsidRPr="00D10A57">
        <w:t>(obcí, měst, krajů)</w:t>
      </w:r>
      <w:r w:rsidR="00077345" w:rsidRPr="00D10A57">
        <w:rPr>
          <w:b/>
        </w:rPr>
        <w:t xml:space="preserve">, </w:t>
      </w:r>
      <w:r w:rsidR="00077345" w:rsidRPr="00D10A57">
        <w:t xml:space="preserve">z toho 19 žádostí 11 krajů. Současně byly komisi podány informace o předloni schválených „víceletých“ projektech, které pokračují i v roce 2021, a se kterými je potřeba v dotacích na rok 2021 již počítat. </w:t>
      </w:r>
    </w:p>
    <w:p w14:paraId="4E855CFC" w14:textId="4E338030" w:rsidR="00077345" w:rsidRPr="00D10A57" w:rsidRDefault="00077345" w:rsidP="00D10A57">
      <w:pPr>
        <w:pStyle w:val="Styl1"/>
      </w:pPr>
      <w:r w:rsidRPr="00D10A57">
        <w:rPr>
          <w:b/>
        </w:rPr>
        <w:t>Celkové požadavky na dotaci v r. 2021 byly ve výši 66</w:t>
      </w:r>
      <w:r w:rsidR="000A5CC1">
        <w:rPr>
          <w:b/>
        </w:rPr>
        <w:t> </w:t>
      </w:r>
      <w:r w:rsidRPr="00D10A57">
        <w:rPr>
          <w:b/>
        </w:rPr>
        <w:t>611</w:t>
      </w:r>
      <w:r w:rsidR="000A5CC1">
        <w:rPr>
          <w:b/>
        </w:rPr>
        <w:t xml:space="preserve"> </w:t>
      </w:r>
      <w:r w:rsidRPr="00D10A57">
        <w:rPr>
          <w:b/>
        </w:rPr>
        <w:t xml:space="preserve">757 Kč, </w:t>
      </w:r>
      <w:r w:rsidRPr="00D10A57">
        <w:t>z toho 25</w:t>
      </w:r>
      <w:r w:rsidR="000A5CC1">
        <w:t> </w:t>
      </w:r>
      <w:r w:rsidRPr="00D10A57">
        <w:t>796</w:t>
      </w:r>
      <w:r w:rsidR="000A5CC1">
        <w:t xml:space="preserve"> </w:t>
      </w:r>
      <w:r w:rsidRPr="00D10A57">
        <w:t>863 Kč na investice a 40</w:t>
      </w:r>
      <w:r w:rsidR="000A5CC1">
        <w:t> </w:t>
      </w:r>
      <w:r w:rsidRPr="00D10A57">
        <w:t>814</w:t>
      </w:r>
      <w:r w:rsidR="000A5CC1">
        <w:t xml:space="preserve"> </w:t>
      </w:r>
      <w:r w:rsidRPr="00D10A57">
        <w:t xml:space="preserve">894 Kč na neinvestiční projekty. Víceleté projekty schválené v 2019 činily pro rok 2021 </w:t>
      </w:r>
      <w:r w:rsidRPr="00D10A57">
        <w:rPr>
          <w:bCs/>
        </w:rPr>
        <w:t>9</w:t>
      </w:r>
      <w:r w:rsidR="000A5CC1">
        <w:rPr>
          <w:bCs/>
        </w:rPr>
        <w:t> </w:t>
      </w:r>
      <w:r w:rsidRPr="00D10A57">
        <w:rPr>
          <w:bCs/>
        </w:rPr>
        <w:t>204</w:t>
      </w:r>
      <w:r w:rsidR="000A5CC1">
        <w:rPr>
          <w:bCs/>
        </w:rPr>
        <w:t xml:space="preserve"> </w:t>
      </w:r>
      <w:r w:rsidRPr="00D10A57">
        <w:rPr>
          <w:bCs/>
        </w:rPr>
        <w:t xml:space="preserve">560 </w:t>
      </w:r>
      <w:r w:rsidRPr="00D10A57">
        <w:t>Kč</w:t>
      </w:r>
    </w:p>
    <w:p w14:paraId="6D4CFEAB" w14:textId="6ED399D7" w:rsidR="00077345" w:rsidRPr="00D10A57" w:rsidRDefault="00077345" w:rsidP="00D10A57">
      <w:pPr>
        <w:pStyle w:val="Styl1"/>
        <w:rPr>
          <w:b/>
        </w:rPr>
      </w:pPr>
      <w:r w:rsidRPr="00D10A57">
        <w:rPr>
          <w:b/>
        </w:rPr>
        <w:t>MV disponovalo částkou 55</w:t>
      </w:r>
      <w:r w:rsidR="000A5CC1">
        <w:rPr>
          <w:b/>
        </w:rPr>
        <w:t> </w:t>
      </w:r>
      <w:r w:rsidRPr="00D10A57">
        <w:rPr>
          <w:b/>
        </w:rPr>
        <w:t>118</w:t>
      </w:r>
      <w:r w:rsidR="000A5CC1">
        <w:rPr>
          <w:b/>
        </w:rPr>
        <w:t xml:space="preserve"> 231,31 </w:t>
      </w:r>
      <w:r w:rsidRPr="00D10A57">
        <w:rPr>
          <w:b/>
        </w:rPr>
        <w:t xml:space="preserve">Kč, </w:t>
      </w:r>
      <w:r w:rsidRPr="00D10A57">
        <w:t>ve skladbě 18</w:t>
      </w:r>
      <w:r w:rsidR="000A5CC1">
        <w:t> 566 438</w:t>
      </w:r>
      <w:r w:rsidRPr="00D10A57">
        <w:t xml:space="preserve"> Kč investičních prostředků a 36</w:t>
      </w:r>
      <w:r w:rsidR="000A5CC1">
        <w:t> </w:t>
      </w:r>
      <w:r w:rsidRPr="00D10A57">
        <w:t>867</w:t>
      </w:r>
      <w:r w:rsidR="000A5CC1">
        <w:t xml:space="preserve"> </w:t>
      </w:r>
      <w:r w:rsidRPr="00D10A57">
        <w:t>435,85 Kč na neinvestiční akce. V neinvestičních prostředcích je nutno odečíst částku 9</w:t>
      </w:r>
      <w:r w:rsidR="000A5CC1">
        <w:t> </w:t>
      </w:r>
      <w:r w:rsidRPr="00D10A57">
        <w:t>204</w:t>
      </w:r>
      <w:r w:rsidR="000A5CC1">
        <w:t xml:space="preserve"> </w:t>
      </w:r>
      <w:r w:rsidRPr="00D10A57">
        <w:t>560 Kč víceletých projektů schválených v r. 2019 s částkou na r. 2021. Pro nové žádosti na rok 2021 tak MV disponovalo částkou ve výši 27</w:t>
      </w:r>
      <w:r w:rsidR="000A5CC1">
        <w:t> </w:t>
      </w:r>
      <w:r w:rsidRPr="00D10A57">
        <w:t>662</w:t>
      </w:r>
      <w:r w:rsidR="000A5CC1">
        <w:t xml:space="preserve"> </w:t>
      </w:r>
      <w:r w:rsidRPr="00D10A57">
        <w:t>875,85 Kč neinvestičních prostředků, s investicemi celkem 46</w:t>
      </w:r>
      <w:r w:rsidR="000A5CC1">
        <w:t> </w:t>
      </w:r>
      <w:r w:rsidRPr="00D10A57">
        <w:t>229</w:t>
      </w:r>
      <w:r w:rsidR="000A5CC1">
        <w:t xml:space="preserve"> </w:t>
      </w:r>
      <w:r w:rsidRPr="00D10A57">
        <w:t>313,85 Kč. Celkově tak</w:t>
      </w:r>
      <w:r w:rsidRPr="00D10A57">
        <w:rPr>
          <w:b/>
        </w:rPr>
        <w:t xml:space="preserve"> požadavky na dotace vysoce převyšovaly prostředky, které byly k dispozici. </w:t>
      </w:r>
    </w:p>
    <w:p w14:paraId="3DD2DF21" w14:textId="46C1BC26" w:rsidR="00077345" w:rsidRPr="00D10A57" w:rsidRDefault="00077345" w:rsidP="00D10A57">
      <w:pPr>
        <w:pStyle w:val="Styl1"/>
      </w:pPr>
      <w:r w:rsidRPr="00D10A57">
        <w:t>V případě investičních projektů bylo vzhledem k nedostatku finančních prostře</w:t>
      </w:r>
      <w:r w:rsidR="003312AB">
        <w:t>dků nutné přistoupit k tomu, že nebyly podpořeny projekty</w:t>
      </w:r>
      <w:r w:rsidRPr="00D10A57">
        <w:t xml:space="preserve"> u obcí s nejnižší kriminalitou dle indexu kriminality obce, a to těch s hodnotou indexu kriminality nižší</w:t>
      </w:r>
      <w:r w:rsidR="000A5CC1">
        <w:t xml:space="preserve"> </w:t>
      </w:r>
      <w:r w:rsidRPr="00D10A57">
        <w:t>než 100.</w:t>
      </w:r>
    </w:p>
    <w:p w14:paraId="5DC6DC50" w14:textId="4E675EFA" w:rsidR="00077345" w:rsidRPr="00D10A57" w:rsidRDefault="00077345" w:rsidP="00D10A57">
      <w:pPr>
        <w:pStyle w:val="Styl1"/>
        <w:rPr>
          <w:b/>
        </w:rPr>
      </w:pPr>
      <w:r w:rsidRPr="00D10A57">
        <w:rPr>
          <w:b/>
        </w:rPr>
        <w:t>Celkově byly přiděleny dotace v součtu 45</w:t>
      </w:r>
      <w:r w:rsidR="000A5CC1">
        <w:rPr>
          <w:b/>
        </w:rPr>
        <w:t> </w:t>
      </w:r>
      <w:r w:rsidRPr="00D10A57">
        <w:rPr>
          <w:b/>
        </w:rPr>
        <w:t>955</w:t>
      </w:r>
      <w:r w:rsidR="000A5CC1">
        <w:rPr>
          <w:b/>
        </w:rPr>
        <w:t xml:space="preserve"> </w:t>
      </w:r>
      <w:r w:rsidRPr="00D10A57">
        <w:rPr>
          <w:b/>
        </w:rPr>
        <w:t xml:space="preserve">998 Kč, </w:t>
      </w:r>
      <w:r w:rsidRPr="00D10A57">
        <w:t>z toho 15</w:t>
      </w:r>
      <w:r w:rsidR="000A5CC1">
        <w:t> </w:t>
      </w:r>
      <w:r w:rsidRPr="00D10A57">
        <w:t>569</w:t>
      </w:r>
      <w:r w:rsidR="000A5CC1">
        <w:t xml:space="preserve"> </w:t>
      </w:r>
      <w:r w:rsidRPr="00D10A57">
        <w:t>886 Kč investičních projektů a 30</w:t>
      </w:r>
      <w:r w:rsidR="000A5CC1">
        <w:t> </w:t>
      </w:r>
      <w:r w:rsidRPr="00D10A57">
        <w:t>240</w:t>
      </w:r>
      <w:r w:rsidR="000A5CC1">
        <w:t xml:space="preserve"> </w:t>
      </w:r>
      <w:r w:rsidRPr="00D10A57">
        <w:t xml:space="preserve">512 Kč na neinvestiční projekty. Dalších </w:t>
      </w:r>
      <w:r w:rsidRPr="00D10A57">
        <w:rPr>
          <w:bCs/>
        </w:rPr>
        <w:t>9</w:t>
      </w:r>
      <w:r w:rsidR="000A5CC1">
        <w:rPr>
          <w:bCs/>
        </w:rPr>
        <w:t> </w:t>
      </w:r>
      <w:r w:rsidRPr="00D10A57">
        <w:rPr>
          <w:bCs/>
        </w:rPr>
        <w:t>204</w:t>
      </w:r>
      <w:r w:rsidR="000A5CC1">
        <w:rPr>
          <w:bCs/>
        </w:rPr>
        <w:t xml:space="preserve"> </w:t>
      </w:r>
      <w:r w:rsidRPr="00D10A57">
        <w:rPr>
          <w:bCs/>
        </w:rPr>
        <w:t xml:space="preserve">560 </w:t>
      </w:r>
      <w:r w:rsidRPr="00D10A57">
        <w:t>Kč bylo uvolněno na víceleté projekty z roku 2019, které v roce 2021 pokračují.</w:t>
      </w:r>
    </w:p>
    <w:p w14:paraId="30FED569" w14:textId="64139126" w:rsidR="00077345" w:rsidRPr="00D10A57" w:rsidRDefault="00077345" w:rsidP="00D10A57">
      <w:pPr>
        <w:pStyle w:val="Styl1"/>
      </w:pPr>
      <w:r w:rsidRPr="00D10A57">
        <w:rPr>
          <w:b/>
        </w:rPr>
        <w:t>Nejvyšší dotace</w:t>
      </w:r>
      <w:r w:rsidRPr="00D10A57">
        <w:t xml:space="preserve"> byly přiděleny v rámci Ústeckého, Olomouckého a Moravskoslezského</w:t>
      </w:r>
      <w:r w:rsidRPr="00D10A57">
        <w:rPr>
          <w:b/>
        </w:rPr>
        <w:t xml:space="preserve"> </w:t>
      </w:r>
      <w:r w:rsidRPr="00D10A57">
        <w:t>kraje, z toho Ústecký kraj celkem 9</w:t>
      </w:r>
      <w:r w:rsidR="000A5CC1">
        <w:t> </w:t>
      </w:r>
      <w:r w:rsidRPr="00D10A57">
        <w:t>794</w:t>
      </w:r>
      <w:r w:rsidR="000A5CC1">
        <w:t xml:space="preserve"> </w:t>
      </w:r>
      <w:r w:rsidRPr="00D10A57">
        <w:t>193 Kč, Olomoucký kraj celkem 6</w:t>
      </w:r>
      <w:r w:rsidR="000A5CC1">
        <w:t> </w:t>
      </w:r>
      <w:r w:rsidRPr="00D10A57">
        <w:t>446</w:t>
      </w:r>
      <w:r w:rsidR="000A5CC1">
        <w:t xml:space="preserve"> </w:t>
      </w:r>
      <w:r w:rsidRPr="00D10A57">
        <w:t>880 Kč</w:t>
      </w:r>
      <w:r w:rsidR="005C2644">
        <w:t> </w:t>
      </w:r>
      <w:r w:rsidRPr="00D10A57">
        <w:t>a Moravskoslezský kraj celkem 6</w:t>
      </w:r>
      <w:r w:rsidR="000A5CC1">
        <w:t> </w:t>
      </w:r>
      <w:r w:rsidRPr="00D10A57">
        <w:t>242</w:t>
      </w:r>
      <w:r w:rsidR="000A5CC1">
        <w:t xml:space="preserve"> </w:t>
      </w:r>
      <w:r w:rsidRPr="00D10A57">
        <w:t>768 Kč.</w:t>
      </w:r>
    </w:p>
    <w:p w14:paraId="3B4DE9A6" w14:textId="5DB458A3" w:rsidR="00077345" w:rsidRPr="00D10A57" w:rsidRDefault="00077345" w:rsidP="00D10A57">
      <w:pPr>
        <w:pStyle w:val="Styl1"/>
      </w:pPr>
      <w:r w:rsidRPr="00D10A57">
        <w:rPr>
          <w:b/>
        </w:rPr>
        <w:t>Investiční projekty</w:t>
      </w:r>
      <w:r w:rsidRPr="00D10A57">
        <w:t xml:space="preserve"> byly obdobně jako v předchozích letech zaměřeny zejména na modernizaci kamerových systémů (MKDS) včetně inteligentních analytických SW, a to dohromady </w:t>
      </w:r>
      <w:r w:rsidRPr="00D10A57">
        <w:rPr>
          <w:b/>
        </w:rPr>
        <w:t>ve výši 15</w:t>
      </w:r>
      <w:r w:rsidR="000A5CC1">
        <w:rPr>
          <w:b/>
        </w:rPr>
        <w:t xml:space="preserve"> </w:t>
      </w:r>
      <w:r w:rsidRPr="00D10A57">
        <w:rPr>
          <w:b/>
        </w:rPr>
        <w:t>048 797 Kč</w:t>
      </w:r>
      <w:r w:rsidRPr="00D10A57">
        <w:t xml:space="preserve"> poskytnuté podpory. </w:t>
      </w:r>
      <w:r w:rsidRPr="00D10A57">
        <w:rPr>
          <w:b/>
        </w:rPr>
        <w:t>Neinvestiční projekty</w:t>
      </w:r>
      <w:r w:rsidRPr="00D10A57">
        <w:t xml:space="preserve"> směřovaly nejvíce na financování projektu APK a Domovník – preventista (</w:t>
      </w:r>
      <w:r w:rsidR="00276105">
        <w:t>dále jen „</w:t>
      </w:r>
      <w:r w:rsidRPr="00D10A57">
        <w:t>D-P</w:t>
      </w:r>
      <w:r w:rsidR="00276105">
        <w:t>“</w:t>
      </w:r>
      <w:r w:rsidRPr="00D10A57">
        <w:t xml:space="preserve">). </w:t>
      </w:r>
    </w:p>
    <w:p w14:paraId="37094A3D" w14:textId="6AB94C64" w:rsidR="00077345" w:rsidRPr="00D10A57" w:rsidRDefault="00077345" w:rsidP="00D10A57">
      <w:pPr>
        <w:pStyle w:val="Styl1"/>
      </w:pPr>
      <w:r w:rsidRPr="00D10A57">
        <w:t>Bližší informace jsou k dispozici v Zápise a Protokol</w:t>
      </w:r>
      <w:r w:rsidR="000A5CC1">
        <w:t>u</w:t>
      </w:r>
      <w:r w:rsidRPr="00D10A57">
        <w:t xml:space="preserve"> o hlasování Komise</w:t>
      </w:r>
      <w:r w:rsidRPr="00D10A57">
        <w:rPr>
          <w:rStyle w:val="Znakapoznpodarou"/>
        </w:rPr>
        <w:footnoteReference w:id="11"/>
      </w:r>
      <w:r w:rsidRPr="00D10A57">
        <w:t>.</w:t>
      </w:r>
    </w:p>
    <w:p w14:paraId="7A71E431" w14:textId="77777777" w:rsidR="00077345" w:rsidRPr="00D10A57" w:rsidRDefault="00077345" w:rsidP="00D10A57">
      <w:pPr>
        <w:pStyle w:val="Styl1"/>
        <w:rPr>
          <w:b/>
        </w:rPr>
      </w:pPr>
      <w:r w:rsidRPr="00D10A57">
        <w:rPr>
          <w:b/>
        </w:rPr>
        <w:t>Asistent prevence kriminality</w:t>
      </w:r>
      <w:r w:rsidR="003312AB">
        <w:rPr>
          <w:b/>
        </w:rPr>
        <w:t xml:space="preserve"> (APK)</w:t>
      </w:r>
    </w:p>
    <w:p w14:paraId="7E4C2A6D" w14:textId="10A82AF8" w:rsidR="00077345" w:rsidRPr="00D10A57" w:rsidRDefault="00077345" w:rsidP="00D10A57">
      <w:pPr>
        <w:pStyle w:val="Styl1"/>
      </w:pPr>
      <w:r w:rsidRPr="00D10A57">
        <w:t xml:space="preserve">Specifickým projektem zvyšujícím bezpečí v sociálně vyloučených lokalitách je již několik let projekt </w:t>
      </w:r>
      <w:r w:rsidRPr="00D10A57">
        <w:rPr>
          <w:b/>
        </w:rPr>
        <w:t>APK,</w:t>
      </w:r>
      <w:r w:rsidRPr="00D10A57">
        <w:t xml:space="preserve"> který od roku 2009 úspěšně realizuje M</w:t>
      </w:r>
      <w:r w:rsidR="000A5CC1">
        <w:t>V</w:t>
      </w:r>
      <w:r w:rsidRPr="00D10A57">
        <w:t xml:space="preserve"> v celé ČR především v rámci Programu P</w:t>
      </w:r>
      <w:r w:rsidR="00276105">
        <w:t>K</w:t>
      </w:r>
      <w:r w:rsidRPr="00D10A57">
        <w:t xml:space="preserve">. APK je nejúspěšnějším a nejžádanějším projektem prevence kriminality v sociálně vyloučených lokalitách, který má prokazatelně pozitivní výsledky a dopady na zvýšení veřejného pořádku a bezpečí v problémových lokalitách a na zaměstnanost dlouhodobě a obtížně zaměstnatelných osob včetně Romů. Projekt APK lze navíc vyhodnotit jako nejúspěšnější od roku 1996, tedy od počátku dotačního titulu na Program PK. </w:t>
      </w:r>
    </w:p>
    <w:p w14:paraId="4B0496E7" w14:textId="75C8224F" w:rsidR="00077345" w:rsidRPr="00D10A57" w:rsidRDefault="00077345" w:rsidP="00D10A57">
      <w:pPr>
        <w:pStyle w:val="Styl1"/>
      </w:pPr>
      <w:r w:rsidRPr="00D10A57">
        <w:t xml:space="preserve">Nedostatek finančních prostředků v Programu PK se projevil i v případě APK. Poprvé bylo nutné přistoupit k </w:t>
      </w:r>
      <w:r w:rsidRPr="00D10A57">
        <w:rPr>
          <w:b/>
        </w:rPr>
        <w:t xml:space="preserve">posouzení </w:t>
      </w:r>
      <w:r w:rsidRPr="00D10A57">
        <w:t>žádostí</w:t>
      </w:r>
      <w:r w:rsidRPr="00D10A57">
        <w:rPr>
          <w:b/>
        </w:rPr>
        <w:t xml:space="preserve"> podle pomocných kritérií</w:t>
      </w:r>
      <w:r w:rsidRPr="00D10A57">
        <w:t xml:space="preserve"> (indexu kriminality pro danou </w:t>
      </w:r>
      <w:r w:rsidRPr="00D10A57">
        <w:lastRenderedPageBreak/>
        <w:t>obec, indexu sociálního vyloučení pro danou obec dle metodiky MMR - ASZ) a k velikosti, resp. počtu obyvatel, obce (zvýhodněny byly menší obce), v souladu s čl. 11, odst. 4 Zásad. Komise se shodla ve snaze podpořit všechny podpořitelné projekty D</w:t>
      </w:r>
      <w:r w:rsidR="00276105">
        <w:t>-P</w:t>
      </w:r>
      <w:r w:rsidRPr="00D10A57">
        <w:t>, neboť se stále jedná o začínající projekt, jehož prosazování je vhodné zvlášť podporovat (i s ohledem na existenci nových metodik a příruček k tomuto projektu) a pomocná kritéria uplatňovat spíše u již zaběhlého projektu APK. I přesto byla schválená výše dotace pro projekty APK nejvyšší od počátku podpory jeho realizace v r. 2009, viz tab. níže.</w:t>
      </w:r>
    </w:p>
    <w:p w14:paraId="0A1DE6C6" w14:textId="3B7DE7F1" w:rsidR="00077345" w:rsidRPr="00D10A57" w:rsidRDefault="00077345" w:rsidP="00D10A57">
      <w:pPr>
        <w:pStyle w:val="Styl1"/>
        <w:rPr>
          <w:rFonts w:eastAsia="Calibri"/>
        </w:rPr>
      </w:pPr>
      <w:r w:rsidRPr="00D10A57">
        <w:rPr>
          <w:rFonts w:eastAsia="Calibri"/>
        </w:rPr>
        <w:t xml:space="preserve">V roce </w:t>
      </w:r>
      <w:r w:rsidRPr="00D10A57">
        <w:rPr>
          <w:rFonts w:eastAsia="Calibri"/>
          <w:b/>
        </w:rPr>
        <w:t>2021</w:t>
      </w:r>
      <w:r w:rsidRPr="00D10A57">
        <w:rPr>
          <w:rFonts w:eastAsia="Calibri"/>
        </w:rPr>
        <w:t xml:space="preserve"> celkem působilo </w:t>
      </w:r>
      <w:r w:rsidRPr="00D10A57">
        <w:rPr>
          <w:rFonts w:eastAsia="Calibri"/>
          <w:b/>
        </w:rPr>
        <w:t>v 58 obcích</w:t>
      </w:r>
      <w:r w:rsidRPr="00D10A57">
        <w:rPr>
          <w:rFonts w:eastAsia="Calibri"/>
        </w:rPr>
        <w:t xml:space="preserve"> v rámci celé ČR </w:t>
      </w:r>
      <w:r w:rsidRPr="00D10A57">
        <w:rPr>
          <w:rFonts w:eastAsia="Calibri"/>
          <w:b/>
        </w:rPr>
        <w:t>139 APK</w:t>
      </w:r>
      <w:r w:rsidRPr="00D10A57">
        <w:rPr>
          <w:rFonts w:eastAsia="Calibri"/>
        </w:rPr>
        <w:t xml:space="preserve"> podpořených z rozpočtu MV v rámci Programu PK </w:t>
      </w:r>
      <w:r w:rsidRPr="00D10A57">
        <w:rPr>
          <w:rFonts w:eastAsia="Calibri"/>
          <w:b/>
        </w:rPr>
        <w:t>ve výši 33</w:t>
      </w:r>
      <w:r w:rsidR="00276105">
        <w:rPr>
          <w:rFonts w:eastAsia="Calibri"/>
          <w:b/>
        </w:rPr>
        <w:t> </w:t>
      </w:r>
      <w:r w:rsidRPr="00D10A57">
        <w:rPr>
          <w:rFonts w:eastAsia="Calibri"/>
          <w:b/>
        </w:rPr>
        <w:t>695</w:t>
      </w:r>
      <w:r w:rsidR="00276105">
        <w:rPr>
          <w:rFonts w:eastAsia="Calibri"/>
          <w:b/>
        </w:rPr>
        <w:t xml:space="preserve"> </w:t>
      </w:r>
      <w:r w:rsidRPr="00D10A57">
        <w:rPr>
          <w:rFonts w:eastAsia="Calibri"/>
          <w:b/>
        </w:rPr>
        <w:t>840 Kč</w:t>
      </w:r>
      <w:r w:rsidRPr="00D10A57">
        <w:rPr>
          <w:rFonts w:eastAsia="Calibri"/>
        </w:rPr>
        <w:t xml:space="preserve">. </w:t>
      </w:r>
    </w:p>
    <w:p w14:paraId="382AFF04" w14:textId="28FDB7D4" w:rsidR="00077345" w:rsidRPr="00D10A57" w:rsidRDefault="00077345" w:rsidP="00D10A57">
      <w:pPr>
        <w:pStyle w:val="Styl1"/>
        <w:rPr>
          <w:rFonts w:eastAsia="Calibri"/>
        </w:rPr>
      </w:pPr>
      <w:r w:rsidRPr="00D10A57">
        <w:rPr>
          <w:rFonts w:eastAsia="Calibri"/>
        </w:rPr>
        <w:t xml:space="preserve">Další APK pak působí v rámci ČR i z jiných zdrojů, než jsou prostředky zajišťované MV – např. z podpory </w:t>
      </w:r>
      <w:r w:rsidR="00276105">
        <w:rPr>
          <w:rFonts w:eastAsia="Calibri"/>
        </w:rPr>
        <w:t>ÚP ČR</w:t>
      </w:r>
      <w:r w:rsidRPr="00D10A57">
        <w:rPr>
          <w:rFonts w:eastAsia="Calibri"/>
        </w:rPr>
        <w:t xml:space="preserve"> – na základě dohody mezi MV a </w:t>
      </w:r>
      <w:r w:rsidR="00276105">
        <w:rPr>
          <w:rFonts w:eastAsia="Calibri"/>
        </w:rPr>
        <w:t>GR</w:t>
      </w:r>
      <w:r w:rsidRPr="00D10A57">
        <w:rPr>
          <w:rFonts w:eastAsia="Calibri"/>
        </w:rPr>
        <w:t xml:space="preserve"> Ú</w:t>
      </w:r>
      <w:r w:rsidR="00276105">
        <w:rPr>
          <w:rFonts w:eastAsia="Calibri"/>
        </w:rPr>
        <w:t>P</w:t>
      </w:r>
      <w:r w:rsidRPr="00D10A57">
        <w:rPr>
          <w:rFonts w:eastAsia="Calibri"/>
        </w:rPr>
        <w:t xml:space="preserve"> ČR. Stejně jako v předchozích letech jsou APK dále financováni přímo z vlastních rozpočtů obcí či z evropských projektů v rámci O</w:t>
      </w:r>
      <w:r w:rsidR="00276105">
        <w:rPr>
          <w:rFonts w:eastAsia="Calibri"/>
        </w:rPr>
        <w:t>PZ</w:t>
      </w:r>
      <w:r w:rsidRPr="00D10A57">
        <w:rPr>
          <w:rFonts w:eastAsia="Calibri"/>
        </w:rPr>
        <w:t xml:space="preserve">, ITI, MAS apod. Odhadem tak mohlo působit v celé ČR </w:t>
      </w:r>
      <w:r w:rsidRPr="00D10A57">
        <w:rPr>
          <w:rFonts w:eastAsia="Calibri"/>
          <w:b/>
        </w:rPr>
        <w:t>na konci roku 2021 cca 500-600 APK</w:t>
      </w:r>
      <w:r w:rsidRPr="00D10A57">
        <w:rPr>
          <w:rFonts w:eastAsia="Calibri"/>
        </w:rPr>
        <w:t>.</w:t>
      </w:r>
    </w:p>
    <w:p w14:paraId="6486020F" w14:textId="77777777" w:rsidR="00077345" w:rsidRPr="00D10A57" w:rsidRDefault="00077345" w:rsidP="00D10A57">
      <w:pPr>
        <w:pStyle w:val="Styl1"/>
        <w:rPr>
          <w:i/>
          <w:sz w:val="20"/>
          <w:szCs w:val="18"/>
        </w:rPr>
      </w:pPr>
      <w:r w:rsidRPr="00D10A57">
        <w:rPr>
          <w:i/>
          <w:sz w:val="20"/>
          <w:szCs w:val="18"/>
        </w:rPr>
        <w:t>Tabulka počtu podpořených dílčích projektů APK v letech 2010–2021 a celková výše přiznaných finančních dotací z Programu PK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118"/>
        <w:gridCol w:w="1701"/>
        <w:gridCol w:w="3152"/>
      </w:tblGrid>
      <w:tr w:rsidR="00077345" w:rsidRPr="00D10A57" w14:paraId="3BFD1BC6" w14:textId="77777777" w:rsidTr="000B7E05">
        <w:trPr>
          <w:jc w:val="center"/>
        </w:trPr>
        <w:tc>
          <w:tcPr>
            <w:tcW w:w="1101" w:type="dxa"/>
            <w:shd w:val="clear" w:color="auto" w:fill="548DD4" w:themeFill="text2" w:themeFillTint="99"/>
            <w:vAlign w:val="center"/>
          </w:tcPr>
          <w:p w14:paraId="0409EFD7" w14:textId="77777777" w:rsidR="00077345" w:rsidRPr="00D10A57" w:rsidRDefault="00077345" w:rsidP="00D10A57">
            <w:pPr>
              <w:pStyle w:val="Styl2"/>
              <w:rPr>
                <w:b/>
              </w:rPr>
            </w:pPr>
            <w:r w:rsidRPr="00D10A57">
              <w:rPr>
                <w:b/>
              </w:rPr>
              <w:t>Rok</w:t>
            </w:r>
          </w:p>
        </w:tc>
        <w:tc>
          <w:tcPr>
            <w:tcW w:w="3118" w:type="dxa"/>
            <w:shd w:val="clear" w:color="auto" w:fill="548DD4" w:themeFill="text2" w:themeFillTint="99"/>
            <w:vAlign w:val="center"/>
          </w:tcPr>
          <w:p w14:paraId="0C42BE49" w14:textId="77777777" w:rsidR="00077345" w:rsidRPr="00D10A57" w:rsidRDefault="00077345" w:rsidP="00D10A57">
            <w:pPr>
              <w:pStyle w:val="Styl2"/>
              <w:rPr>
                <w:b/>
              </w:rPr>
            </w:pPr>
            <w:r w:rsidRPr="00D10A57">
              <w:rPr>
                <w:b/>
              </w:rPr>
              <w:t>Počet podpořených obcí</w:t>
            </w:r>
          </w:p>
        </w:tc>
        <w:tc>
          <w:tcPr>
            <w:tcW w:w="1701" w:type="dxa"/>
            <w:shd w:val="clear" w:color="auto" w:fill="548DD4" w:themeFill="text2" w:themeFillTint="99"/>
            <w:vAlign w:val="center"/>
          </w:tcPr>
          <w:p w14:paraId="778AAC51" w14:textId="77777777" w:rsidR="00077345" w:rsidRPr="00D10A57" w:rsidRDefault="00077345" w:rsidP="00D10A57">
            <w:pPr>
              <w:pStyle w:val="Styl2"/>
              <w:rPr>
                <w:b/>
              </w:rPr>
            </w:pPr>
            <w:r w:rsidRPr="00D10A57">
              <w:rPr>
                <w:b/>
              </w:rPr>
              <w:t>Počet APK</w:t>
            </w:r>
          </w:p>
        </w:tc>
        <w:tc>
          <w:tcPr>
            <w:tcW w:w="3152" w:type="dxa"/>
            <w:shd w:val="clear" w:color="auto" w:fill="548DD4" w:themeFill="text2" w:themeFillTint="99"/>
            <w:vAlign w:val="center"/>
          </w:tcPr>
          <w:p w14:paraId="1E01894D" w14:textId="23898D43" w:rsidR="00077345" w:rsidRPr="00D10A57" w:rsidRDefault="00077345" w:rsidP="00D10A57">
            <w:pPr>
              <w:pStyle w:val="Styl2"/>
              <w:rPr>
                <w:b/>
              </w:rPr>
            </w:pPr>
            <w:r w:rsidRPr="00D10A57">
              <w:rPr>
                <w:b/>
              </w:rPr>
              <w:t>Celková výše přiznané dotace</w:t>
            </w:r>
            <w:r w:rsidR="00276105">
              <w:rPr>
                <w:b/>
              </w:rPr>
              <w:t xml:space="preserve"> (v Kč)</w:t>
            </w:r>
          </w:p>
        </w:tc>
      </w:tr>
      <w:tr w:rsidR="00077345" w:rsidRPr="00D10A57" w14:paraId="16D86DE4" w14:textId="77777777" w:rsidTr="00EA170B">
        <w:trPr>
          <w:jc w:val="center"/>
        </w:trPr>
        <w:tc>
          <w:tcPr>
            <w:tcW w:w="1101" w:type="dxa"/>
            <w:vAlign w:val="center"/>
          </w:tcPr>
          <w:p w14:paraId="781F5BBC" w14:textId="77777777" w:rsidR="00077345" w:rsidRPr="00D10A57" w:rsidRDefault="00077345" w:rsidP="00D10A57">
            <w:pPr>
              <w:pStyle w:val="Styl2"/>
            </w:pPr>
            <w:r w:rsidRPr="00D10A57">
              <w:t>2010</w:t>
            </w:r>
          </w:p>
        </w:tc>
        <w:tc>
          <w:tcPr>
            <w:tcW w:w="3118" w:type="dxa"/>
            <w:vAlign w:val="center"/>
          </w:tcPr>
          <w:p w14:paraId="660F2F35" w14:textId="77777777" w:rsidR="00077345" w:rsidRPr="00D10A57" w:rsidRDefault="00077345" w:rsidP="00D56307">
            <w:pPr>
              <w:pStyle w:val="Styl2"/>
              <w:jc w:val="right"/>
            </w:pPr>
            <w:r w:rsidRPr="00D10A57">
              <w:t>10</w:t>
            </w:r>
          </w:p>
        </w:tc>
        <w:tc>
          <w:tcPr>
            <w:tcW w:w="1701" w:type="dxa"/>
            <w:vAlign w:val="center"/>
          </w:tcPr>
          <w:p w14:paraId="6F930474" w14:textId="77777777" w:rsidR="00077345" w:rsidRPr="00D10A57" w:rsidRDefault="00077345" w:rsidP="00D56307">
            <w:pPr>
              <w:pStyle w:val="Styl2"/>
              <w:jc w:val="right"/>
            </w:pPr>
            <w:r w:rsidRPr="00D10A57">
              <w:t>38</w:t>
            </w:r>
          </w:p>
        </w:tc>
        <w:tc>
          <w:tcPr>
            <w:tcW w:w="3152" w:type="dxa"/>
            <w:vAlign w:val="center"/>
          </w:tcPr>
          <w:p w14:paraId="761ECE2C" w14:textId="2881FE6F" w:rsidR="00077345" w:rsidRPr="00D10A57" w:rsidRDefault="00077345" w:rsidP="00D56307">
            <w:pPr>
              <w:pStyle w:val="Styl2"/>
              <w:jc w:val="right"/>
            </w:pPr>
            <w:r w:rsidRPr="00D10A57">
              <w:t xml:space="preserve">3 876 000 </w:t>
            </w:r>
          </w:p>
        </w:tc>
      </w:tr>
      <w:tr w:rsidR="00077345" w:rsidRPr="00D10A57" w14:paraId="6E4FE30E" w14:textId="77777777" w:rsidTr="00EA170B">
        <w:trPr>
          <w:jc w:val="center"/>
        </w:trPr>
        <w:tc>
          <w:tcPr>
            <w:tcW w:w="1101" w:type="dxa"/>
            <w:vAlign w:val="center"/>
          </w:tcPr>
          <w:p w14:paraId="07FC79B5" w14:textId="77777777" w:rsidR="00077345" w:rsidRPr="00D10A57" w:rsidRDefault="00077345" w:rsidP="00D10A57">
            <w:pPr>
              <w:pStyle w:val="Styl2"/>
            </w:pPr>
            <w:r w:rsidRPr="00D10A57">
              <w:t>2011</w:t>
            </w:r>
          </w:p>
        </w:tc>
        <w:tc>
          <w:tcPr>
            <w:tcW w:w="3118" w:type="dxa"/>
            <w:vAlign w:val="center"/>
          </w:tcPr>
          <w:p w14:paraId="7BD5B8DE" w14:textId="77777777" w:rsidR="00077345" w:rsidRPr="00D10A57" w:rsidRDefault="00077345" w:rsidP="00D56307">
            <w:pPr>
              <w:pStyle w:val="Styl2"/>
              <w:jc w:val="right"/>
            </w:pPr>
            <w:r w:rsidRPr="00D10A57">
              <w:t>16</w:t>
            </w:r>
          </w:p>
        </w:tc>
        <w:tc>
          <w:tcPr>
            <w:tcW w:w="1701" w:type="dxa"/>
            <w:vAlign w:val="center"/>
          </w:tcPr>
          <w:p w14:paraId="51220B9E" w14:textId="77777777" w:rsidR="00077345" w:rsidRPr="00D10A57" w:rsidRDefault="00077345" w:rsidP="00D56307">
            <w:pPr>
              <w:pStyle w:val="Styl2"/>
              <w:jc w:val="right"/>
            </w:pPr>
            <w:r w:rsidRPr="00D10A57">
              <w:t>104</w:t>
            </w:r>
          </w:p>
        </w:tc>
        <w:tc>
          <w:tcPr>
            <w:tcW w:w="3152" w:type="dxa"/>
            <w:vAlign w:val="center"/>
          </w:tcPr>
          <w:p w14:paraId="222486B0" w14:textId="1E0AA791" w:rsidR="00077345" w:rsidRPr="00D10A57" w:rsidRDefault="00077345" w:rsidP="00D56307">
            <w:pPr>
              <w:pStyle w:val="Styl2"/>
              <w:jc w:val="right"/>
            </w:pPr>
            <w:r w:rsidRPr="00D10A57">
              <w:t xml:space="preserve">3 423 000 </w:t>
            </w:r>
          </w:p>
        </w:tc>
      </w:tr>
      <w:tr w:rsidR="00077345" w:rsidRPr="00D10A57" w14:paraId="6DEF8568" w14:textId="77777777" w:rsidTr="00EA170B">
        <w:trPr>
          <w:jc w:val="center"/>
        </w:trPr>
        <w:tc>
          <w:tcPr>
            <w:tcW w:w="1101" w:type="dxa"/>
            <w:vAlign w:val="center"/>
          </w:tcPr>
          <w:p w14:paraId="09C6771E" w14:textId="77777777" w:rsidR="00077345" w:rsidRPr="00D10A57" w:rsidRDefault="00077345" w:rsidP="00D10A57">
            <w:pPr>
              <w:pStyle w:val="Styl2"/>
            </w:pPr>
            <w:r w:rsidRPr="00D10A57">
              <w:t>2012</w:t>
            </w:r>
          </w:p>
        </w:tc>
        <w:tc>
          <w:tcPr>
            <w:tcW w:w="3118" w:type="dxa"/>
            <w:vAlign w:val="center"/>
          </w:tcPr>
          <w:p w14:paraId="1DD46416" w14:textId="77777777" w:rsidR="00077345" w:rsidRPr="00D10A57" w:rsidRDefault="00077345" w:rsidP="00D56307">
            <w:pPr>
              <w:pStyle w:val="Styl2"/>
              <w:jc w:val="right"/>
            </w:pPr>
            <w:r w:rsidRPr="00D10A57">
              <w:t>21</w:t>
            </w:r>
          </w:p>
        </w:tc>
        <w:tc>
          <w:tcPr>
            <w:tcW w:w="1701" w:type="dxa"/>
            <w:vAlign w:val="center"/>
          </w:tcPr>
          <w:p w14:paraId="78105D95" w14:textId="77777777" w:rsidR="00077345" w:rsidRPr="00D10A57" w:rsidRDefault="00077345" w:rsidP="00D56307">
            <w:pPr>
              <w:pStyle w:val="Styl2"/>
              <w:jc w:val="right"/>
            </w:pPr>
            <w:r w:rsidRPr="00D10A57">
              <w:t>37</w:t>
            </w:r>
          </w:p>
        </w:tc>
        <w:tc>
          <w:tcPr>
            <w:tcW w:w="3152" w:type="dxa"/>
            <w:vAlign w:val="center"/>
          </w:tcPr>
          <w:p w14:paraId="26E302CF" w14:textId="19CB24D8" w:rsidR="00077345" w:rsidRPr="00D10A57" w:rsidRDefault="00077345" w:rsidP="00D56307">
            <w:pPr>
              <w:pStyle w:val="Styl2"/>
              <w:jc w:val="right"/>
            </w:pPr>
            <w:r w:rsidRPr="00D10A57">
              <w:t xml:space="preserve">5 328 000 </w:t>
            </w:r>
          </w:p>
        </w:tc>
      </w:tr>
      <w:tr w:rsidR="00077345" w:rsidRPr="00D10A57" w14:paraId="0EB381C7" w14:textId="77777777" w:rsidTr="00EA170B">
        <w:trPr>
          <w:jc w:val="center"/>
        </w:trPr>
        <w:tc>
          <w:tcPr>
            <w:tcW w:w="1101" w:type="dxa"/>
            <w:vAlign w:val="center"/>
          </w:tcPr>
          <w:p w14:paraId="18DDC831" w14:textId="77777777" w:rsidR="00077345" w:rsidRPr="00D10A57" w:rsidRDefault="00077345" w:rsidP="00D10A57">
            <w:pPr>
              <w:pStyle w:val="Styl2"/>
            </w:pPr>
            <w:r w:rsidRPr="00D10A57">
              <w:t>2013</w:t>
            </w:r>
          </w:p>
        </w:tc>
        <w:tc>
          <w:tcPr>
            <w:tcW w:w="3118" w:type="dxa"/>
            <w:vAlign w:val="center"/>
          </w:tcPr>
          <w:p w14:paraId="0F55B860" w14:textId="77777777" w:rsidR="00077345" w:rsidRPr="00D10A57" w:rsidRDefault="00077345" w:rsidP="00D56307">
            <w:pPr>
              <w:pStyle w:val="Styl2"/>
              <w:jc w:val="right"/>
            </w:pPr>
            <w:r w:rsidRPr="00D10A57">
              <w:t>38</w:t>
            </w:r>
          </w:p>
        </w:tc>
        <w:tc>
          <w:tcPr>
            <w:tcW w:w="1701" w:type="dxa"/>
            <w:vAlign w:val="center"/>
          </w:tcPr>
          <w:p w14:paraId="668EF3AB" w14:textId="77777777" w:rsidR="00077345" w:rsidRPr="00D10A57" w:rsidRDefault="00077345" w:rsidP="00D56307">
            <w:pPr>
              <w:pStyle w:val="Styl2"/>
              <w:jc w:val="right"/>
            </w:pPr>
            <w:r w:rsidRPr="00D10A57">
              <w:t>90</w:t>
            </w:r>
          </w:p>
        </w:tc>
        <w:tc>
          <w:tcPr>
            <w:tcW w:w="3152" w:type="dxa"/>
            <w:vAlign w:val="center"/>
          </w:tcPr>
          <w:p w14:paraId="1526DB30" w14:textId="21512AAB" w:rsidR="00077345" w:rsidRPr="00D10A57" w:rsidRDefault="00077345" w:rsidP="00D56307">
            <w:pPr>
              <w:pStyle w:val="Styl2"/>
              <w:jc w:val="right"/>
            </w:pPr>
            <w:r w:rsidRPr="00D10A57">
              <w:t xml:space="preserve">13 360 000 </w:t>
            </w:r>
          </w:p>
        </w:tc>
      </w:tr>
      <w:tr w:rsidR="00077345" w:rsidRPr="00D10A57" w14:paraId="47907654" w14:textId="77777777" w:rsidTr="00EA170B">
        <w:trPr>
          <w:jc w:val="center"/>
        </w:trPr>
        <w:tc>
          <w:tcPr>
            <w:tcW w:w="1101" w:type="dxa"/>
            <w:vAlign w:val="center"/>
          </w:tcPr>
          <w:p w14:paraId="178671C2" w14:textId="77777777" w:rsidR="00077345" w:rsidRPr="00D10A57" w:rsidRDefault="00077345" w:rsidP="00D10A57">
            <w:pPr>
              <w:pStyle w:val="Styl2"/>
            </w:pPr>
            <w:r w:rsidRPr="00D10A57">
              <w:t>2014</w:t>
            </w:r>
          </w:p>
        </w:tc>
        <w:tc>
          <w:tcPr>
            <w:tcW w:w="3118" w:type="dxa"/>
            <w:vAlign w:val="center"/>
          </w:tcPr>
          <w:p w14:paraId="1BC6D760" w14:textId="77777777" w:rsidR="00077345" w:rsidRPr="00D10A57" w:rsidRDefault="00077345" w:rsidP="00D56307">
            <w:pPr>
              <w:pStyle w:val="Styl2"/>
              <w:jc w:val="right"/>
            </w:pPr>
            <w:r w:rsidRPr="00D10A57">
              <w:t>64</w:t>
            </w:r>
          </w:p>
        </w:tc>
        <w:tc>
          <w:tcPr>
            <w:tcW w:w="1701" w:type="dxa"/>
            <w:vAlign w:val="center"/>
          </w:tcPr>
          <w:p w14:paraId="364144AF" w14:textId="77777777" w:rsidR="00077345" w:rsidRPr="00D10A57" w:rsidRDefault="00077345" w:rsidP="00D56307">
            <w:pPr>
              <w:pStyle w:val="Styl2"/>
              <w:jc w:val="right"/>
            </w:pPr>
            <w:r w:rsidRPr="00D10A57">
              <w:t>127</w:t>
            </w:r>
          </w:p>
        </w:tc>
        <w:tc>
          <w:tcPr>
            <w:tcW w:w="3152" w:type="dxa"/>
            <w:vAlign w:val="center"/>
          </w:tcPr>
          <w:p w14:paraId="00F4BA01" w14:textId="41DE9E70" w:rsidR="00077345" w:rsidRPr="00D10A57" w:rsidRDefault="00077345" w:rsidP="00D56307">
            <w:pPr>
              <w:pStyle w:val="Styl2"/>
              <w:jc w:val="right"/>
            </w:pPr>
            <w:r w:rsidRPr="00D10A57">
              <w:t xml:space="preserve">17 644 000 </w:t>
            </w:r>
          </w:p>
        </w:tc>
      </w:tr>
      <w:tr w:rsidR="00077345" w:rsidRPr="00D10A57" w14:paraId="20EC34FA" w14:textId="77777777" w:rsidTr="00EA170B">
        <w:trPr>
          <w:jc w:val="center"/>
        </w:trPr>
        <w:tc>
          <w:tcPr>
            <w:tcW w:w="1101" w:type="dxa"/>
            <w:vAlign w:val="center"/>
          </w:tcPr>
          <w:p w14:paraId="0C1856AD" w14:textId="77777777" w:rsidR="00077345" w:rsidRPr="00D10A57" w:rsidRDefault="00077345" w:rsidP="00D10A57">
            <w:pPr>
              <w:pStyle w:val="Styl2"/>
            </w:pPr>
            <w:r w:rsidRPr="00D10A57">
              <w:t>2015</w:t>
            </w:r>
          </w:p>
        </w:tc>
        <w:tc>
          <w:tcPr>
            <w:tcW w:w="3118" w:type="dxa"/>
            <w:vAlign w:val="center"/>
          </w:tcPr>
          <w:p w14:paraId="1CC1E7D7" w14:textId="77777777" w:rsidR="00077345" w:rsidRPr="00D10A57" w:rsidRDefault="00077345" w:rsidP="00D56307">
            <w:pPr>
              <w:pStyle w:val="Styl2"/>
              <w:jc w:val="right"/>
            </w:pPr>
            <w:r w:rsidRPr="00D10A57">
              <w:t>58</w:t>
            </w:r>
          </w:p>
        </w:tc>
        <w:tc>
          <w:tcPr>
            <w:tcW w:w="1701" w:type="dxa"/>
            <w:vAlign w:val="center"/>
          </w:tcPr>
          <w:p w14:paraId="55E7F766" w14:textId="77777777" w:rsidR="00077345" w:rsidRPr="00D10A57" w:rsidRDefault="00077345" w:rsidP="00D56307">
            <w:pPr>
              <w:pStyle w:val="Styl2"/>
              <w:jc w:val="right"/>
            </w:pPr>
            <w:r w:rsidRPr="00D10A57">
              <w:t>175</w:t>
            </w:r>
          </w:p>
        </w:tc>
        <w:tc>
          <w:tcPr>
            <w:tcW w:w="3152" w:type="dxa"/>
            <w:vAlign w:val="center"/>
          </w:tcPr>
          <w:p w14:paraId="3F0AEB28" w14:textId="147110FF" w:rsidR="00077345" w:rsidRPr="00D10A57" w:rsidRDefault="00077345" w:rsidP="00D56307">
            <w:pPr>
              <w:pStyle w:val="Styl2"/>
              <w:jc w:val="right"/>
            </w:pPr>
            <w:r w:rsidRPr="00D10A57">
              <w:t xml:space="preserve">22 656 000 </w:t>
            </w:r>
          </w:p>
        </w:tc>
      </w:tr>
      <w:tr w:rsidR="00077345" w:rsidRPr="00D10A57" w14:paraId="057E9EF4" w14:textId="77777777" w:rsidTr="00EA170B">
        <w:trPr>
          <w:jc w:val="center"/>
        </w:trPr>
        <w:tc>
          <w:tcPr>
            <w:tcW w:w="1101" w:type="dxa"/>
            <w:vAlign w:val="center"/>
          </w:tcPr>
          <w:p w14:paraId="20B90D53" w14:textId="77777777" w:rsidR="00077345" w:rsidRPr="00D10A57" w:rsidRDefault="00077345" w:rsidP="00D10A57">
            <w:pPr>
              <w:pStyle w:val="Styl2"/>
            </w:pPr>
            <w:r w:rsidRPr="00D10A57">
              <w:t>2016</w:t>
            </w:r>
          </w:p>
        </w:tc>
        <w:tc>
          <w:tcPr>
            <w:tcW w:w="3118" w:type="dxa"/>
            <w:vAlign w:val="center"/>
          </w:tcPr>
          <w:p w14:paraId="7640ECF6" w14:textId="77777777" w:rsidR="00077345" w:rsidRPr="00D10A57" w:rsidRDefault="00077345" w:rsidP="00D56307">
            <w:pPr>
              <w:pStyle w:val="Styl2"/>
              <w:jc w:val="right"/>
            </w:pPr>
            <w:r w:rsidRPr="00D10A57">
              <w:t>47</w:t>
            </w:r>
          </w:p>
        </w:tc>
        <w:tc>
          <w:tcPr>
            <w:tcW w:w="1701" w:type="dxa"/>
            <w:vAlign w:val="center"/>
          </w:tcPr>
          <w:p w14:paraId="33CF81F8" w14:textId="77777777" w:rsidR="00077345" w:rsidRPr="00D10A57" w:rsidRDefault="00077345" w:rsidP="00D56307">
            <w:pPr>
              <w:pStyle w:val="Styl2"/>
              <w:jc w:val="right"/>
            </w:pPr>
            <w:r w:rsidRPr="00D10A57">
              <w:t>121</w:t>
            </w:r>
          </w:p>
        </w:tc>
        <w:tc>
          <w:tcPr>
            <w:tcW w:w="3152" w:type="dxa"/>
            <w:vAlign w:val="center"/>
          </w:tcPr>
          <w:p w14:paraId="3AB9D073" w14:textId="50A5C61A" w:rsidR="00077345" w:rsidRPr="00D10A57" w:rsidRDefault="00077345" w:rsidP="00D56307">
            <w:pPr>
              <w:pStyle w:val="Styl2"/>
              <w:jc w:val="right"/>
            </w:pPr>
            <w:r w:rsidRPr="00D10A57">
              <w:t xml:space="preserve">25 529 000 </w:t>
            </w:r>
          </w:p>
        </w:tc>
      </w:tr>
      <w:tr w:rsidR="00077345" w:rsidRPr="00D10A57" w14:paraId="7914ED79" w14:textId="77777777" w:rsidTr="00EA170B">
        <w:trPr>
          <w:jc w:val="center"/>
        </w:trPr>
        <w:tc>
          <w:tcPr>
            <w:tcW w:w="1101" w:type="dxa"/>
            <w:vAlign w:val="center"/>
          </w:tcPr>
          <w:p w14:paraId="65A49B94" w14:textId="77777777" w:rsidR="00077345" w:rsidRPr="00D10A57" w:rsidRDefault="00077345" w:rsidP="00D10A57">
            <w:pPr>
              <w:pStyle w:val="Styl2"/>
            </w:pPr>
            <w:r w:rsidRPr="00D10A57">
              <w:t>2017</w:t>
            </w:r>
          </w:p>
        </w:tc>
        <w:tc>
          <w:tcPr>
            <w:tcW w:w="3118" w:type="dxa"/>
            <w:vAlign w:val="center"/>
          </w:tcPr>
          <w:p w14:paraId="76F16BA8" w14:textId="77777777" w:rsidR="00077345" w:rsidRPr="00D10A57" w:rsidRDefault="00077345" w:rsidP="00D56307">
            <w:pPr>
              <w:pStyle w:val="Styl2"/>
              <w:jc w:val="right"/>
            </w:pPr>
            <w:r w:rsidRPr="00D10A57">
              <w:t>37</w:t>
            </w:r>
          </w:p>
        </w:tc>
        <w:tc>
          <w:tcPr>
            <w:tcW w:w="1701" w:type="dxa"/>
            <w:vAlign w:val="center"/>
          </w:tcPr>
          <w:p w14:paraId="26BC05A4" w14:textId="77777777" w:rsidR="00077345" w:rsidRPr="00D10A57" w:rsidRDefault="00077345" w:rsidP="00D56307">
            <w:pPr>
              <w:pStyle w:val="Styl2"/>
              <w:jc w:val="right"/>
            </w:pPr>
            <w:r w:rsidRPr="00D10A57">
              <w:t>92</w:t>
            </w:r>
          </w:p>
        </w:tc>
        <w:tc>
          <w:tcPr>
            <w:tcW w:w="3152" w:type="dxa"/>
            <w:vAlign w:val="center"/>
          </w:tcPr>
          <w:p w14:paraId="163136ED" w14:textId="02ADA785" w:rsidR="00077345" w:rsidRPr="00D10A57" w:rsidRDefault="00077345" w:rsidP="00D56307">
            <w:pPr>
              <w:pStyle w:val="Styl2"/>
              <w:jc w:val="right"/>
            </w:pPr>
            <w:r w:rsidRPr="00D10A57">
              <w:t xml:space="preserve">20 928 000 </w:t>
            </w:r>
          </w:p>
        </w:tc>
      </w:tr>
      <w:tr w:rsidR="00077345" w:rsidRPr="00D10A57" w14:paraId="7A215173" w14:textId="77777777" w:rsidTr="00EA170B">
        <w:trPr>
          <w:jc w:val="center"/>
        </w:trPr>
        <w:tc>
          <w:tcPr>
            <w:tcW w:w="1101" w:type="dxa"/>
            <w:vAlign w:val="center"/>
          </w:tcPr>
          <w:p w14:paraId="32E730D2" w14:textId="77777777" w:rsidR="00077345" w:rsidRPr="00D10A57" w:rsidRDefault="00077345" w:rsidP="00D10A57">
            <w:pPr>
              <w:pStyle w:val="Styl2"/>
            </w:pPr>
            <w:r w:rsidRPr="00D10A57">
              <w:t>2018</w:t>
            </w:r>
          </w:p>
        </w:tc>
        <w:tc>
          <w:tcPr>
            <w:tcW w:w="3118" w:type="dxa"/>
            <w:vAlign w:val="center"/>
          </w:tcPr>
          <w:p w14:paraId="6A48B77C" w14:textId="77777777" w:rsidR="00077345" w:rsidRPr="00D10A57" w:rsidRDefault="00077345" w:rsidP="00D56307">
            <w:pPr>
              <w:pStyle w:val="Styl2"/>
              <w:jc w:val="right"/>
            </w:pPr>
            <w:r w:rsidRPr="00D10A57">
              <w:t>33</w:t>
            </w:r>
          </w:p>
        </w:tc>
        <w:tc>
          <w:tcPr>
            <w:tcW w:w="1701" w:type="dxa"/>
            <w:vAlign w:val="center"/>
          </w:tcPr>
          <w:p w14:paraId="02B41007" w14:textId="77777777" w:rsidR="00077345" w:rsidRPr="00D10A57" w:rsidRDefault="00077345" w:rsidP="00D56307">
            <w:pPr>
              <w:pStyle w:val="Styl2"/>
              <w:jc w:val="right"/>
            </w:pPr>
            <w:r w:rsidRPr="00D10A57">
              <w:t>86</w:t>
            </w:r>
          </w:p>
        </w:tc>
        <w:tc>
          <w:tcPr>
            <w:tcW w:w="3152" w:type="dxa"/>
            <w:vAlign w:val="center"/>
          </w:tcPr>
          <w:p w14:paraId="50D7994F" w14:textId="5B004526" w:rsidR="00077345" w:rsidRPr="00D10A57" w:rsidRDefault="00077345" w:rsidP="00D56307">
            <w:pPr>
              <w:pStyle w:val="Styl2"/>
              <w:jc w:val="right"/>
            </w:pPr>
            <w:r w:rsidRPr="00D10A57">
              <w:t xml:space="preserve">18 923 590 </w:t>
            </w:r>
          </w:p>
        </w:tc>
      </w:tr>
      <w:tr w:rsidR="00077345" w:rsidRPr="00D10A57" w14:paraId="03B2EC10" w14:textId="77777777" w:rsidTr="00EA170B">
        <w:trPr>
          <w:jc w:val="center"/>
        </w:trPr>
        <w:tc>
          <w:tcPr>
            <w:tcW w:w="1101" w:type="dxa"/>
            <w:vAlign w:val="center"/>
          </w:tcPr>
          <w:p w14:paraId="6B3EB33E" w14:textId="77777777" w:rsidR="00077345" w:rsidRPr="00D10A57" w:rsidRDefault="00077345" w:rsidP="00D10A57">
            <w:pPr>
              <w:pStyle w:val="Styl2"/>
            </w:pPr>
            <w:r w:rsidRPr="00D10A57">
              <w:t>2019</w:t>
            </w:r>
          </w:p>
        </w:tc>
        <w:tc>
          <w:tcPr>
            <w:tcW w:w="3118" w:type="dxa"/>
          </w:tcPr>
          <w:p w14:paraId="5F6F4523" w14:textId="77777777" w:rsidR="00077345" w:rsidRPr="00D10A57" w:rsidRDefault="00077345" w:rsidP="00D56307">
            <w:pPr>
              <w:pStyle w:val="Styl2"/>
              <w:jc w:val="right"/>
              <w:rPr>
                <w:rFonts w:eastAsia="Times New Roman"/>
                <w:lang w:eastAsia="cs-CZ"/>
              </w:rPr>
            </w:pPr>
            <w:r w:rsidRPr="00D10A57">
              <w:rPr>
                <w:rFonts w:eastAsia="Times New Roman"/>
                <w:lang w:eastAsia="cs-CZ"/>
              </w:rPr>
              <w:t>45</w:t>
            </w:r>
          </w:p>
        </w:tc>
        <w:tc>
          <w:tcPr>
            <w:tcW w:w="1701" w:type="dxa"/>
          </w:tcPr>
          <w:p w14:paraId="4ABC340B" w14:textId="77777777" w:rsidR="00077345" w:rsidRPr="00D10A57" w:rsidRDefault="00077345" w:rsidP="00D56307">
            <w:pPr>
              <w:pStyle w:val="Styl2"/>
              <w:jc w:val="right"/>
              <w:rPr>
                <w:rFonts w:eastAsia="Times New Roman"/>
                <w:lang w:eastAsia="cs-CZ"/>
              </w:rPr>
            </w:pPr>
            <w:r w:rsidRPr="00D10A57">
              <w:rPr>
                <w:rFonts w:eastAsia="Times New Roman"/>
                <w:lang w:eastAsia="cs-CZ"/>
              </w:rPr>
              <w:t>129</w:t>
            </w:r>
          </w:p>
        </w:tc>
        <w:tc>
          <w:tcPr>
            <w:tcW w:w="3152" w:type="dxa"/>
          </w:tcPr>
          <w:p w14:paraId="31256C27" w14:textId="3469A69D" w:rsidR="00077345" w:rsidRPr="00D10A57" w:rsidRDefault="00077345" w:rsidP="00D56307">
            <w:pPr>
              <w:pStyle w:val="Styl2"/>
              <w:jc w:val="right"/>
              <w:rPr>
                <w:rFonts w:eastAsia="Times New Roman"/>
                <w:lang w:eastAsia="cs-CZ"/>
              </w:rPr>
            </w:pPr>
            <w:r w:rsidRPr="00D10A57">
              <w:rPr>
                <w:rFonts w:eastAsia="Times New Roman"/>
                <w:lang w:eastAsia="cs-CZ"/>
              </w:rPr>
              <w:t xml:space="preserve">25 389 508,44 </w:t>
            </w:r>
          </w:p>
        </w:tc>
      </w:tr>
      <w:tr w:rsidR="00077345" w:rsidRPr="00D10A57" w14:paraId="21377197" w14:textId="77777777" w:rsidTr="000B7E05">
        <w:trPr>
          <w:trHeight w:val="70"/>
          <w:jc w:val="center"/>
        </w:trPr>
        <w:tc>
          <w:tcPr>
            <w:tcW w:w="1101" w:type="dxa"/>
            <w:vAlign w:val="center"/>
          </w:tcPr>
          <w:p w14:paraId="0216D7C4" w14:textId="77777777" w:rsidR="00077345" w:rsidRPr="00D10A57" w:rsidRDefault="00077345" w:rsidP="00D10A57">
            <w:pPr>
              <w:pStyle w:val="Styl2"/>
            </w:pPr>
            <w:r w:rsidRPr="00D10A57">
              <w:t>2020</w:t>
            </w:r>
          </w:p>
        </w:tc>
        <w:tc>
          <w:tcPr>
            <w:tcW w:w="3118" w:type="dxa"/>
          </w:tcPr>
          <w:p w14:paraId="4160254A" w14:textId="77777777" w:rsidR="00077345" w:rsidRPr="00D10A57" w:rsidRDefault="00077345" w:rsidP="00D56307">
            <w:pPr>
              <w:pStyle w:val="Styl2"/>
              <w:jc w:val="right"/>
              <w:rPr>
                <w:rFonts w:eastAsia="Times New Roman"/>
                <w:lang w:eastAsia="cs-CZ"/>
              </w:rPr>
            </w:pPr>
            <w:r w:rsidRPr="00D10A57">
              <w:rPr>
                <w:rFonts w:eastAsia="Times New Roman"/>
                <w:lang w:eastAsia="cs-CZ"/>
              </w:rPr>
              <w:t>51</w:t>
            </w:r>
          </w:p>
        </w:tc>
        <w:tc>
          <w:tcPr>
            <w:tcW w:w="1701" w:type="dxa"/>
          </w:tcPr>
          <w:p w14:paraId="20834C5F" w14:textId="77777777" w:rsidR="00077345" w:rsidRPr="00D10A57" w:rsidRDefault="00077345" w:rsidP="00D56307">
            <w:pPr>
              <w:pStyle w:val="Styl2"/>
              <w:jc w:val="right"/>
              <w:rPr>
                <w:rFonts w:eastAsia="Times New Roman"/>
                <w:lang w:eastAsia="cs-CZ"/>
              </w:rPr>
            </w:pPr>
            <w:r w:rsidRPr="00D10A57">
              <w:rPr>
                <w:rFonts w:eastAsia="Times New Roman"/>
                <w:lang w:eastAsia="cs-CZ"/>
              </w:rPr>
              <w:t>109</w:t>
            </w:r>
          </w:p>
        </w:tc>
        <w:tc>
          <w:tcPr>
            <w:tcW w:w="3152" w:type="dxa"/>
          </w:tcPr>
          <w:p w14:paraId="6815A3BD" w14:textId="54299D6A" w:rsidR="00077345" w:rsidRPr="00D10A57" w:rsidRDefault="00077345" w:rsidP="00D56307">
            <w:pPr>
              <w:pStyle w:val="Styl2"/>
              <w:jc w:val="right"/>
              <w:rPr>
                <w:rFonts w:eastAsia="Times New Roman"/>
                <w:lang w:eastAsia="cs-CZ"/>
              </w:rPr>
            </w:pPr>
            <w:r w:rsidRPr="00D10A57">
              <w:rPr>
                <w:rFonts w:eastAsia="Times New Roman"/>
                <w:lang w:eastAsia="cs-CZ"/>
              </w:rPr>
              <w:t xml:space="preserve">29 912 662 </w:t>
            </w:r>
          </w:p>
        </w:tc>
      </w:tr>
      <w:tr w:rsidR="00077345" w:rsidRPr="00D10A57" w14:paraId="16CE34EB" w14:textId="77777777" w:rsidTr="00EA170B">
        <w:trPr>
          <w:jc w:val="center"/>
        </w:trPr>
        <w:tc>
          <w:tcPr>
            <w:tcW w:w="1101" w:type="dxa"/>
            <w:vAlign w:val="center"/>
          </w:tcPr>
          <w:p w14:paraId="670D5EDB" w14:textId="77777777" w:rsidR="00077345" w:rsidRPr="00D10A57" w:rsidRDefault="00077345" w:rsidP="00D10A57">
            <w:pPr>
              <w:pStyle w:val="Styl2"/>
            </w:pPr>
            <w:r w:rsidRPr="00D10A57">
              <w:t>2021</w:t>
            </w:r>
          </w:p>
        </w:tc>
        <w:tc>
          <w:tcPr>
            <w:tcW w:w="3118" w:type="dxa"/>
            <w:vAlign w:val="center"/>
          </w:tcPr>
          <w:p w14:paraId="06FCEFD3" w14:textId="77777777" w:rsidR="00077345" w:rsidRPr="00D10A57" w:rsidRDefault="00077345" w:rsidP="00D56307">
            <w:pPr>
              <w:pStyle w:val="Styl2"/>
              <w:jc w:val="right"/>
            </w:pPr>
            <w:r w:rsidRPr="00D10A57">
              <w:t>58</w:t>
            </w:r>
          </w:p>
        </w:tc>
        <w:tc>
          <w:tcPr>
            <w:tcW w:w="1701" w:type="dxa"/>
            <w:vAlign w:val="center"/>
          </w:tcPr>
          <w:p w14:paraId="30891339" w14:textId="77777777" w:rsidR="00077345" w:rsidRPr="00D10A57" w:rsidRDefault="00077345" w:rsidP="00D56307">
            <w:pPr>
              <w:pStyle w:val="Styl2"/>
              <w:jc w:val="right"/>
            </w:pPr>
            <w:r w:rsidRPr="00D10A57">
              <w:t>139</w:t>
            </w:r>
          </w:p>
        </w:tc>
        <w:tc>
          <w:tcPr>
            <w:tcW w:w="3152" w:type="dxa"/>
            <w:vAlign w:val="center"/>
          </w:tcPr>
          <w:p w14:paraId="15B33392" w14:textId="5B88D72E" w:rsidR="00077345" w:rsidRPr="00D10A57" w:rsidRDefault="00077345" w:rsidP="00D56307">
            <w:pPr>
              <w:pStyle w:val="Styl2"/>
              <w:jc w:val="right"/>
            </w:pPr>
            <w:r w:rsidRPr="00D10A57">
              <w:t xml:space="preserve">33 695 840 </w:t>
            </w:r>
          </w:p>
        </w:tc>
      </w:tr>
    </w:tbl>
    <w:p w14:paraId="7FD0DCC8" w14:textId="77777777" w:rsidR="000B7E05" w:rsidRPr="00D10A57" w:rsidRDefault="000B7E05" w:rsidP="00D10A57">
      <w:pPr>
        <w:pStyle w:val="Styl1"/>
      </w:pPr>
    </w:p>
    <w:p w14:paraId="0AB2D474" w14:textId="2DC7A6BB" w:rsidR="00077345" w:rsidRPr="00D10A57" w:rsidRDefault="00077345" w:rsidP="00D10A57">
      <w:pPr>
        <w:pStyle w:val="Styl1"/>
      </w:pPr>
      <w:r w:rsidRPr="00D10A57">
        <w:t xml:space="preserve">Dalším projektem, který reaguje na konkrétní potřeby obcí s cílem zvýšit bezpečí v bytových domech a jejich bezprostředním okolí, je preventivní projekt </w:t>
      </w:r>
      <w:r w:rsidRPr="00D10A57">
        <w:rPr>
          <w:b/>
        </w:rPr>
        <w:t>„Domovník –</w:t>
      </w:r>
      <w:r w:rsidR="00276105">
        <w:rPr>
          <w:b/>
        </w:rPr>
        <w:t xml:space="preserve"> preventista</w:t>
      </w:r>
      <w:r w:rsidRPr="00D10A57">
        <w:t xml:space="preserve">“, jehož pilotní zavádění začalo již v roce 2013. Dílčími cíli projektu je snížit stávající rizika vandalismu, pohybu a pobytu nepovolaných osob a rušení nočního klidu; vytvořit podmínky pro dlouhodobé udržení pořádku, společensky žádoucích vztahů a jednání; posílit odpovědnost nájemníků za péči, údržbu a užívání svěřeného majetku; umožnit alespoň částečnou zaměstnanost osob dlouhodobě nezaměstnaných.  </w:t>
      </w:r>
    </w:p>
    <w:p w14:paraId="098D19EB" w14:textId="16783823" w:rsidR="00356A80" w:rsidRPr="00D10A57" w:rsidRDefault="00077345" w:rsidP="00D56307">
      <w:pPr>
        <w:pStyle w:val="Styl1"/>
      </w:pPr>
      <w:r w:rsidRPr="00D10A57">
        <w:t>V roce 2021 bylo z Programu PK</w:t>
      </w:r>
      <w:r w:rsidRPr="00D10A57">
        <w:rPr>
          <w:b/>
        </w:rPr>
        <w:t xml:space="preserve"> podpořeno 12 projektů D</w:t>
      </w:r>
      <w:r w:rsidR="00D94929">
        <w:rPr>
          <w:b/>
        </w:rPr>
        <w:t>-P</w:t>
      </w:r>
      <w:r w:rsidRPr="00D10A57">
        <w:rPr>
          <w:b/>
        </w:rPr>
        <w:t xml:space="preserve"> v celkové výši podpory 2</w:t>
      </w:r>
      <w:r w:rsidR="00D94929">
        <w:rPr>
          <w:b/>
        </w:rPr>
        <w:t> </w:t>
      </w:r>
      <w:r w:rsidRPr="00D10A57">
        <w:rPr>
          <w:b/>
        </w:rPr>
        <w:t>006</w:t>
      </w:r>
      <w:r w:rsidR="00D94929">
        <w:rPr>
          <w:b/>
        </w:rPr>
        <w:t xml:space="preserve"> </w:t>
      </w:r>
      <w:r w:rsidRPr="00D10A57">
        <w:rPr>
          <w:b/>
        </w:rPr>
        <w:t>000 Kč</w:t>
      </w:r>
      <w:r w:rsidRPr="00D10A57">
        <w:t xml:space="preserve">. </w:t>
      </w:r>
    </w:p>
    <w:p w14:paraId="0528138F" w14:textId="77777777" w:rsidR="00D56307" w:rsidRDefault="00D56307" w:rsidP="00D10A57">
      <w:pPr>
        <w:jc w:val="both"/>
        <w:rPr>
          <w:rFonts w:ascii="Arial" w:hAnsi="Arial" w:cs="Arial"/>
        </w:rPr>
      </w:pPr>
    </w:p>
    <w:p w14:paraId="6D82F77D" w14:textId="77777777" w:rsidR="00A961AF" w:rsidRDefault="00A961AF">
      <w:pPr>
        <w:rPr>
          <w:rFonts w:ascii="Arial" w:hAnsi="Arial" w:cs="Arial"/>
        </w:rPr>
      </w:pPr>
      <w:r>
        <w:rPr>
          <w:rFonts w:ascii="Arial" w:hAnsi="Arial" w:cs="Arial"/>
        </w:rPr>
        <w:br w:type="page"/>
      </w:r>
    </w:p>
    <w:p w14:paraId="545D6C7F" w14:textId="77777777" w:rsidR="00E15157" w:rsidRPr="00D10A57" w:rsidRDefault="006275E3" w:rsidP="00D10A57">
      <w:pPr>
        <w:pStyle w:val="Nadpis1"/>
        <w:numPr>
          <w:ilvl w:val="0"/>
          <w:numId w:val="1"/>
        </w:numPr>
        <w:spacing w:line="240" w:lineRule="auto"/>
        <w:jc w:val="both"/>
        <w:rPr>
          <w:rFonts w:ascii="Arial" w:hAnsi="Arial" w:cs="Arial"/>
          <w:color w:val="auto"/>
          <w:sz w:val="24"/>
        </w:rPr>
      </w:pPr>
      <w:bookmarkStart w:id="13" w:name="_Toc112831377"/>
      <w:r w:rsidRPr="00D10A57">
        <w:rPr>
          <w:rFonts w:ascii="Arial" w:hAnsi="Arial" w:cs="Arial"/>
          <w:color w:val="auto"/>
          <w:sz w:val="24"/>
        </w:rPr>
        <w:lastRenderedPageBreak/>
        <w:t>Ministerstvo zdravotnictví</w:t>
      </w:r>
      <w:bookmarkEnd w:id="13"/>
    </w:p>
    <w:p w14:paraId="1F18282B" w14:textId="5DB12731" w:rsidR="00C56C71" w:rsidRDefault="00C56C71" w:rsidP="00D10A57">
      <w:pPr>
        <w:jc w:val="both"/>
        <w:rPr>
          <w:rFonts w:ascii="Arial" w:hAnsi="Arial" w:cs="Arial"/>
        </w:rPr>
      </w:pPr>
    </w:p>
    <w:p w14:paraId="70396A6D" w14:textId="1C2E8996" w:rsidR="00ED7E0F" w:rsidRPr="007C763A" w:rsidRDefault="00ED7E0F" w:rsidP="007C763A">
      <w:pPr>
        <w:rPr>
          <w:rFonts w:ascii="Arial" w:hAnsi="Arial" w:cs="Arial"/>
          <w:b/>
          <w:bCs/>
          <w:color w:val="000000"/>
        </w:rPr>
      </w:pPr>
      <w:r w:rsidRPr="00605AFD">
        <w:rPr>
          <w:rFonts w:ascii="Arial" w:hAnsi="Arial" w:cs="Arial"/>
          <w:b/>
          <w:bCs/>
          <w:color w:val="000000"/>
        </w:rPr>
        <w:t>Informace o plnění usnesení vlády týkajících se integrace romské menšiny a aktivního postupu státní správy při uskutečňování opatření přijatých souvisejícími usneseními vlády ke dni 31. 12. 2021</w:t>
      </w:r>
    </w:p>
    <w:p w14:paraId="7CC9BFE7" w14:textId="39FEA248" w:rsidR="00DF6849" w:rsidRPr="00D10A57" w:rsidRDefault="00DF6849" w:rsidP="00D10A57">
      <w:pPr>
        <w:pStyle w:val="Styl1"/>
      </w:pPr>
      <w:r w:rsidRPr="00D10A57">
        <w:t>Plnění jednotlivých opatření, které se týkají integrace romské menšiny</w:t>
      </w:r>
      <w:r w:rsidR="007200DA">
        <w:t>,</w:t>
      </w:r>
      <w:r w:rsidRPr="00D10A57">
        <w:t xml:space="preserve"> </w:t>
      </w:r>
      <w:r w:rsidR="007200DA">
        <w:t xml:space="preserve">byla </w:t>
      </w:r>
      <w:r w:rsidRPr="00D10A57">
        <w:t>v roce 2021 ovlivněna epidemiologickou situací v celé České republice. Ministerstvo zdravotnictví ČR (dále</w:t>
      </w:r>
      <w:r w:rsidR="00F73180" w:rsidRPr="00D10A57">
        <w:t xml:space="preserve"> jen</w:t>
      </w:r>
      <w:r w:rsidRPr="00D10A57">
        <w:t xml:space="preserve"> </w:t>
      </w:r>
      <w:r w:rsidR="00F73180" w:rsidRPr="00D10A57">
        <w:t>„</w:t>
      </w:r>
      <w:r w:rsidRPr="00D10A57">
        <w:t>MZ</w:t>
      </w:r>
      <w:r w:rsidR="00F73180" w:rsidRPr="00D10A57">
        <w:t>“</w:t>
      </w:r>
      <w:r w:rsidRPr="00D10A57">
        <w:t>) se především zaměřilo a zásadně podílelo na zvládnutí úkolů</w:t>
      </w:r>
      <w:r w:rsidR="00D94929">
        <w:t xml:space="preserve"> související s pandemií covid-19.</w:t>
      </w:r>
      <w:r w:rsidRPr="00D10A57">
        <w:t xml:space="preserve"> </w:t>
      </w:r>
    </w:p>
    <w:p w14:paraId="76A9BD22" w14:textId="43BBE185" w:rsidR="00DF6849" w:rsidRPr="007C763A" w:rsidRDefault="00DF6849" w:rsidP="00D10A57">
      <w:pPr>
        <w:pStyle w:val="Styl1"/>
        <w:rPr>
          <w:b/>
        </w:rPr>
      </w:pPr>
      <w:r w:rsidRPr="007C763A">
        <w:rPr>
          <w:b/>
        </w:rPr>
        <w:t>Usnesením vlády ze dne 11. května 2016 č. 416 k Revizi úkolů vyplývajících z usnesení vlády týkajících se integrace romské menšiny</w:t>
      </w:r>
      <w:r w:rsidR="00D94929" w:rsidRPr="007C763A">
        <w:rPr>
          <w:b/>
        </w:rPr>
        <w:t xml:space="preserve"> </w:t>
      </w:r>
      <w:r w:rsidRPr="007C763A">
        <w:rPr>
          <w:b/>
        </w:rPr>
        <w:t xml:space="preserve">vláda uložila ministerstvu zdravotnictví průběžně: </w:t>
      </w:r>
    </w:p>
    <w:p w14:paraId="68C9A7DA" w14:textId="19C77D84" w:rsidR="00DF6849" w:rsidRPr="00D10A57" w:rsidRDefault="00DF6849" w:rsidP="007C763A">
      <w:pPr>
        <w:pStyle w:val="Styl1"/>
        <w:numPr>
          <w:ilvl w:val="0"/>
          <w:numId w:val="38"/>
        </w:numPr>
        <w:rPr>
          <w:color w:val="auto"/>
        </w:rPr>
      </w:pPr>
      <w:r w:rsidRPr="00D10A57">
        <w:rPr>
          <w:b/>
          <w:bCs/>
          <w:color w:val="auto"/>
        </w:rPr>
        <w:t xml:space="preserve"> hledat ve spolupráci s ministryní práce a soc</w:t>
      </w:r>
      <w:r w:rsidR="000A5891" w:rsidRPr="00D10A57">
        <w:rPr>
          <w:b/>
          <w:bCs/>
          <w:color w:val="auto"/>
        </w:rPr>
        <w:t>iálních věcí systémové řešení k </w:t>
      </w:r>
      <w:r w:rsidRPr="00D10A57">
        <w:rPr>
          <w:b/>
          <w:bCs/>
          <w:color w:val="auto"/>
        </w:rPr>
        <w:t>zakotvení a rozšíření působnosti zdravotně sociálních pomocníků, a to zejména v</w:t>
      </w:r>
      <w:r w:rsidR="007200DA">
        <w:rPr>
          <w:b/>
          <w:bCs/>
          <w:color w:val="auto"/>
        </w:rPr>
        <w:t> </w:t>
      </w:r>
      <w:r w:rsidRPr="00D10A57">
        <w:rPr>
          <w:b/>
          <w:bCs/>
          <w:color w:val="auto"/>
        </w:rPr>
        <w:t xml:space="preserve">sociálně vyloučených lokalitách </w:t>
      </w:r>
    </w:p>
    <w:p w14:paraId="7EBD7ADD" w14:textId="47B54CB7" w:rsidR="00DF6849" w:rsidRPr="00D10A57" w:rsidRDefault="00DF6849" w:rsidP="00D10A57">
      <w:pPr>
        <w:pStyle w:val="Styl1"/>
      </w:pPr>
      <w:r w:rsidRPr="00D10A57">
        <w:t>Státní zdravotní ústav (</w:t>
      </w:r>
      <w:r w:rsidR="000A5891" w:rsidRPr="00D10A57">
        <w:t>dále jen „</w:t>
      </w:r>
      <w:r w:rsidRPr="00D10A57">
        <w:t>SZÚ</w:t>
      </w:r>
      <w:r w:rsidR="000A5891" w:rsidRPr="00D10A57">
        <w:t>“</w:t>
      </w:r>
      <w:r w:rsidRPr="00D10A57">
        <w:t>) je přímo řízenou organizací MZ. Na podporu zdraví romské menšiny realizuje projekt</w:t>
      </w:r>
      <w:r w:rsidR="00D94929">
        <w:rPr>
          <w:b/>
          <w:bCs/>
        </w:rPr>
        <w:t xml:space="preserve"> </w:t>
      </w:r>
      <w:r w:rsidRPr="00D10A57">
        <w:rPr>
          <w:b/>
          <w:bCs/>
        </w:rPr>
        <w:t xml:space="preserve">Efektivní podpora zdraví osob ohrožených chudobou a sociálním vyloučením </w:t>
      </w:r>
      <w:r w:rsidRPr="00D10A57">
        <w:t xml:space="preserve">(shrnutí projektu k 31. </w:t>
      </w:r>
      <w:r w:rsidR="00D94929">
        <w:t xml:space="preserve">prosinci </w:t>
      </w:r>
      <w:r w:rsidRPr="00D10A57">
        <w:t xml:space="preserve">2020) </w:t>
      </w:r>
    </w:p>
    <w:p w14:paraId="461F7DD3" w14:textId="114CF295" w:rsidR="00DF6849" w:rsidRPr="00D10A57" w:rsidRDefault="00DF6849" w:rsidP="00D10A57">
      <w:pPr>
        <w:pStyle w:val="Styl1"/>
      </w:pPr>
      <w:r w:rsidRPr="00D10A57">
        <w:rPr>
          <w:b/>
          <w:bCs/>
        </w:rPr>
        <w:t xml:space="preserve">Projekt s reg. č. CZ.03.2.63/0.0/0.0/15_039/0009439 je realizován </w:t>
      </w:r>
      <w:r w:rsidR="00D94929">
        <w:rPr>
          <w:b/>
          <w:bCs/>
        </w:rPr>
        <w:t>SZÚ</w:t>
      </w:r>
      <w:r w:rsidRPr="00D10A57">
        <w:rPr>
          <w:b/>
          <w:bCs/>
        </w:rPr>
        <w:t xml:space="preserve"> ve 14 krajích České republiky v letech 2018 – 2022. </w:t>
      </w:r>
    </w:p>
    <w:p w14:paraId="2B837FA2" w14:textId="6A628050" w:rsidR="00DF6849" w:rsidRPr="00D10A57" w:rsidRDefault="00DF6849" w:rsidP="00D10A57">
      <w:pPr>
        <w:pStyle w:val="Styl1"/>
      </w:pPr>
      <w:r w:rsidRPr="00D10A57">
        <w:t>Projekt vychází z identifikované potřeby intervence do podpory zdraví a prevence nemocí, v</w:t>
      </w:r>
      <w:r w:rsidR="007200DA">
        <w:t> </w:t>
      </w:r>
      <w:r w:rsidRPr="00D10A57">
        <w:t>nichž ČR obecně vykazuje z hlediska dlouhodobých statistik a trendů v oblasti zdraví trvale nepříznivý stav. Podstatně horší je situace u osob sociálně vyloučených nebo u osob sociálním vyloučením ohrožených. Přestože se nelze opřít o údaje z pravidelných statistik nemocnosti a</w:t>
      </w:r>
      <w:r w:rsidR="007200DA">
        <w:t> </w:t>
      </w:r>
      <w:r w:rsidRPr="00D10A57">
        <w:t xml:space="preserve">úmrtnosti, které nezohledňují sociální determinanty jako je příjem, etnicita, vzdělání nebo zaměstnání, lze zdravotní stav obyvatel ve vyloučených lokalitách a populačních skupin ohrožených chudobou popsat pomocí výsledků studií prováděných </w:t>
      </w:r>
      <w:r w:rsidR="00D94929">
        <w:t>v ČR</w:t>
      </w:r>
      <w:r w:rsidRPr="00D10A57">
        <w:t>, ale i jinde v Evropě. Tyto výsledky prokazují, že zdravotní stav významně závisí na sociálních a ekonomických determinantách zdraví</w:t>
      </w:r>
      <w:r w:rsidR="00D94929">
        <w:t xml:space="preserve"> - </w:t>
      </w:r>
      <w:r w:rsidRPr="00D10A57">
        <w:t>chudí mají kratší střední délku života, horší subjektivní zdraví, více úrazů a horší životní styl ve všech jeho hlavních složkách, které se zdravím souvisejí</w:t>
      </w:r>
      <w:r w:rsidR="00D94929">
        <w:t xml:space="preserve"> -</w:t>
      </w:r>
      <w:r w:rsidRPr="00D10A57">
        <w:t xml:space="preserve"> výživa, pohybová aktivita a kuřáctví. </w:t>
      </w:r>
    </w:p>
    <w:p w14:paraId="6EC44171" w14:textId="68AC2A14" w:rsidR="00DF6849" w:rsidRPr="00D10A57" w:rsidRDefault="00DF6849" w:rsidP="00D10A57">
      <w:pPr>
        <w:pStyle w:val="Styl1"/>
      </w:pPr>
      <w:r w:rsidRPr="00D10A57">
        <w:t>Z konkrétních nemocí, které jsou přímým důsledkem rizik v životním stylu lze uvést, že chudí a nevzdělaní lidé umírají častěji na kardiovaskulární onemocnění</w:t>
      </w:r>
      <w:r w:rsidR="00D94929">
        <w:t xml:space="preserve"> a </w:t>
      </w:r>
      <w:r w:rsidRPr="00D10A57">
        <w:t>trpí častěji nemocemi trávicího a dýchacího traktu. V poslední době u nich stoupá, stejně jako ve většinové populaci</w:t>
      </w:r>
      <w:r w:rsidR="00D94929">
        <w:t xml:space="preserve">, </w:t>
      </w:r>
      <w:r w:rsidRPr="00D10A57">
        <w:t xml:space="preserve"> výskyt diabetu 2. stupně a zároveň se zhoršují ukazatele, které jsou indikátory výše chronických neinfekčních onemocnění</w:t>
      </w:r>
      <w:r w:rsidR="00D94929">
        <w:t xml:space="preserve"> -</w:t>
      </w:r>
      <w:r w:rsidRPr="00D10A57">
        <w:t xml:space="preserve"> vysoký krevní tlak, hodnoty cholesterolu v krvi, nadváha a obezita. Infekční onemocnění, např. hepatitida, průjmová onemocnění, onemocnění dýchacích cest se v nevyhovujících podmínkách bydlení ve vyloučených lokalitách, které neumožňuje dodržování nejen protiepidemických opatření, ale často ani pravidla základní hygieny, velmi rychle šíří. </w:t>
      </w:r>
    </w:p>
    <w:p w14:paraId="7A0F72D9" w14:textId="77777777" w:rsidR="00DF6849" w:rsidRPr="00D10A57" w:rsidRDefault="00DF6849" w:rsidP="00D10A57">
      <w:pPr>
        <w:pStyle w:val="Styl1"/>
      </w:pPr>
      <w:r w:rsidRPr="00D10A57">
        <w:rPr>
          <w:b/>
          <w:bCs/>
        </w:rPr>
        <w:t xml:space="preserve">1. Cíle projektu </w:t>
      </w:r>
    </w:p>
    <w:p w14:paraId="3DB5F721" w14:textId="68E9CCE9" w:rsidR="00DF6849" w:rsidRPr="00D10A57" w:rsidRDefault="00DF6849" w:rsidP="00D10A57">
      <w:pPr>
        <w:pStyle w:val="Styl1"/>
      </w:pPr>
      <w:r w:rsidRPr="00D10A57">
        <w:t>• vybudování infrastruktury regionálních center podpory zdraví (</w:t>
      </w:r>
      <w:r w:rsidR="00D94929">
        <w:t>dále jen „</w:t>
      </w:r>
      <w:r w:rsidRPr="00D10A57">
        <w:t>RCPZ</w:t>
      </w:r>
      <w:r w:rsidR="00D94929">
        <w:t>“</w:t>
      </w:r>
      <w:r w:rsidRPr="00D10A57">
        <w:t xml:space="preserve">) pro dlouhodobé řešení snižování nerovností ve zdraví v ČR, </w:t>
      </w:r>
    </w:p>
    <w:p w14:paraId="08D6700E" w14:textId="2FD73E2C" w:rsidR="00DF6849" w:rsidRPr="00D10A57" w:rsidRDefault="00DF6849" w:rsidP="00D10A57">
      <w:pPr>
        <w:pStyle w:val="Styl1"/>
      </w:pPr>
      <w:r w:rsidRPr="00D10A57">
        <w:lastRenderedPageBreak/>
        <w:t xml:space="preserve">• vytvoření nových pracovních míst pro realizaci podpory zdraví u </w:t>
      </w:r>
      <w:r w:rsidR="00D94929">
        <w:t>zranitelných</w:t>
      </w:r>
      <w:r w:rsidRPr="00D10A57">
        <w:t xml:space="preserve"> skupin populace, </w:t>
      </w:r>
    </w:p>
    <w:p w14:paraId="25956C01" w14:textId="77777777" w:rsidR="00DF6849" w:rsidRPr="00D10A57" w:rsidRDefault="00DF6849" w:rsidP="00D10A57">
      <w:pPr>
        <w:pStyle w:val="Styl1"/>
      </w:pPr>
      <w:r w:rsidRPr="00D10A57">
        <w:t xml:space="preserve">• vytvoření preventivních programů podpory zdraví k realizaci u cílové skupiny osob ohrožených chudobou a sociálním vyloučením s cílem zvyšování zdravotní gramotnosti, </w:t>
      </w:r>
    </w:p>
    <w:p w14:paraId="705D2E90" w14:textId="55545654" w:rsidR="00DF6849" w:rsidRPr="00D10A57" w:rsidRDefault="00DF6849" w:rsidP="00D10A57">
      <w:pPr>
        <w:pStyle w:val="Styl1"/>
      </w:pPr>
      <w:r w:rsidRPr="00D10A57">
        <w:t>• propojení klíčových partnerů pro řešení nerovností ve zdraví v regionu, usnadnění sociální</w:t>
      </w:r>
      <w:r w:rsidR="00D94929">
        <w:t>ho</w:t>
      </w:r>
      <w:r w:rsidRPr="00D10A57">
        <w:t xml:space="preserve"> začlenění a zlepšení způsobu života ohrožených skupin, </w:t>
      </w:r>
    </w:p>
    <w:p w14:paraId="41D0401A" w14:textId="77777777" w:rsidR="00DF6849" w:rsidRPr="00D10A57" w:rsidRDefault="00DF6849" w:rsidP="00D10A57">
      <w:pPr>
        <w:pStyle w:val="Styl1"/>
      </w:pPr>
      <w:r w:rsidRPr="00D10A57">
        <w:t xml:space="preserve">• realizace vzdělávacího kurzu pro novou pozici mediátorů podpory zdraví, jejichž úkolem je zprostředkovat zdravotní služby primární prevence osobám ohroženým chudobou a sociálním vyloučením, </w:t>
      </w:r>
    </w:p>
    <w:p w14:paraId="6D37ED99" w14:textId="77777777" w:rsidR="00DF6849" w:rsidRPr="00D10A57" w:rsidRDefault="00DF6849" w:rsidP="00D10A57">
      <w:pPr>
        <w:pStyle w:val="Styl1"/>
      </w:pPr>
      <w:r w:rsidRPr="00D10A57">
        <w:t xml:space="preserve">• zahájení procesu snižování nerovností v přístupu ke zdraví a zdravotním službám a prodloužení života ve zdraví prostřednictvím akcí – kurzů zdravého životního stylu, dnů zdraví, kurzů pohybových aktivit, odborných přednášek a individuálních intervencí. </w:t>
      </w:r>
    </w:p>
    <w:p w14:paraId="15A303B7" w14:textId="77777777" w:rsidR="00DF6849" w:rsidRPr="00D10A57" w:rsidRDefault="00DF6849" w:rsidP="00D10A57">
      <w:pPr>
        <w:pStyle w:val="Styl1"/>
      </w:pPr>
      <w:r w:rsidRPr="00D10A57">
        <w:rPr>
          <w:b/>
          <w:bCs/>
        </w:rPr>
        <w:t>2. Realizace aktivit v letech 2018 – 2021</w:t>
      </w:r>
    </w:p>
    <w:p w14:paraId="29D24425" w14:textId="2FFA9B1B" w:rsidR="00DF6849" w:rsidRPr="00D10A57" w:rsidRDefault="00DF6849" w:rsidP="00D10A57">
      <w:pPr>
        <w:pStyle w:val="Styl1"/>
      </w:pPr>
      <w:r w:rsidRPr="00D10A57">
        <w:t xml:space="preserve">Ve všech krajích vč. hl. m. Prahy byla v průběhu realizace projektu zřízená RCPZ funkční a aktivní, disponující týmy krajských koordinátorů a mediátorů podpory zdraví, kteří se průběžně věnují realizaci vytvořených preventivních programů. V roce 2020 se realizace preventivních programů rozběhla prostřednictvím plánovaných forem (individuální intervence, dny zdraví, kurzy zdravého životního stylu, kurzy pohybových aktivit). Aktivita center a celého projektu byla však poznamenána vládními opatřeními proti šíření covid-19 a dílčí plánované aktivity nemohly být realizovány v roce 2020 a 2021 dle stanoveného plánu jednotlivých RCPZ. </w:t>
      </w:r>
    </w:p>
    <w:p w14:paraId="028D0FEB" w14:textId="06CEF4B3" w:rsidR="00DF6849" w:rsidRPr="00D10A57" w:rsidRDefault="00DF6849" w:rsidP="00D10A57">
      <w:pPr>
        <w:pStyle w:val="Styl1"/>
      </w:pPr>
      <w:r w:rsidRPr="00D10A57">
        <w:rPr>
          <w:b/>
          <w:bCs/>
        </w:rPr>
        <w:t xml:space="preserve">3. V roce 2021 </w:t>
      </w:r>
      <w:r w:rsidRPr="00D10A57">
        <w:t xml:space="preserve">nadále probíhalo v jednotlivých krajích </w:t>
      </w:r>
      <w:r w:rsidRPr="00D10A57">
        <w:rPr>
          <w:b/>
          <w:bCs/>
        </w:rPr>
        <w:t xml:space="preserve">vytváření sítě spolupracujících odborných kapacit </w:t>
      </w:r>
      <w:r w:rsidRPr="00D10A57">
        <w:t>a pravidelně byly aktualizovány databáze organizací spolupracujících na</w:t>
      </w:r>
      <w:r w:rsidR="007200DA">
        <w:t> </w:t>
      </w:r>
      <w:r w:rsidRPr="00D10A57">
        <w:t xml:space="preserve">realizaci a registrované </w:t>
      </w:r>
      <w:r w:rsidR="00530CE1">
        <w:t>SVL</w:t>
      </w:r>
      <w:r w:rsidRPr="00D10A57">
        <w:t xml:space="preserve">. RCPZ komunikovala a spolupracovala s různými klíčovými partnery v jednotlivých krajích jejich působení – především s krajskými koordinátory pro romské záležitosti, městskými úřady a </w:t>
      </w:r>
      <w:r w:rsidR="00530CE1">
        <w:t>NNO</w:t>
      </w:r>
      <w:r w:rsidRPr="00D10A57">
        <w:t xml:space="preserve">. Hlavním přínosem spolupráce z pohledu těchto klíčových partnerů bylo právě to, že se zúčastnění aktéři dozvídali o průběhu projektu a o jeho práci s cílovou skupinou. </w:t>
      </w:r>
    </w:p>
    <w:p w14:paraId="78A860FE" w14:textId="048E6DB6" w:rsidR="00DF6849" w:rsidRPr="00D10A57" w:rsidRDefault="00DF6849" w:rsidP="00D10A57">
      <w:pPr>
        <w:pStyle w:val="Styl1"/>
      </w:pPr>
      <w:r w:rsidRPr="00D10A57">
        <w:t xml:space="preserve">V rámci projektu bylo v roce 2021 realizováno </w:t>
      </w:r>
      <w:r w:rsidRPr="00D10A57">
        <w:rPr>
          <w:b/>
          <w:bCs/>
        </w:rPr>
        <w:t xml:space="preserve">40 z vytvořených 69 preventivních programů. </w:t>
      </w:r>
      <w:r w:rsidRPr="00D10A57">
        <w:t>Vytvořené preventivní programy byly průběžně aktualizovány, a to i v souvislosti s pandemi</w:t>
      </w:r>
      <w:r w:rsidR="00C41652" w:rsidRPr="00D10A57">
        <w:t xml:space="preserve">í </w:t>
      </w:r>
      <w:r w:rsidR="006C5C6A">
        <w:t>a onemocněním covid</w:t>
      </w:r>
      <w:r w:rsidRPr="00D10A57">
        <w:t xml:space="preserve">-19. Pro realizaci preventivních programů byl pořízen zdravotně výchovný materiál, pomůcky, modely a přístroje. </w:t>
      </w:r>
    </w:p>
    <w:p w14:paraId="6E9DDA12" w14:textId="67139D88" w:rsidR="00DF6849" w:rsidRPr="00D10A57" w:rsidRDefault="00DF6849" w:rsidP="00D10A57">
      <w:pPr>
        <w:pStyle w:val="Styl1"/>
      </w:pPr>
      <w:r w:rsidRPr="00D10A57">
        <w:t xml:space="preserve">V rámci projektu byla v SZÚ vytvořena </w:t>
      </w:r>
      <w:r w:rsidRPr="00D10A57">
        <w:rPr>
          <w:b/>
          <w:bCs/>
        </w:rPr>
        <w:t xml:space="preserve">nová pracovní místa krajských koordinátorů a mediátorů podpory zdraví. </w:t>
      </w:r>
      <w:r w:rsidRPr="00D10A57">
        <w:t xml:space="preserve">K 31. </w:t>
      </w:r>
      <w:r w:rsidR="006C5C6A">
        <w:t>prosinci</w:t>
      </w:r>
      <w:r w:rsidRPr="00D10A57">
        <w:t xml:space="preserve"> 2021 pracovalo na pozici koordinátorů 15 fyzických osob (14,00 přepočtený stav), na pozici mediátorů 55 fyzických osob (45,00 přepočtený stav) a 1 metodik krajských koordinátorů (1,00 přepočtený stav). </w:t>
      </w:r>
    </w:p>
    <w:p w14:paraId="38C3E7BD" w14:textId="77777777" w:rsidR="00DF6849" w:rsidRPr="00D10A57" w:rsidRDefault="00DF6849" w:rsidP="00D10A57">
      <w:pPr>
        <w:pStyle w:val="Styl1"/>
      </w:pPr>
      <w:r w:rsidRPr="00D10A57">
        <w:t xml:space="preserve">V rámci projektu byl v roce 2021 realizován jeden </w:t>
      </w:r>
      <w:r w:rsidRPr="00D10A57">
        <w:rPr>
          <w:b/>
          <w:bCs/>
        </w:rPr>
        <w:t xml:space="preserve">Kurz mediátora podpory zdraví </w:t>
      </w:r>
      <w:r w:rsidRPr="00D10A57">
        <w:t xml:space="preserve">pro pracovníky RCPZ. Jedná se o 80 hodinový kurz. V tomto kurzu bylo proškoleno v roce 2021 </w:t>
      </w:r>
      <w:r w:rsidRPr="00D10A57">
        <w:rPr>
          <w:b/>
          <w:bCs/>
        </w:rPr>
        <w:t>28 osob</w:t>
      </w:r>
      <w:r w:rsidRPr="00D10A57">
        <w:t xml:space="preserve">. Dále bylo v rámci projektu v roce 2021 </w:t>
      </w:r>
      <w:r w:rsidRPr="00D10A57">
        <w:rPr>
          <w:b/>
          <w:bCs/>
        </w:rPr>
        <w:t>proškoleno 71 lektorů</w:t>
      </w:r>
      <w:r w:rsidRPr="00D10A57">
        <w:t xml:space="preserve">, kteří zajišťují realizaci preventivních programů pro cílovou skupinu. </w:t>
      </w:r>
    </w:p>
    <w:p w14:paraId="4E9E1999" w14:textId="4E07D89C" w:rsidR="00DF6849" w:rsidRPr="00D10A57" w:rsidRDefault="00DF6849" w:rsidP="00D10A57">
      <w:pPr>
        <w:pStyle w:val="Styl1"/>
      </w:pPr>
      <w:r w:rsidRPr="00D10A57">
        <w:t xml:space="preserve">I přes zmíněná vládní opatření proti šíření </w:t>
      </w:r>
      <w:r w:rsidR="006C5C6A">
        <w:t>covid-19</w:t>
      </w:r>
      <w:r w:rsidR="006C5C6A" w:rsidRPr="00D10A57">
        <w:t xml:space="preserve"> </w:t>
      </w:r>
      <w:r w:rsidRPr="00D10A57">
        <w:t xml:space="preserve">bylo v roce 2021 ve všech krajích realizováno celkem </w:t>
      </w:r>
      <w:r w:rsidRPr="00D10A57">
        <w:rPr>
          <w:b/>
          <w:bCs/>
        </w:rPr>
        <w:t xml:space="preserve">344 </w:t>
      </w:r>
      <w:r w:rsidR="006C5C6A">
        <w:rPr>
          <w:b/>
          <w:bCs/>
        </w:rPr>
        <w:t>k</w:t>
      </w:r>
      <w:r w:rsidRPr="00D10A57">
        <w:rPr>
          <w:b/>
          <w:bCs/>
        </w:rPr>
        <w:t xml:space="preserve">urzů zdravého životního stylu </w:t>
      </w:r>
      <w:r w:rsidRPr="00D10A57">
        <w:t>(každý kurz trvá 40 hodin)</w:t>
      </w:r>
      <w:r w:rsidRPr="00D10A57">
        <w:rPr>
          <w:b/>
          <w:bCs/>
        </w:rPr>
        <w:t xml:space="preserve">, 101 </w:t>
      </w:r>
      <w:r w:rsidR="006C5C6A">
        <w:rPr>
          <w:b/>
          <w:bCs/>
        </w:rPr>
        <w:t>d</w:t>
      </w:r>
      <w:r w:rsidRPr="00D10A57">
        <w:rPr>
          <w:b/>
          <w:bCs/>
        </w:rPr>
        <w:t xml:space="preserve">nů zdraví, 2 119 </w:t>
      </w:r>
      <w:r w:rsidR="006C5C6A">
        <w:rPr>
          <w:b/>
          <w:bCs/>
        </w:rPr>
        <w:t>k</w:t>
      </w:r>
      <w:r w:rsidRPr="00D10A57">
        <w:rPr>
          <w:b/>
          <w:bCs/>
        </w:rPr>
        <w:t>urzů pohybové aktivity a 269 odborných akcí a přednášek</w:t>
      </w:r>
      <w:r w:rsidRPr="00D10A57">
        <w:t xml:space="preserve">. </w:t>
      </w:r>
      <w:r w:rsidRPr="00D10A57">
        <w:rPr>
          <w:b/>
          <w:bCs/>
        </w:rPr>
        <w:t xml:space="preserve">Od počátku projektu využilo služby realizované v rámci projektu celkem 37 108 účastníků. </w:t>
      </w:r>
    </w:p>
    <w:p w14:paraId="2248D78E" w14:textId="103B099B" w:rsidR="00DF6849" w:rsidRPr="00D10A57" w:rsidRDefault="00DF6849" w:rsidP="00D10A57">
      <w:pPr>
        <w:pStyle w:val="Styl1"/>
      </w:pPr>
      <w:r w:rsidRPr="00D10A57">
        <w:rPr>
          <w:b/>
          <w:bCs/>
        </w:rPr>
        <w:lastRenderedPageBreak/>
        <w:t>Na tomto místě je třeba uvést, že projekt není etnicky vymezen, proto nelze poskytnout data vztahující se pouze k romské menšině. V prezenčních listinách ani v</w:t>
      </w:r>
      <w:r w:rsidR="007200DA">
        <w:t> </w:t>
      </w:r>
      <w:r w:rsidRPr="00D10A57">
        <w:rPr>
          <w:b/>
          <w:bCs/>
        </w:rPr>
        <w:t xml:space="preserve">monitorovacích listech není nikde uvedeno etnikum. Ve vztahu k romské menšině můžeme pouze vycházet ze skutečnosti, že v </w:t>
      </w:r>
      <w:r w:rsidR="006C5C6A">
        <w:rPr>
          <w:b/>
          <w:bCs/>
        </w:rPr>
        <w:t>SVL</w:t>
      </w:r>
      <w:r w:rsidRPr="00D10A57">
        <w:rPr>
          <w:b/>
          <w:bCs/>
        </w:rPr>
        <w:t xml:space="preserve"> je cca 75 – 80% romské populace. Projekt je realizován i mimo </w:t>
      </w:r>
      <w:r w:rsidR="006C5C6A">
        <w:rPr>
          <w:b/>
          <w:bCs/>
        </w:rPr>
        <w:t>SVL</w:t>
      </w:r>
      <w:r w:rsidRPr="00D10A57">
        <w:rPr>
          <w:b/>
          <w:bCs/>
        </w:rPr>
        <w:t xml:space="preserve">. </w:t>
      </w:r>
    </w:p>
    <w:p w14:paraId="5F821550" w14:textId="77777777" w:rsidR="00DF6849" w:rsidRPr="00D10A57" w:rsidRDefault="00DF6849" w:rsidP="00D10A57">
      <w:pPr>
        <w:pStyle w:val="Styl1"/>
      </w:pPr>
      <w:r w:rsidRPr="00D10A57">
        <w:t xml:space="preserve">V níže uvedené tabulce je uveden přehledně souhrn aktivit v projektu v roce 2021. </w:t>
      </w:r>
    </w:p>
    <w:p w14:paraId="1C7876C8" w14:textId="43EC4C1C" w:rsidR="00C41652" w:rsidRPr="00D10A57" w:rsidRDefault="00C41652" w:rsidP="00D10A57">
      <w:pPr>
        <w:pStyle w:val="Styl1"/>
        <w:rPr>
          <w:i/>
          <w:iCs/>
        </w:rPr>
      </w:pPr>
      <w:r w:rsidRPr="00D10A57">
        <w:rPr>
          <w:i/>
          <w:iCs/>
        </w:rPr>
        <w:t>Plnění cílů projektu v roce 2021 – souhrnný přehled.</w:t>
      </w:r>
    </w:p>
    <w:tbl>
      <w:tblPr>
        <w:tblStyle w:val="Mkatabulky"/>
        <w:tblW w:w="0" w:type="auto"/>
        <w:tblLook w:val="0000" w:firstRow="0" w:lastRow="0" w:firstColumn="0" w:lastColumn="0" w:noHBand="0" w:noVBand="0"/>
      </w:tblPr>
      <w:tblGrid>
        <w:gridCol w:w="562"/>
        <w:gridCol w:w="3828"/>
        <w:gridCol w:w="4672"/>
      </w:tblGrid>
      <w:tr w:rsidR="00C41652" w:rsidRPr="00D10A57" w14:paraId="0BDF84C2" w14:textId="77777777" w:rsidTr="00C41652">
        <w:trPr>
          <w:trHeight w:val="103"/>
        </w:trPr>
        <w:tc>
          <w:tcPr>
            <w:tcW w:w="562" w:type="dxa"/>
            <w:shd w:val="clear" w:color="auto" w:fill="548DD4" w:themeFill="text2" w:themeFillTint="99"/>
          </w:tcPr>
          <w:p w14:paraId="54718C87" w14:textId="77777777" w:rsidR="00C41652" w:rsidRPr="00D10A57" w:rsidRDefault="00C41652" w:rsidP="00D10A57">
            <w:pPr>
              <w:pStyle w:val="Styl1"/>
              <w:spacing w:after="0"/>
              <w:rPr>
                <w:sz w:val="20"/>
                <w:szCs w:val="20"/>
              </w:rPr>
            </w:pPr>
          </w:p>
        </w:tc>
        <w:tc>
          <w:tcPr>
            <w:tcW w:w="3828" w:type="dxa"/>
            <w:shd w:val="clear" w:color="auto" w:fill="548DD4" w:themeFill="text2" w:themeFillTint="99"/>
          </w:tcPr>
          <w:p w14:paraId="232907E3" w14:textId="77777777" w:rsidR="00C41652" w:rsidRPr="00D10A57" w:rsidRDefault="00C41652" w:rsidP="00D10A57">
            <w:pPr>
              <w:pStyle w:val="Styl1"/>
              <w:spacing w:after="0"/>
              <w:rPr>
                <w:sz w:val="20"/>
                <w:szCs w:val="20"/>
              </w:rPr>
            </w:pPr>
            <w:r w:rsidRPr="00D10A57">
              <w:rPr>
                <w:b/>
                <w:bCs/>
                <w:sz w:val="20"/>
                <w:szCs w:val="20"/>
              </w:rPr>
              <w:t>Cíle projektu</w:t>
            </w:r>
          </w:p>
        </w:tc>
        <w:tc>
          <w:tcPr>
            <w:tcW w:w="4672" w:type="dxa"/>
            <w:shd w:val="clear" w:color="auto" w:fill="548DD4" w:themeFill="text2" w:themeFillTint="99"/>
          </w:tcPr>
          <w:p w14:paraId="78205811" w14:textId="77777777" w:rsidR="00C41652" w:rsidRPr="00D10A57" w:rsidRDefault="00C41652" w:rsidP="00D10A57">
            <w:pPr>
              <w:pStyle w:val="Styl1"/>
              <w:spacing w:after="0"/>
              <w:rPr>
                <w:sz w:val="20"/>
                <w:szCs w:val="20"/>
              </w:rPr>
            </w:pPr>
            <w:r w:rsidRPr="00D10A57">
              <w:rPr>
                <w:b/>
                <w:bCs/>
                <w:sz w:val="20"/>
                <w:szCs w:val="20"/>
              </w:rPr>
              <w:t xml:space="preserve">Plnění cílů projektu </w:t>
            </w:r>
          </w:p>
        </w:tc>
      </w:tr>
      <w:tr w:rsidR="00C41652" w:rsidRPr="00D10A57" w14:paraId="35D69DCF" w14:textId="77777777" w:rsidTr="00C41652">
        <w:trPr>
          <w:trHeight w:val="686"/>
        </w:trPr>
        <w:tc>
          <w:tcPr>
            <w:tcW w:w="562" w:type="dxa"/>
          </w:tcPr>
          <w:p w14:paraId="18F4AE44" w14:textId="77777777" w:rsidR="00DF6849" w:rsidRPr="00D10A57" w:rsidRDefault="00DF6849" w:rsidP="00D10A57">
            <w:pPr>
              <w:pStyle w:val="Styl1"/>
              <w:spacing w:after="0"/>
              <w:rPr>
                <w:sz w:val="20"/>
                <w:szCs w:val="20"/>
              </w:rPr>
            </w:pPr>
            <w:r w:rsidRPr="00D10A57">
              <w:rPr>
                <w:sz w:val="20"/>
                <w:szCs w:val="20"/>
              </w:rPr>
              <w:t xml:space="preserve">1. </w:t>
            </w:r>
          </w:p>
        </w:tc>
        <w:tc>
          <w:tcPr>
            <w:tcW w:w="3828" w:type="dxa"/>
          </w:tcPr>
          <w:p w14:paraId="7DCE2B7C" w14:textId="77777777" w:rsidR="00DF6849" w:rsidRPr="00D10A57" w:rsidRDefault="00DF6849" w:rsidP="00D10A57">
            <w:pPr>
              <w:pStyle w:val="Styl1"/>
              <w:spacing w:after="0"/>
              <w:rPr>
                <w:sz w:val="20"/>
                <w:szCs w:val="20"/>
              </w:rPr>
            </w:pPr>
            <w:r w:rsidRPr="00D10A57">
              <w:rPr>
                <w:sz w:val="20"/>
                <w:szCs w:val="20"/>
              </w:rPr>
              <w:t xml:space="preserve">Vybudování infrastruktury regionálních center podpory zdraví (RCPZ) pro dlouhodobé řešení snižování nerovností ve zdraví v ČR. </w:t>
            </w:r>
          </w:p>
        </w:tc>
        <w:tc>
          <w:tcPr>
            <w:tcW w:w="4672" w:type="dxa"/>
          </w:tcPr>
          <w:p w14:paraId="69672A82" w14:textId="77777777" w:rsidR="00DF6849" w:rsidRPr="00D10A57" w:rsidRDefault="00DF6849" w:rsidP="00D10A57">
            <w:pPr>
              <w:pStyle w:val="Styl1"/>
              <w:spacing w:after="0"/>
              <w:rPr>
                <w:sz w:val="20"/>
                <w:szCs w:val="20"/>
              </w:rPr>
            </w:pPr>
            <w:r w:rsidRPr="00D10A57">
              <w:rPr>
                <w:sz w:val="20"/>
                <w:szCs w:val="20"/>
              </w:rPr>
              <w:t xml:space="preserve">Ve všech krajích vč. hl. m. Prahy byla v průběhu realizace projektu zřízená </w:t>
            </w:r>
            <w:r w:rsidRPr="00D10A57">
              <w:rPr>
                <w:b/>
                <w:bCs/>
                <w:sz w:val="20"/>
                <w:szCs w:val="20"/>
              </w:rPr>
              <w:t xml:space="preserve">Regionální centra podpory zdraví </w:t>
            </w:r>
            <w:r w:rsidRPr="00D10A57">
              <w:rPr>
                <w:sz w:val="20"/>
                <w:szCs w:val="20"/>
              </w:rPr>
              <w:t xml:space="preserve">(RCPZ) s týmy krajských koordinátorů a mediátorů podpory zdraví. </w:t>
            </w:r>
          </w:p>
        </w:tc>
      </w:tr>
      <w:tr w:rsidR="00C41652" w:rsidRPr="00D10A57" w14:paraId="427931C9" w14:textId="77777777" w:rsidTr="00C41652">
        <w:trPr>
          <w:trHeight w:val="1125"/>
        </w:trPr>
        <w:tc>
          <w:tcPr>
            <w:tcW w:w="562" w:type="dxa"/>
          </w:tcPr>
          <w:p w14:paraId="0570ED36" w14:textId="77777777" w:rsidR="00DF6849" w:rsidRPr="00D10A57" w:rsidRDefault="00DF6849" w:rsidP="00D10A57">
            <w:pPr>
              <w:pStyle w:val="Styl1"/>
              <w:spacing w:after="0"/>
              <w:rPr>
                <w:sz w:val="20"/>
                <w:szCs w:val="20"/>
              </w:rPr>
            </w:pPr>
            <w:r w:rsidRPr="00D10A57">
              <w:rPr>
                <w:sz w:val="20"/>
                <w:szCs w:val="20"/>
              </w:rPr>
              <w:t xml:space="preserve">2. </w:t>
            </w:r>
          </w:p>
        </w:tc>
        <w:tc>
          <w:tcPr>
            <w:tcW w:w="3828" w:type="dxa"/>
          </w:tcPr>
          <w:p w14:paraId="5848F061" w14:textId="115C7BD1" w:rsidR="00DF6849" w:rsidRPr="00D10A57" w:rsidRDefault="00DF6849" w:rsidP="00D10A57">
            <w:pPr>
              <w:pStyle w:val="Styl1"/>
              <w:spacing w:after="0"/>
              <w:rPr>
                <w:sz w:val="20"/>
                <w:szCs w:val="20"/>
              </w:rPr>
            </w:pPr>
            <w:r w:rsidRPr="00D10A57">
              <w:rPr>
                <w:sz w:val="20"/>
                <w:szCs w:val="20"/>
              </w:rPr>
              <w:t>Vytvoření nových pracovních míst pro realizaci podpory zdraví u vulne</w:t>
            </w:r>
            <w:r w:rsidR="0060572D">
              <w:rPr>
                <w:sz w:val="20"/>
                <w:szCs w:val="20"/>
              </w:rPr>
              <w:t>r</w:t>
            </w:r>
            <w:r w:rsidRPr="00D10A57">
              <w:rPr>
                <w:sz w:val="20"/>
                <w:szCs w:val="20"/>
              </w:rPr>
              <w:t xml:space="preserve">abilních skupin populace. </w:t>
            </w:r>
          </w:p>
        </w:tc>
        <w:tc>
          <w:tcPr>
            <w:tcW w:w="4672" w:type="dxa"/>
          </w:tcPr>
          <w:p w14:paraId="013AA92F" w14:textId="77777777" w:rsidR="00DF6849" w:rsidRPr="00D10A57" w:rsidRDefault="00DF6849" w:rsidP="00D10A57">
            <w:pPr>
              <w:pStyle w:val="Styl1"/>
              <w:spacing w:after="0"/>
              <w:rPr>
                <w:sz w:val="20"/>
                <w:szCs w:val="20"/>
              </w:rPr>
            </w:pPr>
            <w:r w:rsidRPr="00D10A57">
              <w:rPr>
                <w:sz w:val="20"/>
                <w:szCs w:val="20"/>
              </w:rPr>
              <w:t xml:space="preserve">V rámci projektu byla v SZÚ </w:t>
            </w:r>
            <w:r w:rsidRPr="00D10A57">
              <w:rPr>
                <w:b/>
                <w:bCs/>
                <w:sz w:val="20"/>
                <w:szCs w:val="20"/>
              </w:rPr>
              <w:t>vytvořena nová pracovní místa krajských koordinátorů a</w:t>
            </w:r>
            <w:r w:rsidR="007200DA">
              <w:rPr>
                <w:b/>
                <w:bCs/>
                <w:sz w:val="20"/>
                <w:szCs w:val="20"/>
              </w:rPr>
              <w:t> </w:t>
            </w:r>
            <w:r w:rsidRPr="00D10A57">
              <w:rPr>
                <w:b/>
                <w:bCs/>
                <w:sz w:val="20"/>
                <w:szCs w:val="20"/>
              </w:rPr>
              <w:t>mediátorů podpory zdrav</w:t>
            </w:r>
            <w:r w:rsidRPr="00D10A57">
              <w:rPr>
                <w:sz w:val="20"/>
                <w:szCs w:val="20"/>
              </w:rPr>
              <w:t xml:space="preserve">í. K 31. 12. 2021 pracovalo na pozici koordinátorů 15 fyzických osob (14 přepočtený stav), na pozici mediátorů 53 fyzických osob (45 přepočtený stav) a 1 metodik krajských koordinátorů (1 přepočtený stav). </w:t>
            </w:r>
          </w:p>
        </w:tc>
      </w:tr>
      <w:tr w:rsidR="00C41652" w:rsidRPr="00D10A57" w14:paraId="661D3131" w14:textId="77777777" w:rsidTr="00C41652">
        <w:trPr>
          <w:trHeight w:val="249"/>
        </w:trPr>
        <w:tc>
          <w:tcPr>
            <w:tcW w:w="562" w:type="dxa"/>
          </w:tcPr>
          <w:p w14:paraId="3E77D153" w14:textId="77777777" w:rsidR="00DF6849" w:rsidRPr="00D10A57" w:rsidRDefault="00DF6849" w:rsidP="00D10A57">
            <w:pPr>
              <w:pStyle w:val="Styl1"/>
              <w:spacing w:after="0"/>
              <w:rPr>
                <w:sz w:val="20"/>
                <w:szCs w:val="20"/>
              </w:rPr>
            </w:pPr>
            <w:r w:rsidRPr="00D10A57">
              <w:rPr>
                <w:sz w:val="20"/>
                <w:szCs w:val="20"/>
              </w:rPr>
              <w:t xml:space="preserve">3. </w:t>
            </w:r>
          </w:p>
        </w:tc>
        <w:tc>
          <w:tcPr>
            <w:tcW w:w="3828" w:type="dxa"/>
          </w:tcPr>
          <w:p w14:paraId="15A63246" w14:textId="77777777" w:rsidR="00DF6849" w:rsidRPr="00D10A57" w:rsidRDefault="00DF6849" w:rsidP="00D10A57">
            <w:pPr>
              <w:pStyle w:val="Styl1"/>
              <w:spacing w:after="0"/>
              <w:rPr>
                <w:sz w:val="20"/>
                <w:szCs w:val="20"/>
              </w:rPr>
            </w:pPr>
            <w:r w:rsidRPr="00D10A57">
              <w:rPr>
                <w:sz w:val="20"/>
                <w:szCs w:val="20"/>
              </w:rPr>
              <w:t xml:space="preserve">Vytvoření preventivních programů podpory zdraví k realizaci u cílové </w:t>
            </w:r>
          </w:p>
        </w:tc>
        <w:tc>
          <w:tcPr>
            <w:tcW w:w="4672" w:type="dxa"/>
          </w:tcPr>
          <w:p w14:paraId="23E36818" w14:textId="77777777" w:rsidR="00DF6849" w:rsidRPr="00D10A57" w:rsidRDefault="00DF6849" w:rsidP="00D10A57">
            <w:pPr>
              <w:pStyle w:val="Styl1"/>
              <w:spacing w:after="0"/>
              <w:rPr>
                <w:sz w:val="20"/>
                <w:szCs w:val="20"/>
              </w:rPr>
            </w:pPr>
            <w:r w:rsidRPr="00D10A57">
              <w:rPr>
                <w:sz w:val="20"/>
                <w:szCs w:val="20"/>
              </w:rPr>
              <w:t xml:space="preserve">V rámci projektu bylo vytvořeno </w:t>
            </w:r>
            <w:r w:rsidRPr="00D10A57">
              <w:rPr>
                <w:b/>
                <w:bCs/>
                <w:sz w:val="20"/>
                <w:szCs w:val="20"/>
              </w:rPr>
              <w:t xml:space="preserve">69 preventivních programů, </w:t>
            </w:r>
            <w:r w:rsidRPr="00D10A57">
              <w:rPr>
                <w:sz w:val="20"/>
                <w:szCs w:val="20"/>
              </w:rPr>
              <w:t xml:space="preserve">které byly </w:t>
            </w:r>
          </w:p>
        </w:tc>
      </w:tr>
      <w:tr w:rsidR="00C41652" w:rsidRPr="00D10A57" w14:paraId="05977D53" w14:textId="77777777" w:rsidTr="00C41652">
        <w:trPr>
          <w:trHeight w:val="249"/>
        </w:trPr>
        <w:tc>
          <w:tcPr>
            <w:tcW w:w="562" w:type="dxa"/>
          </w:tcPr>
          <w:p w14:paraId="08F501CA" w14:textId="77777777" w:rsidR="00C41652" w:rsidRPr="00D10A57" w:rsidRDefault="00C41652" w:rsidP="00D10A57">
            <w:pPr>
              <w:pStyle w:val="Styl1"/>
              <w:spacing w:after="0"/>
              <w:rPr>
                <w:sz w:val="20"/>
                <w:szCs w:val="20"/>
              </w:rPr>
            </w:pPr>
            <w:r w:rsidRPr="00D10A57">
              <w:rPr>
                <w:sz w:val="20"/>
                <w:szCs w:val="20"/>
              </w:rPr>
              <w:t xml:space="preserve">4. </w:t>
            </w:r>
          </w:p>
        </w:tc>
        <w:tc>
          <w:tcPr>
            <w:tcW w:w="3828" w:type="dxa"/>
          </w:tcPr>
          <w:p w14:paraId="3A5265D2" w14:textId="77777777" w:rsidR="00C41652" w:rsidRPr="00D10A57" w:rsidRDefault="00C41652" w:rsidP="00D10A57">
            <w:pPr>
              <w:pStyle w:val="Styl1"/>
              <w:spacing w:after="0"/>
              <w:rPr>
                <w:sz w:val="20"/>
                <w:szCs w:val="20"/>
              </w:rPr>
            </w:pPr>
            <w:r w:rsidRPr="00D10A57">
              <w:rPr>
                <w:sz w:val="20"/>
                <w:szCs w:val="20"/>
              </w:rPr>
              <w:t xml:space="preserve">Propojení klíčových partnerů pro řešení nerovností ve zdraví v regionu, usnadnění sociální začlenění a zlepšení způsobu života ohrožených skupin. </w:t>
            </w:r>
          </w:p>
        </w:tc>
        <w:tc>
          <w:tcPr>
            <w:tcW w:w="4672" w:type="dxa"/>
          </w:tcPr>
          <w:p w14:paraId="0618EF0D" w14:textId="77777777" w:rsidR="00C41652" w:rsidRPr="00D10A57" w:rsidRDefault="00C41652" w:rsidP="00D10A57">
            <w:pPr>
              <w:pStyle w:val="Styl1"/>
              <w:spacing w:after="0"/>
              <w:rPr>
                <w:sz w:val="20"/>
                <w:szCs w:val="20"/>
              </w:rPr>
            </w:pPr>
            <w:r w:rsidRPr="00D10A57">
              <w:rPr>
                <w:sz w:val="20"/>
                <w:szCs w:val="20"/>
              </w:rPr>
              <w:t xml:space="preserve">V jednotlivých krajích probíhalo nadále </w:t>
            </w:r>
            <w:r w:rsidRPr="00D10A57">
              <w:rPr>
                <w:b/>
                <w:bCs/>
                <w:sz w:val="20"/>
                <w:szCs w:val="20"/>
              </w:rPr>
              <w:t xml:space="preserve">vytváření sítě spolupracujících odborných kapacit </w:t>
            </w:r>
            <w:r w:rsidRPr="00D10A57">
              <w:rPr>
                <w:sz w:val="20"/>
                <w:szCs w:val="20"/>
              </w:rPr>
              <w:t>a</w:t>
            </w:r>
            <w:r w:rsidR="007200DA">
              <w:rPr>
                <w:sz w:val="20"/>
                <w:szCs w:val="20"/>
              </w:rPr>
              <w:t> </w:t>
            </w:r>
            <w:r w:rsidRPr="00D10A57">
              <w:rPr>
                <w:sz w:val="20"/>
                <w:szCs w:val="20"/>
              </w:rPr>
              <w:t xml:space="preserve">pravidelně byly aktualizovány databáze organizací spolupracujících na realizaci, tj. krajské úřady, obecní úřady, NUDZ, ÚZIS, zdravotní ústavy, krajské hygienické stanice, NNO aj. </w:t>
            </w:r>
          </w:p>
        </w:tc>
      </w:tr>
      <w:tr w:rsidR="00C41652" w:rsidRPr="00D10A57" w14:paraId="293AFD13" w14:textId="77777777" w:rsidTr="00C41652">
        <w:trPr>
          <w:trHeight w:val="249"/>
        </w:trPr>
        <w:tc>
          <w:tcPr>
            <w:tcW w:w="562" w:type="dxa"/>
          </w:tcPr>
          <w:p w14:paraId="1FAF8417" w14:textId="77777777" w:rsidR="00C41652" w:rsidRPr="00D10A57" w:rsidRDefault="00C41652" w:rsidP="00D10A57">
            <w:pPr>
              <w:pStyle w:val="Styl1"/>
              <w:spacing w:after="0"/>
              <w:rPr>
                <w:sz w:val="20"/>
                <w:szCs w:val="20"/>
              </w:rPr>
            </w:pPr>
            <w:r w:rsidRPr="00D10A57">
              <w:rPr>
                <w:sz w:val="20"/>
                <w:szCs w:val="20"/>
              </w:rPr>
              <w:t xml:space="preserve">5. </w:t>
            </w:r>
          </w:p>
        </w:tc>
        <w:tc>
          <w:tcPr>
            <w:tcW w:w="3828" w:type="dxa"/>
          </w:tcPr>
          <w:p w14:paraId="2B6B1CE8" w14:textId="77777777" w:rsidR="00C41652" w:rsidRPr="00D10A57" w:rsidRDefault="00C41652" w:rsidP="00D10A57">
            <w:pPr>
              <w:pStyle w:val="Styl1"/>
              <w:spacing w:after="0"/>
              <w:rPr>
                <w:sz w:val="20"/>
                <w:szCs w:val="20"/>
              </w:rPr>
            </w:pPr>
            <w:r w:rsidRPr="00D10A57">
              <w:rPr>
                <w:sz w:val="20"/>
                <w:szCs w:val="20"/>
              </w:rPr>
              <w:t xml:space="preserve">Realizace vzdělávacího kurzu pro novou pozici mediátorů podpory zdraví, jejichž úkolem je zprostředkovat zdravotní služby primární prevence osobám ohroženým chudobou a sociálním vyloučením. </w:t>
            </w:r>
          </w:p>
        </w:tc>
        <w:tc>
          <w:tcPr>
            <w:tcW w:w="4672" w:type="dxa"/>
          </w:tcPr>
          <w:p w14:paraId="4740ACC0" w14:textId="77777777" w:rsidR="00C41652" w:rsidRPr="00D10A57" w:rsidRDefault="00C41652" w:rsidP="00D10A57">
            <w:pPr>
              <w:pStyle w:val="Default0"/>
              <w:jc w:val="both"/>
              <w:rPr>
                <w:sz w:val="20"/>
                <w:szCs w:val="20"/>
              </w:rPr>
            </w:pPr>
            <w:r w:rsidRPr="00D10A57">
              <w:rPr>
                <w:sz w:val="20"/>
                <w:szCs w:val="20"/>
              </w:rPr>
              <w:t xml:space="preserve">V rámci projektu byl realizován </w:t>
            </w:r>
            <w:r w:rsidRPr="00D10A57">
              <w:rPr>
                <w:b/>
                <w:bCs/>
                <w:sz w:val="20"/>
                <w:szCs w:val="20"/>
              </w:rPr>
              <w:t xml:space="preserve">Kurz mediátora podpory zdraví </w:t>
            </w:r>
            <w:r w:rsidRPr="00D10A57">
              <w:rPr>
                <w:sz w:val="20"/>
                <w:szCs w:val="20"/>
              </w:rPr>
              <w:t xml:space="preserve">pro pracovníky RCPZ ve 4 termínech. Jedná se o 80 hodinový kurz. V roce 2021 bylo </w:t>
            </w:r>
            <w:r w:rsidRPr="00D10A57">
              <w:rPr>
                <w:b/>
                <w:bCs/>
                <w:sz w:val="20"/>
                <w:szCs w:val="20"/>
              </w:rPr>
              <w:t xml:space="preserve">proškoleno 28 osob. </w:t>
            </w:r>
          </w:p>
          <w:p w14:paraId="17300BA2" w14:textId="77777777" w:rsidR="00C41652" w:rsidRPr="00D10A57" w:rsidRDefault="00C41652" w:rsidP="00D10A57">
            <w:pPr>
              <w:pStyle w:val="Styl1"/>
              <w:spacing w:after="0"/>
              <w:rPr>
                <w:sz w:val="20"/>
                <w:szCs w:val="20"/>
              </w:rPr>
            </w:pPr>
            <w:r w:rsidRPr="00D10A57">
              <w:rPr>
                <w:sz w:val="20"/>
                <w:szCs w:val="20"/>
              </w:rPr>
              <w:t xml:space="preserve">Dále bylo v rámci projektu proškoleno 71 </w:t>
            </w:r>
            <w:r w:rsidRPr="00D10A57">
              <w:rPr>
                <w:b/>
                <w:bCs/>
                <w:sz w:val="20"/>
                <w:szCs w:val="20"/>
              </w:rPr>
              <w:t>lektorů</w:t>
            </w:r>
            <w:r w:rsidRPr="00D10A57">
              <w:rPr>
                <w:sz w:val="20"/>
                <w:szCs w:val="20"/>
              </w:rPr>
              <w:t xml:space="preserve">, kteří zajišťují realizaci preventivních programů pro cílovou skupinu. </w:t>
            </w:r>
          </w:p>
        </w:tc>
      </w:tr>
      <w:tr w:rsidR="00C41652" w:rsidRPr="00D10A57" w14:paraId="4F4A6846" w14:textId="77777777" w:rsidTr="00C41652">
        <w:trPr>
          <w:trHeight w:val="249"/>
        </w:trPr>
        <w:tc>
          <w:tcPr>
            <w:tcW w:w="562" w:type="dxa"/>
          </w:tcPr>
          <w:p w14:paraId="570B96B8" w14:textId="77777777" w:rsidR="00C41652" w:rsidRPr="00D10A57" w:rsidRDefault="00C41652" w:rsidP="00D10A57">
            <w:pPr>
              <w:pStyle w:val="Styl1"/>
              <w:spacing w:after="0"/>
              <w:rPr>
                <w:sz w:val="20"/>
                <w:szCs w:val="20"/>
              </w:rPr>
            </w:pPr>
            <w:r w:rsidRPr="00D10A57">
              <w:rPr>
                <w:sz w:val="20"/>
                <w:szCs w:val="20"/>
              </w:rPr>
              <w:t xml:space="preserve">6. </w:t>
            </w:r>
          </w:p>
        </w:tc>
        <w:tc>
          <w:tcPr>
            <w:tcW w:w="3828" w:type="dxa"/>
          </w:tcPr>
          <w:p w14:paraId="72A2025B" w14:textId="77777777" w:rsidR="00C41652" w:rsidRPr="00D10A57" w:rsidRDefault="00C41652" w:rsidP="00D10A57">
            <w:pPr>
              <w:pStyle w:val="Styl1"/>
              <w:spacing w:after="0"/>
              <w:rPr>
                <w:sz w:val="20"/>
                <w:szCs w:val="20"/>
              </w:rPr>
            </w:pPr>
            <w:r w:rsidRPr="00D10A57">
              <w:rPr>
                <w:sz w:val="20"/>
                <w:szCs w:val="20"/>
              </w:rPr>
              <w:t xml:space="preserve">Zahájení procesu snižování nerovností v přístupu ke zdraví a zdravotním službám a prodloužení života ve zdraví prostřednictvím akcí – kurzů zdravého životního stylu, dnů zdraví, kurzů pohybových aktivit, odborných přednášek a individuálních intervencí. </w:t>
            </w:r>
          </w:p>
        </w:tc>
        <w:tc>
          <w:tcPr>
            <w:tcW w:w="4672" w:type="dxa"/>
          </w:tcPr>
          <w:p w14:paraId="4C416461" w14:textId="77777777" w:rsidR="00C41652" w:rsidRPr="00D10A57" w:rsidRDefault="00C41652" w:rsidP="00D10A57">
            <w:pPr>
              <w:pStyle w:val="Default0"/>
              <w:jc w:val="both"/>
              <w:rPr>
                <w:sz w:val="20"/>
                <w:szCs w:val="20"/>
              </w:rPr>
            </w:pPr>
            <w:r w:rsidRPr="00D10A57">
              <w:rPr>
                <w:sz w:val="20"/>
                <w:szCs w:val="20"/>
              </w:rPr>
              <w:t xml:space="preserve">V roce 2021 ve všech krajích realizováno celkem - </w:t>
            </w:r>
            <w:r w:rsidRPr="00D10A57">
              <w:rPr>
                <w:b/>
                <w:bCs/>
                <w:sz w:val="20"/>
                <w:szCs w:val="20"/>
              </w:rPr>
              <w:t xml:space="preserve">344 Kurzů zdravého životního stylu </w:t>
            </w:r>
            <w:r w:rsidRPr="00D10A57">
              <w:rPr>
                <w:sz w:val="20"/>
                <w:szCs w:val="20"/>
              </w:rPr>
              <w:t xml:space="preserve">(každý kurz trvá 40 hodin), tj. celkem 4 203 hodin </w:t>
            </w:r>
          </w:p>
          <w:p w14:paraId="03B4B8E1" w14:textId="77777777" w:rsidR="00C41652" w:rsidRPr="00D10A57" w:rsidRDefault="00C41652" w:rsidP="00D10A57">
            <w:pPr>
              <w:pStyle w:val="Default0"/>
              <w:jc w:val="both"/>
              <w:rPr>
                <w:sz w:val="20"/>
                <w:szCs w:val="20"/>
              </w:rPr>
            </w:pPr>
            <w:r w:rsidRPr="00D10A57">
              <w:rPr>
                <w:sz w:val="20"/>
                <w:szCs w:val="20"/>
              </w:rPr>
              <w:t xml:space="preserve">- </w:t>
            </w:r>
            <w:r w:rsidRPr="00D10A57">
              <w:rPr>
                <w:b/>
                <w:bCs/>
                <w:sz w:val="20"/>
                <w:szCs w:val="20"/>
              </w:rPr>
              <w:t>101 Dnů zdraví</w:t>
            </w:r>
            <w:r w:rsidRPr="00D10A57">
              <w:rPr>
                <w:sz w:val="20"/>
                <w:szCs w:val="20"/>
              </w:rPr>
              <w:t xml:space="preserve">, tj. celkem 553 hodin </w:t>
            </w:r>
          </w:p>
          <w:p w14:paraId="472548D5" w14:textId="77777777" w:rsidR="00C41652" w:rsidRPr="00D10A57" w:rsidRDefault="00C41652" w:rsidP="00D10A57">
            <w:pPr>
              <w:pStyle w:val="Default0"/>
              <w:jc w:val="both"/>
              <w:rPr>
                <w:sz w:val="20"/>
                <w:szCs w:val="20"/>
              </w:rPr>
            </w:pPr>
            <w:r w:rsidRPr="00D10A57">
              <w:rPr>
                <w:sz w:val="20"/>
                <w:szCs w:val="20"/>
              </w:rPr>
              <w:t xml:space="preserve">- </w:t>
            </w:r>
            <w:r w:rsidRPr="00D10A57">
              <w:rPr>
                <w:b/>
                <w:bCs/>
                <w:sz w:val="20"/>
                <w:szCs w:val="20"/>
              </w:rPr>
              <w:t>2 119 Kurzů pohybové aktivity</w:t>
            </w:r>
            <w:r w:rsidRPr="00D10A57">
              <w:rPr>
                <w:sz w:val="20"/>
                <w:szCs w:val="20"/>
              </w:rPr>
              <w:t xml:space="preserve">, tj. celkem 3 516 hodin </w:t>
            </w:r>
          </w:p>
          <w:p w14:paraId="7C67FCF3" w14:textId="77777777" w:rsidR="00C41652" w:rsidRPr="00D10A57" w:rsidRDefault="00C41652" w:rsidP="00D10A57">
            <w:pPr>
              <w:pStyle w:val="Default0"/>
              <w:jc w:val="both"/>
              <w:rPr>
                <w:sz w:val="20"/>
                <w:szCs w:val="20"/>
              </w:rPr>
            </w:pPr>
            <w:r w:rsidRPr="00D10A57">
              <w:rPr>
                <w:sz w:val="20"/>
                <w:szCs w:val="20"/>
              </w:rPr>
              <w:t xml:space="preserve">- </w:t>
            </w:r>
            <w:r w:rsidRPr="00D10A57">
              <w:rPr>
                <w:b/>
                <w:bCs/>
                <w:sz w:val="20"/>
                <w:szCs w:val="20"/>
              </w:rPr>
              <w:t>269 odborných akcí a přednášek</w:t>
            </w:r>
            <w:r w:rsidRPr="00D10A57">
              <w:rPr>
                <w:sz w:val="20"/>
                <w:szCs w:val="20"/>
              </w:rPr>
              <w:t xml:space="preserve">, tj. celkem 532 hodin. </w:t>
            </w:r>
          </w:p>
          <w:p w14:paraId="3C5FF3DC" w14:textId="77777777" w:rsidR="00C41652" w:rsidRPr="00D10A57" w:rsidRDefault="00C41652" w:rsidP="00D10A57">
            <w:pPr>
              <w:pStyle w:val="Default0"/>
              <w:jc w:val="both"/>
              <w:rPr>
                <w:sz w:val="20"/>
                <w:szCs w:val="20"/>
              </w:rPr>
            </w:pPr>
            <w:r w:rsidRPr="00D10A57">
              <w:rPr>
                <w:sz w:val="20"/>
                <w:szCs w:val="20"/>
              </w:rPr>
              <w:t xml:space="preserve">Celkem bylo již realizováno prostřednictvím uvedených akcí </w:t>
            </w:r>
            <w:r w:rsidRPr="00D10A57">
              <w:rPr>
                <w:b/>
                <w:bCs/>
                <w:sz w:val="20"/>
                <w:szCs w:val="20"/>
              </w:rPr>
              <w:t xml:space="preserve">8 804 hodin. </w:t>
            </w:r>
          </w:p>
          <w:p w14:paraId="481B02E2" w14:textId="77777777" w:rsidR="00C41652" w:rsidRPr="00D10A57" w:rsidRDefault="00C41652" w:rsidP="00D10A57">
            <w:pPr>
              <w:pStyle w:val="Styl1"/>
              <w:spacing w:after="0"/>
              <w:rPr>
                <w:sz w:val="20"/>
                <w:szCs w:val="20"/>
              </w:rPr>
            </w:pPr>
            <w:r w:rsidRPr="00D10A57">
              <w:rPr>
                <w:sz w:val="20"/>
                <w:szCs w:val="20"/>
              </w:rPr>
              <w:t xml:space="preserve">Od počátku projektu využilo služby realizované v rámci projektu </w:t>
            </w:r>
            <w:r w:rsidRPr="00D10A57">
              <w:rPr>
                <w:b/>
                <w:bCs/>
                <w:sz w:val="20"/>
                <w:szCs w:val="20"/>
              </w:rPr>
              <w:t>37 108 účastníků</w:t>
            </w:r>
            <w:r w:rsidRPr="00D10A57">
              <w:rPr>
                <w:sz w:val="20"/>
                <w:szCs w:val="20"/>
              </w:rPr>
              <w:t xml:space="preserve">. </w:t>
            </w:r>
          </w:p>
        </w:tc>
      </w:tr>
    </w:tbl>
    <w:p w14:paraId="748F2CE7" w14:textId="77777777" w:rsidR="00DF6849" w:rsidRPr="00D10A57" w:rsidRDefault="00DF6849" w:rsidP="00D10A57">
      <w:pPr>
        <w:pStyle w:val="Styl1"/>
      </w:pPr>
    </w:p>
    <w:p w14:paraId="33BA9434" w14:textId="77777777" w:rsidR="00E32636" w:rsidRPr="00D10A57" w:rsidRDefault="00E32636" w:rsidP="00D10A57">
      <w:pPr>
        <w:pStyle w:val="Styl1"/>
      </w:pPr>
      <w:r w:rsidRPr="00D10A57">
        <w:t xml:space="preserve">Za podporu služeb na sociálně zdravotním pomezí je garantem MPSV, které MZ v tomto směru v roce 2021 nekontaktovalo. </w:t>
      </w:r>
    </w:p>
    <w:p w14:paraId="17D45327" w14:textId="285870AD" w:rsidR="00E32636" w:rsidRPr="00D10A57" w:rsidRDefault="00E32636" w:rsidP="007C763A">
      <w:pPr>
        <w:pStyle w:val="Styl1"/>
        <w:numPr>
          <w:ilvl w:val="0"/>
          <w:numId w:val="38"/>
        </w:numPr>
        <w:rPr>
          <w:b/>
          <w:color w:val="auto"/>
        </w:rPr>
      </w:pPr>
      <w:r w:rsidRPr="00D10A57">
        <w:rPr>
          <w:b/>
          <w:color w:val="auto"/>
        </w:rPr>
        <w:t xml:space="preserve">informovat Radu vlády pro záležitosti romské menšiny o dotačních programech vyhlašovaných Ministerstvem zdravotnictví </w:t>
      </w:r>
    </w:p>
    <w:p w14:paraId="4786C4DA" w14:textId="7294FEAA" w:rsidR="00E32636" w:rsidRPr="00D10A57" w:rsidRDefault="00E32636" w:rsidP="00C444FD">
      <w:pPr>
        <w:pStyle w:val="Styl1"/>
        <w:rPr>
          <w:color w:val="auto"/>
        </w:rPr>
      </w:pPr>
      <w:r w:rsidRPr="00D10A57">
        <w:lastRenderedPageBreak/>
        <w:t xml:space="preserve">Informace ohledně dotačních programů vyhlašovaných MZ byla zaslána </w:t>
      </w:r>
      <w:r w:rsidR="006C5C6A">
        <w:t>do</w:t>
      </w:r>
      <w:r w:rsidRPr="00D10A57">
        <w:t xml:space="preserve"> Oddělení kanceláře Rady vlády pro záležitosti romské menšiny a sekretariátu Rady vlády pro</w:t>
      </w:r>
      <w:r w:rsidR="007200DA">
        <w:t> </w:t>
      </w:r>
      <w:r w:rsidRPr="00D10A57">
        <w:t xml:space="preserve">národnostní menšiny a na MMR. V zaslaném materiálu </w:t>
      </w:r>
      <w:r w:rsidR="006C5C6A">
        <w:t xml:space="preserve">ze dne </w:t>
      </w:r>
      <w:r w:rsidRPr="00D10A57">
        <w:t>2.</w:t>
      </w:r>
      <w:r w:rsidR="007200DA">
        <w:t> </w:t>
      </w:r>
      <w:r w:rsidRPr="00D10A57">
        <w:t>září</w:t>
      </w:r>
      <w:r w:rsidR="006C5C6A">
        <w:t xml:space="preserve">. </w:t>
      </w:r>
      <w:r w:rsidRPr="00D10A57">
        <w:t xml:space="preserve">2021 byly uvedeny vyhlašované dotační programy MZ a rovněž byla uvedena webová stránka, kde je možné nalézt podrobnosti ohledně vyhlašovaných dotačních programů a metodiky pro podávání </w:t>
      </w:r>
      <w:r w:rsidRPr="00D10A57">
        <w:rPr>
          <w:color w:val="auto"/>
        </w:rPr>
        <w:t>projektů, které jsou MZ vyhlašovány pro rok 2021.</w:t>
      </w:r>
    </w:p>
    <w:p w14:paraId="183AB631" w14:textId="2386D604" w:rsidR="00E32636" w:rsidRPr="007C763A" w:rsidRDefault="006C5C6A" w:rsidP="00ED7E0F">
      <w:pPr>
        <w:pStyle w:val="Styl1"/>
        <w:rPr>
          <w:b/>
          <w:color w:val="auto"/>
        </w:rPr>
      </w:pPr>
      <w:r w:rsidRPr="007C763A">
        <w:rPr>
          <w:b/>
          <w:color w:val="auto"/>
        </w:rPr>
        <w:t>c</w:t>
      </w:r>
      <w:r w:rsidR="00E32636" w:rsidRPr="007C763A">
        <w:rPr>
          <w:b/>
          <w:color w:val="auto"/>
        </w:rPr>
        <w:t>)</w:t>
      </w:r>
      <w:r>
        <w:rPr>
          <w:b/>
          <w:color w:val="auto"/>
        </w:rPr>
        <w:t xml:space="preserve"> </w:t>
      </w:r>
      <w:r w:rsidR="00E32636" w:rsidRPr="007C763A">
        <w:rPr>
          <w:b/>
          <w:color w:val="auto"/>
        </w:rPr>
        <w:t xml:space="preserve">informovat v rámci postgraduálního vzdělávání zdravotnických pracovníků akreditovaná pracoviště o možnosti využít při výuce legislativy a etiky podklady týkající se problematiky vztahu mezi zdravotnickými pracovníky a pacienty ze sociálně vyloučeného prostředí, zajišťované a shromažďované Radou vlády pro záležitosti romské menšiny, a tyto podklady případně využít k aktualizaci studijních programů. </w:t>
      </w:r>
    </w:p>
    <w:p w14:paraId="1F6C24DC" w14:textId="03C73706" w:rsidR="00E32636" w:rsidRPr="00D10A57" w:rsidRDefault="00E32636" w:rsidP="00C444FD">
      <w:pPr>
        <w:pStyle w:val="Styl1"/>
      </w:pPr>
      <w:r w:rsidRPr="00D10A57">
        <w:t xml:space="preserve">MZ má již ve vzdělávacích programech jednotlivých oborů specializačního vzdělávání lékařů, zubních lékařů a farmaceutů stanovenou povinnost absolvovat kurzy zaměřené na základy lékařské etiky, komunikace, managementu a legislativy. V těchto kurzech je věnována právě oblasti etického chování a komunikace s pacientem. V rámci specializačního vzdělávání, které je primárně vzdělávání praktickým (tzn. uskutečňovaným z větší části přímo ve zdravotnických zařízeních, kde probíhají příslušné praktické výkony), se domníváme, že případné hlubší teoretické vzdělávání pro práci s etnickými menšinami a osobami ze </w:t>
      </w:r>
      <w:r w:rsidR="00E8295D">
        <w:t>SVL</w:t>
      </w:r>
      <w:r w:rsidRPr="00D10A57">
        <w:t xml:space="preserve"> by mělo být spíše součástí pregraduální výuky spadající, jak již bylo výše uvedeno, do gesce MŠMT. </w:t>
      </w:r>
    </w:p>
    <w:p w14:paraId="12CEC219" w14:textId="77777777" w:rsidR="00E32636" w:rsidRPr="00D10A57" w:rsidRDefault="00E32636" w:rsidP="00C444FD">
      <w:pPr>
        <w:pStyle w:val="Styl1"/>
      </w:pPr>
      <w:r w:rsidRPr="00D10A57">
        <w:t xml:space="preserve">Ve vzdělávacích programech jednotlivých oborů specializačního vzdělávání lékařů, zubních lékařů a farmaceutů je stanovenou povinností absolvovat teoretický kurz „Základy lékařské etiky, komunikace, managementu a legislativy“. Část tohoto teoretického kurzu je věnována pozornost právě oblasti etického chování a komunikace s pacientem včetně komunikace s pacientem z jiných etnik. </w:t>
      </w:r>
    </w:p>
    <w:p w14:paraId="20F8F913" w14:textId="77777777" w:rsidR="00E32636" w:rsidRPr="00D10A57" w:rsidRDefault="00E32636" w:rsidP="00C444FD">
      <w:pPr>
        <w:pStyle w:val="Styl1"/>
      </w:pPr>
      <w:r w:rsidRPr="00D10A57">
        <w:t xml:space="preserve">Vzdělávání nelékařských zdravotnických pracovníků se uskutečňuje v akreditovaných zařízeních, které jsou průběžně informovány o aktuálních požadavcích na vzdělávání. Přímo řízené organizace MZ (Národní centrum ošetřovatelství a nelékařských zdravotnických oborů (NCONZO) a Institut postgraduálního vzdělávání (IPVZ)) jsou průběžně informovány a aktivně participují na vzdělávání a vytváření samotných vzdělávacích programů a akcí. Zdravotničtí pracovníci mají zahrnuty informace v oblasti problematiky vztahu mezi zdravotnickými pracovníky a pacienty ze sociálně vyloučeného prostředí v dostatečné míře. </w:t>
      </w:r>
    </w:p>
    <w:p w14:paraId="0A780607" w14:textId="0C9697BB" w:rsidR="00E32636" w:rsidRPr="00D10A57" w:rsidRDefault="00E32636" w:rsidP="00C444FD">
      <w:pPr>
        <w:pStyle w:val="Styl1"/>
        <w:rPr>
          <w:b/>
        </w:rPr>
      </w:pPr>
      <w:r w:rsidRPr="00D10A57">
        <w:rPr>
          <w:b/>
        </w:rPr>
        <w:t>Seznam pracovních orgánů M</w:t>
      </w:r>
      <w:r w:rsidR="00E8295D">
        <w:rPr>
          <w:b/>
        </w:rPr>
        <w:t>Z</w:t>
      </w:r>
      <w:r w:rsidRPr="00D10A57">
        <w:rPr>
          <w:b/>
        </w:rPr>
        <w:t xml:space="preserve"> (komise, výbory, pracovní skupiny), které se obsahově týkají tématu romské integrace či jiných témat souvisejících s romskou menšinou. </w:t>
      </w:r>
    </w:p>
    <w:p w14:paraId="398BEFE5" w14:textId="3E6E424C" w:rsidR="00E32636" w:rsidRPr="00D10A57" w:rsidRDefault="00E32636" w:rsidP="00C444FD">
      <w:pPr>
        <w:pStyle w:val="Styl1"/>
      </w:pPr>
      <w:r w:rsidRPr="00D10A57">
        <w:t>M</w:t>
      </w:r>
      <w:r w:rsidR="00E8295D">
        <w:t>Z</w:t>
      </w:r>
      <w:r w:rsidRPr="00D10A57">
        <w:t xml:space="preserve"> nemá pracovní komise, výbory či pracovní skupiny, které by se týkaly přímo tématu romské integrace nebo jiných témat souvisejících výhradně s romskou menšinou. </w:t>
      </w:r>
    </w:p>
    <w:p w14:paraId="487EE441" w14:textId="647FABB3" w:rsidR="00E32636" w:rsidRPr="00D10A57" w:rsidRDefault="00E32636" w:rsidP="00C444FD">
      <w:pPr>
        <w:pStyle w:val="Styl1"/>
      </w:pPr>
      <w:r w:rsidRPr="00D10A57">
        <w:t>Zástupce M</w:t>
      </w:r>
      <w:r w:rsidR="00E8295D">
        <w:t>Z</w:t>
      </w:r>
      <w:r w:rsidRPr="00D10A57">
        <w:t xml:space="preserve"> je členem Rady vlády pr</w:t>
      </w:r>
      <w:r w:rsidR="003312AB">
        <w:t>o záležitosti romské menšiny na </w:t>
      </w:r>
      <w:r w:rsidRPr="00D10A57">
        <w:t>úrovni náměstka pro zdravotní péči</w:t>
      </w:r>
      <w:r w:rsidR="00E8295D">
        <w:t>.</w:t>
      </w:r>
      <w:r w:rsidRPr="00D10A57">
        <w:t xml:space="preserve"> </w:t>
      </w:r>
      <w:r w:rsidR="00E8295D">
        <w:t>Z</w:t>
      </w:r>
      <w:r w:rsidRPr="00D10A57">
        <w:t>ástupce či pověřený zástupce se zúčastnil v roce 2021 všech jednání Rady</w:t>
      </w:r>
      <w:r w:rsidR="00E8295D">
        <w:t xml:space="preserve"> </w:t>
      </w:r>
      <w:r w:rsidR="00E8295D" w:rsidRPr="00D10A57">
        <w:t>vlády pr</w:t>
      </w:r>
      <w:r w:rsidR="00E8295D">
        <w:t>o záležitosti romské menšiny</w:t>
      </w:r>
      <w:r w:rsidRPr="00D10A57">
        <w:t xml:space="preserve">. </w:t>
      </w:r>
    </w:p>
    <w:p w14:paraId="47077711" w14:textId="1BACE909" w:rsidR="00E32636" w:rsidRPr="00D10A57" w:rsidRDefault="00E32636" w:rsidP="00C444FD">
      <w:pPr>
        <w:pStyle w:val="Styl1"/>
      </w:pPr>
      <w:r w:rsidRPr="00D10A57">
        <w:t>M</w:t>
      </w:r>
      <w:r w:rsidR="0011127E">
        <w:t>Z</w:t>
      </w:r>
      <w:r w:rsidRPr="00D10A57">
        <w:t xml:space="preserve"> je při ÚV členem R</w:t>
      </w:r>
      <w:r w:rsidR="0011127E">
        <w:t>esortní koordinační skupiny</w:t>
      </w:r>
      <w:r w:rsidRPr="00D10A57">
        <w:t xml:space="preserve"> pro lidská práva (PS zaměřené na rovnost, začlenění a účast Romů). </w:t>
      </w:r>
    </w:p>
    <w:p w14:paraId="046F9EC5" w14:textId="77777777" w:rsidR="00E32636" w:rsidRPr="00D10A57" w:rsidRDefault="00E32636" w:rsidP="00C444FD">
      <w:pPr>
        <w:pStyle w:val="Styl1"/>
        <w:rPr>
          <w:b/>
        </w:rPr>
      </w:pPr>
      <w:r w:rsidRPr="00D10A57">
        <w:rPr>
          <w:b/>
        </w:rPr>
        <w:t xml:space="preserve">Doplňující informace pro zpracování Zprávy o stavu romské menšiny v České republice za rok 2021 </w:t>
      </w:r>
    </w:p>
    <w:p w14:paraId="492AAC01" w14:textId="77777777" w:rsidR="00E32636" w:rsidRPr="00D10A57" w:rsidRDefault="00E32636" w:rsidP="00C444FD">
      <w:pPr>
        <w:pStyle w:val="Styl1"/>
      </w:pPr>
      <w:r w:rsidRPr="00D10A57">
        <w:rPr>
          <w:sz w:val="23"/>
          <w:szCs w:val="23"/>
        </w:rPr>
        <w:lastRenderedPageBreak/>
        <w:t xml:space="preserve">Na </w:t>
      </w:r>
      <w:r w:rsidRPr="00D10A57">
        <w:t xml:space="preserve">Zdraví 2020 navazuje Zdraví 2030 – viz Strategický rámec Česká republika 2030 přijatý vládou ČR dne 19. dubna 2017 usnesením č. 292, jež svým rozhodnutím také určila základní zastřešující cíl pro oblast zdravotnictví „Zdraví všech skupin obyvatel se zlepšuje“. </w:t>
      </w:r>
    </w:p>
    <w:p w14:paraId="0515844C" w14:textId="77777777" w:rsidR="00E32636" w:rsidRPr="00D10A57" w:rsidRDefault="00E32636" w:rsidP="00C444FD">
      <w:pPr>
        <w:pStyle w:val="Styl1"/>
      </w:pPr>
      <w:r w:rsidRPr="00D10A57">
        <w:t>Strategický rámec Zdraví 2030 tento zastřešující cíl rozpracovává do 3 strategických cílů, které byly formulovány s ohledem na analýzu zdravotního stavu obyvatel České republiky a</w:t>
      </w:r>
      <w:r w:rsidR="00BA00EC">
        <w:t> </w:t>
      </w:r>
      <w:r w:rsidRPr="00D10A57">
        <w:t xml:space="preserve">dostupnosti i fungování českého zdravotnictví, a rovněž byly zvoleny jako základní prioritní oblasti resortu pro příštích deset let: </w:t>
      </w:r>
    </w:p>
    <w:p w14:paraId="25811A99" w14:textId="77777777" w:rsidR="00E32636" w:rsidRPr="00D10A57" w:rsidRDefault="00E32636" w:rsidP="00C444FD">
      <w:pPr>
        <w:pStyle w:val="Styl1"/>
      </w:pPr>
      <w:r w:rsidRPr="00D10A57">
        <w:t xml:space="preserve">1. ochrana a zlepšení zdravotního stavu populace; </w:t>
      </w:r>
    </w:p>
    <w:p w14:paraId="64E621E4" w14:textId="77777777" w:rsidR="00E32636" w:rsidRPr="00D10A57" w:rsidRDefault="00E32636" w:rsidP="00C444FD">
      <w:pPr>
        <w:pStyle w:val="Styl1"/>
      </w:pPr>
      <w:r w:rsidRPr="00D10A57">
        <w:t xml:space="preserve">2. optimalizace zdravotnického systému; </w:t>
      </w:r>
    </w:p>
    <w:p w14:paraId="6BAF1E83" w14:textId="77777777" w:rsidR="00E32636" w:rsidRPr="00D10A57" w:rsidRDefault="00E32636" w:rsidP="00C444FD">
      <w:pPr>
        <w:pStyle w:val="Styl1"/>
      </w:pPr>
      <w:r w:rsidRPr="00D10A57">
        <w:t xml:space="preserve">3. podpora vědy a výzkumu. </w:t>
      </w:r>
    </w:p>
    <w:p w14:paraId="38327D01" w14:textId="5374CFCA" w:rsidR="00E32636" w:rsidRPr="00D10A57" w:rsidRDefault="00E32636" w:rsidP="00C444FD">
      <w:pPr>
        <w:pStyle w:val="Styl1"/>
      </w:pPr>
      <w:r w:rsidRPr="00D10A57">
        <w:t xml:space="preserve">Přestože se přijaté „Zdraví 2030“ konkrétně netýká romské menšiny, dosah jednotlivých cílů a rozpracovaných projektů je zaměřen na celou populaci ČR. </w:t>
      </w:r>
    </w:p>
    <w:p w14:paraId="03F25B1F" w14:textId="41488DA4" w:rsidR="00E32636" w:rsidRPr="00D10A57" w:rsidRDefault="00E32636" w:rsidP="00C444FD">
      <w:pPr>
        <w:pStyle w:val="Styl1"/>
      </w:pPr>
      <w:r w:rsidRPr="00D10A57">
        <w:t>Od roku 2019 došlo k realizaci projektu EU, financovanému z OP</w:t>
      </w:r>
      <w:r w:rsidR="0011127E">
        <w:t>Z</w:t>
      </w:r>
      <w:r w:rsidRPr="00D10A57">
        <w:t xml:space="preserve"> „Zvýšení dostupnosti a vytvoření možností zdravotní péče pro osoby bez domova“. Projekt je zaměřen na zlepšení dostupnosti zdravotních služeb pro osoby bez přístřeší a osoby ztrátou přístřeší ohrožené v blízkosti </w:t>
      </w:r>
      <w:r w:rsidR="0011127E">
        <w:t>SVL</w:t>
      </w:r>
      <w:r w:rsidRPr="00D10A57">
        <w:t xml:space="preserve"> měst ČR nad 100 tis. obyvatel. Cílem bylo vytvoření nových a podpora stávajících ordinací pro osoby bez přístřeší a osoby ohrožené ztrátou přístřeší, kde </w:t>
      </w:r>
      <w:r w:rsidR="0011127E">
        <w:t xml:space="preserve">jsou </w:t>
      </w:r>
      <w:r w:rsidRPr="00D10A57">
        <w:t>ošetřováni i klient</w:t>
      </w:r>
      <w:r w:rsidR="0011127E">
        <w:t>i</w:t>
      </w:r>
      <w:r w:rsidRPr="00D10A57">
        <w:t xml:space="preserve"> z řad Romů. </w:t>
      </w:r>
    </w:p>
    <w:p w14:paraId="039E59E1" w14:textId="77777777" w:rsidR="00E32636" w:rsidRPr="00D10A57" w:rsidRDefault="00E32636" w:rsidP="00C444FD">
      <w:pPr>
        <w:pStyle w:val="Styl1"/>
      </w:pPr>
      <w:r w:rsidRPr="00D10A57">
        <w:t xml:space="preserve">V roce 2021 byl projekt realizován v Praze, Ostravě, Olomouci a Pardubicích, ukončen bude v roce 2022. </w:t>
      </w:r>
    </w:p>
    <w:p w14:paraId="6CEAC741" w14:textId="176E9F9A" w:rsidR="00E32636" w:rsidRPr="00D10A57" w:rsidRDefault="00E32636" w:rsidP="00C444FD">
      <w:pPr>
        <w:pStyle w:val="Styl1"/>
      </w:pPr>
      <w:r w:rsidRPr="00D10A57">
        <w:t>Ministerstvo financí jako Zprostředkovatel programu Zdraví ve spolupráci s M</w:t>
      </w:r>
      <w:r w:rsidR="0011127E">
        <w:t>Z</w:t>
      </w:r>
      <w:r w:rsidRPr="00D10A57">
        <w:t xml:space="preserve"> – Partnerem programu Zdraví vyhlásilo v roce 2020 otevřenou výzvu k předkládání žádostí o grant z Fondů EHP 2014-2021 „Prevence přenosných a nepřenosných onemocnění v sociálně vyloučených lokalitách se zaměřením na romskou populaci“ (ZDOVA2). </w:t>
      </w:r>
    </w:p>
    <w:p w14:paraId="05EB0380" w14:textId="77777777" w:rsidR="00E32636" w:rsidRPr="00D10A57" w:rsidRDefault="00E32636" w:rsidP="00C444FD">
      <w:pPr>
        <w:pStyle w:val="Styl1"/>
      </w:pPr>
      <w:r w:rsidRPr="00D10A57">
        <w:t xml:space="preserve">Schváleny k zahájení a realizaci pro rok 2021 byly projekty: </w:t>
      </w:r>
    </w:p>
    <w:p w14:paraId="23F1F4C8" w14:textId="77777777" w:rsidR="00E32636" w:rsidRPr="00D10A57" w:rsidRDefault="00E32636" w:rsidP="00C444FD">
      <w:pPr>
        <w:pStyle w:val="Styl1"/>
      </w:pPr>
      <w:r w:rsidRPr="00D10A57">
        <w:t xml:space="preserve">1) Zvýšení dostupnosti cílené prevence a včasné diagnostiky specifických přenosných a nepřenosných onemocnění ve vybraných sociálně vyloučených lokalitách s romskými komunitami (realizátor Fakultní nemocnice v Motole) </w:t>
      </w:r>
    </w:p>
    <w:p w14:paraId="144867BD" w14:textId="77777777" w:rsidR="00E32636" w:rsidRPr="00D10A57" w:rsidRDefault="00E32636" w:rsidP="00C444FD">
      <w:pPr>
        <w:pStyle w:val="Styl1"/>
      </w:pPr>
      <w:r w:rsidRPr="00D10A57">
        <w:t xml:space="preserve">2) Saste Roma – rozvíjíme zdraví ve vyloučených lokalitách (Fakultní nemocnice u Sv. Anny v Brně) </w:t>
      </w:r>
    </w:p>
    <w:p w14:paraId="38C07149" w14:textId="77777777" w:rsidR="00E32636" w:rsidRPr="00D10A57" w:rsidRDefault="00E32636" w:rsidP="00C444FD">
      <w:pPr>
        <w:pStyle w:val="Styl1"/>
      </w:pPr>
      <w:r w:rsidRPr="00D10A57">
        <w:t xml:space="preserve">Pro informaci uvádíme, že Odbor kontroly na MZ neevidoval v roce 2021 žádnou stížnost, která by se týkala diskriminace menšin, tedy ani romské menšiny. </w:t>
      </w:r>
    </w:p>
    <w:p w14:paraId="6D1E0C22" w14:textId="77777777" w:rsidR="00A961AF" w:rsidRDefault="00A961AF">
      <w:pPr>
        <w:rPr>
          <w:rFonts w:ascii="Arial" w:hAnsi="Arial" w:cs="Arial"/>
          <w:color w:val="000000"/>
        </w:rPr>
      </w:pPr>
      <w:r>
        <w:br w:type="page"/>
      </w:r>
    </w:p>
    <w:p w14:paraId="34C469B1" w14:textId="77777777" w:rsidR="001F1AA8" w:rsidRPr="00D10A57" w:rsidRDefault="004B2DC8" w:rsidP="00D10A57">
      <w:pPr>
        <w:pStyle w:val="Nadpis1"/>
        <w:numPr>
          <w:ilvl w:val="0"/>
          <w:numId w:val="1"/>
        </w:numPr>
        <w:spacing w:line="240" w:lineRule="auto"/>
        <w:jc w:val="both"/>
        <w:rPr>
          <w:rFonts w:ascii="Arial" w:hAnsi="Arial" w:cs="Arial"/>
          <w:color w:val="auto"/>
          <w:sz w:val="24"/>
        </w:rPr>
      </w:pPr>
      <w:bookmarkStart w:id="14" w:name="_Toc112831378"/>
      <w:r w:rsidRPr="00D10A57">
        <w:rPr>
          <w:rFonts w:ascii="Arial" w:hAnsi="Arial" w:cs="Arial"/>
          <w:color w:val="auto"/>
          <w:sz w:val="24"/>
        </w:rPr>
        <w:lastRenderedPageBreak/>
        <w:t>Ministerstvo zemědělství</w:t>
      </w:r>
      <w:bookmarkStart w:id="15" w:name="_Toc112751754"/>
      <w:bookmarkStart w:id="16" w:name="_Toc112752035"/>
      <w:bookmarkEnd w:id="14"/>
      <w:r w:rsidR="00D015E1" w:rsidRPr="00D10A57">
        <w:rPr>
          <w:rFonts w:ascii="Arial" w:hAnsi="Arial" w:cs="Arial"/>
          <w:color w:val="000000"/>
          <w:sz w:val="22"/>
          <w:szCs w:val="22"/>
        </w:rPr>
        <w:t xml:space="preserve"> </w:t>
      </w:r>
    </w:p>
    <w:p w14:paraId="3C56BF55" w14:textId="77777777" w:rsidR="00ED7E0F" w:rsidRDefault="00ED7E0F" w:rsidP="007C763A">
      <w:pPr>
        <w:spacing w:line="240" w:lineRule="auto"/>
        <w:rPr>
          <w:rFonts w:ascii="Arial" w:hAnsi="Arial" w:cs="Arial"/>
          <w:color w:val="000000"/>
        </w:rPr>
      </w:pPr>
      <w:bookmarkStart w:id="17" w:name="_Toc112752449"/>
      <w:bookmarkStart w:id="18" w:name="_Toc112831379"/>
    </w:p>
    <w:p w14:paraId="0341BC5E" w14:textId="6A182BD7" w:rsidR="00ED7E0F" w:rsidRPr="00605AFD" w:rsidRDefault="00ED7E0F" w:rsidP="007C763A">
      <w:pPr>
        <w:spacing w:line="240" w:lineRule="auto"/>
        <w:rPr>
          <w:rFonts w:ascii="Arial" w:hAnsi="Arial" w:cs="Arial"/>
          <w:b/>
          <w:bCs/>
          <w:color w:val="000000"/>
        </w:rPr>
      </w:pPr>
      <w:r w:rsidRPr="00605AFD">
        <w:rPr>
          <w:rFonts w:ascii="Arial" w:hAnsi="Arial" w:cs="Arial"/>
          <w:b/>
          <w:bCs/>
          <w:color w:val="000000"/>
        </w:rPr>
        <w:t>Informace o plnění usnesení vlády týkajících se integrace romské menšiny a aktivního postupu státní správy při uskutečňování opatření přijatých souvisejícími usneseními vlády ke dni 31. 12. 2021</w:t>
      </w:r>
    </w:p>
    <w:bookmarkEnd w:id="15"/>
    <w:bookmarkEnd w:id="16"/>
    <w:bookmarkEnd w:id="17"/>
    <w:bookmarkEnd w:id="18"/>
    <w:p w14:paraId="1436ABF7" w14:textId="77777777" w:rsidR="00D015E1" w:rsidRPr="007C763A" w:rsidRDefault="00D015E1" w:rsidP="00D56307">
      <w:pPr>
        <w:spacing w:before="240" w:line="240" w:lineRule="auto"/>
        <w:jc w:val="both"/>
        <w:rPr>
          <w:rFonts w:ascii="Arial" w:hAnsi="Arial" w:cs="Arial"/>
          <w:b/>
        </w:rPr>
      </w:pPr>
      <w:r w:rsidRPr="007C763A">
        <w:rPr>
          <w:rFonts w:ascii="Arial" w:hAnsi="Arial" w:cs="Arial"/>
          <w:b/>
        </w:rPr>
        <w:t>Usnesením vlády ze dne 11. května 2016 č. 416, k Revizi úkolů vyplývajících z usnesení vlády týkajících se integrace romské menšiny, vláda uložila ministru zemědělství průběžně:</w:t>
      </w:r>
    </w:p>
    <w:p w14:paraId="106FD8E8" w14:textId="1AF40A5E" w:rsidR="00D015E1" w:rsidRPr="00D10A57" w:rsidRDefault="00D015E1" w:rsidP="007C763A">
      <w:pPr>
        <w:pStyle w:val="Styl1"/>
        <w:numPr>
          <w:ilvl w:val="0"/>
          <w:numId w:val="39"/>
        </w:numPr>
      </w:pPr>
      <w:r w:rsidRPr="00D10A57">
        <w:rPr>
          <w:b/>
        </w:rPr>
        <w:t>nacházet, ve spolupráci s ministryní práce a sociálních věcí a s představiteli romských organizací, možnosti pro využití firem zaměstnávajících romské občany při zadávání zakázek v rámci působnosti resortu,</w:t>
      </w:r>
    </w:p>
    <w:p w14:paraId="2DE0FC45" w14:textId="77777777" w:rsidR="00D015E1" w:rsidRPr="00D10A57" w:rsidRDefault="00D015E1" w:rsidP="00D56307">
      <w:pPr>
        <w:pStyle w:val="Styl1"/>
      </w:pPr>
      <w:r w:rsidRPr="00D10A57">
        <w:t>Zaměstnávání romských občanů se v resortu zemědělství uskutečňuje např. způsobem společensky odpovědného zadávání veřejných zakázek, při jejichž plnění musí vybraný zhotovitel uplatnit určitý počet osob z řad dlouhodobě nezaměstnaných nebo přímým zadáváním zakázek menšího rozsahu romským firmám.</w:t>
      </w:r>
    </w:p>
    <w:p w14:paraId="2B3AC18D" w14:textId="77777777" w:rsidR="00D015E1" w:rsidRPr="00D10A57" w:rsidRDefault="00D015E1" w:rsidP="00D56307">
      <w:pPr>
        <w:pStyle w:val="Styl1"/>
        <w:rPr>
          <w:color w:val="201F1E"/>
        </w:rPr>
      </w:pPr>
      <w:r w:rsidRPr="00D10A57">
        <w:t xml:space="preserve">V roce 2021 se zapojil do zadávání zakázek romským firmám </w:t>
      </w:r>
      <w:r w:rsidRPr="00D10A57">
        <w:rPr>
          <w:b/>
        </w:rPr>
        <w:t>státní podnik Povodí Vltavy</w:t>
      </w:r>
      <w:r w:rsidRPr="00D10A57">
        <w:t xml:space="preserve">. </w:t>
      </w:r>
      <w:r w:rsidRPr="00D10A57">
        <w:rPr>
          <w:color w:val="201F1E"/>
        </w:rPr>
        <w:t>Realizováno bylo celkem 12 akcí, kdy jedna přecházela z roku 2020 (s plněním 760 tis. Kč v roce 2020). Celkové náklady v roce 2021 činily téměř 4,0 mil Kč bez DPH.</w:t>
      </w:r>
    </w:p>
    <w:p w14:paraId="082019F0" w14:textId="77777777" w:rsidR="008678AB" w:rsidRPr="00D10A57" w:rsidRDefault="00D015E1" w:rsidP="00D56307">
      <w:pPr>
        <w:pStyle w:val="Styl1"/>
        <w:rPr>
          <w:color w:val="201F1E"/>
        </w:rPr>
      </w:pPr>
      <w:r w:rsidRPr="00D10A57">
        <w:rPr>
          <w:color w:val="201F1E"/>
        </w:rPr>
        <w:t>Z celkového hodnocení prací v roce 2021 lze konstatovat, že byly v podstatě provedeny včas a v odpovídající či velmi dobré kvalitě. Výjimkou byly dvě stavebně nejnáročnější akce. U jedné byla zhotovitelem podceněna prohlídka místa plnění zakázky před započetím a u druhé nebyly práce zpočátku prováděny v souladu se smlouvou o dílo a projektovou dokumentací, ale následně byly práce provedeny znova v uspokojivé kvalitě.  </w:t>
      </w:r>
    </w:p>
    <w:p w14:paraId="528FCC40" w14:textId="77777777" w:rsidR="00D015E1" w:rsidRPr="00D10A57" w:rsidRDefault="00D015E1" w:rsidP="00D56307">
      <w:pPr>
        <w:pStyle w:val="Styl1"/>
        <w:rPr>
          <w:color w:val="201F1E"/>
        </w:rPr>
      </w:pPr>
      <w:r w:rsidRPr="00D10A57">
        <w:rPr>
          <w:color w:val="201F1E"/>
        </w:rPr>
        <w:t>Firmy zaměstnávající romské občany byly obeslány ještě v případě dalších dvou akcí v</w:t>
      </w:r>
      <w:r w:rsidR="001754F5">
        <w:rPr>
          <w:color w:val="201F1E"/>
        </w:rPr>
        <w:t> </w:t>
      </w:r>
      <w:r w:rsidRPr="00D10A57">
        <w:rPr>
          <w:color w:val="201F1E"/>
        </w:rPr>
        <w:t>celkové hodnotě 1,15 mil. Kč. Jednalo se o veřejné zakázky malého rozsahu. V rámci uzavřených výzev bylo v obou případech obesláno 5 zhotovitelů, 3 z odeslaných výzev pro</w:t>
      </w:r>
      <w:r w:rsidR="001754F5">
        <w:rPr>
          <w:color w:val="201F1E"/>
        </w:rPr>
        <w:t> </w:t>
      </w:r>
      <w:r w:rsidRPr="00D10A57">
        <w:rPr>
          <w:color w:val="201F1E"/>
        </w:rPr>
        <w:t>podání nabídky ale nebyly převzaty a vrátily se zpět. I přes výše uvedené „problémové záležitosti“ je situace od roku 2020 na dobré, stabilizované úrovni.</w:t>
      </w:r>
    </w:p>
    <w:p w14:paraId="719B98B3" w14:textId="77777777" w:rsidR="00D015E1" w:rsidRPr="00D10A57" w:rsidRDefault="00D015E1" w:rsidP="00D56307">
      <w:pPr>
        <w:pStyle w:val="xmsonormal"/>
        <w:shd w:val="clear" w:color="auto" w:fill="FFFFFF"/>
        <w:spacing w:after="240"/>
        <w:jc w:val="both"/>
        <w:rPr>
          <w:rFonts w:ascii="Arial" w:hAnsi="Arial" w:cs="Arial"/>
          <w:color w:val="201F1E"/>
        </w:rPr>
      </w:pPr>
      <w:r w:rsidRPr="00D10A57">
        <w:rPr>
          <w:rFonts w:ascii="Arial" w:hAnsi="Arial" w:cs="Arial"/>
          <w:color w:val="201F1E"/>
        </w:rPr>
        <w:t>Celkově lze tedy říci, že technicky zcela nenáročné stavby jsou předmětné firmy schopny realizovat v požadované kvalitě i termínech. Proto je vnímána i nadále další spolupráce na uvedeném druhu akcí jako možná.  </w:t>
      </w:r>
    </w:p>
    <w:p w14:paraId="793E08FB" w14:textId="77777777" w:rsidR="00D015E1" w:rsidRPr="00D10A57" w:rsidRDefault="00D015E1" w:rsidP="00D56307">
      <w:pPr>
        <w:spacing w:after="240" w:line="240" w:lineRule="auto"/>
        <w:jc w:val="both"/>
        <w:rPr>
          <w:rFonts w:ascii="Arial" w:hAnsi="Arial" w:cs="Arial"/>
        </w:rPr>
      </w:pPr>
      <w:r w:rsidRPr="00D10A57">
        <w:rPr>
          <w:rFonts w:ascii="Arial" w:hAnsi="Arial" w:cs="Arial"/>
          <w:bCs/>
        </w:rPr>
        <w:t xml:space="preserve">Úspěšně se uplatňují firmy zaměstnávající Romy při realizaci zakázek zadávaných </w:t>
      </w:r>
      <w:r w:rsidRPr="00D10A57">
        <w:rPr>
          <w:rFonts w:ascii="Arial" w:hAnsi="Arial" w:cs="Arial"/>
          <w:b/>
          <w:bCs/>
        </w:rPr>
        <w:t>Povodím Odry, s.p</w:t>
      </w:r>
      <w:r w:rsidRPr="00D10A57">
        <w:rPr>
          <w:rFonts w:ascii="Arial" w:hAnsi="Arial" w:cs="Arial"/>
          <w:bCs/>
        </w:rPr>
        <w:t xml:space="preserve">. </w:t>
      </w:r>
      <w:r w:rsidRPr="00D10A57">
        <w:rPr>
          <w:rFonts w:ascii="Arial" w:hAnsi="Arial" w:cs="Arial"/>
        </w:rPr>
        <w:t xml:space="preserve">Státní podnik v roce 2021 realizoval ve spolupráci s romskými podnikateli celkem 47 zakázek malého rozsahu v celkové hodnotě 5 772 tis. Kč.  Ve srovnání s rokem 2020 se jedná o další nárůst spolupráce včetně navýšení finančního objemu o 1 638 tis. Kč. </w:t>
      </w:r>
    </w:p>
    <w:p w14:paraId="5BEB6C0F" w14:textId="77777777" w:rsidR="008678AB" w:rsidRPr="00D10A57" w:rsidRDefault="00D015E1" w:rsidP="00D56307">
      <w:pPr>
        <w:spacing w:after="240" w:line="240" w:lineRule="auto"/>
        <w:jc w:val="both"/>
        <w:rPr>
          <w:rFonts w:ascii="Arial" w:hAnsi="Arial" w:cs="Arial"/>
          <w:bCs/>
        </w:rPr>
      </w:pPr>
      <w:r w:rsidRPr="00D10A57">
        <w:rPr>
          <w:rFonts w:ascii="Arial" w:hAnsi="Arial" w:cs="Arial"/>
        </w:rPr>
        <w:t>Spolupráce se samotnými romskými podnikateli, Asociací romských podnikatelů a spolků ČR i firmami zaměstnávajícími romské občany, je dle názoru vedení státního podniku na dobré úrovni. Obecně lze konstatovat, že některé romské firmy se potýkají s absencí profesně kvalifikovaných pracovníků (autorizované osoby apod.), čímž je svým způsobem omezen okruh prací, které mohou vykonávat a mnohdy také neuspějí ve výběrových řízeních z důvodu vysokých nabídkových cen.</w:t>
      </w:r>
    </w:p>
    <w:p w14:paraId="719D646C" w14:textId="77777777" w:rsidR="008678AB" w:rsidRPr="00D10A57" w:rsidRDefault="00D015E1" w:rsidP="00D56307">
      <w:pPr>
        <w:spacing w:after="240" w:line="240" w:lineRule="auto"/>
        <w:jc w:val="both"/>
        <w:rPr>
          <w:rFonts w:ascii="Arial" w:hAnsi="Arial" w:cs="Arial"/>
        </w:rPr>
      </w:pPr>
      <w:r w:rsidRPr="00D10A57">
        <w:rPr>
          <w:rFonts w:ascii="Arial" w:hAnsi="Arial" w:cs="Arial"/>
        </w:rPr>
        <w:lastRenderedPageBreak/>
        <w:t xml:space="preserve">Při zadávání veřejných zakázek </w:t>
      </w:r>
      <w:r w:rsidRPr="00D10A57">
        <w:rPr>
          <w:rFonts w:ascii="Arial" w:hAnsi="Arial" w:cs="Arial"/>
          <w:b/>
        </w:rPr>
        <w:t xml:space="preserve">státním podnikem Povodí Labe </w:t>
      </w:r>
      <w:r w:rsidRPr="00D10A57">
        <w:rPr>
          <w:rFonts w:ascii="Arial" w:hAnsi="Arial" w:cs="Arial"/>
        </w:rPr>
        <w:t>je zohledňován společenský a sociální aspekt a je zajištěna možnost účasti široké podnikatelské veřejnosti včetně malých a středních regionálních dodavatelů, samozřejmě při zach</w:t>
      </w:r>
      <w:r w:rsidR="008678AB" w:rsidRPr="00D10A57">
        <w:rPr>
          <w:rFonts w:ascii="Arial" w:hAnsi="Arial" w:cs="Arial"/>
        </w:rPr>
        <w:t xml:space="preserve">ování maximální hospodárnosti. </w:t>
      </w:r>
    </w:p>
    <w:p w14:paraId="3E226F6E" w14:textId="77777777" w:rsidR="00096191" w:rsidRPr="00D10A57" w:rsidRDefault="00D015E1" w:rsidP="00D56307">
      <w:pPr>
        <w:spacing w:after="240" w:line="240" w:lineRule="auto"/>
        <w:jc w:val="both"/>
        <w:rPr>
          <w:rFonts w:ascii="Arial" w:hAnsi="Arial" w:cs="Arial"/>
        </w:rPr>
      </w:pPr>
      <w:r w:rsidRPr="00D10A57">
        <w:rPr>
          <w:rFonts w:ascii="Arial" w:hAnsi="Arial" w:cs="Arial"/>
        </w:rPr>
        <w:t>Dle charakteru a typu akce jsou v rámci otevřené výzvy osloveny i firmy, které se zabývají sociálním podnikáním,</w:t>
      </w:r>
      <w:r w:rsidR="00096191" w:rsidRPr="00D10A57">
        <w:rPr>
          <w:rFonts w:ascii="Arial" w:hAnsi="Arial" w:cs="Arial"/>
        </w:rPr>
        <w:t xml:space="preserve"> viz </w:t>
      </w:r>
      <w:r w:rsidRPr="00D10A57">
        <w:rPr>
          <w:rFonts w:ascii="Arial" w:hAnsi="Arial" w:cs="Arial"/>
        </w:rPr>
        <w:t xml:space="preserve">např. SOPRA s.r.o., Slatiňany, Eko-ano s.r.o., Nové Dvory, Forcorp Group spol. s r.o., Olomouc atd. </w:t>
      </w:r>
    </w:p>
    <w:p w14:paraId="4A19B3E4" w14:textId="77777777" w:rsidR="008678AB" w:rsidRPr="00D10A57" w:rsidRDefault="00D015E1" w:rsidP="00D56307">
      <w:pPr>
        <w:spacing w:after="240" w:line="240" w:lineRule="auto"/>
        <w:jc w:val="both"/>
        <w:rPr>
          <w:rFonts w:ascii="Arial" w:hAnsi="Arial" w:cs="Arial"/>
        </w:rPr>
      </w:pPr>
      <w:r w:rsidRPr="00D10A57">
        <w:rPr>
          <w:rFonts w:ascii="Arial" w:hAnsi="Arial" w:cs="Arial"/>
        </w:rPr>
        <w:t>U akcí typu drobných oprav opevnění, odstranění nánosů z upravených drobných toků apod. jsou oslovovány i místní firmy zaměstnávající osoby znevýhodněné na trhu práce, převážně romské občany.</w:t>
      </w:r>
    </w:p>
    <w:p w14:paraId="5716FF01" w14:textId="381CCF4E" w:rsidR="008678AB" w:rsidRPr="00D10A57" w:rsidRDefault="00D015E1" w:rsidP="00D56307">
      <w:pPr>
        <w:spacing w:after="240" w:line="240" w:lineRule="auto"/>
        <w:jc w:val="both"/>
        <w:rPr>
          <w:rFonts w:ascii="Arial" w:hAnsi="Arial" w:cs="Arial"/>
        </w:rPr>
      </w:pPr>
      <w:r w:rsidRPr="00D10A57">
        <w:rPr>
          <w:rFonts w:ascii="Arial" w:hAnsi="Arial" w:cs="Arial"/>
        </w:rPr>
        <w:t>Spolupráce s Vazební věznicí v Litoměřicích, která byla zahájena v roce 2017</w:t>
      </w:r>
      <w:r w:rsidR="001754F5">
        <w:rPr>
          <w:rFonts w:ascii="Arial" w:hAnsi="Arial" w:cs="Arial"/>
        </w:rPr>
        <w:t>,</w:t>
      </w:r>
      <w:r w:rsidRPr="00D10A57">
        <w:rPr>
          <w:rFonts w:ascii="Arial" w:hAnsi="Arial" w:cs="Arial"/>
        </w:rPr>
        <w:t xml:space="preserve"> pokračovala i v roce 2021, bohužel pouze v omezeném režimu z důvodu pandemie </w:t>
      </w:r>
      <w:r w:rsidR="00A913BE">
        <w:rPr>
          <w:rFonts w:ascii="Arial" w:hAnsi="Arial" w:cs="Arial"/>
        </w:rPr>
        <w:t>covid</w:t>
      </w:r>
      <w:r w:rsidRPr="00D10A57">
        <w:rPr>
          <w:rFonts w:ascii="Arial" w:hAnsi="Arial" w:cs="Arial"/>
        </w:rPr>
        <w:t>-19. Dobrovolné zapojení odsouzených do práce je prospěšné a nepochybně také pomáhá i s přípravou na</w:t>
      </w:r>
      <w:r w:rsidR="001754F5">
        <w:rPr>
          <w:rFonts w:ascii="Arial" w:hAnsi="Arial" w:cs="Arial"/>
        </w:rPr>
        <w:t> </w:t>
      </w:r>
      <w:r w:rsidRPr="00D10A57">
        <w:rPr>
          <w:rFonts w:ascii="Arial" w:hAnsi="Arial" w:cs="Arial"/>
        </w:rPr>
        <w:t>jeji</w:t>
      </w:r>
      <w:r w:rsidR="008678AB" w:rsidRPr="00D10A57">
        <w:rPr>
          <w:rFonts w:ascii="Arial" w:hAnsi="Arial" w:cs="Arial"/>
        </w:rPr>
        <w:t>ch začlenění do běžného života.</w:t>
      </w:r>
    </w:p>
    <w:p w14:paraId="2841A6A7" w14:textId="4449A8B8" w:rsidR="008678AB" w:rsidRPr="00D10A57" w:rsidRDefault="00D015E1" w:rsidP="00D56307">
      <w:pPr>
        <w:spacing w:after="240" w:line="240" w:lineRule="auto"/>
        <w:jc w:val="both"/>
        <w:rPr>
          <w:rFonts w:ascii="Arial" w:hAnsi="Arial" w:cs="Arial"/>
        </w:rPr>
      </w:pPr>
      <w:r w:rsidRPr="00D10A57">
        <w:rPr>
          <w:rFonts w:ascii="Arial" w:hAnsi="Arial" w:cs="Arial"/>
        </w:rPr>
        <w:t xml:space="preserve">Spolupráce s Probační a mediační službou Kolín byla, bohužel z důvodu probíhající vlny onemocnění </w:t>
      </w:r>
      <w:r w:rsidR="00A913BE">
        <w:rPr>
          <w:rFonts w:ascii="Arial" w:hAnsi="Arial" w:cs="Arial"/>
        </w:rPr>
        <w:t>covid</w:t>
      </w:r>
      <w:r w:rsidRPr="00D10A57">
        <w:rPr>
          <w:rFonts w:ascii="Arial" w:hAnsi="Arial" w:cs="Arial"/>
        </w:rPr>
        <w:t>-19, v roce 2020 a 2021 přerušena. Ve spolupráci se bude pokračovat v</w:t>
      </w:r>
      <w:r w:rsidR="001754F5">
        <w:rPr>
          <w:rFonts w:ascii="Arial" w:hAnsi="Arial" w:cs="Arial"/>
        </w:rPr>
        <w:t> </w:t>
      </w:r>
      <w:r w:rsidRPr="00D10A57">
        <w:rPr>
          <w:rFonts w:ascii="Arial" w:hAnsi="Arial" w:cs="Arial"/>
        </w:rPr>
        <w:t>roce 2022.</w:t>
      </w:r>
    </w:p>
    <w:p w14:paraId="79A30D9C" w14:textId="77777777" w:rsidR="008678AB" w:rsidRPr="00D10A57" w:rsidRDefault="00D015E1" w:rsidP="00D56307">
      <w:pPr>
        <w:spacing w:after="240" w:line="240" w:lineRule="auto"/>
        <w:jc w:val="both"/>
        <w:rPr>
          <w:rFonts w:ascii="Arial" w:hAnsi="Arial" w:cs="Arial"/>
        </w:rPr>
      </w:pPr>
      <w:r w:rsidRPr="00D10A57">
        <w:rPr>
          <w:rFonts w:ascii="Arial" w:hAnsi="Arial" w:cs="Arial"/>
        </w:rPr>
        <w:t xml:space="preserve">Rozdílný přístup jednotlivých firem v realizaci zakázek zaznamenal v roce 2021 státní podnik </w:t>
      </w:r>
      <w:r w:rsidRPr="00D10A57">
        <w:rPr>
          <w:rFonts w:ascii="Arial" w:hAnsi="Arial" w:cs="Arial"/>
          <w:b/>
        </w:rPr>
        <w:t xml:space="preserve">Povodí Ohře, s.p. </w:t>
      </w:r>
      <w:r w:rsidRPr="00D10A57">
        <w:rPr>
          <w:rFonts w:ascii="Arial" w:hAnsi="Arial" w:cs="Arial"/>
          <w:bCs/>
        </w:rPr>
        <w:t>Z celkové nabídky 21 akcí bylo romskými firmami zdárně dokončeno v požadovaném termínu a kvalitě pouze 5. U dalších akcí docházelo k nedodržení stanovených termínů, problémem bylo i nedostatečné zajištění potřebných zaměstnanců nebo techniky. Na některé výzvy romské firmy nereagují nebo nevyhoví cenou za zakázku.</w:t>
      </w:r>
    </w:p>
    <w:p w14:paraId="7F4E1BAB" w14:textId="77777777" w:rsidR="00D015E1" w:rsidRPr="00D10A57" w:rsidRDefault="00D015E1" w:rsidP="00D56307">
      <w:pPr>
        <w:spacing w:after="240" w:line="240" w:lineRule="auto"/>
        <w:jc w:val="both"/>
        <w:rPr>
          <w:rFonts w:ascii="Arial" w:hAnsi="Arial" w:cs="Arial"/>
        </w:rPr>
      </w:pPr>
      <w:r w:rsidRPr="00D10A57">
        <w:rPr>
          <w:rFonts w:ascii="Arial" w:hAnsi="Arial" w:cs="Arial"/>
          <w:bCs/>
        </w:rPr>
        <w:t>I přesto jsou subjekty zaměstnávající romské občany oslovovány, a to především u zakázek nenáročných na odbornost nebo technické vybavení zhotovitele, jako jsou např. čištění průtočného profilu, sekání travního porostu, likvidace invazních rostlin, údržba a kácení břehových porostů apod.</w:t>
      </w:r>
    </w:p>
    <w:p w14:paraId="72887504" w14:textId="77777777" w:rsidR="008678AB" w:rsidRPr="00D10A57" w:rsidRDefault="00D015E1" w:rsidP="00D56307">
      <w:pPr>
        <w:spacing w:after="240" w:line="240" w:lineRule="auto"/>
        <w:jc w:val="both"/>
        <w:rPr>
          <w:rFonts w:ascii="Arial" w:hAnsi="Arial" w:cs="Arial"/>
        </w:rPr>
      </w:pPr>
      <w:r w:rsidRPr="00D10A57">
        <w:rPr>
          <w:rFonts w:ascii="Arial" w:hAnsi="Arial" w:cs="Arial"/>
          <w:b/>
        </w:rPr>
        <w:t xml:space="preserve">Povodí Moravy, s.p. </w:t>
      </w:r>
      <w:r w:rsidRPr="00D10A57">
        <w:rPr>
          <w:rFonts w:ascii="Arial" w:hAnsi="Arial" w:cs="Arial"/>
        </w:rPr>
        <w:t>zadával v loňském roce celkem čtrnáct zakázek sociálně zodpovědným způsobem zaměřeným na firmy zaměstnávající romské spoluobčany. Finálně bylo zrealizováno dvanáct zakázek za celkovou cenu 1,9 mil. Kč bez DPH. Co se týká samotného zadávání zakázek, záleží na přístupu jednotlivých dodavatelů. U některých firem je bezproblémový přístup od samotného soutěžení až po předání předmětu díla, nicméně nejsou výjimky, kdy vítězní uchazeči v realizaci nepokračují.</w:t>
      </w:r>
    </w:p>
    <w:p w14:paraId="77FE0B11" w14:textId="77777777" w:rsidR="00D015E1" w:rsidRPr="00D10A57" w:rsidRDefault="00D015E1" w:rsidP="00D56307">
      <w:pPr>
        <w:spacing w:after="240" w:line="240" w:lineRule="auto"/>
        <w:jc w:val="both"/>
        <w:rPr>
          <w:rFonts w:ascii="Arial" w:hAnsi="Arial" w:cs="Arial"/>
        </w:rPr>
      </w:pPr>
      <w:r w:rsidRPr="00D10A57">
        <w:rPr>
          <w:rFonts w:ascii="Arial" w:hAnsi="Arial" w:cs="Arial"/>
        </w:rPr>
        <w:t>Ve srovnání s rokem 2020 lze spatřovat zlepšení spolupráce s oslovenými firmami, mnohé z nich se, i přes stále složitější administraci, uplatňují u Povodí Moravy dlouhodobě. Státní podnik hodlá tento trend podpořit zadáváním zakázek romským firmám i v letošním roce.</w:t>
      </w:r>
      <w:r w:rsidR="001754F5">
        <w:rPr>
          <w:rFonts w:ascii="Arial" w:hAnsi="Arial" w:cs="Arial"/>
        </w:rPr>
        <w:t xml:space="preserve"> </w:t>
      </w:r>
      <w:r w:rsidRPr="00D10A57">
        <w:rPr>
          <w:rFonts w:ascii="Arial" w:hAnsi="Arial" w:cs="Arial"/>
        </w:rPr>
        <w:t xml:space="preserve">V návaznosti na předchozí rok pokračoval </w:t>
      </w:r>
      <w:r w:rsidRPr="00D10A57">
        <w:rPr>
          <w:rFonts w:ascii="Arial" w:hAnsi="Arial" w:cs="Arial"/>
          <w:b/>
          <w:bCs/>
        </w:rPr>
        <w:t>státní podnik Lesy České republiky</w:t>
      </w:r>
      <w:r w:rsidRPr="00D10A57">
        <w:rPr>
          <w:rFonts w:ascii="Arial" w:hAnsi="Arial" w:cs="Arial"/>
        </w:rPr>
        <w:t xml:space="preserve"> (dále jen „LČR“) v průběžné komunikaci a spolupráci s Celostátní asociací sociálně odpovědných romských spolků a podnikatelů v ČR i Asociací romských podnikatelů a spolků v ČR, a to na úrovni oblastních ředitelství a lesních správ, tak i lesních závodů.</w:t>
      </w:r>
    </w:p>
    <w:p w14:paraId="67FB8BAD" w14:textId="77777777" w:rsidR="008678AB" w:rsidRPr="00D10A57" w:rsidRDefault="00D015E1" w:rsidP="00D56307">
      <w:pPr>
        <w:spacing w:after="240" w:line="240" w:lineRule="auto"/>
        <w:jc w:val="both"/>
        <w:rPr>
          <w:rFonts w:ascii="Arial" w:hAnsi="Arial" w:cs="Arial"/>
        </w:rPr>
      </w:pPr>
      <w:r w:rsidRPr="00D10A57">
        <w:rPr>
          <w:rFonts w:ascii="Arial" w:hAnsi="Arial" w:cs="Arial"/>
        </w:rPr>
        <w:t>LČR aktivně upozorňují dané asociace na vyhlašované vhodné veřejné zakázky, které jsou zveřejňovány standardně na internetových stránkách LČR. V případě zájmu se jednotlivé subjekty mohou do těchto otevřených veřejných zakázek přihlásit. Zaměstnanci LČR všem subjektům poskytují i případnou podporu s potřebnou administrací.</w:t>
      </w:r>
    </w:p>
    <w:p w14:paraId="382A5978" w14:textId="77777777" w:rsidR="00D015E1" w:rsidRPr="00D10A57" w:rsidRDefault="00D015E1" w:rsidP="00D56307">
      <w:pPr>
        <w:spacing w:after="240" w:line="240" w:lineRule="auto"/>
        <w:jc w:val="both"/>
        <w:rPr>
          <w:rFonts w:ascii="Arial" w:hAnsi="Arial" w:cs="Arial"/>
        </w:rPr>
      </w:pPr>
      <w:r w:rsidRPr="00D10A57">
        <w:rPr>
          <w:rFonts w:ascii="Arial" w:hAnsi="Arial" w:cs="Arial"/>
        </w:rPr>
        <w:t xml:space="preserve">Romské organizace nadále projevují svůj zájem především o stavební zakázky. V roce 2021 zabezpečily celkem 46 stavebních akcí menšího rozsahu a souhrnná hodnota činila cca 7,298 </w:t>
      </w:r>
      <w:r w:rsidRPr="00D10A57">
        <w:rPr>
          <w:rFonts w:ascii="Arial" w:hAnsi="Arial" w:cs="Arial"/>
        </w:rPr>
        <w:lastRenderedPageBreak/>
        <w:t>mil Kč bez DPH, což je téměř o 2 mil. Kč více než v roce předešlém. Jednalo se např. o opravy odvozních linek, drobné opravy objektů a oplocenek, opravy propustků, úpravy koryt potoků, sečení trávy atp. Nejvíce akcí bylo zrealizováno v rámci organizačních jednotek na území západních, severních a jižních Čech.</w:t>
      </w:r>
    </w:p>
    <w:p w14:paraId="4BB72078" w14:textId="77777777" w:rsidR="00D015E1" w:rsidRPr="00D10A57" w:rsidRDefault="00D015E1" w:rsidP="00D56307">
      <w:pPr>
        <w:spacing w:after="240" w:line="240" w:lineRule="auto"/>
        <w:jc w:val="both"/>
        <w:rPr>
          <w:rFonts w:ascii="Arial" w:hAnsi="Arial" w:cs="Arial"/>
        </w:rPr>
      </w:pPr>
      <w:r w:rsidRPr="00D10A57">
        <w:rPr>
          <w:rFonts w:ascii="Arial" w:hAnsi="Arial" w:cs="Arial"/>
        </w:rPr>
        <w:t xml:space="preserve">Spolupráce při zajišťování drobných lesnických zakázek např. na úklid klestu, stavění oplocenek, odkorňování či asanaci dřeva je minimální. Objem realizovaných lesnických zakázek dosáhl výše cca 2,5 mil Kč bez DPH, a to především na území Slezska. Romské organizace nejsou konkurenceschopné především v oblasti cenových nabídek a termínů plnění. </w:t>
      </w:r>
    </w:p>
    <w:p w14:paraId="4B656732" w14:textId="77777777" w:rsidR="00D015E1" w:rsidRPr="00D10A57" w:rsidRDefault="00D015E1" w:rsidP="00D56307">
      <w:pPr>
        <w:spacing w:after="240" w:line="240" w:lineRule="auto"/>
        <w:jc w:val="both"/>
        <w:rPr>
          <w:rFonts w:ascii="Arial" w:hAnsi="Arial" w:cs="Arial"/>
        </w:rPr>
      </w:pPr>
      <w:r w:rsidRPr="00D10A57">
        <w:rPr>
          <w:rFonts w:ascii="Arial" w:hAnsi="Arial" w:cs="Arial"/>
        </w:rPr>
        <w:t>Do sezónních lesnických prací se zapojují ale jednotliví občané romské národnosti, kteří vykonávají tuto činnost pro LČR na dohodu o provedení práce či na krátkodobý pracovní poměr.</w:t>
      </w:r>
    </w:p>
    <w:p w14:paraId="0C34CD92" w14:textId="77777777" w:rsidR="00D015E1" w:rsidRPr="00D10A57" w:rsidRDefault="00D015E1" w:rsidP="00D56307">
      <w:pPr>
        <w:spacing w:after="240" w:line="240" w:lineRule="auto"/>
        <w:jc w:val="both"/>
        <w:rPr>
          <w:rFonts w:ascii="Arial" w:hAnsi="Arial" w:cs="Arial"/>
        </w:rPr>
      </w:pPr>
      <w:r w:rsidRPr="00D10A57">
        <w:rPr>
          <w:rFonts w:ascii="Arial" w:hAnsi="Arial" w:cs="Arial"/>
        </w:rPr>
        <w:t>Úspěšná spolupráce pokračuje ve sběru semen. V této oblasti je spolupráce bezproblémová a semena jsou odevzdávána v patřičné kvalitě.</w:t>
      </w:r>
    </w:p>
    <w:p w14:paraId="60BF1CCC" w14:textId="5D154708" w:rsidR="00D015E1" w:rsidRPr="007C763A" w:rsidRDefault="00D015E1" w:rsidP="007C763A">
      <w:pPr>
        <w:pStyle w:val="Odstavecseseznamem"/>
        <w:numPr>
          <w:ilvl w:val="0"/>
          <w:numId w:val="39"/>
        </w:numPr>
        <w:spacing w:after="240"/>
        <w:rPr>
          <w:rFonts w:ascii="Arial" w:hAnsi="Arial" w:cs="Arial"/>
        </w:rPr>
      </w:pPr>
      <w:r w:rsidRPr="007C763A">
        <w:rPr>
          <w:rFonts w:ascii="Arial" w:hAnsi="Arial" w:cs="Arial"/>
          <w:b/>
          <w:sz w:val="22"/>
          <w:szCs w:val="22"/>
        </w:rPr>
        <w:t>usnadňovat, v rámci sociálního zemědělství, přístup na trh práce osobám, které obtížně hledají zaměstnání včetně příslušníků romské menšiny</w:t>
      </w:r>
    </w:p>
    <w:p w14:paraId="1EC0B83F" w14:textId="58DA7C53" w:rsidR="00D015E1" w:rsidRPr="00D10A57" w:rsidRDefault="00D015E1" w:rsidP="00D56307">
      <w:pPr>
        <w:spacing w:after="240" w:line="240" w:lineRule="auto"/>
        <w:jc w:val="both"/>
        <w:rPr>
          <w:rFonts w:ascii="Arial" w:hAnsi="Arial" w:cs="Arial"/>
        </w:rPr>
      </w:pPr>
      <w:r w:rsidRPr="00D10A57">
        <w:rPr>
          <w:rFonts w:ascii="Arial" w:hAnsi="Arial" w:cs="Arial"/>
        </w:rPr>
        <w:t>Sociální zemědělství v současné době získává pozornost na základě pozitivního vnímání zemědělství a venkovských zdrojů, kdy se přirozenou cestou zvyšuje i zájem o příznivé účinky přírodních prostor a zemědělských činností pro sociální, zdravotní a duševní pohodu zúčastněných osob. V tomto kontextu představuje koncept sociálního zemědělství novou šanci pro zemědělce zavádět a vytvářet nové alternativní služby, rozšířit a diverzifikovat své činnosti a jejich roli ve společnosti. Sociální zemědělství tak v sobě spojuje dva světy – zemědělství a sociální služby. Jeho posláním je, kromě zemědělské produkce a služeb, zaměstnávat, vzdělávat a uskutečňovat různé druhy terapií pro široké spektrum znevýhodněných osob, a to za využití dostupných zemědělských zdrojů v daném místě. Cílem je tak za účasti hlavních aktérů (zemědělci a místní komunity) podporovat nebo vytvářet sociální služby ve venkovských oblastech, které přispívají sociálnímu začleňování. Důležitou přidanou hodnotou je možnost integrovat znevýhodněné osoby do prostředí, které především ve venkovských oblastech umožňuje flexibilitu, blízkost a neformálnost širokého spektra vztahů při jejich začleňování, a to především za předpokladu, že budou vykonávat smysluplnou činnost – práci vedoucí k posílení jejich osobnostních a profesních dovedností a schopností, ale také větší nezávislosti a lepšímu sociálnímu postavení.</w:t>
      </w:r>
    </w:p>
    <w:p w14:paraId="7113888A" w14:textId="0915CA36" w:rsidR="00D015E1" w:rsidRPr="007C763A" w:rsidRDefault="00D015E1" w:rsidP="007C763A">
      <w:pPr>
        <w:spacing w:after="240" w:line="240" w:lineRule="auto"/>
        <w:jc w:val="both"/>
        <w:rPr>
          <w:rFonts w:ascii="Arial" w:hAnsi="Arial" w:cs="Arial"/>
        </w:rPr>
      </w:pPr>
      <w:r w:rsidRPr="00D10A57">
        <w:rPr>
          <w:rFonts w:ascii="Arial" w:hAnsi="Arial" w:cs="Arial"/>
        </w:rPr>
        <w:t>Cílovou skupinu pro koncept sociálního zemědělství je možné v maximální míře vymezit tak, že se jedná o osoby sociálně a zdravotně znevýhodněné, které potřebují zvýšenou péči při jejich integraci do pracovního nebo běžného prostředí. Vzhledem ke své interdisciplinární povaze tak má sociální zemědělství možnost řadu různých problematických oblastí pozitivně ovlivnit a přinést výhody, mezi které patří především</w:t>
      </w:r>
      <w:r w:rsidR="00A913BE">
        <w:rPr>
          <w:rFonts w:ascii="Arial" w:hAnsi="Arial" w:cs="Arial"/>
          <w:b/>
        </w:rPr>
        <w:t xml:space="preserve"> </w:t>
      </w:r>
      <w:r w:rsidRPr="007C763A">
        <w:rPr>
          <w:rFonts w:ascii="Arial" w:hAnsi="Arial" w:cs="Arial"/>
          <w:b/>
        </w:rPr>
        <w:t>Tvorba a udržení pracovních míst na venkově</w:t>
      </w:r>
      <w:r w:rsidR="00A913BE">
        <w:rPr>
          <w:rFonts w:ascii="Arial" w:hAnsi="Arial" w:cs="Arial"/>
        </w:rPr>
        <w:t>.</w:t>
      </w:r>
      <w:r w:rsidRPr="007C763A">
        <w:rPr>
          <w:rFonts w:ascii="Arial" w:hAnsi="Arial" w:cs="Arial"/>
        </w:rPr>
        <w:t xml:space="preserve"> </w:t>
      </w:r>
      <w:r w:rsidR="00A913BE">
        <w:rPr>
          <w:rFonts w:ascii="Arial" w:hAnsi="Arial" w:cs="Arial"/>
        </w:rPr>
        <w:t>N</w:t>
      </w:r>
      <w:r w:rsidRPr="007C763A">
        <w:rPr>
          <w:rFonts w:ascii="Arial" w:hAnsi="Arial" w:cs="Arial"/>
        </w:rPr>
        <w:t>ěkteré z projektů v sociálním zemědělství jsou zakládány jako nové organizace, které vytvářejí nová pracovní místa pro místní obyvatele právě z venkovských oblastí, což má pozitivní dopad také na snižování počtu obyvatel nebo na nezaměstnanost jako takovou. Pro samotné klienty vidíme přínosy především v posilování jejich kvality života, sociálního začleňování, vzdělávání, zaměstnanosti a terapie.</w:t>
      </w:r>
    </w:p>
    <w:p w14:paraId="156A12BE" w14:textId="77777777" w:rsidR="00D015E1" w:rsidRPr="00D10A57" w:rsidRDefault="00D015E1" w:rsidP="00D56307">
      <w:pPr>
        <w:spacing w:after="240" w:line="240" w:lineRule="auto"/>
        <w:jc w:val="both"/>
        <w:rPr>
          <w:rFonts w:ascii="Arial" w:hAnsi="Arial" w:cs="Arial"/>
          <w:b/>
        </w:rPr>
      </w:pPr>
      <w:r w:rsidRPr="00D10A57">
        <w:rPr>
          <w:rFonts w:ascii="Arial" w:hAnsi="Arial" w:cs="Arial"/>
          <w:b/>
        </w:rPr>
        <w:t>Venkovské prostředí je specifické tím, že zde nežijí početné romské komunity, a tudíž nedochází ani ke vzniku sociálně vyloučených lokalit, jak můžeme sledovat v některých městech. Do aktivit sociálního zemědělství se romští občané přesto zapojují, a to buď jako zaměstnanci sociálních zemědělských farem, nebo i jako klienti při rehabilitačních činnostech.</w:t>
      </w:r>
    </w:p>
    <w:p w14:paraId="215DB933" w14:textId="77777777" w:rsidR="00D015E1" w:rsidRPr="00D10A57" w:rsidRDefault="00D015E1" w:rsidP="00D56307">
      <w:pPr>
        <w:spacing w:after="240" w:line="240" w:lineRule="auto"/>
        <w:jc w:val="both"/>
        <w:rPr>
          <w:rFonts w:ascii="Arial" w:hAnsi="Arial" w:cs="Arial"/>
        </w:rPr>
      </w:pPr>
      <w:r w:rsidRPr="00D10A57">
        <w:rPr>
          <w:rFonts w:ascii="Arial" w:hAnsi="Arial" w:cs="Arial"/>
        </w:rPr>
        <w:lastRenderedPageBreak/>
        <w:t>Resort zemědělství podporuje dlouhodobě projekty zaměstnanosti osob obtížně umístitelných na trhu práce ve venkovských oblastech. I když se nevede evidence zastoupení Romů v této skupině, z pozorování je patrné, že cílovou skupinou jsou i romští obyvatelé venkova.  V roce 2021 byly sociálně zemědělské projekty zaměřené na zaměstnanost podpořeny částkou 6,465 mil. Kč.</w:t>
      </w:r>
    </w:p>
    <w:p w14:paraId="23969985" w14:textId="77777777" w:rsidR="00D015E1" w:rsidRPr="00D10A57" w:rsidRDefault="00D015E1" w:rsidP="00D56307">
      <w:pPr>
        <w:pStyle w:val="Nadpis2"/>
        <w:spacing w:before="0" w:after="240" w:line="240" w:lineRule="auto"/>
        <w:jc w:val="both"/>
        <w:rPr>
          <w:rFonts w:ascii="Arial" w:hAnsi="Arial" w:cs="Arial"/>
          <w:color w:val="000000"/>
          <w:sz w:val="22"/>
          <w:szCs w:val="22"/>
        </w:rPr>
      </w:pPr>
      <w:bookmarkStart w:id="19" w:name="_Toc112751755"/>
      <w:bookmarkStart w:id="20" w:name="_Toc112752036"/>
      <w:bookmarkStart w:id="21" w:name="_Toc112752450"/>
      <w:bookmarkStart w:id="22" w:name="_Toc112831380"/>
      <w:r w:rsidRPr="00D10A57">
        <w:rPr>
          <w:rFonts w:ascii="Arial" w:hAnsi="Arial" w:cs="Arial"/>
          <w:color w:val="000000"/>
          <w:sz w:val="22"/>
          <w:szCs w:val="22"/>
        </w:rPr>
        <w:t>Seznam pracovních orgánů Ministerstva zemědělství (komise, výbory, pracovní skupiny), které se obsahově týkají tématu romské integrace či jiných témat souvisejících s romskou menšinou.</w:t>
      </w:r>
      <w:bookmarkEnd w:id="19"/>
      <w:bookmarkEnd w:id="20"/>
      <w:bookmarkEnd w:id="21"/>
      <w:bookmarkEnd w:id="22"/>
    </w:p>
    <w:p w14:paraId="638C3B70" w14:textId="75290CF5" w:rsidR="00D015E1" w:rsidRDefault="00D015E1" w:rsidP="00D56307">
      <w:pPr>
        <w:pStyle w:val="Zkladntext"/>
        <w:spacing w:after="240" w:line="240" w:lineRule="auto"/>
        <w:jc w:val="both"/>
        <w:rPr>
          <w:rFonts w:ascii="Arial" w:hAnsi="Arial" w:cs="Arial"/>
        </w:rPr>
      </w:pPr>
      <w:r w:rsidRPr="00D10A57">
        <w:rPr>
          <w:rFonts w:ascii="Arial" w:hAnsi="Arial" w:cs="Arial"/>
        </w:rPr>
        <w:t xml:space="preserve">Ministrem zemědělství byla zřízena </w:t>
      </w:r>
      <w:r w:rsidRPr="00D10A57">
        <w:rPr>
          <w:rFonts w:ascii="Arial" w:hAnsi="Arial" w:cs="Arial"/>
          <w:b/>
        </w:rPr>
        <w:t>Pracovní komise sociálního zemědělství.</w:t>
      </w:r>
      <w:r w:rsidRPr="00D10A57">
        <w:rPr>
          <w:rFonts w:ascii="Arial" w:hAnsi="Arial" w:cs="Arial"/>
        </w:rPr>
        <w:t xml:space="preserve"> Kromě zainteresovaných zaměstnanců M</w:t>
      </w:r>
      <w:r w:rsidR="000B432D">
        <w:rPr>
          <w:rFonts w:ascii="Arial" w:hAnsi="Arial" w:cs="Arial"/>
        </w:rPr>
        <w:t>inisterstva zemědělství</w:t>
      </w:r>
      <w:r w:rsidRPr="00D10A57">
        <w:rPr>
          <w:rFonts w:ascii="Arial" w:hAnsi="Arial" w:cs="Arial"/>
        </w:rPr>
        <w:t xml:space="preserve"> jsou jejími členy zástupci MPSV, </w:t>
      </w:r>
      <w:r w:rsidR="000B432D">
        <w:rPr>
          <w:rFonts w:ascii="Arial" w:hAnsi="Arial" w:cs="Arial"/>
        </w:rPr>
        <w:t>NNO</w:t>
      </w:r>
      <w:r w:rsidRPr="00D10A57">
        <w:rPr>
          <w:rFonts w:ascii="Arial" w:hAnsi="Arial" w:cs="Arial"/>
        </w:rPr>
        <w:t>, Podpůrného a garančního rolnického a lesnického fondu, a.s., akademického sektoru a další odborníci. Náplní její práce je mimo jiné příprava organizačních, legislativních a faktických opatření týkajících se života osob ohrožených diskriminací na venkově a činnosti směřující k řešení sociálních podmínek lidí žijících ve venkovských oblastech.</w:t>
      </w:r>
    </w:p>
    <w:p w14:paraId="15D11367" w14:textId="77777777" w:rsidR="00A961AF" w:rsidRDefault="00A961AF">
      <w:pPr>
        <w:rPr>
          <w:rFonts w:ascii="Arial" w:hAnsi="Arial" w:cs="Arial"/>
        </w:rPr>
      </w:pPr>
      <w:r>
        <w:rPr>
          <w:rFonts w:ascii="Arial" w:hAnsi="Arial" w:cs="Arial"/>
        </w:rPr>
        <w:br w:type="page"/>
      </w:r>
    </w:p>
    <w:p w14:paraId="10E2167C" w14:textId="77777777" w:rsidR="00D15073" w:rsidRPr="00D10A57" w:rsidRDefault="0099015D" w:rsidP="00D10A57">
      <w:pPr>
        <w:pStyle w:val="Nadpis1"/>
        <w:numPr>
          <w:ilvl w:val="0"/>
          <w:numId w:val="1"/>
        </w:numPr>
        <w:spacing w:line="240" w:lineRule="auto"/>
        <w:jc w:val="both"/>
        <w:rPr>
          <w:rFonts w:ascii="Arial" w:hAnsi="Arial" w:cs="Arial"/>
          <w:color w:val="auto"/>
          <w:sz w:val="24"/>
        </w:rPr>
      </w:pPr>
      <w:bookmarkStart w:id="23" w:name="_Toc80881307"/>
      <w:bookmarkStart w:id="24" w:name="_Toc112831381"/>
      <w:r>
        <w:rPr>
          <w:rFonts w:ascii="Arial" w:hAnsi="Arial" w:cs="Arial"/>
          <w:color w:val="auto"/>
          <w:sz w:val="24"/>
        </w:rPr>
        <w:lastRenderedPageBreak/>
        <w:t xml:space="preserve"> </w:t>
      </w:r>
      <w:r w:rsidR="00D15073" w:rsidRPr="00D10A57">
        <w:rPr>
          <w:rFonts w:ascii="Arial" w:hAnsi="Arial" w:cs="Arial"/>
          <w:color w:val="auto"/>
          <w:sz w:val="24"/>
        </w:rPr>
        <w:t xml:space="preserve">Ministerstvo </w:t>
      </w:r>
      <w:bookmarkEnd w:id="23"/>
      <w:r w:rsidR="00D15073" w:rsidRPr="00D10A57">
        <w:rPr>
          <w:rFonts w:ascii="Arial" w:hAnsi="Arial" w:cs="Arial"/>
          <w:color w:val="auto"/>
          <w:sz w:val="24"/>
        </w:rPr>
        <w:t>zahraničních věcí</w:t>
      </w:r>
      <w:bookmarkEnd w:id="24"/>
      <w:r w:rsidR="00771309">
        <w:rPr>
          <w:rFonts w:ascii="Arial" w:hAnsi="Arial" w:cs="Arial"/>
          <w:color w:val="auto"/>
          <w:sz w:val="24"/>
        </w:rPr>
        <w:t xml:space="preserve"> </w:t>
      </w:r>
    </w:p>
    <w:p w14:paraId="4C855223" w14:textId="77777777" w:rsidR="00D15073" w:rsidRPr="00D10A57" w:rsidRDefault="00D15073" w:rsidP="00D10A57">
      <w:pPr>
        <w:jc w:val="both"/>
        <w:rPr>
          <w:rFonts w:ascii="Arial" w:hAnsi="Arial" w:cs="Arial"/>
        </w:rPr>
      </w:pPr>
    </w:p>
    <w:p w14:paraId="31ACE04F" w14:textId="42E310CF" w:rsidR="00AB513B" w:rsidRPr="00D10A57" w:rsidRDefault="00AB513B" w:rsidP="00C444FD">
      <w:pPr>
        <w:pStyle w:val="Styl1"/>
      </w:pPr>
      <w:r w:rsidRPr="00D10A57">
        <w:t xml:space="preserve">Problematice romské genocidy a </w:t>
      </w:r>
      <w:r w:rsidR="00D60578" w:rsidRPr="00D10A57">
        <w:t xml:space="preserve"> jejímu připomínání, výzkumu a </w:t>
      </w:r>
      <w:r w:rsidRPr="00D10A57">
        <w:t>vzdělávání se věnuje česká delegace v Mezinárodní alianci pro připomínku holokaustu (</w:t>
      </w:r>
      <w:r w:rsidRPr="00D10A57">
        <w:rPr>
          <w:i/>
          <w:iCs/>
        </w:rPr>
        <w:t>International Holocaust Remembrance Alliance, IHRA</w:t>
      </w:r>
      <w:r w:rsidRPr="00D10A57">
        <w:t>), kterou vede zvláštní zmocněnec M</w:t>
      </w:r>
      <w:r w:rsidR="000B432D">
        <w:t>inisterstva zahraničních věcí (dále jen „MZV“)</w:t>
      </w:r>
      <w:r w:rsidRPr="00D10A57">
        <w:t xml:space="preserve"> pro holocaust, mezináboženský dialog a svobodu vyznání Robert Řehák. </w:t>
      </w:r>
    </w:p>
    <w:p w14:paraId="5025F723" w14:textId="77777777" w:rsidR="00AB513B" w:rsidRPr="00D10A57" w:rsidRDefault="00AB513B" w:rsidP="00C444FD">
      <w:pPr>
        <w:pStyle w:val="Styl1"/>
      </w:pPr>
      <w:r w:rsidRPr="00D10A57">
        <w:t>Česká delegace v IHRA se podílela na formulaci právně nezávazné pracovní definice protiromského smýšlení / anticiganismu (</w:t>
      </w:r>
      <w:r w:rsidRPr="00D10A57">
        <w:rPr>
          <w:i/>
          <w:iCs/>
        </w:rPr>
        <w:t>The non-legally binding working definition of antigypsyism/anti-Roma discrimination</w:t>
      </w:r>
      <w:r w:rsidRPr="00D10A57">
        <w:t xml:space="preserve">), která byla přijata členskými zeměmi IHRA dne 8. října 2020. Bude pokračovat v úsilí o dosažení jejího podpoření v obou komorách Parlamentu ČR. </w:t>
      </w:r>
    </w:p>
    <w:p w14:paraId="5B86DBA5" w14:textId="1C08AE24" w:rsidR="00AB513B" w:rsidRPr="00D10A57" w:rsidRDefault="00AB513B" w:rsidP="00C444FD">
      <w:pPr>
        <w:pStyle w:val="Styl1"/>
      </w:pPr>
      <w:r w:rsidRPr="00D10A57">
        <w:t xml:space="preserve">Nad rámec IHRA se odbor lidských práv a transformační politiky MZV romské problematice v mezinárodním kontextu zabývá rovněž v OSN s důrazem na Radu OSN pro lidská práva, jakož i Radě Evropy a Organizace pro bezpečnost a spolupráci v Evropě. </w:t>
      </w:r>
    </w:p>
    <w:p w14:paraId="5FA5324A" w14:textId="77777777" w:rsidR="00AB513B" w:rsidRPr="00D10A57" w:rsidRDefault="00AB513B" w:rsidP="00C444FD">
      <w:pPr>
        <w:pStyle w:val="Styl1"/>
      </w:pPr>
      <w:r w:rsidRPr="00D10A57">
        <w:t>Zvýšený mezinárodní zájem o postavení romské menšiny v ČR vzbudilo v létě 2021 úmrtí Stanislava Tomáše. V součinnosti s ÚV ČR poskytovalo MZV prostřednictvím zastupitelských úřadů ČR mezinárodním organizacím, vládám i občanské společnosti v relevantních evropských zemích požadované informace.</w:t>
      </w:r>
    </w:p>
    <w:sectPr w:rsidR="00AB513B" w:rsidRPr="00D10A57" w:rsidSect="00CE522B">
      <w:footerReference w:type="default" r:id="rId17"/>
      <w:pgSz w:w="11906" w:h="16838"/>
      <w:pgMar w:top="1417" w:right="1417" w:bottom="1417"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6CC95" w14:textId="77777777" w:rsidR="00DF0033" w:rsidRDefault="00DF0033" w:rsidP="003210C4">
      <w:pPr>
        <w:spacing w:after="0" w:line="240" w:lineRule="auto"/>
      </w:pPr>
      <w:r>
        <w:separator/>
      </w:r>
    </w:p>
  </w:endnote>
  <w:endnote w:type="continuationSeparator" w:id="0">
    <w:p w14:paraId="2168F3D6" w14:textId="77777777" w:rsidR="00DF0033" w:rsidRDefault="00DF0033" w:rsidP="0032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u w:val="single"/>
      </w:rPr>
      <w:id w:val="2144691789"/>
      <w:docPartObj>
        <w:docPartGallery w:val="Page Numbers (Bottom of Page)"/>
        <w:docPartUnique/>
      </w:docPartObj>
    </w:sdtPr>
    <w:sdtContent>
      <w:p w14:paraId="794057C7" w14:textId="36B957BF" w:rsidR="00DF0033" w:rsidRPr="0074176A" w:rsidRDefault="00DF0033">
        <w:pPr>
          <w:pStyle w:val="Zpat"/>
          <w:jc w:val="right"/>
          <w:rPr>
            <w:u w:val="single"/>
          </w:rPr>
        </w:pPr>
        <w:r w:rsidRPr="0074176A">
          <w:rPr>
            <w:u w:val="single"/>
          </w:rPr>
          <w:fldChar w:fldCharType="begin"/>
        </w:r>
        <w:r w:rsidRPr="0074176A">
          <w:rPr>
            <w:u w:val="single"/>
          </w:rPr>
          <w:instrText>PAGE   \* MERGEFORMAT</w:instrText>
        </w:r>
        <w:r w:rsidRPr="0074176A">
          <w:rPr>
            <w:u w:val="single"/>
          </w:rPr>
          <w:fldChar w:fldCharType="separate"/>
        </w:r>
        <w:r w:rsidR="0026416A">
          <w:rPr>
            <w:noProof/>
            <w:u w:val="single"/>
          </w:rPr>
          <w:t>17</w:t>
        </w:r>
        <w:r w:rsidRPr="0074176A">
          <w:rPr>
            <w:u w:val="single"/>
          </w:rPr>
          <w:fldChar w:fldCharType="end"/>
        </w:r>
      </w:p>
    </w:sdtContent>
  </w:sdt>
  <w:p w14:paraId="3474699A" w14:textId="77777777" w:rsidR="00DF0033" w:rsidRDefault="00DF0033">
    <w:pPr>
      <w:pStyle w:val="Zpat"/>
    </w:pPr>
  </w:p>
  <w:p w14:paraId="7103F99B" w14:textId="77777777" w:rsidR="00DF0033" w:rsidRDefault="00DF00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1657E" w14:textId="77777777" w:rsidR="00DF0033" w:rsidRDefault="00DF0033" w:rsidP="003210C4">
      <w:pPr>
        <w:spacing w:after="0" w:line="240" w:lineRule="auto"/>
      </w:pPr>
      <w:r>
        <w:separator/>
      </w:r>
    </w:p>
  </w:footnote>
  <w:footnote w:type="continuationSeparator" w:id="0">
    <w:p w14:paraId="1EB6E154" w14:textId="77777777" w:rsidR="00DF0033" w:rsidRDefault="00DF0033" w:rsidP="003210C4">
      <w:pPr>
        <w:spacing w:after="0" w:line="240" w:lineRule="auto"/>
      </w:pPr>
      <w:r>
        <w:continuationSeparator/>
      </w:r>
    </w:p>
  </w:footnote>
  <w:footnote w:id="1">
    <w:p w14:paraId="4D761D23" w14:textId="77777777" w:rsidR="00DF0033" w:rsidRPr="006759FE" w:rsidRDefault="00DF0033" w:rsidP="006759FE">
      <w:pPr>
        <w:pStyle w:val="Styl4"/>
      </w:pPr>
      <w:r w:rsidRPr="006759FE">
        <w:rPr>
          <w:rStyle w:val="Znakapoznpodarou"/>
        </w:rPr>
        <w:footnoteRef/>
      </w:r>
      <w:r w:rsidRPr="006759FE">
        <w:t xml:space="preserve"> Podrobnosti o výsledcích šetření jsou dostupné zde: https://www.socialni-zaclenovani.cz/agentura-pro-socialni-zaclenovani-prinasi-nove-informace-o-zivotnich-podminkach-obyvatel-socialne-vyloucenych-lokalit/.</w:t>
      </w:r>
    </w:p>
  </w:footnote>
  <w:footnote w:id="2">
    <w:p w14:paraId="4748AB98" w14:textId="77777777" w:rsidR="00DF0033" w:rsidRPr="006759FE" w:rsidRDefault="00DF0033" w:rsidP="006759FE">
      <w:pPr>
        <w:pStyle w:val="Styl4"/>
      </w:pPr>
      <w:r w:rsidRPr="006759FE">
        <w:rPr>
          <w:rStyle w:val="Znakapoznpodarou"/>
        </w:rPr>
        <w:footnoteRef/>
      </w:r>
      <w:r w:rsidRPr="006759FE">
        <w:t xml:space="preserve"> Podrobnosti o výsledcích výzkumu jsou dostupné zde: https://www.socialni-zaclenovani.cz/osobni-bankrot-za-15-000-kc-a-zastava-nemovitosti-vyzkum-odhaluje-ze-15-oddluzovacich-spolecnosti-protizakonne-vydelava-na-lidskem-nestesti/.</w:t>
      </w:r>
    </w:p>
  </w:footnote>
  <w:footnote w:id="3">
    <w:p w14:paraId="49EBC4EE" w14:textId="77777777" w:rsidR="00DF0033" w:rsidRPr="006759FE" w:rsidRDefault="00DF0033" w:rsidP="006759FE">
      <w:pPr>
        <w:pStyle w:val="Styl4"/>
      </w:pPr>
      <w:r w:rsidRPr="006759FE">
        <w:rPr>
          <w:rStyle w:val="Znakapoznpodarou"/>
        </w:rPr>
        <w:footnoteRef/>
      </w:r>
      <w:r w:rsidRPr="006759FE">
        <w:t xml:space="preserve"> § 1 zákona č. 211/2000 Sb., o Státním fondu podpory investic, ve znění pozdějších předpisů.</w:t>
      </w:r>
    </w:p>
  </w:footnote>
  <w:footnote w:id="4">
    <w:p w14:paraId="74EEA8B6" w14:textId="77777777" w:rsidR="00DF0033" w:rsidRDefault="00DF0033" w:rsidP="006759FE">
      <w:pPr>
        <w:pStyle w:val="Styl4"/>
      </w:pPr>
      <w:r>
        <w:rPr>
          <w:rStyle w:val="Znakapoznpodarou"/>
        </w:rPr>
        <w:footnoteRef/>
      </w:r>
      <w:r>
        <w:t xml:space="preserve"> Podrobnosti k specifickému cíli 2.1.  IROPu zde: </w:t>
      </w:r>
      <w:r w:rsidRPr="006070C3">
        <w:t>https://irop.mmr.cz/cs/vyzvy/detaily-temat/socialni-integrace</w:t>
      </w:r>
      <w:r>
        <w:t>.</w:t>
      </w:r>
    </w:p>
  </w:footnote>
  <w:footnote w:id="5">
    <w:p w14:paraId="02CB4E8C" w14:textId="77777777" w:rsidR="00DF0033" w:rsidRDefault="00DF0033" w:rsidP="006759FE">
      <w:pPr>
        <w:pStyle w:val="Styl4"/>
      </w:pPr>
      <w:r>
        <w:rPr>
          <w:rStyle w:val="Znakapoznpodarou"/>
        </w:rPr>
        <w:footnoteRef/>
      </w:r>
      <w:r>
        <w:t xml:space="preserve"> Obcemi I. typu se zde rozumí obce bez pověřeného obecního úřadu, obcemi II. typu se rozumí obce s pověřeným obecním úřadem, a obcemi III. typu obce s obecním úřadem s rozšířenou působností.</w:t>
      </w:r>
    </w:p>
  </w:footnote>
  <w:footnote w:id="6">
    <w:p w14:paraId="4C911139" w14:textId="77777777" w:rsidR="00DF0033" w:rsidRDefault="00DF0033" w:rsidP="006759FE">
      <w:pPr>
        <w:pStyle w:val="Styl4"/>
      </w:pPr>
      <w:r>
        <w:rPr>
          <w:rStyle w:val="Znakapoznpodarou"/>
        </w:rPr>
        <w:footnoteRef/>
      </w:r>
      <w:r>
        <w:t xml:space="preserve"> Studie je k dispozici zde: </w:t>
      </w:r>
      <w:r w:rsidRPr="00292375">
        <w:t>https://www.socialni-zaclenovani.cz/vydali-jsme-studii-prinosy-socialniho-bydleni-pro-obce/</w:t>
      </w:r>
      <w:r>
        <w:t>.</w:t>
      </w:r>
    </w:p>
  </w:footnote>
  <w:footnote w:id="7">
    <w:p w14:paraId="744E92AB" w14:textId="77777777" w:rsidR="00DF0033" w:rsidRDefault="00DF0033" w:rsidP="006759FE">
      <w:pPr>
        <w:pStyle w:val="Styl4"/>
      </w:pPr>
      <w:r>
        <w:rPr>
          <w:rStyle w:val="Znakapoznpodarou"/>
        </w:rPr>
        <w:footnoteRef/>
      </w:r>
      <w:r>
        <w:t xml:space="preserve"> K dispozici zde: </w:t>
      </w:r>
      <w:r w:rsidRPr="003C7111">
        <w:t>https://www.hatefree.cz/</w:t>
      </w:r>
      <w:r>
        <w:t>.</w:t>
      </w:r>
    </w:p>
  </w:footnote>
  <w:footnote w:id="8">
    <w:p w14:paraId="055DAE99" w14:textId="77777777" w:rsidR="00DF0033" w:rsidRPr="005B2A9B" w:rsidRDefault="00DF0033" w:rsidP="005B2A9B">
      <w:pPr>
        <w:spacing w:after="0"/>
        <w:rPr>
          <w:rFonts w:ascii="Arial" w:hAnsi="Arial" w:cs="Arial"/>
          <w:sz w:val="18"/>
          <w:szCs w:val="20"/>
        </w:rPr>
      </w:pPr>
      <w:r w:rsidRPr="005B2A9B">
        <w:rPr>
          <w:rFonts w:ascii="Arial" w:hAnsi="Arial" w:cs="Arial"/>
          <w:sz w:val="18"/>
          <w:szCs w:val="20"/>
          <w:vertAlign w:val="superscript"/>
        </w:rPr>
        <w:footnoteRef/>
      </w:r>
      <w:r w:rsidRPr="005B2A9B">
        <w:rPr>
          <w:rFonts w:ascii="Arial" w:hAnsi="Arial" w:cs="Arial"/>
          <w:sz w:val="18"/>
          <w:szCs w:val="20"/>
        </w:rPr>
        <w:t xml:space="preserve"> Substandardní bydlení je formou bytové nouze podle vládní Koncepce sociálního bydlení ČR.</w:t>
      </w:r>
    </w:p>
  </w:footnote>
  <w:footnote w:id="9">
    <w:p w14:paraId="75FFDC73" w14:textId="77777777" w:rsidR="00DF0033" w:rsidRPr="005B2A9B" w:rsidRDefault="00DF0033" w:rsidP="00EA170B">
      <w:pPr>
        <w:rPr>
          <w:rFonts w:ascii="Arial" w:hAnsi="Arial" w:cs="Arial"/>
        </w:rPr>
      </w:pPr>
      <w:r w:rsidRPr="00D56307">
        <w:rPr>
          <w:rFonts w:ascii="Arial" w:hAnsi="Arial" w:cs="Arial"/>
          <w:sz w:val="18"/>
          <w:vertAlign w:val="superscript"/>
        </w:rPr>
        <w:footnoteRef/>
      </w:r>
      <w:r w:rsidRPr="00D56307">
        <w:rPr>
          <w:rFonts w:ascii="Arial" w:hAnsi="Arial" w:cs="Arial"/>
          <w:sz w:val="18"/>
        </w:rPr>
        <w:t xml:space="preserve"> </w:t>
      </w:r>
      <w:r w:rsidRPr="007C763A">
        <w:rPr>
          <w:rFonts w:ascii="Arial" w:hAnsi="Arial" w:cs="Arial"/>
          <w:sz w:val="18"/>
        </w:rPr>
        <w:t>http://www.romea.cz/cz/zpravodajstvi/domaci/mpsv-a-neziskovky-predstavily-prubezne-vysledky-projektu-housing-first.domov-ziskalo-531-lidi-200-bytech</w:t>
      </w:r>
      <w:r w:rsidRPr="00510024">
        <w:rPr>
          <w:rFonts w:ascii="Arial" w:hAnsi="Arial" w:cs="Arial"/>
          <w:sz w:val="18"/>
        </w:rPr>
        <w:t xml:space="preserve"> </w:t>
      </w:r>
    </w:p>
  </w:footnote>
  <w:footnote w:id="10">
    <w:p w14:paraId="73B922CF" w14:textId="77777777" w:rsidR="00DF0033" w:rsidRPr="005B2A9B" w:rsidRDefault="00DF0033" w:rsidP="005B2A9B">
      <w:pPr>
        <w:pStyle w:val="Default0"/>
        <w:jc w:val="both"/>
        <w:rPr>
          <w:sz w:val="18"/>
          <w:szCs w:val="18"/>
        </w:rPr>
      </w:pPr>
      <w:r w:rsidRPr="005B2A9B">
        <w:rPr>
          <w:rStyle w:val="Znakapoznpodarou"/>
          <w:rFonts w:eastAsia="Calibri"/>
          <w:sz w:val="18"/>
          <w:szCs w:val="18"/>
        </w:rPr>
        <w:footnoteRef/>
      </w:r>
      <w:r w:rsidRPr="005B2A9B">
        <w:rPr>
          <w:sz w:val="18"/>
          <w:szCs w:val="18"/>
        </w:rPr>
        <w:t xml:space="preserve"> Pro účely této výzvy se za romskou a proromskou nestátní neziskovou organizaci považovala nestátní nezisková organizace, která v době podání žádosti o podporu v rámci hlavní činnosti nejméně 24 měsíců vyvíjela aktivity, poskytovala své služby hlavně romské menšině žijící v ČR nebo deklarovala účel založení výhradně ve prospěch této menšiny. </w:t>
      </w:r>
    </w:p>
    <w:p w14:paraId="207942EE" w14:textId="77777777" w:rsidR="00DF0033" w:rsidRDefault="00DF0033" w:rsidP="00EA170B">
      <w:pPr>
        <w:pStyle w:val="Default0"/>
        <w:rPr>
          <w:sz w:val="22"/>
          <w:szCs w:val="22"/>
        </w:rPr>
      </w:pPr>
    </w:p>
    <w:p w14:paraId="6709754E" w14:textId="77777777" w:rsidR="00DF0033" w:rsidRDefault="00DF0033" w:rsidP="00EA170B">
      <w:pPr>
        <w:pStyle w:val="Textpoznpodarou"/>
      </w:pPr>
    </w:p>
  </w:footnote>
  <w:footnote w:id="11">
    <w:p w14:paraId="70E63129" w14:textId="77777777" w:rsidR="00DF0033" w:rsidRPr="003E27CA" w:rsidRDefault="00DF0033" w:rsidP="00077345">
      <w:pPr>
        <w:pStyle w:val="Textpoznpodarou"/>
        <w:rPr>
          <w:rFonts w:ascii="Arial" w:hAnsi="Arial" w:cs="Arial"/>
          <w:sz w:val="16"/>
          <w:szCs w:val="16"/>
        </w:rPr>
      </w:pPr>
      <w:r w:rsidRPr="003E27CA">
        <w:rPr>
          <w:rStyle w:val="Znakapoznpodarou"/>
          <w:rFonts w:ascii="Arial" w:hAnsi="Arial" w:cs="Arial"/>
          <w:sz w:val="16"/>
          <w:szCs w:val="16"/>
        </w:rPr>
        <w:footnoteRef/>
      </w:r>
      <w:r w:rsidRPr="003E27CA">
        <w:rPr>
          <w:rFonts w:ascii="Arial" w:hAnsi="Arial" w:cs="Arial"/>
          <w:sz w:val="16"/>
          <w:szCs w:val="16"/>
        </w:rPr>
        <w:t xml:space="preserve"> </w:t>
      </w:r>
      <w:hyperlink r:id="rId1" w:history="1">
        <w:r w:rsidRPr="00ED68C7">
          <w:rPr>
            <w:rStyle w:val="Hypertextovodkaz"/>
            <w:rFonts w:ascii="Arial" w:hAnsi="Arial" w:cs="Arial"/>
            <w:color w:val="auto"/>
            <w:sz w:val="16"/>
            <w:szCs w:val="16"/>
            <w:u w:val="none"/>
          </w:rPr>
          <w:t>https://www.mvcr.cz/clanek/informace-o-schvaleni-projektu-programu-prevence-kriminality-na-mistni-urovni-na-rok-2021.aspx</w:t>
        </w:r>
      </w:hyperlink>
      <w:r w:rsidRPr="00ED68C7">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6F17"/>
    <w:multiLevelType w:val="hybridMultilevel"/>
    <w:tmpl w:val="ACFA8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5B7B98"/>
    <w:multiLevelType w:val="hybridMultilevel"/>
    <w:tmpl w:val="83CC9CAE"/>
    <w:lvl w:ilvl="0" w:tplc="0B0E7E80">
      <w:numFmt w:val="bullet"/>
      <w:lvlText w:val="-"/>
      <w:lvlJc w:val="left"/>
      <w:pPr>
        <w:ind w:left="1068" w:hanging="360"/>
      </w:pPr>
      <w:rPr>
        <w:rFonts w:ascii="Times New Roman" w:eastAsia="Times New Roman" w:hAnsi="Times New Roman" w:cs="Times New Roman" w:hint="default"/>
        <w:b/>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44633A7"/>
    <w:multiLevelType w:val="hybridMultilevel"/>
    <w:tmpl w:val="7924EB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1D0368"/>
    <w:multiLevelType w:val="hybridMultilevel"/>
    <w:tmpl w:val="A39C49E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B7F479F"/>
    <w:multiLevelType w:val="hybridMultilevel"/>
    <w:tmpl w:val="682A7692"/>
    <w:lvl w:ilvl="0" w:tplc="C51C6852">
      <w:start w:val="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CFD6FE2"/>
    <w:multiLevelType w:val="hybridMultilevel"/>
    <w:tmpl w:val="9F424DF2"/>
    <w:lvl w:ilvl="0" w:tplc="6FCC57A4">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8557F0"/>
    <w:multiLevelType w:val="hybridMultilevel"/>
    <w:tmpl w:val="85B84502"/>
    <w:lvl w:ilvl="0" w:tplc="D934186E">
      <w:start w:val="1"/>
      <w:numFmt w:val="lowerLetter"/>
      <w:lvlText w:val="%1)"/>
      <w:lvlJc w:val="left"/>
      <w:pPr>
        <w:ind w:left="360" w:hanging="360"/>
      </w:pPr>
      <w:rPr>
        <w:rFonts w:ascii="Arial" w:hAnsi="Arial" w:cs="Arial"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F67046"/>
    <w:multiLevelType w:val="hybridMultilevel"/>
    <w:tmpl w:val="37F88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2E4801"/>
    <w:multiLevelType w:val="hybridMultilevel"/>
    <w:tmpl w:val="243C7E66"/>
    <w:lvl w:ilvl="0" w:tplc="C6D0BFB6">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3E38E1"/>
    <w:multiLevelType w:val="hybridMultilevel"/>
    <w:tmpl w:val="17929C8A"/>
    <w:lvl w:ilvl="0" w:tplc="DB48DCA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35132B"/>
    <w:multiLevelType w:val="hybridMultilevel"/>
    <w:tmpl w:val="A7249B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7F1F2A"/>
    <w:multiLevelType w:val="hybridMultilevel"/>
    <w:tmpl w:val="5368331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F4A78E5"/>
    <w:multiLevelType w:val="hybridMultilevel"/>
    <w:tmpl w:val="58D41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6C3001"/>
    <w:multiLevelType w:val="hybridMultilevel"/>
    <w:tmpl w:val="B2088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9058DE"/>
    <w:multiLevelType w:val="hybridMultilevel"/>
    <w:tmpl w:val="15C8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93BE1"/>
    <w:multiLevelType w:val="hybridMultilevel"/>
    <w:tmpl w:val="9514A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BE6F22"/>
    <w:multiLevelType w:val="hybridMultilevel"/>
    <w:tmpl w:val="73340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1D290A"/>
    <w:multiLevelType w:val="hybridMultilevel"/>
    <w:tmpl w:val="559A5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B1A5794"/>
    <w:multiLevelType w:val="hybridMultilevel"/>
    <w:tmpl w:val="3CDE6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8A418B"/>
    <w:multiLevelType w:val="hybridMultilevel"/>
    <w:tmpl w:val="4C001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BFE19F8"/>
    <w:multiLevelType w:val="hybridMultilevel"/>
    <w:tmpl w:val="DEDC55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507D06DE"/>
    <w:multiLevelType w:val="hybridMultilevel"/>
    <w:tmpl w:val="7CFAFB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B26C1B"/>
    <w:multiLevelType w:val="hybridMultilevel"/>
    <w:tmpl w:val="E70C76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055366"/>
    <w:multiLevelType w:val="hybridMultilevel"/>
    <w:tmpl w:val="1322510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4DD758B"/>
    <w:multiLevelType w:val="hybridMultilevel"/>
    <w:tmpl w:val="5B80A508"/>
    <w:lvl w:ilvl="0" w:tplc="C428D9FA">
      <w:start w:val="1"/>
      <w:numFmt w:val="lowerLetter"/>
      <w:pStyle w:val="Styl3"/>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59A3E9B"/>
    <w:multiLevelType w:val="hybridMultilevel"/>
    <w:tmpl w:val="73D898FA"/>
    <w:lvl w:ilvl="0" w:tplc="04050001">
      <w:start w:val="1"/>
      <w:numFmt w:val="bullet"/>
      <w:lvlText w:val=""/>
      <w:lvlJc w:val="left"/>
      <w:pPr>
        <w:ind w:left="1080" w:hanging="360"/>
      </w:pPr>
      <w:rPr>
        <w:rFonts w:ascii="Symbol" w:hAnsi="Symbol" w:hint="default"/>
      </w:rPr>
    </w:lvl>
    <w:lvl w:ilvl="1" w:tplc="53BEF678">
      <w:start w:val="1"/>
      <w:numFmt w:val="bullet"/>
      <w:lvlText w:val="-"/>
      <w:lvlJc w:val="left"/>
      <w:pPr>
        <w:ind w:left="1800" w:hanging="360"/>
      </w:pPr>
      <w:rPr>
        <w:rFonts w:ascii="Arial" w:eastAsiaTheme="minorHAnsi" w:hAnsi="Arial"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B0B7776"/>
    <w:multiLevelType w:val="hybridMultilevel"/>
    <w:tmpl w:val="D700DD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884C84"/>
    <w:multiLevelType w:val="hybridMultilevel"/>
    <w:tmpl w:val="5E9CF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017764"/>
    <w:multiLevelType w:val="hybridMultilevel"/>
    <w:tmpl w:val="321A6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0F96DCA"/>
    <w:multiLevelType w:val="hybridMultilevel"/>
    <w:tmpl w:val="44725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2E708B5"/>
    <w:multiLevelType w:val="hybridMultilevel"/>
    <w:tmpl w:val="702CD5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36732BA"/>
    <w:multiLevelType w:val="hybridMultilevel"/>
    <w:tmpl w:val="7B8C1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BD5A42"/>
    <w:multiLevelType w:val="hybridMultilevel"/>
    <w:tmpl w:val="2D3A8F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5B31EA"/>
    <w:multiLevelType w:val="hybridMultilevel"/>
    <w:tmpl w:val="B80417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3F0157D"/>
    <w:multiLevelType w:val="hybridMultilevel"/>
    <w:tmpl w:val="29701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9A7A96"/>
    <w:multiLevelType w:val="hybridMultilevel"/>
    <w:tmpl w:val="4FB2C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2E3381"/>
    <w:multiLevelType w:val="hybridMultilevel"/>
    <w:tmpl w:val="813A12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9B0454"/>
    <w:multiLevelType w:val="hybridMultilevel"/>
    <w:tmpl w:val="5E22A76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8C15874"/>
    <w:multiLevelType w:val="hybridMultilevel"/>
    <w:tmpl w:val="7BEC68D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4B5888"/>
    <w:multiLevelType w:val="hybridMultilevel"/>
    <w:tmpl w:val="2C08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5"/>
  </w:num>
  <w:num w:numId="4">
    <w:abstractNumId w:val="27"/>
  </w:num>
  <w:num w:numId="5">
    <w:abstractNumId w:val="7"/>
  </w:num>
  <w:num w:numId="6">
    <w:abstractNumId w:val="28"/>
  </w:num>
  <w:num w:numId="7">
    <w:abstractNumId w:val="19"/>
  </w:num>
  <w:num w:numId="8">
    <w:abstractNumId w:val="15"/>
  </w:num>
  <w:num w:numId="9">
    <w:abstractNumId w:val="1"/>
  </w:num>
  <w:num w:numId="10">
    <w:abstractNumId w:val="5"/>
  </w:num>
  <w:num w:numId="11">
    <w:abstractNumId w:val="37"/>
  </w:num>
  <w:num w:numId="12">
    <w:abstractNumId w:val="0"/>
  </w:num>
  <w:num w:numId="13">
    <w:abstractNumId w:val="24"/>
  </w:num>
  <w:num w:numId="14">
    <w:abstractNumId w:val="31"/>
  </w:num>
  <w:num w:numId="15">
    <w:abstractNumId w:val="23"/>
  </w:num>
  <w:num w:numId="16">
    <w:abstractNumId w:val="21"/>
  </w:num>
  <w:num w:numId="17">
    <w:abstractNumId w:val="25"/>
  </w:num>
  <w:num w:numId="18">
    <w:abstractNumId w:val="17"/>
  </w:num>
  <w:num w:numId="19">
    <w:abstractNumId w:val="38"/>
  </w:num>
  <w:num w:numId="20">
    <w:abstractNumId w:val="13"/>
  </w:num>
  <w:num w:numId="21">
    <w:abstractNumId w:val="2"/>
  </w:num>
  <w:num w:numId="22">
    <w:abstractNumId w:val="12"/>
  </w:num>
  <w:num w:numId="23">
    <w:abstractNumId w:val="29"/>
  </w:num>
  <w:num w:numId="24">
    <w:abstractNumId w:val="30"/>
  </w:num>
  <w:num w:numId="25">
    <w:abstractNumId w:val="18"/>
  </w:num>
  <w:num w:numId="26">
    <w:abstractNumId w:val="20"/>
  </w:num>
  <w:num w:numId="27">
    <w:abstractNumId w:val="3"/>
  </w:num>
  <w:num w:numId="28">
    <w:abstractNumId w:val="16"/>
  </w:num>
  <w:num w:numId="29">
    <w:abstractNumId w:val="36"/>
  </w:num>
  <w:num w:numId="30">
    <w:abstractNumId w:val="10"/>
  </w:num>
  <w:num w:numId="31">
    <w:abstractNumId w:val="32"/>
  </w:num>
  <w:num w:numId="32">
    <w:abstractNumId w:val="22"/>
  </w:num>
  <w:num w:numId="33">
    <w:abstractNumId w:val="26"/>
  </w:num>
  <w:num w:numId="34">
    <w:abstractNumId w:val="33"/>
  </w:num>
  <w:num w:numId="35">
    <w:abstractNumId w:val="24"/>
  </w:num>
  <w:num w:numId="36">
    <w:abstractNumId w:val="34"/>
  </w:num>
  <w:num w:numId="37">
    <w:abstractNumId w:val="14"/>
  </w:num>
  <w:num w:numId="38">
    <w:abstractNumId w:val="8"/>
  </w:num>
  <w:num w:numId="39">
    <w:abstractNumId w:val="9"/>
  </w:num>
  <w:num w:numId="40">
    <w:abstractNumId w:val="6"/>
  </w:num>
  <w:num w:numId="41">
    <w:abstractNumId w:val="3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4F"/>
    <w:rsid w:val="00001C36"/>
    <w:rsid w:val="00002B32"/>
    <w:rsid w:val="0001697A"/>
    <w:rsid w:val="0002694A"/>
    <w:rsid w:val="0003147A"/>
    <w:rsid w:val="00032C03"/>
    <w:rsid w:val="0003376B"/>
    <w:rsid w:val="00033FD6"/>
    <w:rsid w:val="00034661"/>
    <w:rsid w:val="0004324B"/>
    <w:rsid w:val="00044C46"/>
    <w:rsid w:val="00046E09"/>
    <w:rsid w:val="000554A4"/>
    <w:rsid w:val="0006072A"/>
    <w:rsid w:val="00063C4C"/>
    <w:rsid w:val="00064827"/>
    <w:rsid w:val="00064B4D"/>
    <w:rsid w:val="00065128"/>
    <w:rsid w:val="00077269"/>
    <w:rsid w:val="00077345"/>
    <w:rsid w:val="00077CB5"/>
    <w:rsid w:val="00077FF3"/>
    <w:rsid w:val="0008269C"/>
    <w:rsid w:val="00085EBC"/>
    <w:rsid w:val="00091293"/>
    <w:rsid w:val="00096191"/>
    <w:rsid w:val="00097602"/>
    <w:rsid w:val="00097F7F"/>
    <w:rsid w:val="000A00EB"/>
    <w:rsid w:val="000A09D5"/>
    <w:rsid w:val="000A284E"/>
    <w:rsid w:val="000A5891"/>
    <w:rsid w:val="000A5CC1"/>
    <w:rsid w:val="000B1857"/>
    <w:rsid w:val="000B432D"/>
    <w:rsid w:val="000B7E05"/>
    <w:rsid w:val="000C2A30"/>
    <w:rsid w:val="000C3006"/>
    <w:rsid w:val="000C4C94"/>
    <w:rsid w:val="000D02C3"/>
    <w:rsid w:val="000D5FED"/>
    <w:rsid w:val="000D6727"/>
    <w:rsid w:val="00100EE3"/>
    <w:rsid w:val="00100FB9"/>
    <w:rsid w:val="00103A6A"/>
    <w:rsid w:val="00105305"/>
    <w:rsid w:val="00106324"/>
    <w:rsid w:val="00107B6F"/>
    <w:rsid w:val="00110346"/>
    <w:rsid w:val="0011127E"/>
    <w:rsid w:val="00113CD2"/>
    <w:rsid w:val="00115584"/>
    <w:rsid w:val="00116D4E"/>
    <w:rsid w:val="00123D16"/>
    <w:rsid w:val="00135315"/>
    <w:rsid w:val="00135382"/>
    <w:rsid w:val="00141A6F"/>
    <w:rsid w:val="0014245D"/>
    <w:rsid w:val="00150329"/>
    <w:rsid w:val="001518D8"/>
    <w:rsid w:val="00154823"/>
    <w:rsid w:val="00162511"/>
    <w:rsid w:val="00163B74"/>
    <w:rsid w:val="00167280"/>
    <w:rsid w:val="0016766B"/>
    <w:rsid w:val="00171818"/>
    <w:rsid w:val="00173FA6"/>
    <w:rsid w:val="0017431B"/>
    <w:rsid w:val="00174F75"/>
    <w:rsid w:val="001754F5"/>
    <w:rsid w:val="001804E9"/>
    <w:rsid w:val="0018287B"/>
    <w:rsid w:val="00187DCA"/>
    <w:rsid w:val="001918C4"/>
    <w:rsid w:val="00194F5A"/>
    <w:rsid w:val="00196BBF"/>
    <w:rsid w:val="001A0479"/>
    <w:rsid w:val="001A1926"/>
    <w:rsid w:val="001A1C52"/>
    <w:rsid w:val="001A356C"/>
    <w:rsid w:val="001A3A58"/>
    <w:rsid w:val="001A7C9F"/>
    <w:rsid w:val="001B21D9"/>
    <w:rsid w:val="001B5A75"/>
    <w:rsid w:val="001C353A"/>
    <w:rsid w:val="001D20B0"/>
    <w:rsid w:val="001D2356"/>
    <w:rsid w:val="001D651B"/>
    <w:rsid w:val="001D7244"/>
    <w:rsid w:val="001E229D"/>
    <w:rsid w:val="001E6ED8"/>
    <w:rsid w:val="001F0AF5"/>
    <w:rsid w:val="001F11A6"/>
    <w:rsid w:val="001F1AA8"/>
    <w:rsid w:val="001F74C8"/>
    <w:rsid w:val="00204CBD"/>
    <w:rsid w:val="002125E8"/>
    <w:rsid w:val="00216DCB"/>
    <w:rsid w:val="002273D8"/>
    <w:rsid w:val="002365B6"/>
    <w:rsid w:val="00242201"/>
    <w:rsid w:val="0025083D"/>
    <w:rsid w:val="00253836"/>
    <w:rsid w:val="00261752"/>
    <w:rsid w:val="0026416A"/>
    <w:rsid w:val="002646C0"/>
    <w:rsid w:val="00271C6F"/>
    <w:rsid w:val="00271E1E"/>
    <w:rsid w:val="00272646"/>
    <w:rsid w:val="002728F9"/>
    <w:rsid w:val="00274CBD"/>
    <w:rsid w:val="00275035"/>
    <w:rsid w:val="00276105"/>
    <w:rsid w:val="00284EC6"/>
    <w:rsid w:val="002853A3"/>
    <w:rsid w:val="002942BC"/>
    <w:rsid w:val="002C19BA"/>
    <w:rsid w:val="002C2032"/>
    <w:rsid w:val="002D576D"/>
    <w:rsid w:val="002E1141"/>
    <w:rsid w:val="002E609E"/>
    <w:rsid w:val="00301370"/>
    <w:rsid w:val="00320C72"/>
    <w:rsid w:val="003210C4"/>
    <w:rsid w:val="0032169D"/>
    <w:rsid w:val="0032422C"/>
    <w:rsid w:val="00326D20"/>
    <w:rsid w:val="003278F4"/>
    <w:rsid w:val="003312AB"/>
    <w:rsid w:val="003341E4"/>
    <w:rsid w:val="003341EE"/>
    <w:rsid w:val="003475B4"/>
    <w:rsid w:val="00347B63"/>
    <w:rsid w:val="00347E10"/>
    <w:rsid w:val="00353BF8"/>
    <w:rsid w:val="00354D23"/>
    <w:rsid w:val="00356A80"/>
    <w:rsid w:val="0036372D"/>
    <w:rsid w:val="00366694"/>
    <w:rsid w:val="00372FE9"/>
    <w:rsid w:val="0037340C"/>
    <w:rsid w:val="00374C89"/>
    <w:rsid w:val="00382D31"/>
    <w:rsid w:val="00383883"/>
    <w:rsid w:val="00385D4F"/>
    <w:rsid w:val="00391771"/>
    <w:rsid w:val="003A2C3A"/>
    <w:rsid w:val="003A7FDA"/>
    <w:rsid w:val="003B23F0"/>
    <w:rsid w:val="003B2C66"/>
    <w:rsid w:val="003B49E3"/>
    <w:rsid w:val="003B5F88"/>
    <w:rsid w:val="003B684A"/>
    <w:rsid w:val="003C638F"/>
    <w:rsid w:val="003C77D6"/>
    <w:rsid w:val="003D2DD7"/>
    <w:rsid w:val="003D3151"/>
    <w:rsid w:val="003D4353"/>
    <w:rsid w:val="003E00CB"/>
    <w:rsid w:val="003F028C"/>
    <w:rsid w:val="003F74ED"/>
    <w:rsid w:val="004029E0"/>
    <w:rsid w:val="00403090"/>
    <w:rsid w:val="00406D06"/>
    <w:rsid w:val="00410104"/>
    <w:rsid w:val="0042305F"/>
    <w:rsid w:val="004274AD"/>
    <w:rsid w:val="00431B1E"/>
    <w:rsid w:val="0043317A"/>
    <w:rsid w:val="00434D64"/>
    <w:rsid w:val="00435331"/>
    <w:rsid w:val="00442994"/>
    <w:rsid w:val="00443DE5"/>
    <w:rsid w:val="00444F0E"/>
    <w:rsid w:val="00446E09"/>
    <w:rsid w:val="00453328"/>
    <w:rsid w:val="00455F42"/>
    <w:rsid w:val="00457CE1"/>
    <w:rsid w:val="00464963"/>
    <w:rsid w:val="0046550A"/>
    <w:rsid w:val="00470F57"/>
    <w:rsid w:val="00471BE0"/>
    <w:rsid w:val="00475FC8"/>
    <w:rsid w:val="00487D0F"/>
    <w:rsid w:val="00494463"/>
    <w:rsid w:val="004A037F"/>
    <w:rsid w:val="004A0789"/>
    <w:rsid w:val="004A5F5F"/>
    <w:rsid w:val="004A7109"/>
    <w:rsid w:val="004B21FF"/>
    <w:rsid w:val="004B24A4"/>
    <w:rsid w:val="004B2DC8"/>
    <w:rsid w:val="004C1927"/>
    <w:rsid w:val="004C6CC7"/>
    <w:rsid w:val="004C706F"/>
    <w:rsid w:val="004C78F1"/>
    <w:rsid w:val="004D132A"/>
    <w:rsid w:val="004D2332"/>
    <w:rsid w:val="004D689E"/>
    <w:rsid w:val="004E5BA6"/>
    <w:rsid w:val="004F0438"/>
    <w:rsid w:val="004F127A"/>
    <w:rsid w:val="00503958"/>
    <w:rsid w:val="005042CD"/>
    <w:rsid w:val="005053CD"/>
    <w:rsid w:val="00507D99"/>
    <w:rsid w:val="00510024"/>
    <w:rsid w:val="00511386"/>
    <w:rsid w:val="005130DD"/>
    <w:rsid w:val="005219A7"/>
    <w:rsid w:val="00525E93"/>
    <w:rsid w:val="00530CE1"/>
    <w:rsid w:val="005330B8"/>
    <w:rsid w:val="0053319D"/>
    <w:rsid w:val="005352F0"/>
    <w:rsid w:val="005358BE"/>
    <w:rsid w:val="00540939"/>
    <w:rsid w:val="00543259"/>
    <w:rsid w:val="00544510"/>
    <w:rsid w:val="00561C31"/>
    <w:rsid w:val="005802B5"/>
    <w:rsid w:val="005840E9"/>
    <w:rsid w:val="0058502B"/>
    <w:rsid w:val="00587CBB"/>
    <w:rsid w:val="00593035"/>
    <w:rsid w:val="00594FA2"/>
    <w:rsid w:val="005A147E"/>
    <w:rsid w:val="005A3830"/>
    <w:rsid w:val="005B034D"/>
    <w:rsid w:val="005B2A9B"/>
    <w:rsid w:val="005B5D8E"/>
    <w:rsid w:val="005C0119"/>
    <w:rsid w:val="005C1C8D"/>
    <w:rsid w:val="005C256B"/>
    <w:rsid w:val="005C2644"/>
    <w:rsid w:val="005C5160"/>
    <w:rsid w:val="005C5C79"/>
    <w:rsid w:val="005D129A"/>
    <w:rsid w:val="005D506E"/>
    <w:rsid w:val="005D5275"/>
    <w:rsid w:val="005D5AB9"/>
    <w:rsid w:val="005E140B"/>
    <w:rsid w:val="005E64F4"/>
    <w:rsid w:val="005E68BD"/>
    <w:rsid w:val="005F0FBE"/>
    <w:rsid w:val="005F49CC"/>
    <w:rsid w:val="00600B4C"/>
    <w:rsid w:val="0060572D"/>
    <w:rsid w:val="006072BC"/>
    <w:rsid w:val="00621CAD"/>
    <w:rsid w:val="006239D7"/>
    <w:rsid w:val="006249AD"/>
    <w:rsid w:val="00625039"/>
    <w:rsid w:val="006275E3"/>
    <w:rsid w:val="0063117F"/>
    <w:rsid w:val="0063268A"/>
    <w:rsid w:val="00642321"/>
    <w:rsid w:val="0064249C"/>
    <w:rsid w:val="00647EBA"/>
    <w:rsid w:val="0065134C"/>
    <w:rsid w:val="00651D51"/>
    <w:rsid w:val="006547C5"/>
    <w:rsid w:val="00657F1B"/>
    <w:rsid w:val="00661612"/>
    <w:rsid w:val="00666B70"/>
    <w:rsid w:val="00671056"/>
    <w:rsid w:val="00671B36"/>
    <w:rsid w:val="006741CB"/>
    <w:rsid w:val="0067556D"/>
    <w:rsid w:val="006759FE"/>
    <w:rsid w:val="00676F6D"/>
    <w:rsid w:val="00680828"/>
    <w:rsid w:val="00687C76"/>
    <w:rsid w:val="00687F66"/>
    <w:rsid w:val="00695B19"/>
    <w:rsid w:val="006B6A4F"/>
    <w:rsid w:val="006B7E7B"/>
    <w:rsid w:val="006C3B9F"/>
    <w:rsid w:val="006C5C6A"/>
    <w:rsid w:val="006C7BE9"/>
    <w:rsid w:val="006D278E"/>
    <w:rsid w:val="006D4FFA"/>
    <w:rsid w:val="006D72EA"/>
    <w:rsid w:val="006E052B"/>
    <w:rsid w:val="006E27B7"/>
    <w:rsid w:val="006E35CD"/>
    <w:rsid w:val="006E48C9"/>
    <w:rsid w:val="006E660B"/>
    <w:rsid w:val="006F185C"/>
    <w:rsid w:val="006F2B2D"/>
    <w:rsid w:val="006F6C47"/>
    <w:rsid w:val="006F784A"/>
    <w:rsid w:val="0070503B"/>
    <w:rsid w:val="007200DA"/>
    <w:rsid w:val="007314B0"/>
    <w:rsid w:val="0074176A"/>
    <w:rsid w:val="007424F5"/>
    <w:rsid w:val="00744BAE"/>
    <w:rsid w:val="00746764"/>
    <w:rsid w:val="00753A89"/>
    <w:rsid w:val="00754895"/>
    <w:rsid w:val="00756053"/>
    <w:rsid w:val="00763879"/>
    <w:rsid w:val="0076449A"/>
    <w:rsid w:val="00767830"/>
    <w:rsid w:val="00771309"/>
    <w:rsid w:val="0077197C"/>
    <w:rsid w:val="0077361F"/>
    <w:rsid w:val="00776AE8"/>
    <w:rsid w:val="007818D6"/>
    <w:rsid w:val="00790404"/>
    <w:rsid w:val="00791B46"/>
    <w:rsid w:val="0079274A"/>
    <w:rsid w:val="007A3158"/>
    <w:rsid w:val="007B14E9"/>
    <w:rsid w:val="007B30F6"/>
    <w:rsid w:val="007B4675"/>
    <w:rsid w:val="007B480F"/>
    <w:rsid w:val="007B7A55"/>
    <w:rsid w:val="007C4CF2"/>
    <w:rsid w:val="007C763A"/>
    <w:rsid w:val="007D091B"/>
    <w:rsid w:val="007D0A61"/>
    <w:rsid w:val="007D172C"/>
    <w:rsid w:val="007D4C33"/>
    <w:rsid w:val="007D616F"/>
    <w:rsid w:val="007E09F1"/>
    <w:rsid w:val="007E1521"/>
    <w:rsid w:val="007E5FC0"/>
    <w:rsid w:val="00810F51"/>
    <w:rsid w:val="008134CC"/>
    <w:rsid w:val="00813B22"/>
    <w:rsid w:val="0082078E"/>
    <w:rsid w:val="008224E5"/>
    <w:rsid w:val="00826D7A"/>
    <w:rsid w:val="00827D8D"/>
    <w:rsid w:val="00835E85"/>
    <w:rsid w:val="00837306"/>
    <w:rsid w:val="008377EC"/>
    <w:rsid w:val="008407E5"/>
    <w:rsid w:val="0085276D"/>
    <w:rsid w:val="0085322F"/>
    <w:rsid w:val="00854D24"/>
    <w:rsid w:val="00861099"/>
    <w:rsid w:val="00865C8B"/>
    <w:rsid w:val="008678AB"/>
    <w:rsid w:val="008712FE"/>
    <w:rsid w:val="00880305"/>
    <w:rsid w:val="00885FBC"/>
    <w:rsid w:val="00886255"/>
    <w:rsid w:val="0089550B"/>
    <w:rsid w:val="00896612"/>
    <w:rsid w:val="008A6CCA"/>
    <w:rsid w:val="008A7BD1"/>
    <w:rsid w:val="008B10B1"/>
    <w:rsid w:val="008B62C5"/>
    <w:rsid w:val="008B7211"/>
    <w:rsid w:val="008C2624"/>
    <w:rsid w:val="008C32E1"/>
    <w:rsid w:val="008C4654"/>
    <w:rsid w:val="008C4D08"/>
    <w:rsid w:val="008C53A2"/>
    <w:rsid w:val="008D306E"/>
    <w:rsid w:val="008E7E2C"/>
    <w:rsid w:val="008F0AC2"/>
    <w:rsid w:val="009031BB"/>
    <w:rsid w:val="0090455C"/>
    <w:rsid w:val="00905FA3"/>
    <w:rsid w:val="00911B95"/>
    <w:rsid w:val="00934F3F"/>
    <w:rsid w:val="00940D11"/>
    <w:rsid w:val="009433EF"/>
    <w:rsid w:val="00951E41"/>
    <w:rsid w:val="00952408"/>
    <w:rsid w:val="009572C1"/>
    <w:rsid w:val="00960041"/>
    <w:rsid w:val="0096367A"/>
    <w:rsid w:val="00964086"/>
    <w:rsid w:val="00973F78"/>
    <w:rsid w:val="00977180"/>
    <w:rsid w:val="00983B7F"/>
    <w:rsid w:val="00986F5D"/>
    <w:rsid w:val="009878D0"/>
    <w:rsid w:val="0099015D"/>
    <w:rsid w:val="009914F1"/>
    <w:rsid w:val="00991731"/>
    <w:rsid w:val="009945D6"/>
    <w:rsid w:val="009A00B9"/>
    <w:rsid w:val="009A30FC"/>
    <w:rsid w:val="009B7881"/>
    <w:rsid w:val="009C40F8"/>
    <w:rsid w:val="009C4443"/>
    <w:rsid w:val="009C51D7"/>
    <w:rsid w:val="009D08E2"/>
    <w:rsid w:val="009D32F5"/>
    <w:rsid w:val="009D4FC2"/>
    <w:rsid w:val="009D5184"/>
    <w:rsid w:val="009E05D0"/>
    <w:rsid w:val="009E238B"/>
    <w:rsid w:val="009E7A38"/>
    <w:rsid w:val="009F31D6"/>
    <w:rsid w:val="009F559F"/>
    <w:rsid w:val="00A00D85"/>
    <w:rsid w:val="00A01C28"/>
    <w:rsid w:val="00A02DAA"/>
    <w:rsid w:val="00A15B7C"/>
    <w:rsid w:val="00A15F2C"/>
    <w:rsid w:val="00A17A73"/>
    <w:rsid w:val="00A229A2"/>
    <w:rsid w:val="00A27AD9"/>
    <w:rsid w:val="00A27FBE"/>
    <w:rsid w:val="00A36FC3"/>
    <w:rsid w:val="00A53410"/>
    <w:rsid w:val="00A57156"/>
    <w:rsid w:val="00A573FA"/>
    <w:rsid w:val="00A61E3E"/>
    <w:rsid w:val="00A6261F"/>
    <w:rsid w:val="00A65CCF"/>
    <w:rsid w:val="00A76B9B"/>
    <w:rsid w:val="00A80905"/>
    <w:rsid w:val="00A81190"/>
    <w:rsid w:val="00A81897"/>
    <w:rsid w:val="00A8191D"/>
    <w:rsid w:val="00A90959"/>
    <w:rsid w:val="00A913BE"/>
    <w:rsid w:val="00A91901"/>
    <w:rsid w:val="00A961AF"/>
    <w:rsid w:val="00AA0784"/>
    <w:rsid w:val="00AA2350"/>
    <w:rsid w:val="00AB2716"/>
    <w:rsid w:val="00AB513B"/>
    <w:rsid w:val="00AC0A8D"/>
    <w:rsid w:val="00AC6339"/>
    <w:rsid w:val="00AD2587"/>
    <w:rsid w:val="00AD4CAA"/>
    <w:rsid w:val="00AE6F0F"/>
    <w:rsid w:val="00AF10D7"/>
    <w:rsid w:val="00B06258"/>
    <w:rsid w:val="00B07A19"/>
    <w:rsid w:val="00B115D5"/>
    <w:rsid w:val="00B1401A"/>
    <w:rsid w:val="00B16769"/>
    <w:rsid w:val="00B1766B"/>
    <w:rsid w:val="00B24B87"/>
    <w:rsid w:val="00B31DDB"/>
    <w:rsid w:val="00B32BF6"/>
    <w:rsid w:val="00B342BD"/>
    <w:rsid w:val="00B35DD2"/>
    <w:rsid w:val="00B4587E"/>
    <w:rsid w:val="00B53F6D"/>
    <w:rsid w:val="00B626F1"/>
    <w:rsid w:val="00B65625"/>
    <w:rsid w:val="00B77754"/>
    <w:rsid w:val="00B94C2B"/>
    <w:rsid w:val="00B94E56"/>
    <w:rsid w:val="00B951E6"/>
    <w:rsid w:val="00B96652"/>
    <w:rsid w:val="00BA00EC"/>
    <w:rsid w:val="00BA6524"/>
    <w:rsid w:val="00BA68F2"/>
    <w:rsid w:val="00BB00E0"/>
    <w:rsid w:val="00BB09DC"/>
    <w:rsid w:val="00BC3FCE"/>
    <w:rsid w:val="00BC407D"/>
    <w:rsid w:val="00BD0901"/>
    <w:rsid w:val="00BD5350"/>
    <w:rsid w:val="00BE0C61"/>
    <w:rsid w:val="00BE196E"/>
    <w:rsid w:val="00BF0FD8"/>
    <w:rsid w:val="00BF15CA"/>
    <w:rsid w:val="00BF77CA"/>
    <w:rsid w:val="00C01510"/>
    <w:rsid w:val="00C04158"/>
    <w:rsid w:val="00C062BC"/>
    <w:rsid w:val="00C06617"/>
    <w:rsid w:val="00C11FC6"/>
    <w:rsid w:val="00C13A3C"/>
    <w:rsid w:val="00C14169"/>
    <w:rsid w:val="00C14DD9"/>
    <w:rsid w:val="00C15C6C"/>
    <w:rsid w:val="00C17BCC"/>
    <w:rsid w:val="00C209AE"/>
    <w:rsid w:val="00C34A11"/>
    <w:rsid w:val="00C365DB"/>
    <w:rsid w:val="00C412D7"/>
    <w:rsid w:val="00C41652"/>
    <w:rsid w:val="00C4446A"/>
    <w:rsid w:val="00C444FD"/>
    <w:rsid w:val="00C46269"/>
    <w:rsid w:val="00C523BB"/>
    <w:rsid w:val="00C54831"/>
    <w:rsid w:val="00C5643F"/>
    <w:rsid w:val="00C56C71"/>
    <w:rsid w:val="00C578ED"/>
    <w:rsid w:val="00C60D49"/>
    <w:rsid w:val="00C622AA"/>
    <w:rsid w:val="00C656A8"/>
    <w:rsid w:val="00C6590C"/>
    <w:rsid w:val="00C7190E"/>
    <w:rsid w:val="00C73FFF"/>
    <w:rsid w:val="00C75D4F"/>
    <w:rsid w:val="00C766B1"/>
    <w:rsid w:val="00C92E01"/>
    <w:rsid w:val="00CA4640"/>
    <w:rsid w:val="00CA4FF8"/>
    <w:rsid w:val="00CA6914"/>
    <w:rsid w:val="00CA7469"/>
    <w:rsid w:val="00CB4B65"/>
    <w:rsid w:val="00CB5253"/>
    <w:rsid w:val="00CD21F3"/>
    <w:rsid w:val="00CD4630"/>
    <w:rsid w:val="00CD63A6"/>
    <w:rsid w:val="00CE0194"/>
    <w:rsid w:val="00CE2ABD"/>
    <w:rsid w:val="00CE522B"/>
    <w:rsid w:val="00CF28D7"/>
    <w:rsid w:val="00CF428F"/>
    <w:rsid w:val="00D00A9F"/>
    <w:rsid w:val="00D00D67"/>
    <w:rsid w:val="00D015E1"/>
    <w:rsid w:val="00D02D02"/>
    <w:rsid w:val="00D106F2"/>
    <w:rsid w:val="00D10A57"/>
    <w:rsid w:val="00D11342"/>
    <w:rsid w:val="00D14652"/>
    <w:rsid w:val="00D15073"/>
    <w:rsid w:val="00D272EC"/>
    <w:rsid w:val="00D3006F"/>
    <w:rsid w:val="00D3078A"/>
    <w:rsid w:val="00D308BE"/>
    <w:rsid w:val="00D336CD"/>
    <w:rsid w:val="00D417C9"/>
    <w:rsid w:val="00D41A7D"/>
    <w:rsid w:val="00D51693"/>
    <w:rsid w:val="00D516D5"/>
    <w:rsid w:val="00D517F4"/>
    <w:rsid w:val="00D56307"/>
    <w:rsid w:val="00D568E7"/>
    <w:rsid w:val="00D60578"/>
    <w:rsid w:val="00D60639"/>
    <w:rsid w:val="00D66B81"/>
    <w:rsid w:val="00D70EBD"/>
    <w:rsid w:val="00D71DAC"/>
    <w:rsid w:val="00D73902"/>
    <w:rsid w:val="00D772CB"/>
    <w:rsid w:val="00D94929"/>
    <w:rsid w:val="00D94DE4"/>
    <w:rsid w:val="00D95631"/>
    <w:rsid w:val="00DA1874"/>
    <w:rsid w:val="00DA1EAD"/>
    <w:rsid w:val="00DA51C0"/>
    <w:rsid w:val="00DA56D7"/>
    <w:rsid w:val="00DA6935"/>
    <w:rsid w:val="00DB6A3A"/>
    <w:rsid w:val="00DD1C74"/>
    <w:rsid w:val="00DD55C8"/>
    <w:rsid w:val="00DF0033"/>
    <w:rsid w:val="00DF4CAC"/>
    <w:rsid w:val="00DF5B6C"/>
    <w:rsid w:val="00DF6849"/>
    <w:rsid w:val="00DF6A33"/>
    <w:rsid w:val="00E010FE"/>
    <w:rsid w:val="00E05F3B"/>
    <w:rsid w:val="00E15157"/>
    <w:rsid w:val="00E17382"/>
    <w:rsid w:val="00E21036"/>
    <w:rsid w:val="00E27861"/>
    <w:rsid w:val="00E3138C"/>
    <w:rsid w:val="00E31983"/>
    <w:rsid w:val="00E32636"/>
    <w:rsid w:val="00E32C45"/>
    <w:rsid w:val="00E32CB6"/>
    <w:rsid w:val="00E32EE5"/>
    <w:rsid w:val="00E358A8"/>
    <w:rsid w:val="00E56A3D"/>
    <w:rsid w:val="00E635C5"/>
    <w:rsid w:val="00E7115E"/>
    <w:rsid w:val="00E75515"/>
    <w:rsid w:val="00E76A39"/>
    <w:rsid w:val="00E8295D"/>
    <w:rsid w:val="00E83262"/>
    <w:rsid w:val="00E84262"/>
    <w:rsid w:val="00E90118"/>
    <w:rsid w:val="00E92392"/>
    <w:rsid w:val="00E929C7"/>
    <w:rsid w:val="00E9716C"/>
    <w:rsid w:val="00EA170B"/>
    <w:rsid w:val="00EB503B"/>
    <w:rsid w:val="00EC56B9"/>
    <w:rsid w:val="00EC58C1"/>
    <w:rsid w:val="00EC7B86"/>
    <w:rsid w:val="00ED5FDA"/>
    <w:rsid w:val="00ED68C7"/>
    <w:rsid w:val="00ED6AB4"/>
    <w:rsid w:val="00ED78CF"/>
    <w:rsid w:val="00ED7E0F"/>
    <w:rsid w:val="00EF16A7"/>
    <w:rsid w:val="00F00D7D"/>
    <w:rsid w:val="00F02BB9"/>
    <w:rsid w:val="00F23BBB"/>
    <w:rsid w:val="00F30E4C"/>
    <w:rsid w:val="00F311CF"/>
    <w:rsid w:val="00F352AF"/>
    <w:rsid w:val="00F355C2"/>
    <w:rsid w:val="00F40552"/>
    <w:rsid w:val="00F566EE"/>
    <w:rsid w:val="00F57789"/>
    <w:rsid w:val="00F63790"/>
    <w:rsid w:val="00F64615"/>
    <w:rsid w:val="00F65D54"/>
    <w:rsid w:val="00F65E5A"/>
    <w:rsid w:val="00F73180"/>
    <w:rsid w:val="00F7549E"/>
    <w:rsid w:val="00F835B8"/>
    <w:rsid w:val="00F95F79"/>
    <w:rsid w:val="00F97475"/>
    <w:rsid w:val="00FA3507"/>
    <w:rsid w:val="00FB0EEE"/>
    <w:rsid w:val="00FB1313"/>
    <w:rsid w:val="00FB2184"/>
    <w:rsid w:val="00FB6522"/>
    <w:rsid w:val="00FD1DA9"/>
    <w:rsid w:val="00FD7574"/>
    <w:rsid w:val="00FE2CA6"/>
    <w:rsid w:val="00FE36BC"/>
    <w:rsid w:val="00FE3E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A35228"/>
  <w15:docId w15:val="{51EED834-96A8-4AF4-98D1-41B2CA1C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32C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966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C34A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2CB6"/>
    <w:rPr>
      <w:rFonts w:asciiTheme="majorHAnsi" w:eastAsiaTheme="majorEastAsia" w:hAnsiTheme="majorHAnsi" w:cstheme="majorBidi"/>
      <w:b/>
      <w:bCs/>
      <w:color w:val="365F91" w:themeColor="accent1" w:themeShade="BF"/>
      <w:sz w:val="28"/>
      <w:szCs w:val="28"/>
    </w:rPr>
  </w:style>
  <w:style w:type="paragraph" w:styleId="Odstavecseseznamem">
    <w:name w:val="List Paragraph"/>
    <w:aliases w:val="nad 1,Nad,Odstavec_muj,Odstavec se seznamem1,Název grafu,A-Odrážky1,List Paragraph,Odstavec cíl se seznamem,Odstavec se seznamem5,Odstavec_muj1,Odstavec_muj2,Odstavec_muj3,Nad1,List Paragraph1,Odstavec_muj4,Nad2,List Paragraph2,a"/>
    <w:basedOn w:val="Normln"/>
    <w:link w:val="OdstavecseseznamemChar"/>
    <w:uiPriority w:val="34"/>
    <w:qFormat/>
    <w:rsid w:val="00FB2184"/>
    <w:pPr>
      <w:spacing w:after="0" w:line="240" w:lineRule="auto"/>
      <w:ind w:left="720" w:firstLine="284"/>
      <w:contextualSpacing/>
      <w:jc w:val="both"/>
    </w:pPr>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9945D6"/>
    <w:pPr>
      <w:spacing w:after="120" w:line="240" w:lineRule="auto"/>
      <w:ind w:left="283" w:firstLine="284"/>
      <w:jc w:val="both"/>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9945D6"/>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C46269"/>
    <w:pPr>
      <w:spacing w:after="120"/>
    </w:pPr>
  </w:style>
  <w:style w:type="character" w:customStyle="1" w:styleId="ZkladntextChar">
    <w:name w:val="Základní text Char"/>
    <w:basedOn w:val="Standardnpsmoodstavce"/>
    <w:link w:val="Zkladntext"/>
    <w:uiPriority w:val="99"/>
    <w:rsid w:val="00C46269"/>
  </w:style>
  <w:style w:type="paragraph" w:styleId="Zkladntext2">
    <w:name w:val="Body Text 2"/>
    <w:basedOn w:val="Normln"/>
    <w:link w:val="Zkladntext2Char"/>
    <w:uiPriority w:val="99"/>
    <w:semiHidden/>
    <w:unhideWhenUsed/>
    <w:rsid w:val="00C46269"/>
    <w:pPr>
      <w:spacing w:after="120" w:line="480" w:lineRule="auto"/>
    </w:pPr>
  </w:style>
  <w:style w:type="character" w:customStyle="1" w:styleId="Zkladntext2Char">
    <w:name w:val="Základní text 2 Char"/>
    <w:basedOn w:val="Standardnpsmoodstavce"/>
    <w:link w:val="Zkladntext2"/>
    <w:uiPriority w:val="99"/>
    <w:semiHidden/>
    <w:rsid w:val="00C46269"/>
  </w:style>
  <w:style w:type="paragraph" w:styleId="Zkladntextodsazen3">
    <w:name w:val="Body Text Indent 3"/>
    <w:basedOn w:val="Normln"/>
    <w:link w:val="Zkladntextodsazen3Char"/>
    <w:uiPriority w:val="99"/>
    <w:semiHidden/>
    <w:unhideWhenUsed/>
    <w:rsid w:val="00C4626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46269"/>
    <w:rPr>
      <w:sz w:val="16"/>
      <w:szCs w:val="16"/>
    </w:rPr>
  </w:style>
  <w:style w:type="paragraph" w:customStyle="1" w:styleId="Import1">
    <w:name w:val="Import 1"/>
    <w:basedOn w:val="Normln"/>
    <w:rsid w:val="00C4626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firstLine="284"/>
      <w:jc w:val="both"/>
    </w:pPr>
    <w:rPr>
      <w:rFonts w:ascii="Courier New" w:eastAsia="Times New Roman" w:hAnsi="Courier New" w:cs="Times New Roman"/>
      <w:sz w:val="20"/>
      <w:szCs w:val="20"/>
      <w:lang w:eastAsia="cs-CZ"/>
    </w:rPr>
  </w:style>
  <w:style w:type="paragraph" w:styleId="Textkomente">
    <w:name w:val="annotation text"/>
    <w:basedOn w:val="Normln"/>
    <w:link w:val="TextkomenteChar"/>
    <w:semiHidden/>
    <w:rsid w:val="00C46269"/>
    <w:pPr>
      <w:ind w:firstLine="284"/>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semiHidden/>
    <w:rsid w:val="00C46269"/>
    <w:rPr>
      <w:rFonts w:ascii="Calibri" w:eastAsia="Calibri" w:hAnsi="Calibri" w:cs="Times New Roman"/>
      <w:sz w:val="20"/>
      <w:szCs w:val="20"/>
    </w:rPr>
  </w:style>
  <w:style w:type="paragraph" w:styleId="Zhlav">
    <w:name w:val="header"/>
    <w:basedOn w:val="Normln"/>
    <w:link w:val="ZhlavChar"/>
    <w:uiPriority w:val="99"/>
    <w:unhideWhenUsed/>
    <w:rsid w:val="003210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10C4"/>
  </w:style>
  <w:style w:type="paragraph" w:styleId="Zpat">
    <w:name w:val="footer"/>
    <w:basedOn w:val="Normln"/>
    <w:link w:val="ZpatChar"/>
    <w:uiPriority w:val="99"/>
    <w:unhideWhenUsed/>
    <w:rsid w:val="003210C4"/>
    <w:pPr>
      <w:tabs>
        <w:tab w:val="center" w:pos="4536"/>
        <w:tab w:val="right" w:pos="9072"/>
      </w:tabs>
      <w:spacing w:after="0" w:line="240" w:lineRule="auto"/>
    </w:pPr>
  </w:style>
  <w:style w:type="character" w:customStyle="1" w:styleId="ZpatChar">
    <w:name w:val="Zápatí Char"/>
    <w:basedOn w:val="Standardnpsmoodstavce"/>
    <w:link w:val="Zpat"/>
    <w:uiPriority w:val="99"/>
    <w:rsid w:val="003210C4"/>
  </w:style>
  <w:style w:type="paragraph" w:styleId="Nadpisobsahu">
    <w:name w:val="TOC Heading"/>
    <w:basedOn w:val="Nadpis1"/>
    <w:next w:val="Normln"/>
    <w:uiPriority w:val="39"/>
    <w:unhideWhenUsed/>
    <w:qFormat/>
    <w:rsid w:val="00446E09"/>
    <w:pPr>
      <w:outlineLvl w:val="9"/>
    </w:pPr>
    <w:rPr>
      <w:lang w:eastAsia="cs-CZ"/>
    </w:rPr>
  </w:style>
  <w:style w:type="paragraph" w:styleId="Obsah1">
    <w:name w:val="toc 1"/>
    <w:basedOn w:val="Normln"/>
    <w:next w:val="Normln"/>
    <w:autoRedefine/>
    <w:uiPriority w:val="39"/>
    <w:unhideWhenUsed/>
    <w:rsid w:val="002C2032"/>
    <w:pPr>
      <w:tabs>
        <w:tab w:val="right" w:leader="dot" w:pos="9062"/>
      </w:tabs>
      <w:spacing w:after="100"/>
    </w:pPr>
  </w:style>
  <w:style w:type="paragraph" w:styleId="Obsah2">
    <w:name w:val="toc 2"/>
    <w:basedOn w:val="Normln"/>
    <w:next w:val="Normln"/>
    <w:autoRedefine/>
    <w:uiPriority w:val="39"/>
    <w:unhideWhenUsed/>
    <w:rsid w:val="00446E09"/>
    <w:pPr>
      <w:spacing w:after="100"/>
      <w:ind w:left="220"/>
    </w:pPr>
  </w:style>
  <w:style w:type="character" w:styleId="Hypertextovodkaz">
    <w:name w:val="Hyperlink"/>
    <w:basedOn w:val="Standardnpsmoodstavce"/>
    <w:uiPriority w:val="99"/>
    <w:unhideWhenUsed/>
    <w:rsid w:val="00446E09"/>
    <w:rPr>
      <w:color w:val="0000FF" w:themeColor="hyperlink"/>
      <w:u w:val="single"/>
    </w:rPr>
  </w:style>
  <w:style w:type="paragraph" w:styleId="Textbubliny">
    <w:name w:val="Balloon Text"/>
    <w:basedOn w:val="Normln"/>
    <w:link w:val="TextbublinyChar"/>
    <w:uiPriority w:val="99"/>
    <w:semiHidden/>
    <w:unhideWhenUsed/>
    <w:rsid w:val="00446E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6E09"/>
    <w:rPr>
      <w:rFonts w:ascii="Tahoma" w:hAnsi="Tahoma" w:cs="Tahoma"/>
      <w:sz w:val="16"/>
      <w:szCs w:val="16"/>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A27AD9"/>
    <w:pPr>
      <w:spacing w:after="0" w:line="240" w:lineRule="auto"/>
    </w:pPr>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A27AD9"/>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A27AD9"/>
    <w:rPr>
      <w:vertAlign w:val="superscript"/>
    </w:rPr>
  </w:style>
  <w:style w:type="character" w:customStyle="1" w:styleId="Nadpis2Char">
    <w:name w:val="Nadpis 2 Char"/>
    <w:basedOn w:val="Standardnpsmoodstavce"/>
    <w:link w:val="Nadpis2"/>
    <w:uiPriority w:val="9"/>
    <w:rsid w:val="00896612"/>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5053CD"/>
    <w:rPr>
      <w:sz w:val="16"/>
      <w:szCs w:val="16"/>
    </w:rPr>
  </w:style>
  <w:style w:type="paragraph" w:styleId="Pedmtkomente">
    <w:name w:val="annotation subject"/>
    <w:basedOn w:val="Textkomente"/>
    <w:next w:val="Textkomente"/>
    <w:link w:val="PedmtkomenteChar"/>
    <w:uiPriority w:val="99"/>
    <w:semiHidden/>
    <w:unhideWhenUsed/>
    <w:rsid w:val="005053CD"/>
    <w:pPr>
      <w:spacing w:line="240" w:lineRule="auto"/>
      <w:ind w:firstLine="0"/>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5053CD"/>
    <w:rPr>
      <w:rFonts w:ascii="Calibri" w:eastAsia="Calibri" w:hAnsi="Calibri" w:cs="Times New Roman"/>
      <w:b/>
      <w:bCs/>
      <w:sz w:val="20"/>
      <w:szCs w:val="20"/>
    </w:rPr>
  </w:style>
  <w:style w:type="paragraph" w:styleId="Revize">
    <w:name w:val="Revision"/>
    <w:hidden/>
    <w:uiPriority w:val="99"/>
    <w:semiHidden/>
    <w:rsid w:val="005053CD"/>
    <w:pPr>
      <w:spacing w:after="0" w:line="240" w:lineRule="auto"/>
    </w:pPr>
  </w:style>
  <w:style w:type="paragraph" w:styleId="Normlnweb">
    <w:name w:val="Normal (Web)"/>
    <w:basedOn w:val="Normln"/>
    <w:semiHidden/>
    <w:unhideWhenUsed/>
    <w:rsid w:val="00410104"/>
    <w:rPr>
      <w:rFonts w:ascii="Times New Roman" w:hAnsi="Times New Roman" w:cs="Times New Roman"/>
      <w:sz w:val="24"/>
      <w:szCs w:val="24"/>
    </w:rPr>
  </w:style>
  <w:style w:type="table" w:styleId="Mkatabulky">
    <w:name w:val="Table Grid"/>
    <w:basedOn w:val="Normlntabulka"/>
    <w:uiPriority w:val="59"/>
    <w:rsid w:val="00731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1 Char,Nad Char,Odstavec_muj Char,Odstavec se seznamem1 Char,Název grafu Char,A-Odrážky1 Char,List Paragraph Char,Odstavec cíl se seznamem Char,Odstavec se seznamem5 Char,Odstavec_muj1 Char,Odstavec_muj2 Char,Nad1 Char"/>
    <w:basedOn w:val="Standardnpsmoodstavce"/>
    <w:link w:val="Odstavecseseznamem"/>
    <w:uiPriority w:val="34"/>
    <w:qFormat/>
    <w:locked/>
    <w:rsid w:val="007C4CF2"/>
    <w:rPr>
      <w:rFonts w:ascii="Times New Roman" w:eastAsia="Times New Roman" w:hAnsi="Times New Roman" w:cs="Times New Roman"/>
      <w:sz w:val="20"/>
      <w:szCs w:val="20"/>
      <w:lang w:eastAsia="cs-CZ"/>
    </w:rPr>
  </w:style>
  <w:style w:type="paragraph" w:customStyle="1" w:styleId="default">
    <w:name w:val="default"/>
    <w:basedOn w:val="Normln"/>
    <w:rsid w:val="007C4CF2"/>
    <w:pPr>
      <w:spacing w:after="0" w:line="240" w:lineRule="auto"/>
    </w:pPr>
    <w:rPr>
      <w:rFonts w:ascii="Times New Roman" w:hAnsi="Times New Roman" w:cs="Times New Roman"/>
      <w:color w:val="000000"/>
      <w:sz w:val="24"/>
      <w:szCs w:val="24"/>
      <w:lang w:eastAsia="cs-CZ"/>
    </w:rPr>
  </w:style>
  <w:style w:type="paragraph" w:customStyle="1" w:styleId="Default0">
    <w:name w:val="Default"/>
    <w:rsid w:val="007C4CF2"/>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Nadpis3Char">
    <w:name w:val="Nadpis 3 Char"/>
    <w:basedOn w:val="Standardnpsmoodstavce"/>
    <w:link w:val="Nadpis3"/>
    <w:uiPriority w:val="9"/>
    <w:semiHidden/>
    <w:rsid w:val="00C34A11"/>
    <w:rPr>
      <w:rFonts w:asciiTheme="majorHAnsi" w:eastAsiaTheme="majorEastAsia" w:hAnsiTheme="majorHAnsi" w:cstheme="majorBidi"/>
      <w:b/>
      <w:bCs/>
      <w:color w:val="4F81BD" w:themeColor="accent1"/>
    </w:rPr>
  </w:style>
  <w:style w:type="table" w:customStyle="1" w:styleId="Svtltabulkasmkou1zvraznn31">
    <w:name w:val="Světlá tabulka s mřížkou 1 – zvýraznění 31"/>
    <w:basedOn w:val="Normlntabulka"/>
    <w:uiPriority w:val="46"/>
    <w:rsid w:val="00C34A11"/>
    <w:pPr>
      <w:spacing w:after="0" w:line="240" w:lineRule="auto"/>
    </w:pPr>
    <w:rPr>
      <w:lang w:val="en-GB"/>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Text">
    <w:name w:val="Text"/>
    <w:basedOn w:val="Normln"/>
    <w:rsid w:val="00F23BBB"/>
    <w:pPr>
      <w:spacing w:after="0" w:line="240" w:lineRule="auto"/>
    </w:pPr>
    <w:rPr>
      <w:rFonts w:ascii="Arial" w:eastAsia="Times New Roman" w:hAnsi="Arial" w:cs="Arial"/>
      <w:sz w:val="24"/>
      <w:szCs w:val="24"/>
      <w:lang w:eastAsia="cs-CZ"/>
    </w:rPr>
  </w:style>
  <w:style w:type="paragraph" w:styleId="Bezmezer">
    <w:name w:val="No Spacing"/>
    <w:basedOn w:val="Normln"/>
    <w:uiPriority w:val="1"/>
    <w:qFormat/>
    <w:rsid w:val="0063117F"/>
    <w:pPr>
      <w:spacing w:after="0" w:line="240" w:lineRule="auto"/>
    </w:pPr>
    <w:rPr>
      <w:rFonts w:ascii="Calibri" w:hAnsi="Calibri" w:cs="Calibri"/>
    </w:rPr>
  </w:style>
  <w:style w:type="paragraph" w:styleId="Seznam">
    <w:name w:val="List"/>
    <w:basedOn w:val="Normln"/>
    <w:unhideWhenUsed/>
    <w:rsid w:val="0063117F"/>
    <w:pPr>
      <w:overflowPunct w:val="0"/>
      <w:autoSpaceDE w:val="0"/>
      <w:autoSpaceDN w:val="0"/>
      <w:adjustRightInd w:val="0"/>
      <w:spacing w:after="0" w:line="240" w:lineRule="auto"/>
      <w:ind w:left="283" w:hanging="283"/>
      <w:jc w:val="both"/>
    </w:pPr>
    <w:rPr>
      <w:rFonts w:ascii="Times New Roman" w:eastAsia="Times New Roman" w:hAnsi="Times New Roman" w:cs="Times New Roman"/>
      <w:sz w:val="20"/>
      <w:szCs w:val="20"/>
      <w:lang w:eastAsia="cs-CZ"/>
    </w:rPr>
  </w:style>
  <w:style w:type="character" w:styleId="Siln">
    <w:name w:val="Strong"/>
    <w:basedOn w:val="Standardnpsmoodstavce"/>
    <w:uiPriority w:val="22"/>
    <w:qFormat/>
    <w:rsid w:val="0063117F"/>
    <w:rPr>
      <w:b/>
      <w:bCs/>
    </w:rPr>
  </w:style>
  <w:style w:type="paragraph" w:styleId="Titulek">
    <w:name w:val="caption"/>
    <w:basedOn w:val="Normln"/>
    <w:next w:val="Normln"/>
    <w:uiPriority w:val="35"/>
    <w:unhideWhenUsed/>
    <w:qFormat/>
    <w:rsid w:val="00540939"/>
    <w:pPr>
      <w:spacing w:line="240" w:lineRule="auto"/>
    </w:pPr>
    <w:rPr>
      <w:b/>
      <w:bCs/>
      <w:color w:val="4F81BD" w:themeColor="accent1"/>
      <w:sz w:val="18"/>
      <w:szCs w:val="18"/>
    </w:rPr>
  </w:style>
  <w:style w:type="paragraph" w:customStyle="1" w:styleId="Basictext">
    <w:name w:val="Basic text"/>
    <w:basedOn w:val="Normln"/>
    <w:qFormat/>
    <w:rsid w:val="00D336CD"/>
    <w:pPr>
      <w:spacing w:line="240" w:lineRule="auto"/>
      <w:jc w:val="both"/>
    </w:pPr>
    <w:rPr>
      <w:rFonts w:ascii="Calibri" w:eastAsia="Calibri" w:hAnsi="Calibri" w:cs="Times New Roman"/>
      <w:lang w:val="en-GB"/>
    </w:rPr>
  </w:style>
  <w:style w:type="paragraph" w:customStyle="1" w:styleId="1">
    <w:name w:val="1"/>
    <w:basedOn w:val="Normln"/>
    <w:link w:val="1Char"/>
    <w:rsid w:val="000B1857"/>
    <w:pPr>
      <w:autoSpaceDE w:val="0"/>
      <w:autoSpaceDN w:val="0"/>
      <w:adjustRightInd w:val="0"/>
      <w:spacing w:after="0" w:line="240" w:lineRule="auto"/>
      <w:jc w:val="both"/>
    </w:pPr>
    <w:rPr>
      <w:rFonts w:ascii="Arial" w:hAnsi="Arial" w:cs="Arial"/>
      <w:color w:val="000000"/>
    </w:rPr>
  </w:style>
  <w:style w:type="paragraph" w:customStyle="1" w:styleId="Styl1">
    <w:name w:val="Styl1"/>
    <w:basedOn w:val="1"/>
    <w:link w:val="Styl1Char"/>
    <w:qFormat/>
    <w:rsid w:val="000B1857"/>
    <w:pPr>
      <w:spacing w:after="240"/>
    </w:pPr>
  </w:style>
  <w:style w:type="paragraph" w:customStyle="1" w:styleId="Styl2">
    <w:name w:val="Styl2"/>
    <w:basedOn w:val="Styl1"/>
    <w:link w:val="Styl2Char"/>
    <w:qFormat/>
    <w:rsid w:val="00680828"/>
    <w:pPr>
      <w:spacing w:after="0"/>
    </w:pPr>
    <w:rPr>
      <w:sz w:val="20"/>
      <w:szCs w:val="20"/>
    </w:rPr>
  </w:style>
  <w:style w:type="character" w:customStyle="1" w:styleId="1Char">
    <w:name w:val="1 Char"/>
    <w:basedOn w:val="Standardnpsmoodstavce"/>
    <w:link w:val="1"/>
    <w:rsid w:val="000B1857"/>
    <w:rPr>
      <w:rFonts w:ascii="Arial" w:hAnsi="Arial" w:cs="Arial"/>
      <w:color w:val="000000"/>
    </w:rPr>
  </w:style>
  <w:style w:type="character" w:customStyle="1" w:styleId="Styl1Char">
    <w:name w:val="Styl1 Char"/>
    <w:basedOn w:val="1Char"/>
    <w:link w:val="Styl1"/>
    <w:rsid w:val="000B1857"/>
    <w:rPr>
      <w:rFonts w:ascii="Arial" w:hAnsi="Arial" w:cs="Arial"/>
      <w:color w:val="000000"/>
    </w:rPr>
  </w:style>
  <w:style w:type="paragraph" w:customStyle="1" w:styleId="Styl3">
    <w:name w:val="Styl3"/>
    <w:basedOn w:val="Odstavecseseznamem"/>
    <w:link w:val="Styl3Char"/>
    <w:qFormat/>
    <w:rsid w:val="0089550B"/>
    <w:pPr>
      <w:numPr>
        <w:numId w:val="13"/>
      </w:numPr>
      <w:autoSpaceDE w:val="0"/>
      <w:autoSpaceDN w:val="0"/>
      <w:adjustRightInd w:val="0"/>
    </w:pPr>
    <w:rPr>
      <w:rFonts w:ascii="Arial" w:hAnsi="Arial" w:cs="Arial"/>
      <w:b/>
      <w:bCs/>
      <w:color w:val="000000"/>
      <w:sz w:val="23"/>
      <w:szCs w:val="23"/>
    </w:rPr>
  </w:style>
  <w:style w:type="character" w:customStyle="1" w:styleId="Styl2Char">
    <w:name w:val="Styl2 Char"/>
    <w:basedOn w:val="Styl1Char"/>
    <w:link w:val="Styl2"/>
    <w:rsid w:val="00680828"/>
    <w:rPr>
      <w:rFonts w:ascii="Arial" w:hAnsi="Arial" w:cs="Arial"/>
      <w:color w:val="000000"/>
      <w:sz w:val="20"/>
      <w:szCs w:val="20"/>
    </w:rPr>
  </w:style>
  <w:style w:type="paragraph" w:customStyle="1" w:styleId="Styl4">
    <w:name w:val="Styl4"/>
    <w:basedOn w:val="Textpoznpodarou"/>
    <w:link w:val="Styl4Char"/>
    <w:qFormat/>
    <w:rsid w:val="006759FE"/>
    <w:rPr>
      <w:rFonts w:ascii="Arial" w:hAnsi="Arial" w:cs="Arial"/>
      <w:sz w:val="18"/>
    </w:rPr>
  </w:style>
  <w:style w:type="character" w:customStyle="1" w:styleId="Styl3Char">
    <w:name w:val="Styl3 Char"/>
    <w:basedOn w:val="OdstavecseseznamemChar"/>
    <w:link w:val="Styl3"/>
    <w:rsid w:val="0089550B"/>
    <w:rPr>
      <w:rFonts w:ascii="Arial" w:eastAsia="Times New Roman" w:hAnsi="Arial" w:cs="Arial"/>
      <w:b/>
      <w:bCs/>
      <w:color w:val="000000"/>
      <w:sz w:val="23"/>
      <w:szCs w:val="23"/>
      <w:lang w:eastAsia="cs-CZ"/>
    </w:rPr>
  </w:style>
  <w:style w:type="paragraph" w:customStyle="1" w:styleId="xmsonormal">
    <w:name w:val="x_msonormal"/>
    <w:basedOn w:val="Normln"/>
    <w:rsid w:val="00D015E1"/>
    <w:pPr>
      <w:spacing w:after="0" w:line="240" w:lineRule="auto"/>
    </w:pPr>
    <w:rPr>
      <w:rFonts w:ascii="Calibri" w:eastAsia="Calibri" w:hAnsi="Calibri" w:cs="Calibri"/>
      <w:lang w:eastAsia="cs-CZ"/>
    </w:rPr>
  </w:style>
  <w:style w:type="character" w:customStyle="1" w:styleId="Styl4Char">
    <w:name w:val="Styl4 Char"/>
    <w:basedOn w:val="TextpoznpodarouChar"/>
    <w:link w:val="Styl4"/>
    <w:rsid w:val="006759FE"/>
    <w:rPr>
      <w:rFonts w:ascii="Arial" w:hAnsi="Arial" w:cs="Arial"/>
      <w:sz w:val="18"/>
      <w:szCs w:val="20"/>
    </w:rPr>
  </w:style>
  <w:style w:type="paragraph" w:customStyle="1" w:styleId="xmsolistparagraph">
    <w:name w:val="x_msolistparagraph"/>
    <w:basedOn w:val="Normln"/>
    <w:rsid w:val="00EA170B"/>
    <w:pPr>
      <w:spacing w:after="0" w:line="240" w:lineRule="auto"/>
      <w:ind w:left="720"/>
    </w:pPr>
    <w:rPr>
      <w:rFonts w:ascii="Calibri" w:hAnsi="Calibri" w:cs="Calibri"/>
      <w:lang w:eastAsia="cs-CZ"/>
    </w:rPr>
  </w:style>
  <w:style w:type="table" w:styleId="Svtlmkatabulky">
    <w:name w:val="Grid Table Light"/>
    <w:basedOn w:val="Normlntabulka"/>
    <w:uiPriority w:val="40"/>
    <w:rsid w:val="004274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86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cz" TargetMode="External"/><Relationship Id="rId13" Type="http://schemas.openxmlformats.org/officeDocument/2006/relationships/hyperlink" Target="file:///C:\Users\veronika.dankova\AppData\Local\Microsoft\Windows\INetCache\Content.Outlook\P1BB8ZK3\06_Schv&#225;len&#233;%20projekty\17062\17062.xls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veronika.dankova\AppData\Local\Microsoft\Windows\INetCache\Content.Outlook\P1BB8ZK3\06_Schv&#225;len&#233;%20projekty\17061\17061.xls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veronika.dankova\AppData\Local\Microsoft\Windows\INetCache\Content.Outlook\P1BB8ZK3\06_Schv&#225;len&#233;%20projekty\17065\17065.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eronika.dankova\AppData\Local\Microsoft\Windows\INetCache\Content.Outlook\P1BB8ZK3\06_Schv&#225;len&#233;%20projekty\17059\17059.xlsx" TargetMode="External"/><Relationship Id="rId5" Type="http://schemas.openxmlformats.org/officeDocument/2006/relationships/webSettings" Target="webSettings.xml"/><Relationship Id="rId15" Type="http://schemas.openxmlformats.org/officeDocument/2006/relationships/hyperlink" Target="file:///C:\Users\veronika.dankova\AppData\Local\Microsoft\Windows\INetCache\Content.Outlook\P1BB8ZK3\06_Schv&#225;len&#233;%20projekty\17064\17064.xlsx" TargetMode="External"/><Relationship Id="rId10" Type="http://schemas.openxmlformats.org/officeDocument/2006/relationships/hyperlink" Target="file:///C:\Users\veronika.dankova\AppData\Local\Microsoft\Windows\INetCache\Content.Outlook\P1BB8ZK3\06_Schv&#225;len&#233;%20projekty\17055\17055.xls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veronika.dankova\AppData\Local\Microsoft\Windows\INetCache\Content.Outlook\P1BB8ZK3\06_Schv&#225;len&#233;%20projekty\17051\17051.xlsx" TargetMode="External"/><Relationship Id="rId14" Type="http://schemas.openxmlformats.org/officeDocument/2006/relationships/hyperlink" Target="file:///C:\Users\veronika.dankova\AppData\Local\Microsoft\Windows\INetCache\Content.Outlook\P1BB8ZK3\06_Schv&#225;len&#233;%20projekty\17063\17063.xls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vcr.cz/clanek/informace-o-schvaleni-projektu-programu-prevence-kriminality-na-mistni-urovni-na-rok-2021.asp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46E51-CD06-4FC6-9C50-7FA279F8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28089</Words>
  <Characters>160111</Characters>
  <Application>Microsoft Office Word</Application>
  <DocSecurity>0</DocSecurity>
  <Lines>1334</Lines>
  <Paragraphs>375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187825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Doubravský</dc:creator>
  <cp:lastModifiedBy>Nguyen Dieu</cp:lastModifiedBy>
  <cp:revision>2</cp:revision>
  <cp:lastPrinted>2022-09-12T13:43:00Z</cp:lastPrinted>
  <dcterms:created xsi:type="dcterms:W3CDTF">2023-01-06T12:23:00Z</dcterms:created>
  <dcterms:modified xsi:type="dcterms:W3CDTF">2023-01-06T12:23:00Z</dcterms:modified>
</cp:coreProperties>
</file>