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1E7" w:rsidRPr="00995F3B" w:rsidRDefault="00995F3B" w:rsidP="00C271E7">
      <w:pPr>
        <w:spacing w:line="276" w:lineRule="auto"/>
        <w:jc w:val="center"/>
        <w:rPr>
          <w:rFonts w:asciiTheme="minorHAnsi" w:eastAsiaTheme="minorHAnsi" w:hAnsiTheme="minorHAnsi" w:cstheme="minorBidi"/>
          <w:b/>
          <w:sz w:val="32"/>
          <w:szCs w:val="32"/>
          <w:lang w:eastAsia="en-US"/>
        </w:rPr>
      </w:pPr>
      <w:bookmarkStart w:id="0" w:name="_GoBack"/>
      <w:bookmarkEnd w:id="0"/>
      <w:r w:rsidRPr="00995F3B">
        <w:rPr>
          <w:rFonts w:asciiTheme="minorHAnsi" w:eastAsiaTheme="minorHAnsi" w:hAnsiTheme="minorHAnsi" w:cstheme="minorBidi"/>
          <w:b/>
          <w:sz w:val="32"/>
          <w:szCs w:val="32"/>
          <w:lang w:eastAsia="en-US"/>
        </w:rPr>
        <w:t>Shrnutí stanoviska k návrhu státního rozpočtu pro jednání 20.9.2013</w:t>
      </w:r>
    </w:p>
    <w:p w:rsidR="00995F3B" w:rsidRDefault="00995F3B" w:rsidP="00C271E7">
      <w:pPr>
        <w:spacing w:line="276" w:lineRule="auto"/>
        <w:jc w:val="center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</w:p>
    <w:p w:rsidR="00995F3B" w:rsidRPr="00C271E7" w:rsidRDefault="00995F3B" w:rsidP="00C271E7">
      <w:pPr>
        <w:spacing w:line="276" w:lineRule="auto"/>
        <w:jc w:val="center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</w:p>
    <w:p w:rsidR="00C271E7" w:rsidRPr="00C271E7" w:rsidRDefault="00C271E7" w:rsidP="00C271E7">
      <w:pPr>
        <w:spacing w:after="60" w:line="276" w:lineRule="auto"/>
        <w:rPr>
          <w:rFonts w:asciiTheme="minorHAnsi" w:eastAsiaTheme="minorHAnsi" w:hAnsiTheme="minorHAnsi" w:cstheme="minorBidi"/>
          <w:b/>
          <w:sz w:val="26"/>
          <w:szCs w:val="26"/>
          <w:lang w:eastAsia="en-US"/>
        </w:rPr>
      </w:pPr>
      <w:r w:rsidRPr="00C271E7">
        <w:rPr>
          <w:rFonts w:asciiTheme="minorHAnsi" w:eastAsiaTheme="minorHAnsi" w:hAnsiTheme="minorHAnsi" w:cstheme="minorBidi"/>
          <w:b/>
          <w:sz w:val="26"/>
          <w:szCs w:val="26"/>
          <w:lang w:eastAsia="en-US"/>
        </w:rPr>
        <w:t>Charakteristiky návrhu, koncepční připomínky, situace a způsob projednávání</w:t>
      </w:r>
    </w:p>
    <w:p w:rsidR="00C271E7" w:rsidRDefault="00C271E7" w:rsidP="00C271E7">
      <w:pPr>
        <w:numPr>
          <w:ilvl w:val="0"/>
          <w:numId w:val="57"/>
        </w:numPr>
        <w:spacing w:after="200" w:line="276" w:lineRule="auto"/>
        <w:ind w:left="470" w:hanging="357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271E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Rozhodující část rozpočtu je dána, vláda může provádět úpravy pouze v několika oblastech, v podstatě v objemech v řádu jednotek procent celkových výdajů. </w:t>
      </w:r>
    </w:p>
    <w:p w:rsidR="00D959CA" w:rsidRPr="00C271E7" w:rsidRDefault="00D959CA" w:rsidP="00C271E7">
      <w:pPr>
        <w:numPr>
          <w:ilvl w:val="0"/>
          <w:numId w:val="57"/>
        </w:numPr>
        <w:spacing w:after="200" w:line="276" w:lineRule="auto"/>
        <w:ind w:left="470" w:hanging="357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Předložený návrh řadu posledních úprav po jednání vlády neobsahuje, pouze některé z nich bylo možné ve stanovisku zohlednit. Z tohoto hlediska vyjadřujeme nespokojenost.</w:t>
      </w:r>
    </w:p>
    <w:p w:rsidR="00C271E7" w:rsidRPr="00C271E7" w:rsidRDefault="00C271E7" w:rsidP="00C271E7">
      <w:pPr>
        <w:numPr>
          <w:ilvl w:val="0"/>
          <w:numId w:val="57"/>
        </w:numPr>
        <w:spacing w:after="200" w:line="276" w:lineRule="auto"/>
        <w:ind w:left="470" w:hanging="357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271E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Otázkou také zůstává mandát současné vlády - jak nová vláda a poslanecká sněmovna se k těmto dílčím změnám postaví a do jaké míry bude tento návrh akceptovat. </w:t>
      </w:r>
    </w:p>
    <w:p w:rsidR="00C271E7" w:rsidRPr="00C271E7" w:rsidRDefault="00C271E7" w:rsidP="00C271E7">
      <w:pPr>
        <w:numPr>
          <w:ilvl w:val="0"/>
          <w:numId w:val="57"/>
        </w:numPr>
        <w:spacing w:after="200" w:line="276" w:lineRule="auto"/>
        <w:ind w:left="470" w:hanging="357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271E7">
        <w:rPr>
          <w:rFonts w:asciiTheme="minorHAnsi" w:eastAsiaTheme="minorHAnsi" w:hAnsiTheme="minorHAnsi" w:cstheme="minorBidi"/>
          <w:sz w:val="22"/>
          <w:szCs w:val="22"/>
          <w:lang w:eastAsia="en-US"/>
        </w:rPr>
        <w:t>Chápeme omezení současné vlády, ale nelze zároveň akceptovat zakládání negativních důsledků návrhu rozpočtu.</w:t>
      </w:r>
    </w:p>
    <w:p w:rsidR="00C271E7" w:rsidRPr="00C271E7" w:rsidRDefault="00C271E7" w:rsidP="00C271E7">
      <w:pPr>
        <w:numPr>
          <w:ilvl w:val="0"/>
          <w:numId w:val="57"/>
        </w:numPr>
        <w:spacing w:after="200" w:line="276" w:lineRule="auto"/>
        <w:ind w:left="470" w:hanging="357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271E7">
        <w:rPr>
          <w:rFonts w:asciiTheme="minorHAnsi" w:eastAsiaTheme="minorHAnsi" w:hAnsiTheme="minorHAnsi" w:cstheme="minorBidi"/>
          <w:sz w:val="22"/>
          <w:szCs w:val="22"/>
          <w:lang w:eastAsia="en-US"/>
        </w:rPr>
        <w:t>S vládou uvedenými prioritami souhlasíme, ale kriticky hodnotíme, že návrh nevychází ze šířeji chápané koncepce hospodářské politiky.</w:t>
      </w:r>
    </w:p>
    <w:p w:rsidR="00C271E7" w:rsidRPr="00C271E7" w:rsidRDefault="00C271E7" w:rsidP="00C271E7">
      <w:pPr>
        <w:numPr>
          <w:ilvl w:val="0"/>
          <w:numId w:val="57"/>
        </w:numPr>
        <w:spacing w:after="200" w:line="276" w:lineRule="auto"/>
        <w:ind w:left="470" w:hanging="357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271E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Chybí konkrétní vymezení priorit a minimálně popis jejich odrazu ve státním rozpočtu. </w:t>
      </w:r>
    </w:p>
    <w:p w:rsidR="00C271E7" w:rsidRPr="00C271E7" w:rsidRDefault="00C271E7" w:rsidP="00C271E7">
      <w:pPr>
        <w:numPr>
          <w:ilvl w:val="0"/>
          <w:numId w:val="57"/>
        </w:numPr>
        <w:spacing w:after="200" w:line="276" w:lineRule="auto"/>
        <w:ind w:left="470" w:hanging="357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271E7">
        <w:rPr>
          <w:rFonts w:asciiTheme="minorHAnsi" w:eastAsiaTheme="minorHAnsi" w:hAnsiTheme="minorHAnsi" w:cstheme="minorBidi"/>
          <w:sz w:val="22"/>
          <w:szCs w:val="22"/>
          <w:lang w:eastAsia="en-US"/>
        </w:rPr>
        <w:t>Postrádáme kvantifikaci akcentace investic do vzdělání, vědy, výzkumu a dopravní infrastruktury, kdy například Technologická agentura ČR nedostává potřebné, námi požadované, prostředky.</w:t>
      </w:r>
    </w:p>
    <w:p w:rsidR="00C271E7" w:rsidRPr="00C271E7" w:rsidRDefault="00C271E7" w:rsidP="00C271E7">
      <w:pPr>
        <w:numPr>
          <w:ilvl w:val="0"/>
          <w:numId w:val="57"/>
        </w:numPr>
        <w:spacing w:after="200" w:line="276" w:lineRule="auto"/>
        <w:ind w:left="470" w:hanging="357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271E7">
        <w:rPr>
          <w:rFonts w:asciiTheme="minorHAnsi" w:eastAsiaTheme="minorHAnsi" w:hAnsiTheme="minorHAnsi" w:cstheme="minorBidi"/>
          <w:sz w:val="22"/>
          <w:szCs w:val="22"/>
          <w:lang w:eastAsia="en-US"/>
        </w:rPr>
        <w:t>Dále není jasné, kde v rozpočtu, jakým způsobem a v jaké výši se odrazí plány na záchranu MS kraje.</w:t>
      </w:r>
    </w:p>
    <w:p w:rsidR="00C271E7" w:rsidRPr="00C271E7" w:rsidRDefault="00C271E7" w:rsidP="00C271E7">
      <w:pPr>
        <w:numPr>
          <w:ilvl w:val="0"/>
          <w:numId w:val="57"/>
        </w:numPr>
        <w:spacing w:after="200" w:line="276" w:lineRule="auto"/>
        <w:ind w:left="470" w:hanging="357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271E7">
        <w:rPr>
          <w:rFonts w:asciiTheme="minorHAnsi" w:eastAsiaTheme="minorHAnsi" w:hAnsiTheme="minorHAnsi" w:cstheme="minorBidi"/>
          <w:sz w:val="22"/>
          <w:szCs w:val="22"/>
          <w:lang w:eastAsia="en-US"/>
        </w:rPr>
        <w:t>Vypovídací schopnost dokumentu je oslabena častými změnami návrhu.</w:t>
      </w:r>
    </w:p>
    <w:p w:rsidR="00C271E7" w:rsidRPr="00C271E7" w:rsidRDefault="00C271E7" w:rsidP="00C271E7">
      <w:pPr>
        <w:numPr>
          <w:ilvl w:val="0"/>
          <w:numId w:val="57"/>
        </w:numPr>
        <w:spacing w:after="200" w:line="276" w:lineRule="auto"/>
        <w:ind w:left="470" w:hanging="357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271E7">
        <w:rPr>
          <w:rFonts w:asciiTheme="minorHAnsi" w:eastAsiaTheme="minorHAnsi" w:hAnsiTheme="minorHAnsi" w:cstheme="minorBidi"/>
          <w:sz w:val="22"/>
          <w:szCs w:val="22"/>
          <w:lang w:eastAsia="en-US"/>
        </w:rPr>
        <w:t>Vláda i přes náš požadavek předložila pro jednání tripartity návrh rozpočtu s dokumenty zhruba ve stejné struktuře jako vloni. Tedy bez přehledného shrnutí a vyčíslení všech základních změn, zejména pak těch v souvislosti s kroky hospodářské politiky vlády.</w:t>
      </w:r>
    </w:p>
    <w:p w:rsidR="00C271E7" w:rsidRPr="00C271E7" w:rsidRDefault="00C271E7" w:rsidP="00C271E7">
      <w:pPr>
        <w:spacing w:after="60" w:line="276" w:lineRule="auto"/>
        <w:rPr>
          <w:rFonts w:asciiTheme="minorHAnsi" w:eastAsiaTheme="minorHAnsi" w:hAnsiTheme="minorHAnsi" w:cstheme="minorBidi"/>
          <w:b/>
          <w:sz w:val="26"/>
          <w:szCs w:val="26"/>
          <w:lang w:eastAsia="en-US"/>
        </w:rPr>
      </w:pPr>
      <w:r w:rsidRPr="00C271E7">
        <w:rPr>
          <w:rFonts w:asciiTheme="minorHAnsi" w:eastAsiaTheme="minorHAnsi" w:hAnsiTheme="minorHAnsi" w:cstheme="minorBidi"/>
          <w:b/>
          <w:sz w:val="26"/>
          <w:szCs w:val="26"/>
          <w:lang w:eastAsia="en-US"/>
        </w:rPr>
        <w:t>Makroekonomická predikce</w:t>
      </w:r>
    </w:p>
    <w:p w:rsidR="00C271E7" w:rsidRPr="00C271E7" w:rsidRDefault="00C271E7" w:rsidP="00C271E7">
      <w:pPr>
        <w:numPr>
          <w:ilvl w:val="0"/>
          <w:numId w:val="57"/>
        </w:numPr>
        <w:spacing w:after="200" w:line="276" w:lineRule="auto"/>
        <w:ind w:left="470" w:hanging="357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271E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Makroekonomická predikce předloženého návrhu má do jisté míry určitou „rezervu“ v základním scénáři, když s odhadem tempa růstu reálného HDP 0,8 % patří mezi konzervativnější odhady. Přestože i náš odhad pro příští rok je mírně vyšší (1,2 %), tak vzhledem ke zkušenostem v posledních letech doporučujeme, aby úměrná část rozpočtu (dle našich odhadů cca 4-5 mld. Kč) byla navázána na výsledky, kde v případě naplňování prognózy v první polovině roku </w:t>
      </w:r>
    </w:p>
    <w:p w:rsidR="00C271E7" w:rsidRPr="00C271E7" w:rsidRDefault="00C271E7" w:rsidP="00C271E7">
      <w:pPr>
        <w:numPr>
          <w:ilvl w:val="0"/>
          <w:numId w:val="57"/>
        </w:numPr>
        <w:spacing w:after="200" w:line="276" w:lineRule="auto"/>
        <w:ind w:left="470" w:hanging="357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271E7">
        <w:rPr>
          <w:rFonts w:asciiTheme="minorHAnsi" w:eastAsiaTheme="minorHAnsi" w:hAnsiTheme="minorHAnsi" w:cstheme="minorBidi"/>
          <w:sz w:val="22"/>
          <w:szCs w:val="22"/>
          <w:lang w:eastAsia="en-US"/>
        </w:rPr>
        <w:t>Vítáme navýšení výše výdajů a deficitu při respektování splnění kritéria 3% deficitu vládního sektoru.</w:t>
      </w:r>
    </w:p>
    <w:p w:rsidR="00C271E7" w:rsidRPr="00C271E7" w:rsidRDefault="00C271E7" w:rsidP="00C271E7">
      <w:pPr>
        <w:numPr>
          <w:ilvl w:val="0"/>
          <w:numId w:val="57"/>
        </w:numPr>
        <w:spacing w:after="200" w:line="276" w:lineRule="auto"/>
        <w:ind w:left="470" w:hanging="357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271E7">
        <w:rPr>
          <w:rFonts w:asciiTheme="minorHAnsi" w:eastAsiaTheme="minorHAnsi" w:hAnsiTheme="minorHAnsi" w:cstheme="minorBidi"/>
          <w:sz w:val="22"/>
          <w:szCs w:val="22"/>
          <w:lang w:eastAsia="en-US"/>
        </w:rPr>
        <w:t>Je nutné upozornit, že současné výhledy jsou postaveny na velmi křehkých základech a předpokladech pokračování trendu snižování záporných hodnot výsledků a postupného dosažení mírně pozitivních meziročních temp růstu produkce a zakázek v ekonomice na počátku příštího roku. Řada problémů a rizik stále vyřešena nebyla a tudíž přetrvávají rizika směrem dolů.</w:t>
      </w:r>
    </w:p>
    <w:p w:rsidR="00C271E7" w:rsidRPr="00C271E7" w:rsidRDefault="00C271E7" w:rsidP="00C271E7">
      <w:pPr>
        <w:numPr>
          <w:ilvl w:val="0"/>
          <w:numId w:val="57"/>
        </w:numPr>
        <w:spacing w:after="200" w:line="276" w:lineRule="auto"/>
        <w:ind w:left="470" w:hanging="357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271E7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 xml:space="preserve">Reálná situace letos prozatím nepovede k oživení investiční aktivity či nárůstu zaměstnanosti. Mírně pozitivní trend tu ale bezpochyby je a naše očekávání o stabilizaci a následném pomalém oživení na přelomu roku zatím neměníme. </w:t>
      </w:r>
    </w:p>
    <w:p w:rsidR="00C271E7" w:rsidRPr="00C271E7" w:rsidRDefault="00C271E7" w:rsidP="00C271E7">
      <w:pPr>
        <w:spacing w:after="60" w:line="276" w:lineRule="auto"/>
        <w:rPr>
          <w:rFonts w:asciiTheme="minorHAnsi" w:eastAsiaTheme="minorHAnsi" w:hAnsiTheme="minorHAnsi" w:cstheme="minorBidi"/>
          <w:b/>
          <w:sz w:val="26"/>
          <w:szCs w:val="26"/>
          <w:lang w:eastAsia="en-US"/>
        </w:rPr>
      </w:pPr>
      <w:r w:rsidRPr="00C271E7">
        <w:rPr>
          <w:rFonts w:asciiTheme="minorHAnsi" w:eastAsiaTheme="minorHAnsi" w:hAnsiTheme="minorHAnsi" w:cstheme="minorBidi"/>
          <w:b/>
          <w:sz w:val="26"/>
          <w:szCs w:val="26"/>
          <w:lang w:eastAsia="en-US"/>
        </w:rPr>
        <w:t>Fiskální konsolidace a kritérium vládního deficitu (3 % nominálního HDP v daném roce)</w:t>
      </w:r>
    </w:p>
    <w:p w:rsidR="00C271E7" w:rsidRPr="00C271E7" w:rsidRDefault="00C271E7" w:rsidP="00C271E7">
      <w:pPr>
        <w:numPr>
          <w:ilvl w:val="0"/>
          <w:numId w:val="57"/>
        </w:numPr>
        <w:spacing w:after="200" w:line="276" w:lineRule="auto"/>
        <w:ind w:left="470" w:hanging="357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271E7">
        <w:rPr>
          <w:rFonts w:asciiTheme="minorHAnsi" w:eastAsiaTheme="minorHAnsi" w:hAnsiTheme="minorHAnsi" w:cstheme="minorBidi"/>
          <w:sz w:val="22"/>
          <w:szCs w:val="22"/>
          <w:lang w:eastAsia="en-US"/>
        </w:rPr>
        <w:t>Vítáme odložení cíle dosažení vyrovnaného schodku v roce 2016.</w:t>
      </w:r>
    </w:p>
    <w:p w:rsidR="00C271E7" w:rsidRPr="00C271E7" w:rsidRDefault="00C271E7" w:rsidP="00C271E7">
      <w:pPr>
        <w:numPr>
          <w:ilvl w:val="0"/>
          <w:numId w:val="57"/>
        </w:numPr>
        <w:spacing w:after="200" w:line="276" w:lineRule="auto"/>
        <w:ind w:left="470" w:hanging="357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271E7">
        <w:rPr>
          <w:rFonts w:asciiTheme="minorHAnsi" w:eastAsiaTheme="minorHAnsi" w:hAnsiTheme="minorHAnsi" w:cstheme="minorBidi"/>
          <w:sz w:val="22"/>
          <w:szCs w:val="22"/>
          <w:lang w:eastAsia="en-US"/>
        </w:rPr>
        <w:t>Podporujeme cíl mírnější fiskální konsolidace a ozdravení veřejných rozpočtů.</w:t>
      </w:r>
    </w:p>
    <w:p w:rsidR="00C271E7" w:rsidRPr="00C271E7" w:rsidRDefault="00C271E7" w:rsidP="00C271E7">
      <w:pPr>
        <w:numPr>
          <w:ilvl w:val="0"/>
          <w:numId w:val="57"/>
        </w:numPr>
        <w:spacing w:after="200" w:line="276" w:lineRule="auto"/>
        <w:ind w:left="470" w:hanging="357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271E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Připomínáme, že působení fiskální politiky není jen o sumách výdajových škrtů, ale i o struktuře, transparentnosti, důvěryhodnosti a udržitelnosti výdajů. </w:t>
      </w:r>
    </w:p>
    <w:p w:rsidR="00C271E7" w:rsidRPr="00C271E7" w:rsidRDefault="00C271E7" w:rsidP="00C271E7">
      <w:pPr>
        <w:spacing w:after="60" w:line="276" w:lineRule="auto"/>
        <w:rPr>
          <w:rFonts w:asciiTheme="minorHAnsi" w:eastAsiaTheme="minorHAnsi" w:hAnsiTheme="minorHAnsi" w:cstheme="minorBidi"/>
          <w:b/>
          <w:sz w:val="26"/>
          <w:szCs w:val="26"/>
          <w:lang w:eastAsia="en-US"/>
        </w:rPr>
      </w:pPr>
      <w:r w:rsidRPr="00C271E7">
        <w:rPr>
          <w:rFonts w:asciiTheme="minorHAnsi" w:eastAsiaTheme="minorHAnsi" w:hAnsiTheme="minorHAnsi" w:cstheme="minorBidi"/>
          <w:b/>
          <w:sz w:val="26"/>
          <w:szCs w:val="26"/>
          <w:lang w:eastAsia="en-US"/>
        </w:rPr>
        <w:t>Příjmy SR</w:t>
      </w:r>
    </w:p>
    <w:p w:rsidR="00C271E7" w:rsidRPr="00C271E7" w:rsidRDefault="00C271E7" w:rsidP="00C271E7">
      <w:pPr>
        <w:numPr>
          <w:ilvl w:val="0"/>
          <w:numId w:val="57"/>
        </w:numPr>
        <w:spacing w:after="200" w:line="276" w:lineRule="auto"/>
        <w:ind w:left="470" w:hanging="357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271E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I přes relativně „nepřestřelenou“ makroekonomickou prognózu jsou podle nás odhady některých příjmů již méně opatrné. Například v oblasti spotřebních daní či v oblasti DPPO. </w:t>
      </w:r>
    </w:p>
    <w:p w:rsidR="00C271E7" w:rsidRPr="00C271E7" w:rsidRDefault="00C271E7" w:rsidP="00C271E7">
      <w:pPr>
        <w:numPr>
          <w:ilvl w:val="0"/>
          <w:numId w:val="57"/>
        </w:numPr>
        <w:spacing w:after="200" w:line="276" w:lineRule="auto"/>
        <w:ind w:left="470" w:hanging="357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271E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Vedle zmíněných rizik požadujeme podstatně účinnější politiku na zamezení daňových úniků. </w:t>
      </w:r>
    </w:p>
    <w:p w:rsidR="00C271E7" w:rsidRPr="00C271E7" w:rsidRDefault="00C271E7" w:rsidP="00C271E7">
      <w:pPr>
        <w:spacing w:after="60" w:line="276" w:lineRule="auto"/>
        <w:rPr>
          <w:rFonts w:asciiTheme="minorHAnsi" w:eastAsiaTheme="minorHAnsi" w:hAnsiTheme="minorHAnsi" w:cstheme="minorBidi"/>
          <w:b/>
          <w:sz w:val="26"/>
          <w:szCs w:val="26"/>
          <w:lang w:eastAsia="en-US"/>
        </w:rPr>
      </w:pPr>
      <w:r w:rsidRPr="00C271E7">
        <w:rPr>
          <w:rFonts w:asciiTheme="minorHAnsi" w:eastAsiaTheme="minorHAnsi" w:hAnsiTheme="minorHAnsi" w:cstheme="minorBidi"/>
          <w:b/>
          <w:sz w:val="26"/>
          <w:szCs w:val="26"/>
          <w:lang w:eastAsia="en-US"/>
        </w:rPr>
        <w:t>Hospodaření státu</w:t>
      </w:r>
    </w:p>
    <w:p w:rsidR="00C271E7" w:rsidRPr="00C271E7" w:rsidRDefault="00C271E7" w:rsidP="00C271E7">
      <w:pPr>
        <w:numPr>
          <w:ilvl w:val="0"/>
          <w:numId w:val="57"/>
        </w:numPr>
        <w:spacing w:after="200" w:line="276" w:lineRule="auto"/>
        <w:ind w:left="470" w:hanging="357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271E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Vláda v rámci přípravy rozpočtu rozhodla o zrušení plošného snížení výdajů pro rok 2014 oproti původně schválenému střednědobému plánu s odůvodněním, že nebylo rozhodnuto o konkrétních úsporných opatřeních (zjednodušení agend, zrušení duplicit apod.). Tento argument považujeme za nedostatečný a vláda měla učinit kroky, které by buď konkrétní opatření navrhovaly či v některých kapitolách provést plošné snížení alespoň v omezeném rozsahu, aby byl vytvořen tlak na efektivnost pod zodpovědností příslušného ministra jako manažera resortu. </w:t>
      </w:r>
    </w:p>
    <w:p w:rsidR="00C271E7" w:rsidRPr="00C271E7" w:rsidRDefault="00C271E7" w:rsidP="00C271E7">
      <w:pPr>
        <w:numPr>
          <w:ilvl w:val="0"/>
          <w:numId w:val="57"/>
        </w:numPr>
        <w:spacing w:after="200" w:line="276" w:lineRule="auto"/>
        <w:ind w:left="470" w:hanging="357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271E7">
        <w:rPr>
          <w:rFonts w:asciiTheme="minorHAnsi" w:eastAsiaTheme="minorHAnsi" w:hAnsiTheme="minorHAnsi" w:cstheme="minorBidi"/>
          <w:sz w:val="22"/>
          <w:szCs w:val="22"/>
          <w:lang w:eastAsia="en-US"/>
        </w:rPr>
        <w:t>I přes snížení položky „Nákup služeb“ z 34,27 mld. Kč(dle návrhu v roce 2013) na 32,745 (návrh 2014, tj. meziroční změna -4,5 %), dochází k navyšování položek jako je „nákup materiálu“ (+22,8 %) či „ostatní nákupy“.</w:t>
      </w:r>
    </w:p>
    <w:p w:rsidR="00C271E7" w:rsidRPr="00C271E7" w:rsidRDefault="00C271E7" w:rsidP="00C271E7">
      <w:pPr>
        <w:spacing w:after="60" w:line="276" w:lineRule="auto"/>
        <w:rPr>
          <w:rFonts w:asciiTheme="minorHAnsi" w:eastAsiaTheme="minorHAnsi" w:hAnsiTheme="minorHAnsi" w:cstheme="minorBidi"/>
          <w:b/>
          <w:sz w:val="26"/>
          <w:szCs w:val="26"/>
          <w:lang w:eastAsia="en-US"/>
        </w:rPr>
      </w:pPr>
      <w:r w:rsidRPr="00C271E7">
        <w:rPr>
          <w:rFonts w:asciiTheme="minorHAnsi" w:eastAsiaTheme="minorHAnsi" w:hAnsiTheme="minorHAnsi" w:cstheme="minorBidi"/>
          <w:b/>
          <w:sz w:val="26"/>
          <w:szCs w:val="26"/>
          <w:lang w:eastAsia="en-US"/>
        </w:rPr>
        <w:t>Podpora VaVaI</w:t>
      </w:r>
    </w:p>
    <w:p w:rsidR="00C271E7" w:rsidRPr="00C271E7" w:rsidRDefault="00C271E7" w:rsidP="00C271E7">
      <w:pPr>
        <w:numPr>
          <w:ilvl w:val="0"/>
          <w:numId w:val="57"/>
        </w:numPr>
        <w:spacing w:after="200" w:line="276" w:lineRule="auto"/>
        <w:ind w:left="470" w:hanging="357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271E7">
        <w:rPr>
          <w:rFonts w:asciiTheme="minorHAnsi" w:eastAsiaTheme="minorHAnsi" w:hAnsiTheme="minorHAnsi" w:cstheme="minorBidi"/>
          <w:sz w:val="22"/>
          <w:szCs w:val="22"/>
          <w:lang w:eastAsia="en-US"/>
        </w:rPr>
        <w:t>Návrh státního rozpočtu pro rok 2014 přiděluje TA ČR (kapitola 377) přibližně stejné prostředky jako v roce 2013, přestože u všech významných poskytovatelů podpory ve VaVaI se plánuje jejich navýšení v řádech 100 mil Kč. Pro rok 2015 je situace ještě horší, kdy je navrženo dokonce snížení o 90 mil. Kč. Technologická agentura ČR vznikla jako obdoba Grantové agentury ČR (GA ČR) pro aplikovaný výzkum a jejich rozpočet by se měl blížit na stejnou úroveň. V praxi je však rozpočet GA ČR navyšován a rozpětí mezi oběma institucemi se výrazně zvětšuje.</w:t>
      </w:r>
    </w:p>
    <w:p w:rsidR="00C271E7" w:rsidRPr="00C271E7" w:rsidRDefault="00C271E7" w:rsidP="00C271E7">
      <w:pPr>
        <w:numPr>
          <w:ilvl w:val="0"/>
          <w:numId w:val="57"/>
        </w:numPr>
        <w:spacing w:after="200" w:line="276" w:lineRule="auto"/>
        <w:ind w:left="470" w:hanging="357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271E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Požadujeme navýšení rozpočtu na podporu nových projektů TA ČR minimálně o 600 mil. Kč pro roky 2014 až 2016. V opačném případě by to bylo po více než deseti letech poprvé, kdy nebudou v daném roce podpořeny žádné nové projekty v aplikovaném technologickém výzkumu. </w:t>
      </w:r>
    </w:p>
    <w:p w:rsidR="00C271E7" w:rsidRPr="00C271E7" w:rsidRDefault="00C271E7" w:rsidP="00C271E7">
      <w:pPr>
        <w:spacing w:after="60" w:line="276" w:lineRule="auto"/>
        <w:rPr>
          <w:rFonts w:asciiTheme="minorHAnsi" w:eastAsiaTheme="minorHAnsi" w:hAnsiTheme="minorHAnsi" w:cstheme="minorBidi"/>
          <w:b/>
          <w:sz w:val="26"/>
          <w:szCs w:val="26"/>
          <w:lang w:eastAsia="en-US"/>
        </w:rPr>
      </w:pPr>
      <w:r w:rsidRPr="00C271E7">
        <w:rPr>
          <w:rFonts w:asciiTheme="minorHAnsi" w:eastAsiaTheme="minorHAnsi" w:hAnsiTheme="minorHAnsi" w:cstheme="minorBidi"/>
          <w:b/>
          <w:sz w:val="26"/>
          <w:szCs w:val="26"/>
          <w:lang w:eastAsia="en-US"/>
        </w:rPr>
        <w:t>Doprava</w:t>
      </w:r>
    </w:p>
    <w:p w:rsidR="00C271E7" w:rsidRPr="00C271E7" w:rsidRDefault="00C271E7" w:rsidP="00C271E7">
      <w:pPr>
        <w:numPr>
          <w:ilvl w:val="0"/>
          <w:numId w:val="57"/>
        </w:numPr>
        <w:spacing w:after="200" w:line="276" w:lineRule="auto"/>
        <w:ind w:left="470" w:hanging="357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271E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V rozpočtu nejsou finanční prostředky na převod (odkoupení) budov, které jsou součástí železniční infrastruktury, do vlastnictví SŽDC. </w:t>
      </w:r>
    </w:p>
    <w:p w:rsidR="00C271E7" w:rsidRPr="00C271E7" w:rsidRDefault="00C271E7" w:rsidP="00C271E7">
      <w:pPr>
        <w:numPr>
          <w:ilvl w:val="0"/>
          <w:numId w:val="57"/>
        </w:numPr>
        <w:spacing w:after="200" w:line="276" w:lineRule="auto"/>
        <w:ind w:left="470" w:hanging="357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271E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Výhledy rozpočtů SFDI na roky </w:t>
      </w:r>
      <w:smartTag w:uri="urn:schemas-microsoft-com:office:smarttags" w:element="metricconverter">
        <w:smartTagPr>
          <w:attr w:name="ProductID" w:val="2015 a"/>
        </w:smartTagPr>
        <w:r w:rsidRPr="00C271E7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>2015 a</w:t>
        </w:r>
      </w:smartTag>
      <w:r w:rsidRPr="00C271E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2016 jsou nepřijatelné, neboť v roce 2015 bude chybět 10,6 mld. Kč a v roce 2016 celkem 8,9 mld. Kč na národní spolufinancování programů EU. </w:t>
      </w:r>
    </w:p>
    <w:p w:rsidR="00C271E7" w:rsidRPr="00C271E7" w:rsidRDefault="00C271E7" w:rsidP="00C271E7">
      <w:pPr>
        <w:spacing w:after="60" w:line="276" w:lineRule="auto"/>
        <w:rPr>
          <w:rFonts w:asciiTheme="minorHAnsi" w:eastAsiaTheme="minorHAnsi" w:hAnsiTheme="minorHAnsi" w:cstheme="minorBidi"/>
          <w:b/>
          <w:sz w:val="26"/>
          <w:szCs w:val="26"/>
          <w:lang w:eastAsia="en-US"/>
        </w:rPr>
      </w:pPr>
      <w:r w:rsidRPr="00C271E7">
        <w:rPr>
          <w:rFonts w:asciiTheme="minorHAnsi" w:eastAsiaTheme="minorHAnsi" w:hAnsiTheme="minorHAnsi" w:cstheme="minorBidi"/>
          <w:b/>
          <w:sz w:val="26"/>
          <w:szCs w:val="26"/>
          <w:lang w:eastAsia="en-US"/>
        </w:rPr>
        <w:lastRenderedPageBreak/>
        <w:t>Zvýšení dotace na OZE</w:t>
      </w:r>
    </w:p>
    <w:p w:rsidR="00C271E7" w:rsidRPr="00C271E7" w:rsidRDefault="00C271E7" w:rsidP="00C271E7">
      <w:pPr>
        <w:numPr>
          <w:ilvl w:val="0"/>
          <w:numId w:val="57"/>
        </w:numPr>
        <w:spacing w:after="200" w:line="276" w:lineRule="auto"/>
        <w:ind w:left="470" w:hanging="357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271E7">
        <w:rPr>
          <w:rFonts w:asciiTheme="minorHAnsi" w:eastAsiaTheme="minorHAnsi" w:hAnsiTheme="minorHAnsi" w:cstheme="minorBidi"/>
          <w:sz w:val="22"/>
          <w:szCs w:val="22"/>
          <w:lang w:eastAsia="en-US"/>
        </w:rPr>
        <w:t>Jako důsledek schválené novely zákona č. 165/2012 Sb., o podporovaných zdrojích energie, bude SR zatížen dodatečnými nároky na prostředky, které bude nutno vynaložit na kompenzaci zastropování výše poplatku na obnovitelné zdroje v souladu s touto novelou.</w:t>
      </w:r>
    </w:p>
    <w:p w:rsidR="00C271E7" w:rsidRPr="00C271E7" w:rsidRDefault="00C271E7" w:rsidP="00C271E7">
      <w:pPr>
        <w:numPr>
          <w:ilvl w:val="0"/>
          <w:numId w:val="57"/>
        </w:numPr>
        <w:spacing w:after="200" w:line="276" w:lineRule="auto"/>
        <w:ind w:left="470" w:hanging="357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271E7">
        <w:rPr>
          <w:rFonts w:asciiTheme="minorHAnsi" w:eastAsiaTheme="minorHAnsi" w:hAnsiTheme="minorHAnsi" w:cstheme="minorBidi"/>
          <w:sz w:val="22"/>
          <w:szCs w:val="22"/>
          <w:lang w:eastAsia="en-US"/>
        </w:rPr>
        <w:t>V kapitole MPO v položce „Dotace na obnovitelné zdroje“ je uvedena stále částka 11,7 mld.Kč. Požadujeme vysvětlení, zda zbývající potřebné prostředky jsou uvedeny („skryty“) v položce „Podpora podnikání“ či někde jinde rozpočtu (pokud jinde, tak kde). V položce „Podpora podnikání“ předpokládáme, že navýšení souvisí s OPPI a Programem technologických center a strategických služeb a tudíž nevidíme, kde jsou potřebné prostředky vyčleněny.</w:t>
      </w:r>
    </w:p>
    <w:p w:rsidR="00C271E7" w:rsidRPr="00C271E7" w:rsidRDefault="00C271E7" w:rsidP="00C271E7">
      <w:pPr>
        <w:spacing w:after="60" w:line="276" w:lineRule="auto"/>
        <w:rPr>
          <w:rFonts w:asciiTheme="minorHAnsi" w:eastAsiaTheme="minorHAnsi" w:hAnsiTheme="minorHAnsi" w:cstheme="minorBidi"/>
          <w:b/>
          <w:sz w:val="26"/>
          <w:szCs w:val="26"/>
          <w:lang w:eastAsia="en-US"/>
        </w:rPr>
      </w:pPr>
      <w:r w:rsidRPr="00C271E7">
        <w:rPr>
          <w:rFonts w:asciiTheme="minorHAnsi" w:eastAsiaTheme="minorHAnsi" w:hAnsiTheme="minorHAnsi" w:cstheme="minorBidi"/>
          <w:b/>
          <w:sz w:val="26"/>
          <w:szCs w:val="26"/>
          <w:lang w:eastAsia="en-US"/>
        </w:rPr>
        <w:t>Trh práce</w:t>
      </w:r>
    </w:p>
    <w:p w:rsidR="00C271E7" w:rsidRPr="00C271E7" w:rsidRDefault="00C271E7" w:rsidP="00C271E7">
      <w:pPr>
        <w:numPr>
          <w:ilvl w:val="0"/>
          <w:numId w:val="57"/>
        </w:numPr>
        <w:spacing w:after="200" w:line="276" w:lineRule="auto"/>
        <w:ind w:left="470" w:hanging="357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271E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Výdaje na aktivní politiku zaměstnanosti jsou navrhovány ve výši 3 mld. Kč z národních zdrojů, po zahrnutí předfinancování projektů EU činí celkem 4,6 mld. Kč (z cca 5,436 v roce 2013 na 4,59 mld. Kč, tj. -15,6 %). S ohledem na cca 550 tisíc nezaměstnaných a ambiciosní opatření v oblasti řešení nezaměstnanosti tuto částku považujeme za nedostatečnou. APZ je postavena na zdrojích z ESF a je nutné navýšit národní zdroje na realizaci opatření z národních zdrojů. </w:t>
      </w:r>
    </w:p>
    <w:p w:rsidR="00C271E7" w:rsidRPr="00C271E7" w:rsidRDefault="00C271E7" w:rsidP="00C271E7">
      <w:pPr>
        <w:spacing w:after="60" w:line="276" w:lineRule="auto"/>
        <w:rPr>
          <w:rFonts w:asciiTheme="minorHAnsi" w:eastAsiaTheme="minorHAnsi" w:hAnsiTheme="minorHAnsi" w:cstheme="minorBidi"/>
          <w:b/>
          <w:sz w:val="26"/>
          <w:szCs w:val="26"/>
          <w:lang w:eastAsia="en-US"/>
        </w:rPr>
      </w:pPr>
      <w:r w:rsidRPr="00C271E7">
        <w:rPr>
          <w:rFonts w:asciiTheme="minorHAnsi" w:eastAsiaTheme="minorHAnsi" w:hAnsiTheme="minorHAnsi" w:cstheme="minorBidi"/>
          <w:b/>
          <w:sz w:val="26"/>
          <w:szCs w:val="26"/>
          <w:lang w:eastAsia="en-US"/>
        </w:rPr>
        <w:t>Strukturální fondy</w:t>
      </w:r>
    </w:p>
    <w:p w:rsidR="00C271E7" w:rsidRPr="00C271E7" w:rsidRDefault="00C271E7" w:rsidP="00C271E7">
      <w:pPr>
        <w:numPr>
          <w:ilvl w:val="0"/>
          <w:numId w:val="57"/>
        </w:numPr>
        <w:spacing w:after="200" w:line="276" w:lineRule="auto"/>
        <w:ind w:left="470" w:hanging="357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271E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Existuje zde značná nejistota v částce, kterou se vzhledem k nedostatečné připravenosti či nízké absorpční kapacitě vyčerpat nepodaří (MMR odhaduje za rok 2014 na 11,6 mld. Kč) a jaká bude velikost korekcí udělených EU v roce 2014. </w:t>
      </w:r>
    </w:p>
    <w:p w:rsidR="00C271E7" w:rsidRDefault="00C271E7" w:rsidP="00C271E7">
      <w:pPr>
        <w:numPr>
          <w:ilvl w:val="0"/>
          <w:numId w:val="57"/>
        </w:numPr>
        <w:spacing w:after="200" w:line="276" w:lineRule="auto"/>
        <w:ind w:left="470" w:hanging="357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271E7">
        <w:rPr>
          <w:rFonts w:asciiTheme="minorHAnsi" w:eastAsiaTheme="minorHAnsi" w:hAnsiTheme="minorHAnsi" w:cstheme="minorBidi"/>
          <w:sz w:val="22"/>
          <w:szCs w:val="22"/>
          <w:lang w:eastAsia="en-US"/>
        </w:rPr>
        <w:t>Vzhledem k relativně vysokému podílu výdajů spolufinancovaných z EU a k výši rizika, postrádáme popis kroků k zajištění plného vyčerpání prostředků z rozpočtu EU a jaká jsou rizika nevyčerpání. Upozorňujeme na riziko významné provázanosti investičních výdajů na SF EU, nejen z pohledu rizika nezískání dotací, ale také z pohledu dlouhodobé struktury národních veřejných rozpočtů.</w:t>
      </w:r>
    </w:p>
    <w:p w:rsidR="00D959CA" w:rsidRDefault="00D959CA" w:rsidP="00D959CA">
      <w:pPr>
        <w:spacing w:after="200" w:line="276" w:lineRule="auto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959CA" w:rsidRDefault="00D959CA" w:rsidP="00D959CA">
      <w:pPr>
        <w:spacing w:after="200" w:line="276" w:lineRule="auto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959CA" w:rsidRDefault="00D959CA" w:rsidP="00D959CA">
      <w:pPr>
        <w:spacing w:after="200" w:line="276" w:lineRule="auto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959CA" w:rsidRPr="00C271E7" w:rsidRDefault="00D959CA" w:rsidP="00D959CA">
      <w:pPr>
        <w:spacing w:after="200" w:line="276" w:lineRule="auto"/>
        <w:contextualSpacing/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V Praze dne 19.9.2013</w:t>
      </w:r>
    </w:p>
    <w:p w:rsidR="00C271E7" w:rsidRDefault="00C271E7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br w:type="page"/>
      </w:r>
    </w:p>
    <w:p w:rsidR="00C271E7" w:rsidRPr="00C271E7" w:rsidRDefault="00731A41" w:rsidP="00C271E7">
      <w:pPr>
        <w:spacing w:line="276" w:lineRule="auto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lastRenderedPageBreak/>
        <w:t xml:space="preserve">Příloha: </w:t>
      </w:r>
      <w:r w:rsidR="00C271E7" w:rsidRPr="00C271E7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>Význam průmyslu a podnikatelského prostředí</w:t>
      </w:r>
    </w:p>
    <w:p w:rsidR="00C271E7" w:rsidRPr="00C271E7" w:rsidRDefault="00C271E7" w:rsidP="00C271E7">
      <w:pPr>
        <w:numPr>
          <w:ilvl w:val="0"/>
          <w:numId w:val="57"/>
        </w:numPr>
        <w:spacing w:after="200" w:line="276" w:lineRule="auto"/>
        <w:ind w:left="470" w:hanging="357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271E7">
        <w:rPr>
          <w:rFonts w:asciiTheme="minorHAnsi" w:eastAsiaTheme="minorHAnsi" w:hAnsiTheme="minorHAnsi" w:cstheme="minorBidi"/>
          <w:sz w:val="22"/>
          <w:szCs w:val="22"/>
          <w:lang w:eastAsia="en-US"/>
        </w:rPr>
        <w:t>Současná i budoucí vláda musí reflektovat, kdo je skutečným tvůrcem přidané hodnoty a kdo vytváří práci a platí daně. Vysoký podíl veřejného sektoru vytváří rizika udržitelnosti do budoucna a složitost změn ve společnosti bez sociálních dopadů.</w:t>
      </w:r>
    </w:p>
    <w:p w:rsidR="00C271E7" w:rsidRPr="00C271E7" w:rsidRDefault="00C271E7" w:rsidP="00C271E7">
      <w:pPr>
        <w:numPr>
          <w:ilvl w:val="0"/>
          <w:numId w:val="57"/>
        </w:numPr>
        <w:spacing w:after="200" w:line="276" w:lineRule="auto"/>
        <w:ind w:left="470" w:hanging="357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271E7">
        <w:rPr>
          <w:rFonts w:asciiTheme="minorHAnsi" w:eastAsiaTheme="minorHAnsi" w:hAnsiTheme="minorHAnsi" w:cstheme="minorBidi"/>
          <w:sz w:val="22"/>
          <w:szCs w:val="22"/>
          <w:lang w:eastAsia="en-US"/>
        </w:rPr>
        <w:t>Veřejná správa musí být reformována tak, aby nekladla překážky podnikatelskému prostředí a byla službou pro obyvatele. S tímto přístupem pak musí být také odměňována.</w:t>
      </w:r>
    </w:p>
    <w:p w:rsidR="00C271E7" w:rsidRPr="00C271E7" w:rsidRDefault="00C271E7" w:rsidP="00C271E7">
      <w:pPr>
        <w:numPr>
          <w:ilvl w:val="0"/>
          <w:numId w:val="57"/>
        </w:numPr>
        <w:spacing w:after="200" w:line="276" w:lineRule="auto"/>
        <w:ind w:left="470" w:hanging="357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271E7">
        <w:rPr>
          <w:rFonts w:asciiTheme="minorHAnsi" w:eastAsiaTheme="minorHAnsi" w:hAnsiTheme="minorHAnsi" w:cstheme="minorBidi"/>
          <w:sz w:val="22"/>
          <w:szCs w:val="22"/>
          <w:lang w:eastAsia="en-US"/>
        </w:rPr>
        <w:t>Při zohlednění významu podniků a zejména se sektoru průmyslu, je potřeba stanovit priority s ohledem na potřebu kvalifikovaných technicky vzdělaných pracovníků, aplikovaného výzkumu a inovačního potenciálu a kvalitní infrastruktury.</w:t>
      </w:r>
    </w:p>
    <w:p w:rsidR="00C271E7" w:rsidRPr="00C271E7" w:rsidRDefault="00C271E7" w:rsidP="00C271E7">
      <w:pPr>
        <w:spacing w:after="200" w:line="276" w:lineRule="auto"/>
        <w:ind w:left="36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271E7" w:rsidRPr="00C271E7" w:rsidRDefault="00C271E7" w:rsidP="00C271E7">
      <w:pPr>
        <w:spacing w:after="200" w:line="276" w:lineRule="auto"/>
        <w:contextualSpacing/>
        <w:jc w:val="center"/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</w:pPr>
      <w:r w:rsidRPr="00C271E7"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  <w:t>Podíl odvětví na celkové přidané hodnotě (tj. na přidané hodnotě všech odvětví ekonomiky)</w:t>
      </w:r>
    </w:p>
    <w:tbl>
      <w:tblPr>
        <w:tblW w:w="7140" w:type="dxa"/>
        <w:jc w:val="center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4"/>
        <w:gridCol w:w="910"/>
        <w:gridCol w:w="916"/>
      </w:tblGrid>
      <w:tr w:rsidR="00C271E7" w:rsidRPr="00C271E7" w:rsidTr="00CC68D3">
        <w:trPr>
          <w:trHeight w:val="300"/>
          <w:jc w:val="center"/>
        </w:trPr>
        <w:tc>
          <w:tcPr>
            <w:tcW w:w="53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AC090"/>
            <w:noWrap/>
            <w:vAlign w:val="bottom"/>
            <w:hideMark/>
          </w:tcPr>
          <w:p w:rsidR="00C271E7" w:rsidRPr="00C271E7" w:rsidRDefault="00C271E7" w:rsidP="00CC68D3">
            <w:pPr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271E7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>Odvětví\rok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C271E7" w:rsidRPr="00C271E7" w:rsidRDefault="00C271E7" w:rsidP="00CC68D3">
            <w:pPr>
              <w:jc w:val="right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271E7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AC090"/>
            <w:noWrap/>
            <w:vAlign w:val="bottom"/>
            <w:hideMark/>
          </w:tcPr>
          <w:p w:rsidR="00C271E7" w:rsidRPr="00C271E7" w:rsidRDefault="00C271E7" w:rsidP="00CC68D3">
            <w:pPr>
              <w:jc w:val="right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271E7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>2012</w:t>
            </w:r>
          </w:p>
        </w:tc>
      </w:tr>
      <w:tr w:rsidR="00C271E7" w:rsidRPr="00C271E7" w:rsidTr="00CC68D3">
        <w:trPr>
          <w:trHeight w:val="300"/>
          <w:jc w:val="center"/>
        </w:trPr>
        <w:tc>
          <w:tcPr>
            <w:tcW w:w="53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AC090"/>
            <w:noWrap/>
            <w:vAlign w:val="bottom"/>
            <w:hideMark/>
          </w:tcPr>
          <w:p w:rsidR="00C271E7" w:rsidRPr="00C271E7" w:rsidRDefault="00C271E7" w:rsidP="00CC68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271E7">
              <w:rPr>
                <w:rFonts w:ascii="Calibri" w:hAnsi="Calibri"/>
                <w:color w:val="000000"/>
                <w:sz w:val="22"/>
                <w:szCs w:val="22"/>
              </w:rPr>
              <w:t>Průmysl celkem (BCDE)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C271E7" w:rsidRPr="00C271E7" w:rsidRDefault="00C271E7" w:rsidP="00CC68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271E7">
              <w:rPr>
                <w:rFonts w:ascii="Calibri" w:hAnsi="Calibri"/>
                <w:color w:val="000000"/>
                <w:sz w:val="22"/>
                <w:szCs w:val="22"/>
              </w:rPr>
              <w:t>30,49%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AC090"/>
            <w:noWrap/>
            <w:vAlign w:val="bottom"/>
            <w:hideMark/>
          </w:tcPr>
          <w:p w:rsidR="00C271E7" w:rsidRPr="00C271E7" w:rsidRDefault="00C271E7" w:rsidP="00CC68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271E7">
              <w:rPr>
                <w:rFonts w:ascii="Calibri" w:hAnsi="Calibri"/>
                <w:color w:val="000000"/>
                <w:sz w:val="22"/>
                <w:szCs w:val="22"/>
              </w:rPr>
              <w:t>30,94%</w:t>
            </w:r>
          </w:p>
        </w:tc>
      </w:tr>
      <w:tr w:rsidR="00C271E7" w:rsidRPr="00C271E7" w:rsidTr="00CC68D3">
        <w:trPr>
          <w:trHeight w:val="300"/>
          <w:jc w:val="center"/>
        </w:trPr>
        <w:tc>
          <w:tcPr>
            <w:tcW w:w="53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AC090"/>
            <w:noWrap/>
            <w:vAlign w:val="bottom"/>
            <w:hideMark/>
          </w:tcPr>
          <w:p w:rsidR="00C271E7" w:rsidRPr="00C271E7" w:rsidRDefault="00C271E7" w:rsidP="00CC68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271E7">
              <w:rPr>
                <w:rFonts w:ascii="Calibri" w:hAnsi="Calibri"/>
                <w:color w:val="000000"/>
                <w:sz w:val="22"/>
                <w:szCs w:val="22"/>
              </w:rPr>
              <w:t>F Stavebnictví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C271E7" w:rsidRPr="00C271E7" w:rsidRDefault="00C271E7" w:rsidP="00CC68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271E7">
              <w:rPr>
                <w:rFonts w:ascii="Calibri" w:hAnsi="Calibri"/>
                <w:color w:val="000000"/>
                <w:sz w:val="22"/>
                <w:szCs w:val="22"/>
              </w:rPr>
              <w:t>6,79%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AC090"/>
            <w:noWrap/>
            <w:vAlign w:val="bottom"/>
            <w:hideMark/>
          </w:tcPr>
          <w:p w:rsidR="00C271E7" w:rsidRPr="00C271E7" w:rsidRDefault="00C271E7" w:rsidP="00CC68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271E7">
              <w:rPr>
                <w:rFonts w:ascii="Calibri" w:hAnsi="Calibri"/>
                <w:color w:val="000000"/>
                <w:sz w:val="22"/>
                <w:szCs w:val="22"/>
              </w:rPr>
              <w:t>6,33%</w:t>
            </w:r>
          </w:p>
        </w:tc>
      </w:tr>
      <w:tr w:rsidR="00C271E7" w:rsidRPr="00C271E7" w:rsidTr="00CC68D3">
        <w:trPr>
          <w:trHeight w:val="300"/>
          <w:jc w:val="center"/>
        </w:trPr>
        <w:tc>
          <w:tcPr>
            <w:tcW w:w="53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AC090"/>
            <w:noWrap/>
            <w:vAlign w:val="bottom"/>
            <w:hideMark/>
          </w:tcPr>
          <w:p w:rsidR="00C271E7" w:rsidRPr="00C271E7" w:rsidRDefault="00C271E7" w:rsidP="00CC68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271E7">
              <w:rPr>
                <w:rFonts w:ascii="Calibri" w:hAnsi="Calibri"/>
                <w:color w:val="000000"/>
                <w:sz w:val="22"/>
                <w:szCs w:val="22"/>
              </w:rPr>
              <w:t>H Doprava a skladování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C271E7" w:rsidRPr="00C271E7" w:rsidRDefault="00C271E7" w:rsidP="00CC68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271E7">
              <w:rPr>
                <w:rFonts w:ascii="Calibri" w:hAnsi="Calibri"/>
                <w:color w:val="000000"/>
                <w:sz w:val="22"/>
                <w:szCs w:val="22"/>
              </w:rPr>
              <w:t>6,16%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AC090"/>
            <w:noWrap/>
            <w:vAlign w:val="bottom"/>
            <w:hideMark/>
          </w:tcPr>
          <w:p w:rsidR="00C271E7" w:rsidRPr="00C271E7" w:rsidRDefault="00C271E7" w:rsidP="00CC68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271E7">
              <w:rPr>
                <w:rFonts w:ascii="Calibri" w:hAnsi="Calibri"/>
                <w:color w:val="000000"/>
                <w:sz w:val="22"/>
                <w:szCs w:val="22"/>
              </w:rPr>
              <w:t>6,20%</w:t>
            </w:r>
          </w:p>
        </w:tc>
      </w:tr>
      <w:tr w:rsidR="00C271E7" w:rsidRPr="00C271E7" w:rsidTr="00CC68D3">
        <w:trPr>
          <w:trHeight w:val="300"/>
          <w:jc w:val="center"/>
        </w:trPr>
        <w:tc>
          <w:tcPr>
            <w:tcW w:w="53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AC090"/>
            <w:noWrap/>
            <w:vAlign w:val="bottom"/>
            <w:hideMark/>
          </w:tcPr>
          <w:p w:rsidR="00C271E7" w:rsidRPr="00C271E7" w:rsidRDefault="00C271E7" w:rsidP="00CC68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271E7">
              <w:rPr>
                <w:rFonts w:ascii="Calibri" w:hAnsi="Calibri"/>
                <w:color w:val="000000"/>
                <w:sz w:val="22"/>
                <w:szCs w:val="22"/>
              </w:rPr>
              <w:t>Průmysl + stavebnictví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C271E7" w:rsidRPr="00C271E7" w:rsidRDefault="00C271E7" w:rsidP="00CC68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271E7">
              <w:rPr>
                <w:rFonts w:ascii="Calibri" w:hAnsi="Calibri"/>
                <w:color w:val="000000"/>
                <w:sz w:val="22"/>
                <w:szCs w:val="22"/>
              </w:rPr>
              <w:t>37,28%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AC090"/>
            <w:noWrap/>
            <w:vAlign w:val="bottom"/>
            <w:hideMark/>
          </w:tcPr>
          <w:p w:rsidR="00C271E7" w:rsidRPr="00C271E7" w:rsidRDefault="00C271E7" w:rsidP="00CC68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271E7">
              <w:rPr>
                <w:rFonts w:ascii="Calibri" w:hAnsi="Calibri"/>
                <w:color w:val="000000"/>
                <w:sz w:val="22"/>
                <w:szCs w:val="22"/>
              </w:rPr>
              <w:t>37,27%</w:t>
            </w:r>
          </w:p>
        </w:tc>
      </w:tr>
      <w:tr w:rsidR="00C271E7" w:rsidRPr="00C271E7" w:rsidTr="00CC68D3">
        <w:trPr>
          <w:trHeight w:val="300"/>
          <w:jc w:val="center"/>
        </w:trPr>
        <w:tc>
          <w:tcPr>
            <w:tcW w:w="53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AC090"/>
            <w:noWrap/>
            <w:vAlign w:val="bottom"/>
            <w:hideMark/>
          </w:tcPr>
          <w:p w:rsidR="00C271E7" w:rsidRPr="00C271E7" w:rsidRDefault="00C271E7" w:rsidP="00CC68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271E7">
              <w:rPr>
                <w:rFonts w:ascii="Calibri" w:hAnsi="Calibri"/>
                <w:color w:val="000000"/>
                <w:sz w:val="22"/>
                <w:szCs w:val="22"/>
              </w:rPr>
              <w:t>Průmysl + doprava a skladování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C271E7" w:rsidRPr="00C271E7" w:rsidRDefault="00C271E7" w:rsidP="00CC68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271E7">
              <w:rPr>
                <w:rFonts w:ascii="Calibri" w:hAnsi="Calibri"/>
                <w:color w:val="000000"/>
                <w:sz w:val="22"/>
                <w:szCs w:val="22"/>
              </w:rPr>
              <w:t>36,65%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AC090"/>
            <w:noWrap/>
            <w:vAlign w:val="bottom"/>
            <w:hideMark/>
          </w:tcPr>
          <w:p w:rsidR="00C271E7" w:rsidRPr="00C271E7" w:rsidRDefault="00C271E7" w:rsidP="00CC68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271E7">
              <w:rPr>
                <w:rFonts w:ascii="Calibri" w:hAnsi="Calibri"/>
                <w:color w:val="000000"/>
                <w:sz w:val="22"/>
                <w:szCs w:val="22"/>
              </w:rPr>
              <w:t>37,14%</w:t>
            </w:r>
          </w:p>
        </w:tc>
      </w:tr>
      <w:tr w:rsidR="00C271E7" w:rsidRPr="00C271E7" w:rsidTr="00CC68D3">
        <w:trPr>
          <w:trHeight w:val="315"/>
          <w:jc w:val="center"/>
        </w:trPr>
        <w:tc>
          <w:tcPr>
            <w:tcW w:w="53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AC090"/>
            <w:noWrap/>
            <w:vAlign w:val="bottom"/>
            <w:hideMark/>
          </w:tcPr>
          <w:p w:rsidR="00C271E7" w:rsidRPr="00C271E7" w:rsidRDefault="00C271E7" w:rsidP="00CC68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271E7">
              <w:rPr>
                <w:rFonts w:ascii="Calibri" w:hAnsi="Calibri"/>
                <w:color w:val="000000"/>
                <w:sz w:val="22"/>
                <w:szCs w:val="22"/>
              </w:rPr>
              <w:t>Průmysl+stavebnictví+doprava a skladování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C271E7" w:rsidRPr="00C271E7" w:rsidRDefault="00C271E7" w:rsidP="00CC68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271E7">
              <w:rPr>
                <w:rFonts w:ascii="Calibri" w:hAnsi="Calibri"/>
                <w:color w:val="000000"/>
                <w:sz w:val="22"/>
                <w:szCs w:val="22"/>
              </w:rPr>
              <w:t>43,44%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noWrap/>
            <w:vAlign w:val="bottom"/>
            <w:hideMark/>
          </w:tcPr>
          <w:p w:rsidR="00C271E7" w:rsidRPr="00C271E7" w:rsidRDefault="00C271E7" w:rsidP="00CC68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271E7">
              <w:rPr>
                <w:rFonts w:ascii="Calibri" w:hAnsi="Calibri"/>
                <w:color w:val="000000"/>
                <w:sz w:val="22"/>
                <w:szCs w:val="22"/>
              </w:rPr>
              <w:t>43,47%</w:t>
            </w:r>
          </w:p>
        </w:tc>
      </w:tr>
    </w:tbl>
    <w:p w:rsidR="00C271E7" w:rsidRPr="00C271E7" w:rsidRDefault="00C271E7" w:rsidP="00C271E7">
      <w:pPr>
        <w:spacing w:after="200" w:line="276" w:lineRule="auto"/>
        <w:ind w:left="833"/>
        <w:contextualSpacing/>
        <w:jc w:val="right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 w:rsidRPr="00C271E7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Zdroj: vlastní dopočty na základě dat ČSU, 2013</w:t>
      </w:r>
    </w:p>
    <w:p w:rsidR="00C271E7" w:rsidRPr="00C271E7" w:rsidRDefault="00C271E7" w:rsidP="00C271E7">
      <w:pPr>
        <w:spacing w:after="200" w:line="276" w:lineRule="auto"/>
        <w:contextualSpacing/>
        <w:jc w:val="center"/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</w:pPr>
      <w:r w:rsidRPr="00C271E7"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  <w:t>Vývoj přidané hodnoty průmyslu a všech odvětví v ČR 2001-2012</w:t>
      </w:r>
    </w:p>
    <w:p w:rsidR="00C271E7" w:rsidRPr="00C271E7" w:rsidRDefault="00C271E7" w:rsidP="00C271E7">
      <w:pPr>
        <w:spacing w:line="276" w:lineRule="auto"/>
        <w:ind w:left="113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271E7"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>
            <wp:extent cx="4984577" cy="2036618"/>
            <wp:effectExtent l="19050" t="0" r="25573" b="1732"/>
            <wp:docPr id="42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271E7" w:rsidRPr="00C271E7" w:rsidRDefault="00C271E7" w:rsidP="00C271E7">
      <w:pPr>
        <w:spacing w:after="200" w:line="276" w:lineRule="auto"/>
        <w:ind w:left="833"/>
        <w:contextualSpacing/>
        <w:jc w:val="right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 w:rsidRPr="00C271E7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Zdroj: vlastní dopočty a graf na základě dat ČSU, 2013</w:t>
      </w:r>
    </w:p>
    <w:p w:rsidR="00C271E7" w:rsidRPr="00C271E7" w:rsidRDefault="00C271E7" w:rsidP="00C271E7">
      <w:pPr>
        <w:spacing w:line="276" w:lineRule="auto"/>
        <w:ind w:left="11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271E7" w:rsidRPr="00C271E7" w:rsidRDefault="00C271E7" w:rsidP="00C271E7">
      <w:pPr>
        <w:spacing w:line="276" w:lineRule="auto"/>
        <w:ind w:left="11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271E7" w:rsidRPr="00C271E7" w:rsidRDefault="00C271E7" w:rsidP="00C271E7">
      <w:pPr>
        <w:spacing w:line="276" w:lineRule="auto"/>
        <w:ind w:left="11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271E7" w:rsidRPr="00C271E7" w:rsidRDefault="00C271E7" w:rsidP="00C271E7">
      <w:pPr>
        <w:spacing w:line="276" w:lineRule="auto"/>
        <w:ind w:left="11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271E7" w:rsidRPr="00C271E7" w:rsidRDefault="00C271E7" w:rsidP="00C271E7">
      <w:pPr>
        <w:spacing w:line="276" w:lineRule="auto"/>
        <w:ind w:left="11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271E7" w:rsidRPr="00C271E7" w:rsidRDefault="00C271E7" w:rsidP="00C271E7">
      <w:pPr>
        <w:spacing w:line="276" w:lineRule="auto"/>
        <w:ind w:left="11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271E7" w:rsidRPr="00C271E7" w:rsidRDefault="00C271E7" w:rsidP="00C271E7">
      <w:pPr>
        <w:spacing w:line="276" w:lineRule="auto"/>
        <w:ind w:left="11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271E7" w:rsidRPr="00C271E7" w:rsidRDefault="00C271E7" w:rsidP="00C271E7">
      <w:pPr>
        <w:spacing w:line="276" w:lineRule="auto"/>
        <w:ind w:left="11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320C0" w:rsidRPr="00C271E7" w:rsidRDefault="004320C0" w:rsidP="00C271E7">
      <w:pPr>
        <w:tabs>
          <w:tab w:val="left" w:pos="142"/>
        </w:tabs>
        <w:rPr>
          <w:szCs w:val="24"/>
        </w:rPr>
      </w:pPr>
    </w:p>
    <w:sectPr w:rsidR="004320C0" w:rsidRPr="00C271E7" w:rsidSect="00F008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68" w:right="1418" w:bottom="567" w:left="1418" w:header="992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578" w:rsidRDefault="00D72578">
      <w:r>
        <w:separator/>
      </w:r>
    </w:p>
  </w:endnote>
  <w:endnote w:type="continuationSeparator" w:id="0">
    <w:p w:rsidR="00D72578" w:rsidRDefault="00D72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G Omega">
    <w:altName w:val="Segoe UI"/>
    <w:charset w:val="EE"/>
    <w:family w:val="swiss"/>
    <w:pitch w:val="variable"/>
    <w:sig w:usb0="00000007" w:usb1="00000000" w:usb2="00000000" w:usb3="00000000" w:csb0="00000093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DDD" w:rsidRDefault="008D6DD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DDD" w:rsidRDefault="008D6DDD" w:rsidP="00587D54">
    <w:pPr>
      <w:pStyle w:val="Zpat"/>
      <w:tabs>
        <w:tab w:val="left" w:pos="6804"/>
      </w:tabs>
      <w:spacing w:line="240" w:lineRule="atLeast"/>
      <w:rPr>
        <w:rFonts w:ascii="CG Omega" w:hAnsi="CG Omega"/>
        <w:color w:val="005FA4"/>
        <w:sz w:val="16"/>
      </w:rPr>
    </w:pPr>
    <w:r>
      <w:rPr>
        <w:rFonts w:ascii="CG Omega" w:hAnsi="CG Omega"/>
        <w:noProof/>
        <w:color w:val="005FA4"/>
        <w:sz w:val="1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4266565</wp:posOffset>
          </wp:positionH>
          <wp:positionV relativeFrom="paragraph">
            <wp:posOffset>130810</wp:posOffset>
          </wp:positionV>
          <wp:extent cx="1543685" cy="373380"/>
          <wp:effectExtent l="19050" t="0" r="0" b="0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685" cy="3733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CG Omega" w:hAnsi="CG Omega"/>
        <w:noProof/>
        <w:color w:val="005FA4"/>
        <w:sz w:val="16"/>
      </w:rPr>
      <w:t>Freyova 948/11, 190 00</w:t>
    </w:r>
    <w:r w:rsidRPr="00B94002">
      <w:rPr>
        <w:rFonts w:ascii="CG Omega" w:hAnsi="CG Omega"/>
        <w:noProof/>
        <w:color w:val="005FA4"/>
        <w:sz w:val="16"/>
      </w:rPr>
      <w:t xml:space="preserve">  Praha 9</w:t>
    </w:r>
    <w:r>
      <w:rPr>
        <w:rFonts w:ascii="CG Omega" w:hAnsi="CG Omega"/>
        <w:color w:val="005FA4"/>
        <w:sz w:val="16"/>
      </w:rPr>
      <w:tab/>
    </w:r>
    <w:r>
      <w:rPr>
        <w:rFonts w:ascii="CG Omega" w:hAnsi="CG Omega"/>
        <w:color w:val="005FA4"/>
        <w:sz w:val="16"/>
      </w:rPr>
      <w:tab/>
      <w:t>Member of</w:t>
    </w:r>
  </w:p>
  <w:p w:rsidR="008D6DDD" w:rsidRDefault="008D6DDD" w:rsidP="00B94002">
    <w:pPr>
      <w:pStyle w:val="Zpat"/>
      <w:tabs>
        <w:tab w:val="left" w:pos="6663"/>
      </w:tabs>
      <w:spacing w:line="240" w:lineRule="atLeast"/>
      <w:rPr>
        <w:rFonts w:ascii="CG Omega" w:hAnsi="CG Omega"/>
        <w:color w:val="005FA4"/>
        <w:sz w:val="16"/>
      </w:rPr>
    </w:pPr>
    <w:r>
      <w:rPr>
        <w:rFonts w:ascii="CG Omega" w:hAnsi="CG Omega"/>
        <w:color w:val="005FA4"/>
        <w:sz w:val="16"/>
      </w:rPr>
      <w:t>Tel.: +420 225 279 111, Fax: +420 225 279 100</w:t>
    </w:r>
  </w:p>
  <w:p w:rsidR="008D6DDD" w:rsidRPr="00587D54" w:rsidRDefault="008D6DDD" w:rsidP="00587D54">
    <w:pPr>
      <w:pStyle w:val="Zpat"/>
      <w:tabs>
        <w:tab w:val="left" w:pos="6663"/>
      </w:tabs>
      <w:spacing w:line="240" w:lineRule="atLeast"/>
    </w:pPr>
    <w:r>
      <w:rPr>
        <w:rFonts w:ascii="CG Omega" w:hAnsi="CG Omega"/>
        <w:color w:val="005FA4"/>
        <w:sz w:val="16"/>
      </w:rPr>
      <w:t>e-mail: spcr</w:t>
    </w:r>
    <w:r w:rsidRPr="001F5E2B">
      <w:rPr>
        <w:rFonts w:ascii="CG Omega" w:hAnsi="CG Omega"/>
        <w:color w:val="005FA4"/>
        <w:sz w:val="16"/>
      </w:rPr>
      <w:t>@spcr.cz</w:t>
    </w:r>
    <w:r>
      <w:rPr>
        <w:rFonts w:ascii="CG Omega" w:hAnsi="CG Omega"/>
        <w:color w:val="005FA4"/>
        <w:sz w:val="16"/>
      </w:rPr>
      <w:t xml:space="preserve">, </w:t>
    </w:r>
    <w:r w:rsidRPr="001F5E2B">
      <w:rPr>
        <w:rFonts w:ascii="CG Omega" w:hAnsi="CG Omega"/>
        <w:color w:val="005FA4"/>
        <w:sz w:val="16"/>
      </w:rPr>
      <w:t>www.spcr.cz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DDD" w:rsidRDefault="008D6DD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578" w:rsidRDefault="00D72578">
      <w:r>
        <w:separator/>
      </w:r>
    </w:p>
  </w:footnote>
  <w:footnote w:type="continuationSeparator" w:id="0">
    <w:p w:rsidR="00D72578" w:rsidRDefault="00D725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DDD" w:rsidRDefault="008D6DD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DDD" w:rsidRPr="00EF65E4" w:rsidRDefault="008D6DDD" w:rsidP="00EF65E4">
    <w:pPr>
      <w:pStyle w:val="Zhlav"/>
      <w:tabs>
        <w:tab w:val="clear" w:pos="4536"/>
        <w:tab w:val="left" w:pos="1134"/>
        <w:tab w:val="left" w:pos="6663"/>
      </w:tabs>
      <w:rPr>
        <w:rFonts w:ascii="CG Omega" w:hAnsi="CG Omega" w:cs="Raavi"/>
        <w:color w:val="005FA4"/>
        <w:sz w:val="24"/>
        <w:szCs w:val="24"/>
      </w:rPr>
    </w:pPr>
    <w:r>
      <w:rPr>
        <w:rFonts w:ascii="CG Omega" w:hAnsi="CG Omega" w:cs="Raavi"/>
        <w:noProof/>
        <w:color w:val="005FA4"/>
        <w:sz w:val="24"/>
        <w:szCs w:val="24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-1905</wp:posOffset>
          </wp:positionH>
          <wp:positionV relativeFrom="paragraph">
            <wp:posOffset>28575</wp:posOffset>
          </wp:positionV>
          <wp:extent cx="626110" cy="464820"/>
          <wp:effectExtent l="19050" t="0" r="2540" b="0"/>
          <wp:wrapNone/>
          <wp:docPr id="2" name="obrázek 2" descr="sp2005mod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p2005modr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11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CG Omega" w:hAnsi="CG Omega" w:cs="Raavi"/>
        <w:color w:val="005FA4"/>
        <w:sz w:val="24"/>
        <w:szCs w:val="24"/>
      </w:rPr>
      <w:tab/>
    </w:r>
    <w:r w:rsidRPr="00EF65E4">
      <w:rPr>
        <w:rFonts w:ascii="CG Omega" w:hAnsi="CG Omega" w:cs="Raavi"/>
        <w:color w:val="005FA4"/>
        <w:sz w:val="24"/>
        <w:szCs w:val="24"/>
      </w:rPr>
      <w:t>Svaz průmyslu a dopravy České republiky</w:t>
    </w:r>
  </w:p>
  <w:p w:rsidR="008D6DDD" w:rsidRPr="00EF65E4" w:rsidRDefault="008D6DDD" w:rsidP="00EF65E4">
    <w:pPr>
      <w:pStyle w:val="Zhlav"/>
      <w:tabs>
        <w:tab w:val="clear" w:pos="4536"/>
        <w:tab w:val="left" w:pos="1134"/>
        <w:tab w:val="left" w:pos="6663"/>
      </w:tabs>
      <w:ind w:firstLine="1134"/>
      <w:rPr>
        <w:rFonts w:ascii="CG Omega" w:hAnsi="CG Omega" w:cs="Raavi"/>
        <w:color w:val="005FA4"/>
        <w:sz w:val="24"/>
        <w:szCs w:val="24"/>
      </w:rPr>
    </w:pPr>
    <w:r w:rsidRPr="00EF65E4">
      <w:rPr>
        <w:rFonts w:ascii="CG Omega" w:hAnsi="CG Omega" w:cs="Raavi"/>
        <w:color w:val="005FA4"/>
        <w:sz w:val="24"/>
        <w:szCs w:val="24"/>
      </w:rPr>
      <w:t>Confederation of Industry of the Czech Republic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DDD" w:rsidRDefault="008D6DD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05C06"/>
    <w:multiLevelType w:val="hybridMultilevel"/>
    <w:tmpl w:val="D77C37C2"/>
    <w:lvl w:ilvl="0" w:tplc="1FC072A0">
      <w:start w:val="1"/>
      <w:numFmt w:val="bullet"/>
      <w:lvlText w:val=""/>
      <w:lvlJc w:val="left"/>
      <w:pPr>
        <w:ind w:left="1440" w:hanging="360"/>
      </w:pPr>
      <w:rPr>
        <w:rFonts w:ascii="Wingdings" w:eastAsiaTheme="majorEastAsia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2041073"/>
    <w:multiLevelType w:val="hybridMultilevel"/>
    <w:tmpl w:val="41967E0A"/>
    <w:lvl w:ilvl="0" w:tplc="2D70AC02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04D91785"/>
    <w:multiLevelType w:val="hybridMultilevel"/>
    <w:tmpl w:val="8B8C1200"/>
    <w:lvl w:ilvl="0" w:tplc="737E29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AF1073"/>
    <w:multiLevelType w:val="hybridMultilevel"/>
    <w:tmpl w:val="71B220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BD1078"/>
    <w:multiLevelType w:val="hybridMultilevel"/>
    <w:tmpl w:val="6EC61D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4002D5"/>
    <w:multiLevelType w:val="hybridMultilevel"/>
    <w:tmpl w:val="A46E79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2D17A4"/>
    <w:multiLevelType w:val="hybridMultilevel"/>
    <w:tmpl w:val="4BF43FF2"/>
    <w:lvl w:ilvl="0" w:tplc="04050003">
      <w:start w:val="1"/>
      <w:numFmt w:val="bullet"/>
      <w:lvlText w:val="o"/>
      <w:lvlJc w:val="left"/>
      <w:pPr>
        <w:ind w:left="247" w:hanging="360"/>
      </w:pPr>
      <w:rPr>
        <w:rFonts w:ascii="Courier New" w:hAnsi="Courier New" w:cs="Courier New" w:hint="default"/>
      </w:rPr>
    </w:lvl>
    <w:lvl w:ilvl="1" w:tplc="0405000B">
      <w:start w:val="1"/>
      <w:numFmt w:val="bullet"/>
      <w:lvlText w:val=""/>
      <w:lvlJc w:val="left"/>
      <w:pPr>
        <w:ind w:left="967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16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8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5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2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07" w:hanging="360"/>
      </w:pPr>
      <w:rPr>
        <w:rFonts w:ascii="Wingdings" w:hAnsi="Wingdings" w:hint="default"/>
      </w:rPr>
    </w:lvl>
  </w:abstractNum>
  <w:abstractNum w:abstractNumId="7">
    <w:nsid w:val="11BD35E9"/>
    <w:multiLevelType w:val="hybridMultilevel"/>
    <w:tmpl w:val="1E286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C14CB"/>
    <w:multiLevelType w:val="hybridMultilevel"/>
    <w:tmpl w:val="1E96CF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A95173"/>
    <w:multiLevelType w:val="hybridMultilevel"/>
    <w:tmpl w:val="D04457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227892"/>
    <w:multiLevelType w:val="hybridMultilevel"/>
    <w:tmpl w:val="DA384802"/>
    <w:lvl w:ilvl="0" w:tplc="8312B98E">
      <w:start w:val="1"/>
      <w:numFmt w:val="decimal"/>
      <w:lvlText w:val="%1."/>
      <w:lvlJc w:val="left"/>
      <w:pPr>
        <w:ind w:left="720" w:hanging="360"/>
      </w:pPr>
      <w:rPr>
        <w:rFonts w:cs="Arial"/>
        <w:i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371BD0"/>
    <w:multiLevelType w:val="singleLevel"/>
    <w:tmpl w:val="A920D91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/>
        <w:i w:val="0"/>
      </w:rPr>
    </w:lvl>
  </w:abstractNum>
  <w:abstractNum w:abstractNumId="12">
    <w:nsid w:val="1C190EF3"/>
    <w:multiLevelType w:val="hybridMultilevel"/>
    <w:tmpl w:val="BF58448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4A71DD"/>
    <w:multiLevelType w:val="multilevel"/>
    <w:tmpl w:val="0405001D"/>
    <w:styleLink w:val="Styl1"/>
    <w:lvl w:ilvl="0">
      <w:start w:val="1"/>
      <w:numFmt w:val="upperRoman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1DF74F48"/>
    <w:multiLevelType w:val="hybridMultilevel"/>
    <w:tmpl w:val="7DC09386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12C592B"/>
    <w:multiLevelType w:val="hybridMultilevel"/>
    <w:tmpl w:val="23F6D8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AC28BD"/>
    <w:multiLevelType w:val="hybridMultilevel"/>
    <w:tmpl w:val="5ED441A0"/>
    <w:lvl w:ilvl="0" w:tplc="61B6DAE6">
      <w:start w:val="1"/>
      <w:numFmt w:val="bullet"/>
      <w:lvlText w:val=""/>
      <w:lvlJc w:val="left"/>
      <w:pPr>
        <w:ind w:left="1440" w:hanging="360"/>
      </w:pPr>
      <w:rPr>
        <w:rFonts w:ascii="Wingdings" w:eastAsiaTheme="majorEastAsia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456260D"/>
    <w:multiLevelType w:val="hybridMultilevel"/>
    <w:tmpl w:val="126E77B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61B06AA"/>
    <w:multiLevelType w:val="hybridMultilevel"/>
    <w:tmpl w:val="A12C8706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>
    <w:nsid w:val="26315199"/>
    <w:multiLevelType w:val="hybridMultilevel"/>
    <w:tmpl w:val="BF58448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6A82BB0"/>
    <w:multiLevelType w:val="hybridMultilevel"/>
    <w:tmpl w:val="6F98B0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3D1956"/>
    <w:multiLevelType w:val="hybridMultilevel"/>
    <w:tmpl w:val="2E18C9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9402D89"/>
    <w:multiLevelType w:val="hybridMultilevel"/>
    <w:tmpl w:val="BF58448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955535D"/>
    <w:multiLevelType w:val="hybridMultilevel"/>
    <w:tmpl w:val="BF58448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9943B5C"/>
    <w:multiLevelType w:val="hybridMultilevel"/>
    <w:tmpl w:val="BF58448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B923BEE"/>
    <w:multiLevelType w:val="hybridMultilevel"/>
    <w:tmpl w:val="9C724A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D652DF6"/>
    <w:multiLevelType w:val="hybridMultilevel"/>
    <w:tmpl w:val="BF58448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0810F9F"/>
    <w:multiLevelType w:val="hybridMultilevel"/>
    <w:tmpl w:val="E03043D4"/>
    <w:lvl w:ilvl="0" w:tplc="908A955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1F497D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21E5FF8"/>
    <w:multiLevelType w:val="hybridMultilevel"/>
    <w:tmpl w:val="5DFADB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5263A59"/>
    <w:multiLevelType w:val="hybridMultilevel"/>
    <w:tmpl w:val="73B69F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70D1F05"/>
    <w:multiLevelType w:val="hybridMultilevel"/>
    <w:tmpl w:val="634A8E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7A85ADA"/>
    <w:multiLevelType w:val="hybridMultilevel"/>
    <w:tmpl w:val="5030B344"/>
    <w:lvl w:ilvl="0" w:tplc="04050003">
      <w:start w:val="1"/>
      <w:numFmt w:val="bullet"/>
      <w:lvlText w:val="o"/>
      <w:lvlJc w:val="left"/>
      <w:pPr>
        <w:ind w:left="247" w:hanging="360"/>
      </w:pPr>
      <w:rPr>
        <w:rFonts w:ascii="Courier New" w:hAnsi="Courier New" w:cs="Courier New" w:hint="default"/>
      </w:rPr>
    </w:lvl>
    <w:lvl w:ilvl="1" w:tplc="0405000B">
      <w:start w:val="1"/>
      <w:numFmt w:val="bullet"/>
      <w:lvlText w:val=""/>
      <w:lvlJc w:val="left"/>
      <w:pPr>
        <w:ind w:left="967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16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8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5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2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07" w:hanging="360"/>
      </w:pPr>
      <w:rPr>
        <w:rFonts w:ascii="Wingdings" w:hAnsi="Wingdings" w:hint="default"/>
      </w:rPr>
    </w:lvl>
  </w:abstractNum>
  <w:abstractNum w:abstractNumId="32">
    <w:nsid w:val="396473C8"/>
    <w:multiLevelType w:val="hybridMultilevel"/>
    <w:tmpl w:val="450441CE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39830AD0"/>
    <w:multiLevelType w:val="hybridMultilevel"/>
    <w:tmpl w:val="96FA7CA2"/>
    <w:lvl w:ilvl="0" w:tplc="43F0AF74">
      <w:numFmt w:val="bullet"/>
      <w:lvlText w:val="•"/>
      <w:lvlJc w:val="left"/>
      <w:pPr>
        <w:ind w:left="781" w:hanging="705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4">
    <w:nsid w:val="3F1304A6"/>
    <w:multiLevelType w:val="hybridMultilevel"/>
    <w:tmpl w:val="22406C6A"/>
    <w:lvl w:ilvl="0" w:tplc="04050003">
      <w:start w:val="1"/>
      <w:numFmt w:val="bullet"/>
      <w:lvlText w:val="o"/>
      <w:lvlJc w:val="left"/>
      <w:pPr>
        <w:ind w:left="247" w:hanging="360"/>
      </w:pPr>
      <w:rPr>
        <w:rFonts w:ascii="Courier New" w:hAnsi="Courier New" w:cs="Courier New" w:hint="default"/>
      </w:rPr>
    </w:lvl>
    <w:lvl w:ilvl="1" w:tplc="0405000B">
      <w:start w:val="1"/>
      <w:numFmt w:val="bullet"/>
      <w:lvlText w:val=""/>
      <w:lvlJc w:val="left"/>
      <w:pPr>
        <w:ind w:left="967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16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8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5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2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07" w:hanging="360"/>
      </w:pPr>
      <w:rPr>
        <w:rFonts w:ascii="Wingdings" w:hAnsi="Wingdings" w:hint="default"/>
      </w:rPr>
    </w:lvl>
  </w:abstractNum>
  <w:abstractNum w:abstractNumId="35">
    <w:nsid w:val="408456CB"/>
    <w:multiLevelType w:val="hybridMultilevel"/>
    <w:tmpl w:val="E3E42B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24D4581"/>
    <w:multiLevelType w:val="hybridMultilevel"/>
    <w:tmpl w:val="44A24B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43F7036"/>
    <w:multiLevelType w:val="hybridMultilevel"/>
    <w:tmpl w:val="116246A4"/>
    <w:lvl w:ilvl="0" w:tplc="0405000B">
      <w:start w:val="1"/>
      <w:numFmt w:val="bullet"/>
      <w:lvlText w:val=""/>
      <w:lvlJc w:val="left"/>
      <w:pPr>
        <w:ind w:left="247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96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6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8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5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2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07" w:hanging="360"/>
      </w:pPr>
      <w:rPr>
        <w:rFonts w:ascii="Wingdings" w:hAnsi="Wingdings" w:hint="default"/>
      </w:rPr>
    </w:lvl>
  </w:abstractNum>
  <w:abstractNum w:abstractNumId="38">
    <w:nsid w:val="46573FF2"/>
    <w:multiLevelType w:val="hybridMultilevel"/>
    <w:tmpl w:val="BF58448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9D6606C"/>
    <w:multiLevelType w:val="hybridMultilevel"/>
    <w:tmpl w:val="87F2E7BA"/>
    <w:lvl w:ilvl="0" w:tplc="23C0DD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B0958D6"/>
    <w:multiLevelType w:val="hybridMultilevel"/>
    <w:tmpl w:val="BF58448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68617DD"/>
    <w:multiLevelType w:val="multilevel"/>
    <w:tmpl w:val="0405001D"/>
    <w:numStyleLink w:val="Styl1"/>
  </w:abstractNum>
  <w:abstractNum w:abstractNumId="42">
    <w:nsid w:val="57186B4F"/>
    <w:multiLevelType w:val="hybridMultilevel"/>
    <w:tmpl w:val="AD7E67E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89B761F"/>
    <w:multiLevelType w:val="hybridMultilevel"/>
    <w:tmpl w:val="B3E86E32"/>
    <w:lvl w:ilvl="0" w:tplc="317AA5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A175DA1"/>
    <w:multiLevelType w:val="hybridMultilevel"/>
    <w:tmpl w:val="A5C88D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B36020F"/>
    <w:multiLevelType w:val="hybridMultilevel"/>
    <w:tmpl w:val="FB30EDD2"/>
    <w:lvl w:ilvl="0" w:tplc="ABAC58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C1601FF"/>
    <w:multiLevelType w:val="hybridMultilevel"/>
    <w:tmpl w:val="44A24B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D431582"/>
    <w:multiLevelType w:val="hybridMultilevel"/>
    <w:tmpl w:val="C3DA3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FCD7D59"/>
    <w:multiLevelType w:val="hybridMultilevel"/>
    <w:tmpl w:val="3B6E5DBE"/>
    <w:lvl w:ilvl="0" w:tplc="1FC072A0">
      <w:start w:val="1"/>
      <w:numFmt w:val="bullet"/>
      <w:lvlText w:val=""/>
      <w:lvlJc w:val="left"/>
      <w:pPr>
        <w:ind w:left="1440" w:hanging="360"/>
      </w:pPr>
      <w:rPr>
        <w:rFonts w:ascii="Wingdings" w:eastAsiaTheme="maj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>
    <w:nsid w:val="61A713B2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0">
    <w:nsid w:val="628438F4"/>
    <w:multiLevelType w:val="hybridMultilevel"/>
    <w:tmpl w:val="68BA182C"/>
    <w:lvl w:ilvl="0" w:tplc="3B9C553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>
    <w:nsid w:val="6A36620F"/>
    <w:multiLevelType w:val="hybridMultilevel"/>
    <w:tmpl w:val="BF58448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A656980"/>
    <w:multiLevelType w:val="hybridMultilevel"/>
    <w:tmpl w:val="580077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AF57F53"/>
    <w:multiLevelType w:val="hybridMultilevel"/>
    <w:tmpl w:val="9D122172"/>
    <w:lvl w:ilvl="0" w:tplc="56C076A8">
      <w:start w:val="1"/>
      <w:numFmt w:val="bullet"/>
      <w:lvlText w:val=""/>
      <w:lvlJc w:val="left"/>
      <w:pPr>
        <w:ind w:left="1440" w:hanging="360"/>
      </w:pPr>
      <w:rPr>
        <w:rFonts w:ascii="Wingdings" w:eastAsiaTheme="majorEastAsia" w:hAnsi="Wingdings" w:cs="Times New Roman" w:hint="default"/>
        <w:b/>
        <w:i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>
    <w:nsid w:val="6DBA55F5"/>
    <w:multiLevelType w:val="hybridMultilevel"/>
    <w:tmpl w:val="9D8A3164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>
    <w:nsid w:val="6F5A1069"/>
    <w:multiLevelType w:val="hybridMultilevel"/>
    <w:tmpl w:val="BF58448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F6E161E"/>
    <w:multiLevelType w:val="multilevel"/>
    <w:tmpl w:val="0409001D"/>
    <w:styleLink w:val="Style1"/>
    <w:lvl w:ilvl="0">
      <w:start w:val="2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>
    <w:nsid w:val="7C842562"/>
    <w:multiLevelType w:val="hybridMultilevel"/>
    <w:tmpl w:val="CF8264B4"/>
    <w:lvl w:ilvl="0" w:tplc="04050003">
      <w:start w:val="1"/>
      <w:numFmt w:val="bullet"/>
      <w:lvlText w:val="o"/>
      <w:lvlJc w:val="left"/>
      <w:pPr>
        <w:ind w:left="247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96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6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8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5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2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07" w:hanging="360"/>
      </w:pPr>
      <w:rPr>
        <w:rFonts w:ascii="Wingdings" w:hAnsi="Wingdings" w:hint="default"/>
      </w:rPr>
    </w:lvl>
  </w:abstractNum>
  <w:abstractNum w:abstractNumId="58">
    <w:nsid w:val="7DAB6F0F"/>
    <w:multiLevelType w:val="multilevel"/>
    <w:tmpl w:val="0409001D"/>
    <w:numStyleLink w:val="Style1"/>
  </w:abstractNum>
  <w:abstractNum w:abstractNumId="59">
    <w:nsid w:val="7F4E1CDF"/>
    <w:multiLevelType w:val="hybridMultilevel"/>
    <w:tmpl w:val="31447F10"/>
    <w:lvl w:ilvl="0" w:tplc="F886B8E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FE954E7"/>
    <w:multiLevelType w:val="hybridMultilevel"/>
    <w:tmpl w:val="D1A8AC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4"/>
  </w:num>
  <w:num w:numId="3">
    <w:abstractNumId w:val="59"/>
  </w:num>
  <w:num w:numId="4">
    <w:abstractNumId w:val="15"/>
  </w:num>
  <w:num w:numId="5">
    <w:abstractNumId w:val="7"/>
  </w:num>
  <w:num w:numId="6">
    <w:abstractNumId w:val="43"/>
  </w:num>
  <w:num w:numId="7">
    <w:abstractNumId w:val="5"/>
  </w:num>
  <w:num w:numId="8">
    <w:abstractNumId w:val="14"/>
  </w:num>
  <w:num w:numId="9">
    <w:abstractNumId w:val="33"/>
  </w:num>
  <w:num w:numId="10">
    <w:abstractNumId w:val="35"/>
  </w:num>
  <w:num w:numId="11">
    <w:abstractNumId w:val="18"/>
  </w:num>
  <w:num w:numId="12">
    <w:abstractNumId w:val="9"/>
  </w:num>
  <w:num w:numId="13">
    <w:abstractNumId w:val="39"/>
  </w:num>
  <w:num w:numId="14">
    <w:abstractNumId w:val="52"/>
  </w:num>
  <w:num w:numId="15">
    <w:abstractNumId w:val="2"/>
  </w:num>
  <w:num w:numId="16">
    <w:abstractNumId w:val="54"/>
  </w:num>
  <w:num w:numId="17">
    <w:abstractNumId w:val="17"/>
  </w:num>
  <w:num w:numId="18">
    <w:abstractNumId w:val="60"/>
  </w:num>
  <w:num w:numId="19">
    <w:abstractNumId w:val="8"/>
  </w:num>
  <w:num w:numId="20">
    <w:abstractNumId w:val="45"/>
  </w:num>
  <w:num w:numId="21">
    <w:abstractNumId w:val="50"/>
  </w:num>
  <w:num w:numId="22">
    <w:abstractNumId w:val="1"/>
  </w:num>
  <w:num w:numId="23">
    <w:abstractNumId w:val="42"/>
  </w:num>
  <w:num w:numId="24">
    <w:abstractNumId w:val="25"/>
  </w:num>
  <w:num w:numId="25">
    <w:abstractNumId w:val="10"/>
  </w:num>
  <w:num w:numId="26">
    <w:abstractNumId w:val="28"/>
  </w:num>
  <w:num w:numId="27">
    <w:abstractNumId w:val="13"/>
  </w:num>
  <w:num w:numId="28">
    <w:abstractNumId w:val="41"/>
  </w:num>
  <w:num w:numId="29">
    <w:abstractNumId w:val="46"/>
  </w:num>
  <w:num w:numId="30">
    <w:abstractNumId w:val="55"/>
  </w:num>
  <w:num w:numId="31">
    <w:abstractNumId w:val="36"/>
  </w:num>
  <w:num w:numId="32">
    <w:abstractNumId w:val="12"/>
  </w:num>
  <w:num w:numId="33">
    <w:abstractNumId w:val="24"/>
  </w:num>
  <w:num w:numId="34">
    <w:abstractNumId w:val="22"/>
  </w:num>
  <w:num w:numId="35">
    <w:abstractNumId w:val="26"/>
  </w:num>
  <w:num w:numId="36">
    <w:abstractNumId w:val="40"/>
  </w:num>
  <w:num w:numId="37">
    <w:abstractNumId w:val="38"/>
  </w:num>
  <w:num w:numId="38">
    <w:abstractNumId w:val="23"/>
  </w:num>
  <w:num w:numId="39">
    <w:abstractNumId w:val="47"/>
  </w:num>
  <w:num w:numId="40">
    <w:abstractNumId w:val="51"/>
  </w:num>
  <w:num w:numId="41">
    <w:abstractNumId w:val="19"/>
  </w:num>
  <w:num w:numId="42">
    <w:abstractNumId w:val="20"/>
  </w:num>
  <w:num w:numId="43">
    <w:abstractNumId w:val="30"/>
  </w:num>
  <w:num w:numId="44">
    <w:abstractNumId w:val="27"/>
  </w:num>
  <w:num w:numId="45">
    <w:abstractNumId w:val="53"/>
  </w:num>
  <w:num w:numId="46">
    <w:abstractNumId w:val="16"/>
  </w:num>
  <w:num w:numId="47">
    <w:abstractNumId w:val="0"/>
  </w:num>
  <w:num w:numId="48">
    <w:abstractNumId w:val="56"/>
  </w:num>
  <w:num w:numId="49">
    <w:abstractNumId w:val="58"/>
  </w:num>
  <w:num w:numId="50">
    <w:abstractNumId w:val="48"/>
  </w:num>
  <w:num w:numId="51">
    <w:abstractNumId w:val="32"/>
  </w:num>
  <w:num w:numId="52">
    <w:abstractNumId w:val="11"/>
  </w:num>
  <w:num w:numId="53">
    <w:abstractNumId w:val="44"/>
  </w:num>
  <w:num w:numId="54">
    <w:abstractNumId w:val="21"/>
  </w:num>
  <w:num w:numId="55">
    <w:abstractNumId w:val="29"/>
  </w:num>
  <w:num w:numId="56">
    <w:abstractNumId w:val="3"/>
  </w:num>
  <w:num w:numId="57">
    <w:abstractNumId w:val="57"/>
  </w:num>
  <w:num w:numId="58">
    <w:abstractNumId w:val="31"/>
  </w:num>
  <w:num w:numId="59">
    <w:abstractNumId w:val="37"/>
  </w:num>
  <w:num w:numId="60">
    <w:abstractNumId w:val="34"/>
  </w:num>
  <w:num w:numId="61">
    <w:abstractNumId w:val="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4D4"/>
    <w:rsid w:val="00015A35"/>
    <w:rsid w:val="00017299"/>
    <w:rsid w:val="000219A4"/>
    <w:rsid w:val="00021C2F"/>
    <w:rsid w:val="00023CE9"/>
    <w:rsid w:val="00037877"/>
    <w:rsid w:val="00050217"/>
    <w:rsid w:val="000538FC"/>
    <w:rsid w:val="00065012"/>
    <w:rsid w:val="000701BE"/>
    <w:rsid w:val="000B4A7B"/>
    <w:rsid w:val="000B7DB9"/>
    <w:rsid w:val="000C4A33"/>
    <w:rsid w:val="000C6126"/>
    <w:rsid w:val="000E143A"/>
    <w:rsid w:val="000E4004"/>
    <w:rsid w:val="000E5B91"/>
    <w:rsid w:val="000F26E5"/>
    <w:rsid w:val="000F4612"/>
    <w:rsid w:val="001050A4"/>
    <w:rsid w:val="001054D1"/>
    <w:rsid w:val="00106675"/>
    <w:rsid w:val="00112E85"/>
    <w:rsid w:val="001227D9"/>
    <w:rsid w:val="00130D48"/>
    <w:rsid w:val="001378E9"/>
    <w:rsid w:val="00145BC5"/>
    <w:rsid w:val="001463FF"/>
    <w:rsid w:val="00156697"/>
    <w:rsid w:val="00173D1F"/>
    <w:rsid w:val="00177B0F"/>
    <w:rsid w:val="0019279B"/>
    <w:rsid w:val="001A2C52"/>
    <w:rsid w:val="001C002A"/>
    <w:rsid w:val="001C3F11"/>
    <w:rsid w:val="001C722C"/>
    <w:rsid w:val="001D0263"/>
    <w:rsid w:val="001E310E"/>
    <w:rsid w:val="001E6CD7"/>
    <w:rsid w:val="001F50C4"/>
    <w:rsid w:val="001F5E2B"/>
    <w:rsid w:val="002016BE"/>
    <w:rsid w:val="0020289B"/>
    <w:rsid w:val="002433E8"/>
    <w:rsid w:val="002551C2"/>
    <w:rsid w:val="00271CF1"/>
    <w:rsid w:val="00273377"/>
    <w:rsid w:val="002A0C28"/>
    <w:rsid w:val="002A220B"/>
    <w:rsid w:val="002A3D04"/>
    <w:rsid w:val="002A608A"/>
    <w:rsid w:val="002A761C"/>
    <w:rsid w:val="002F7D3B"/>
    <w:rsid w:val="003012DE"/>
    <w:rsid w:val="003134A4"/>
    <w:rsid w:val="00317509"/>
    <w:rsid w:val="00321331"/>
    <w:rsid w:val="003235CC"/>
    <w:rsid w:val="0032636B"/>
    <w:rsid w:val="0033338F"/>
    <w:rsid w:val="0036516B"/>
    <w:rsid w:val="00367D14"/>
    <w:rsid w:val="00374A21"/>
    <w:rsid w:val="00380519"/>
    <w:rsid w:val="0038674E"/>
    <w:rsid w:val="00395336"/>
    <w:rsid w:val="00395BE6"/>
    <w:rsid w:val="00396EF8"/>
    <w:rsid w:val="003A365C"/>
    <w:rsid w:val="003B2382"/>
    <w:rsid w:val="003D36AC"/>
    <w:rsid w:val="003E44AE"/>
    <w:rsid w:val="003F0BF5"/>
    <w:rsid w:val="00404034"/>
    <w:rsid w:val="004124F3"/>
    <w:rsid w:val="00423BD2"/>
    <w:rsid w:val="00425617"/>
    <w:rsid w:val="00430101"/>
    <w:rsid w:val="00430753"/>
    <w:rsid w:val="004320C0"/>
    <w:rsid w:val="004626C4"/>
    <w:rsid w:val="0047565B"/>
    <w:rsid w:val="004841E2"/>
    <w:rsid w:val="0049088B"/>
    <w:rsid w:val="00493269"/>
    <w:rsid w:val="004A072B"/>
    <w:rsid w:val="004A2979"/>
    <w:rsid w:val="004B1F8E"/>
    <w:rsid w:val="004B1FB4"/>
    <w:rsid w:val="004C3388"/>
    <w:rsid w:val="004D7E6A"/>
    <w:rsid w:val="004E22D2"/>
    <w:rsid w:val="004E5059"/>
    <w:rsid w:val="004E5E29"/>
    <w:rsid w:val="00500ABF"/>
    <w:rsid w:val="0050201F"/>
    <w:rsid w:val="00502B84"/>
    <w:rsid w:val="0050763B"/>
    <w:rsid w:val="00507AC8"/>
    <w:rsid w:val="005161BE"/>
    <w:rsid w:val="00517D8E"/>
    <w:rsid w:val="00531375"/>
    <w:rsid w:val="00557627"/>
    <w:rsid w:val="0056247D"/>
    <w:rsid w:val="00580723"/>
    <w:rsid w:val="00587D54"/>
    <w:rsid w:val="00595469"/>
    <w:rsid w:val="005B3710"/>
    <w:rsid w:val="005B52DA"/>
    <w:rsid w:val="005D20DE"/>
    <w:rsid w:val="005D7811"/>
    <w:rsid w:val="005E2D61"/>
    <w:rsid w:val="005F0EF5"/>
    <w:rsid w:val="005F451A"/>
    <w:rsid w:val="006472CD"/>
    <w:rsid w:val="00680397"/>
    <w:rsid w:val="00697F81"/>
    <w:rsid w:val="006A7A3D"/>
    <w:rsid w:val="006C1FDC"/>
    <w:rsid w:val="006C339F"/>
    <w:rsid w:val="006C7651"/>
    <w:rsid w:val="006D1B07"/>
    <w:rsid w:val="006D677E"/>
    <w:rsid w:val="006E14D4"/>
    <w:rsid w:val="00731A41"/>
    <w:rsid w:val="0073233C"/>
    <w:rsid w:val="00743C69"/>
    <w:rsid w:val="007460BB"/>
    <w:rsid w:val="00751DF6"/>
    <w:rsid w:val="0075212F"/>
    <w:rsid w:val="007604C1"/>
    <w:rsid w:val="00780E49"/>
    <w:rsid w:val="007918E2"/>
    <w:rsid w:val="007931E9"/>
    <w:rsid w:val="00796241"/>
    <w:rsid w:val="007A01BB"/>
    <w:rsid w:val="007A697F"/>
    <w:rsid w:val="007D5038"/>
    <w:rsid w:val="007E5B0B"/>
    <w:rsid w:val="007E7C7C"/>
    <w:rsid w:val="007F3509"/>
    <w:rsid w:val="00801A06"/>
    <w:rsid w:val="00804651"/>
    <w:rsid w:val="00835DE1"/>
    <w:rsid w:val="00840C14"/>
    <w:rsid w:val="00841AE1"/>
    <w:rsid w:val="008606EE"/>
    <w:rsid w:val="00863A5F"/>
    <w:rsid w:val="00866E61"/>
    <w:rsid w:val="00890B4B"/>
    <w:rsid w:val="008A3114"/>
    <w:rsid w:val="008A6424"/>
    <w:rsid w:val="008B081E"/>
    <w:rsid w:val="008C1D76"/>
    <w:rsid w:val="008C6730"/>
    <w:rsid w:val="008D6DDD"/>
    <w:rsid w:val="008E41D4"/>
    <w:rsid w:val="008F4056"/>
    <w:rsid w:val="008F4168"/>
    <w:rsid w:val="008F4982"/>
    <w:rsid w:val="00912B1A"/>
    <w:rsid w:val="009304EF"/>
    <w:rsid w:val="00930E8B"/>
    <w:rsid w:val="009342C4"/>
    <w:rsid w:val="0094012F"/>
    <w:rsid w:val="009522CC"/>
    <w:rsid w:val="009602ED"/>
    <w:rsid w:val="0096418F"/>
    <w:rsid w:val="0096714F"/>
    <w:rsid w:val="00971535"/>
    <w:rsid w:val="00982ECF"/>
    <w:rsid w:val="00984E2D"/>
    <w:rsid w:val="00995C1B"/>
    <w:rsid w:val="00995F3B"/>
    <w:rsid w:val="009B4A41"/>
    <w:rsid w:val="009B6E2E"/>
    <w:rsid w:val="009E3147"/>
    <w:rsid w:val="009E36E8"/>
    <w:rsid w:val="00A02AFE"/>
    <w:rsid w:val="00A07325"/>
    <w:rsid w:val="00A13658"/>
    <w:rsid w:val="00A3240E"/>
    <w:rsid w:val="00A4288C"/>
    <w:rsid w:val="00A53A8F"/>
    <w:rsid w:val="00A54409"/>
    <w:rsid w:val="00A65856"/>
    <w:rsid w:val="00A708B9"/>
    <w:rsid w:val="00A7726A"/>
    <w:rsid w:val="00A81D53"/>
    <w:rsid w:val="00A8273A"/>
    <w:rsid w:val="00A93AC2"/>
    <w:rsid w:val="00AA2827"/>
    <w:rsid w:val="00AB135B"/>
    <w:rsid w:val="00B03BB9"/>
    <w:rsid w:val="00B11D72"/>
    <w:rsid w:val="00B1369D"/>
    <w:rsid w:val="00B20063"/>
    <w:rsid w:val="00B22614"/>
    <w:rsid w:val="00B240F0"/>
    <w:rsid w:val="00B41D3F"/>
    <w:rsid w:val="00B445BF"/>
    <w:rsid w:val="00B47314"/>
    <w:rsid w:val="00B6410D"/>
    <w:rsid w:val="00B65A76"/>
    <w:rsid w:val="00B66DD8"/>
    <w:rsid w:val="00B702C9"/>
    <w:rsid w:val="00B720B5"/>
    <w:rsid w:val="00B83705"/>
    <w:rsid w:val="00B855A3"/>
    <w:rsid w:val="00B86613"/>
    <w:rsid w:val="00B868CB"/>
    <w:rsid w:val="00B94002"/>
    <w:rsid w:val="00BB671F"/>
    <w:rsid w:val="00BD1085"/>
    <w:rsid w:val="00BE12D7"/>
    <w:rsid w:val="00BF0F30"/>
    <w:rsid w:val="00BF1E9A"/>
    <w:rsid w:val="00BF608F"/>
    <w:rsid w:val="00C00C6F"/>
    <w:rsid w:val="00C220A9"/>
    <w:rsid w:val="00C271E7"/>
    <w:rsid w:val="00C30FC7"/>
    <w:rsid w:val="00C338FA"/>
    <w:rsid w:val="00C36742"/>
    <w:rsid w:val="00C62AEC"/>
    <w:rsid w:val="00C653DA"/>
    <w:rsid w:val="00C65CA9"/>
    <w:rsid w:val="00C85991"/>
    <w:rsid w:val="00C9219D"/>
    <w:rsid w:val="00C9242E"/>
    <w:rsid w:val="00CA2AEC"/>
    <w:rsid w:val="00CA33E7"/>
    <w:rsid w:val="00CA5340"/>
    <w:rsid w:val="00CC215A"/>
    <w:rsid w:val="00CC4928"/>
    <w:rsid w:val="00CC4CC3"/>
    <w:rsid w:val="00CE5C0C"/>
    <w:rsid w:val="00CF29F8"/>
    <w:rsid w:val="00D03ECC"/>
    <w:rsid w:val="00D45A7C"/>
    <w:rsid w:val="00D47ACE"/>
    <w:rsid w:val="00D50298"/>
    <w:rsid w:val="00D56E7E"/>
    <w:rsid w:val="00D6020C"/>
    <w:rsid w:val="00D67C91"/>
    <w:rsid w:val="00D72578"/>
    <w:rsid w:val="00D74A61"/>
    <w:rsid w:val="00D959CA"/>
    <w:rsid w:val="00D97E53"/>
    <w:rsid w:val="00DD5BFB"/>
    <w:rsid w:val="00DD7281"/>
    <w:rsid w:val="00DE1906"/>
    <w:rsid w:val="00DE1CDB"/>
    <w:rsid w:val="00DF1431"/>
    <w:rsid w:val="00E10E5E"/>
    <w:rsid w:val="00E42CAA"/>
    <w:rsid w:val="00E45824"/>
    <w:rsid w:val="00E81FCE"/>
    <w:rsid w:val="00E82C4A"/>
    <w:rsid w:val="00E84F88"/>
    <w:rsid w:val="00E8793E"/>
    <w:rsid w:val="00E90030"/>
    <w:rsid w:val="00E91520"/>
    <w:rsid w:val="00E9172E"/>
    <w:rsid w:val="00EB4FC1"/>
    <w:rsid w:val="00EB74EB"/>
    <w:rsid w:val="00ED2F07"/>
    <w:rsid w:val="00ED3878"/>
    <w:rsid w:val="00EF5ED0"/>
    <w:rsid w:val="00EF65E4"/>
    <w:rsid w:val="00EF7153"/>
    <w:rsid w:val="00F008EF"/>
    <w:rsid w:val="00F12A31"/>
    <w:rsid w:val="00F209E6"/>
    <w:rsid w:val="00F41F64"/>
    <w:rsid w:val="00F5649E"/>
    <w:rsid w:val="00F7070D"/>
    <w:rsid w:val="00F70DE9"/>
    <w:rsid w:val="00F83B30"/>
    <w:rsid w:val="00F83FE1"/>
    <w:rsid w:val="00F87773"/>
    <w:rsid w:val="00F87FEC"/>
    <w:rsid w:val="00FA6970"/>
    <w:rsid w:val="00FC3DB1"/>
    <w:rsid w:val="00FC4591"/>
    <w:rsid w:val="00FD089F"/>
    <w:rsid w:val="00FE25C3"/>
    <w:rsid w:val="00FE28A6"/>
    <w:rsid w:val="00FE4FC1"/>
    <w:rsid w:val="00FF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841E2"/>
  </w:style>
  <w:style w:type="paragraph" w:styleId="Nadpis1">
    <w:name w:val="heading 1"/>
    <w:basedOn w:val="Normln"/>
    <w:next w:val="Normln"/>
    <w:qFormat/>
    <w:rsid w:val="004841E2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4841E2"/>
    <w:pPr>
      <w:keepNext/>
      <w:jc w:val="both"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4841E2"/>
    <w:rPr>
      <w:color w:val="0000FF"/>
      <w:u w:val="single"/>
    </w:rPr>
  </w:style>
  <w:style w:type="paragraph" w:styleId="Zhlav">
    <w:name w:val="header"/>
    <w:basedOn w:val="Normln"/>
    <w:rsid w:val="004841E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841E2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840C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patChar">
    <w:name w:val="Zápatí Char"/>
    <w:basedOn w:val="Standardnpsmoodstavce"/>
    <w:link w:val="Zpat"/>
    <w:uiPriority w:val="99"/>
    <w:rsid w:val="00B94002"/>
  </w:style>
  <w:style w:type="paragraph" w:styleId="Odstavecseseznamem">
    <w:name w:val="List Paragraph"/>
    <w:basedOn w:val="Normln"/>
    <w:uiPriority w:val="34"/>
    <w:qFormat/>
    <w:rsid w:val="001C002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B03BB9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B03BB9"/>
    <w:rPr>
      <w:rFonts w:ascii="Consolas" w:eastAsiaTheme="minorHAnsi" w:hAnsi="Consolas" w:cstheme="minorBidi"/>
      <w:sz w:val="21"/>
      <w:szCs w:val="21"/>
      <w:lang w:eastAsia="en-US"/>
    </w:rPr>
  </w:style>
  <w:style w:type="paragraph" w:styleId="Bezmezer">
    <w:name w:val="No Spacing"/>
    <w:uiPriority w:val="1"/>
    <w:qFormat/>
    <w:rsid w:val="00367D14"/>
    <w:rPr>
      <w:rFonts w:ascii="Calibri" w:hAnsi="Calibri"/>
      <w:sz w:val="22"/>
      <w:szCs w:val="22"/>
    </w:rPr>
  </w:style>
  <w:style w:type="numbering" w:customStyle="1" w:styleId="Styl1">
    <w:name w:val="Styl1"/>
    <w:uiPriority w:val="99"/>
    <w:rsid w:val="008F4982"/>
    <w:pPr>
      <w:numPr>
        <w:numId w:val="27"/>
      </w:numPr>
    </w:pPr>
  </w:style>
  <w:style w:type="paragraph" w:customStyle="1" w:styleId="text">
    <w:name w:val="text"/>
    <w:basedOn w:val="Normln"/>
    <w:link w:val="textChar"/>
    <w:uiPriority w:val="99"/>
    <w:qFormat/>
    <w:rsid w:val="00E91520"/>
    <w:pPr>
      <w:autoSpaceDE w:val="0"/>
      <w:autoSpaceDN w:val="0"/>
      <w:adjustRightInd w:val="0"/>
      <w:jc w:val="both"/>
    </w:pPr>
    <w:rPr>
      <w:rFonts w:eastAsia="MS Mincho"/>
      <w:sz w:val="24"/>
      <w:szCs w:val="24"/>
      <w:lang w:eastAsia="en-US"/>
    </w:rPr>
  </w:style>
  <w:style w:type="character" w:customStyle="1" w:styleId="textChar">
    <w:name w:val="text Char"/>
    <w:basedOn w:val="Standardnpsmoodstavce"/>
    <w:link w:val="text"/>
    <w:rsid w:val="00E91520"/>
    <w:rPr>
      <w:rFonts w:eastAsia="MS Mincho"/>
      <w:sz w:val="24"/>
      <w:szCs w:val="24"/>
      <w:lang w:eastAsia="en-US"/>
    </w:rPr>
  </w:style>
  <w:style w:type="paragraph" w:styleId="Textkomente">
    <w:name w:val="annotation text"/>
    <w:basedOn w:val="Normln"/>
    <w:link w:val="CommentTextChar"/>
    <w:uiPriority w:val="99"/>
    <w:rsid w:val="005D7811"/>
  </w:style>
  <w:style w:type="character" w:customStyle="1" w:styleId="CommentTextChar">
    <w:name w:val="Comment Text Char"/>
    <w:basedOn w:val="Standardnpsmoodstavce"/>
    <w:link w:val="Textkomente"/>
    <w:uiPriority w:val="99"/>
    <w:rsid w:val="005D7811"/>
  </w:style>
  <w:style w:type="paragraph" w:styleId="Textpoznpodarou">
    <w:name w:val="footnote text"/>
    <w:basedOn w:val="Normln"/>
    <w:link w:val="FootnoteTextChar"/>
    <w:uiPriority w:val="99"/>
    <w:unhideWhenUsed/>
    <w:rsid w:val="005D7811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FootnoteTextChar">
    <w:name w:val="Footnote Text Char"/>
    <w:basedOn w:val="Standardnpsmoodstavce"/>
    <w:link w:val="Textpoznpodarou"/>
    <w:uiPriority w:val="99"/>
    <w:rsid w:val="005D7811"/>
  </w:style>
  <w:style w:type="character" w:styleId="Znakapoznpodarou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"/>
    <w:basedOn w:val="Standardnpsmoodstavce"/>
    <w:uiPriority w:val="99"/>
    <w:unhideWhenUsed/>
    <w:rsid w:val="005D7811"/>
    <w:rPr>
      <w:vertAlign w:val="superscript"/>
    </w:rPr>
  </w:style>
  <w:style w:type="paragraph" w:styleId="Textbubliny">
    <w:name w:val="Balloon Text"/>
    <w:basedOn w:val="Normln"/>
    <w:link w:val="BalloonTextChar"/>
    <w:rsid w:val="00A3240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Standardnpsmoodstavce"/>
    <w:link w:val="Textbubliny"/>
    <w:rsid w:val="00A3240E"/>
    <w:rPr>
      <w:rFonts w:ascii="Lucida Grande" w:hAnsi="Lucida Grande" w:cs="Lucida Grande"/>
      <w:sz w:val="18"/>
      <w:szCs w:val="18"/>
    </w:rPr>
  </w:style>
  <w:style w:type="numbering" w:customStyle="1" w:styleId="Style1">
    <w:name w:val="Style1"/>
    <w:uiPriority w:val="99"/>
    <w:rsid w:val="007F3509"/>
    <w:pPr>
      <w:numPr>
        <w:numId w:val="48"/>
      </w:numPr>
    </w:pPr>
  </w:style>
  <w:style w:type="paragraph" w:customStyle="1" w:styleId="ListParagraph1">
    <w:name w:val="List Paragraph1"/>
    <w:basedOn w:val="Normln"/>
    <w:uiPriority w:val="99"/>
    <w:rsid w:val="004320C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uiPriority w:val="99"/>
    <w:rsid w:val="004320C0"/>
    <w:pPr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odstavec">
    <w:name w:val="odstavec"/>
    <w:basedOn w:val="Normln"/>
    <w:uiPriority w:val="99"/>
    <w:rsid w:val="00CA33E7"/>
    <w:pPr>
      <w:spacing w:before="120"/>
      <w:ind w:firstLine="482"/>
      <w:jc w:val="both"/>
    </w:pPr>
    <w:rPr>
      <w:noProof/>
      <w:sz w:val="24"/>
      <w:szCs w:val="24"/>
    </w:rPr>
  </w:style>
  <w:style w:type="paragraph" w:customStyle="1" w:styleId="DZ">
    <w:name w:val="DZ"/>
    <w:basedOn w:val="Normln"/>
    <w:link w:val="DZChar"/>
    <w:uiPriority w:val="99"/>
    <w:rsid w:val="00CA33E7"/>
    <w:pPr>
      <w:keepNext/>
      <w:spacing w:before="120"/>
      <w:jc w:val="both"/>
      <w:outlineLvl w:val="0"/>
    </w:pPr>
    <w:rPr>
      <w:rFonts w:ascii="Arial" w:hAnsi="Arial"/>
      <w:color w:val="0000FF"/>
      <w:sz w:val="24"/>
    </w:rPr>
  </w:style>
  <w:style w:type="character" w:customStyle="1" w:styleId="DZChar">
    <w:name w:val="DZ Char"/>
    <w:link w:val="DZ"/>
    <w:uiPriority w:val="99"/>
    <w:locked/>
    <w:rsid w:val="00CA33E7"/>
    <w:rPr>
      <w:rFonts w:ascii="Arial" w:hAnsi="Arial"/>
      <w:color w:val="0000FF"/>
      <w:sz w:val="24"/>
    </w:rPr>
  </w:style>
  <w:style w:type="paragraph" w:customStyle="1" w:styleId="psmeno">
    <w:name w:val="písmeno"/>
    <w:basedOn w:val="slovanseznam"/>
    <w:uiPriority w:val="99"/>
    <w:rsid w:val="00CA33E7"/>
    <w:pPr>
      <w:tabs>
        <w:tab w:val="clear" w:pos="567"/>
        <w:tab w:val="left" w:pos="357"/>
      </w:tabs>
      <w:ind w:left="357" w:hanging="357"/>
      <w:contextualSpacing w:val="0"/>
      <w:jc w:val="both"/>
    </w:pPr>
    <w:rPr>
      <w:noProof/>
      <w:sz w:val="24"/>
      <w:szCs w:val="24"/>
      <w:lang w:val="en-US"/>
    </w:rPr>
  </w:style>
  <w:style w:type="paragraph" w:customStyle="1" w:styleId="Novelizanbod">
    <w:name w:val="Novelizační bod"/>
    <w:basedOn w:val="Normln"/>
    <w:next w:val="Normln"/>
    <w:link w:val="NovelizanbodChar"/>
    <w:uiPriority w:val="99"/>
    <w:rsid w:val="00CA33E7"/>
    <w:pPr>
      <w:keepNext/>
      <w:keepLines/>
      <w:numPr>
        <w:numId w:val="52"/>
      </w:numPr>
      <w:tabs>
        <w:tab w:val="left" w:pos="851"/>
      </w:tabs>
      <w:spacing w:before="480" w:after="120"/>
      <w:jc w:val="both"/>
    </w:pPr>
    <w:rPr>
      <w:sz w:val="24"/>
      <w:lang w:eastAsia="en-GB"/>
    </w:rPr>
  </w:style>
  <w:style w:type="character" w:customStyle="1" w:styleId="NovelizanbodChar">
    <w:name w:val="Novelizační bod Char"/>
    <w:link w:val="Novelizanbod"/>
    <w:uiPriority w:val="99"/>
    <w:locked/>
    <w:rsid w:val="00CA33E7"/>
    <w:rPr>
      <w:sz w:val="24"/>
      <w:lang w:eastAsia="en-GB"/>
    </w:rPr>
  </w:style>
  <w:style w:type="paragraph" w:styleId="slovanseznam">
    <w:name w:val="List Number"/>
    <w:basedOn w:val="Normln"/>
    <w:rsid w:val="00CA33E7"/>
    <w:pPr>
      <w:tabs>
        <w:tab w:val="num" w:pos="567"/>
      </w:tabs>
      <w:ind w:left="567" w:hanging="567"/>
      <w:contextualSpacing/>
    </w:pPr>
  </w:style>
  <w:style w:type="character" w:customStyle="1" w:styleId="tituleknadpisu">
    <w:name w:val="titulek nadpisu"/>
    <w:rsid w:val="00595469"/>
    <w:rPr>
      <w:b/>
    </w:rPr>
  </w:style>
  <w:style w:type="paragraph" w:customStyle="1" w:styleId="ZKON">
    <w:name w:val="ZÁKON"/>
    <w:basedOn w:val="Normln"/>
    <w:next w:val="nadpiszkona"/>
    <w:uiPriority w:val="99"/>
    <w:rsid w:val="00796241"/>
    <w:pPr>
      <w:keepNext/>
      <w:keepLines/>
      <w:jc w:val="center"/>
      <w:outlineLvl w:val="0"/>
    </w:pPr>
    <w:rPr>
      <w:b/>
      <w:caps/>
      <w:sz w:val="24"/>
      <w:lang w:eastAsia="en-GB"/>
    </w:rPr>
  </w:style>
  <w:style w:type="paragraph" w:customStyle="1" w:styleId="nadpiszkona">
    <w:name w:val="nadpis zákona"/>
    <w:basedOn w:val="Normln"/>
    <w:next w:val="Normln"/>
    <w:uiPriority w:val="99"/>
    <w:rsid w:val="00796241"/>
    <w:pPr>
      <w:keepNext/>
      <w:keepLines/>
      <w:spacing w:before="120"/>
      <w:jc w:val="center"/>
      <w:outlineLvl w:val="0"/>
    </w:pPr>
    <w:rPr>
      <w:b/>
      <w:sz w:val="24"/>
      <w:lang w:eastAsia="en-GB"/>
    </w:rPr>
  </w:style>
  <w:style w:type="paragraph" w:customStyle="1" w:styleId="Nvrh">
    <w:name w:val="Návrh"/>
    <w:basedOn w:val="Normln"/>
    <w:next w:val="ZKON"/>
    <w:uiPriority w:val="99"/>
    <w:rsid w:val="00796241"/>
    <w:pPr>
      <w:keepNext/>
      <w:keepLines/>
      <w:spacing w:after="240"/>
      <w:jc w:val="center"/>
      <w:outlineLvl w:val="0"/>
    </w:pPr>
    <w:rPr>
      <w:spacing w:val="40"/>
      <w:sz w:val="24"/>
      <w:lang w:eastAsia="en-GB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0F26E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ulek">
    <w:name w:val="caption"/>
    <w:basedOn w:val="Normln"/>
    <w:next w:val="Normln"/>
    <w:qFormat/>
    <w:rsid w:val="00C271E7"/>
    <w:pPr>
      <w:spacing w:before="360" w:after="240"/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841E2"/>
  </w:style>
  <w:style w:type="paragraph" w:styleId="Nadpis1">
    <w:name w:val="heading 1"/>
    <w:basedOn w:val="Normln"/>
    <w:next w:val="Normln"/>
    <w:qFormat/>
    <w:rsid w:val="004841E2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4841E2"/>
    <w:pPr>
      <w:keepNext/>
      <w:jc w:val="both"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4841E2"/>
    <w:rPr>
      <w:color w:val="0000FF"/>
      <w:u w:val="single"/>
    </w:rPr>
  </w:style>
  <w:style w:type="paragraph" w:styleId="Zhlav">
    <w:name w:val="header"/>
    <w:basedOn w:val="Normln"/>
    <w:rsid w:val="004841E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841E2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840C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patChar">
    <w:name w:val="Zápatí Char"/>
    <w:basedOn w:val="Standardnpsmoodstavce"/>
    <w:link w:val="Zpat"/>
    <w:uiPriority w:val="99"/>
    <w:rsid w:val="00B94002"/>
  </w:style>
  <w:style w:type="paragraph" w:styleId="Odstavecseseznamem">
    <w:name w:val="List Paragraph"/>
    <w:basedOn w:val="Normln"/>
    <w:uiPriority w:val="34"/>
    <w:qFormat/>
    <w:rsid w:val="001C002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B03BB9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B03BB9"/>
    <w:rPr>
      <w:rFonts w:ascii="Consolas" w:eastAsiaTheme="minorHAnsi" w:hAnsi="Consolas" w:cstheme="minorBidi"/>
      <w:sz w:val="21"/>
      <w:szCs w:val="21"/>
      <w:lang w:eastAsia="en-US"/>
    </w:rPr>
  </w:style>
  <w:style w:type="paragraph" w:styleId="Bezmezer">
    <w:name w:val="No Spacing"/>
    <w:uiPriority w:val="1"/>
    <w:qFormat/>
    <w:rsid w:val="00367D14"/>
    <w:rPr>
      <w:rFonts w:ascii="Calibri" w:hAnsi="Calibri"/>
      <w:sz w:val="22"/>
      <w:szCs w:val="22"/>
    </w:rPr>
  </w:style>
  <w:style w:type="numbering" w:customStyle="1" w:styleId="Styl1">
    <w:name w:val="Styl1"/>
    <w:uiPriority w:val="99"/>
    <w:rsid w:val="008F4982"/>
    <w:pPr>
      <w:numPr>
        <w:numId w:val="27"/>
      </w:numPr>
    </w:pPr>
  </w:style>
  <w:style w:type="paragraph" w:customStyle="1" w:styleId="text">
    <w:name w:val="text"/>
    <w:basedOn w:val="Normln"/>
    <w:link w:val="textChar"/>
    <w:uiPriority w:val="99"/>
    <w:qFormat/>
    <w:rsid w:val="00E91520"/>
    <w:pPr>
      <w:autoSpaceDE w:val="0"/>
      <w:autoSpaceDN w:val="0"/>
      <w:adjustRightInd w:val="0"/>
      <w:jc w:val="both"/>
    </w:pPr>
    <w:rPr>
      <w:rFonts w:eastAsia="MS Mincho"/>
      <w:sz w:val="24"/>
      <w:szCs w:val="24"/>
      <w:lang w:eastAsia="en-US"/>
    </w:rPr>
  </w:style>
  <w:style w:type="character" w:customStyle="1" w:styleId="textChar">
    <w:name w:val="text Char"/>
    <w:basedOn w:val="Standardnpsmoodstavce"/>
    <w:link w:val="text"/>
    <w:rsid w:val="00E91520"/>
    <w:rPr>
      <w:rFonts w:eastAsia="MS Mincho"/>
      <w:sz w:val="24"/>
      <w:szCs w:val="24"/>
      <w:lang w:eastAsia="en-US"/>
    </w:rPr>
  </w:style>
  <w:style w:type="paragraph" w:styleId="Textkomente">
    <w:name w:val="annotation text"/>
    <w:basedOn w:val="Normln"/>
    <w:link w:val="CommentTextChar"/>
    <w:uiPriority w:val="99"/>
    <w:rsid w:val="005D7811"/>
  </w:style>
  <w:style w:type="character" w:customStyle="1" w:styleId="CommentTextChar">
    <w:name w:val="Comment Text Char"/>
    <w:basedOn w:val="Standardnpsmoodstavce"/>
    <w:link w:val="Textkomente"/>
    <w:uiPriority w:val="99"/>
    <w:rsid w:val="005D7811"/>
  </w:style>
  <w:style w:type="paragraph" w:styleId="Textpoznpodarou">
    <w:name w:val="footnote text"/>
    <w:basedOn w:val="Normln"/>
    <w:link w:val="FootnoteTextChar"/>
    <w:uiPriority w:val="99"/>
    <w:unhideWhenUsed/>
    <w:rsid w:val="005D7811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FootnoteTextChar">
    <w:name w:val="Footnote Text Char"/>
    <w:basedOn w:val="Standardnpsmoodstavce"/>
    <w:link w:val="Textpoznpodarou"/>
    <w:uiPriority w:val="99"/>
    <w:rsid w:val="005D7811"/>
  </w:style>
  <w:style w:type="character" w:styleId="Znakapoznpodarou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"/>
    <w:basedOn w:val="Standardnpsmoodstavce"/>
    <w:uiPriority w:val="99"/>
    <w:unhideWhenUsed/>
    <w:rsid w:val="005D7811"/>
    <w:rPr>
      <w:vertAlign w:val="superscript"/>
    </w:rPr>
  </w:style>
  <w:style w:type="paragraph" w:styleId="Textbubliny">
    <w:name w:val="Balloon Text"/>
    <w:basedOn w:val="Normln"/>
    <w:link w:val="BalloonTextChar"/>
    <w:rsid w:val="00A3240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Standardnpsmoodstavce"/>
    <w:link w:val="Textbubliny"/>
    <w:rsid w:val="00A3240E"/>
    <w:rPr>
      <w:rFonts w:ascii="Lucida Grande" w:hAnsi="Lucida Grande" w:cs="Lucida Grande"/>
      <w:sz w:val="18"/>
      <w:szCs w:val="18"/>
    </w:rPr>
  </w:style>
  <w:style w:type="numbering" w:customStyle="1" w:styleId="Style1">
    <w:name w:val="Style1"/>
    <w:uiPriority w:val="99"/>
    <w:rsid w:val="007F3509"/>
    <w:pPr>
      <w:numPr>
        <w:numId w:val="48"/>
      </w:numPr>
    </w:pPr>
  </w:style>
  <w:style w:type="paragraph" w:customStyle="1" w:styleId="ListParagraph1">
    <w:name w:val="List Paragraph1"/>
    <w:basedOn w:val="Normln"/>
    <w:uiPriority w:val="99"/>
    <w:rsid w:val="004320C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uiPriority w:val="99"/>
    <w:rsid w:val="004320C0"/>
    <w:pPr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odstavec">
    <w:name w:val="odstavec"/>
    <w:basedOn w:val="Normln"/>
    <w:uiPriority w:val="99"/>
    <w:rsid w:val="00CA33E7"/>
    <w:pPr>
      <w:spacing w:before="120"/>
      <w:ind w:firstLine="482"/>
      <w:jc w:val="both"/>
    </w:pPr>
    <w:rPr>
      <w:noProof/>
      <w:sz w:val="24"/>
      <w:szCs w:val="24"/>
    </w:rPr>
  </w:style>
  <w:style w:type="paragraph" w:customStyle="1" w:styleId="DZ">
    <w:name w:val="DZ"/>
    <w:basedOn w:val="Normln"/>
    <w:link w:val="DZChar"/>
    <w:uiPriority w:val="99"/>
    <w:rsid w:val="00CA33E7"/>
    <w:pPr>
      <w:keepNext/>
      <w:spacing w:before="120"/>
      <w:jc w:val="both"/>
      <w:outlineLvl w:val="0"/>
    </w:pPr>
    <w:rPr>
      <w:rFonts w:ascii="Arial" w:hAnsi="Arial"/>
      <w:color w:val="0000FF"/>
      <w:sz w:val="24"/>
    </w:rPr>
  </w:style>
  <w:style w:type="character" w:customStyle="1" w:styleId="DZChar">
    <w:name w:val="DZ Char"/>
    <w:link w:val="DZ"/>
    <w:uiPriority w:val="99"/>
    <w:locked/>
    <w:rsid w:val="00CA33E7"/>
    <w:rPr>
      <w:rFonts w:ascii="Arial" w:hAnsi="Arial"/>
      <w:color w:val="0000FF"/>
      <w:sz w:val="24"/>
    </w:rPr>
  </w:style>
  <w:style w:type="paragraph" w:customStyle="1" w:styleId="psmeno">
    <w:name w:val="písmeno"/>
    <w:basedOn w:val="slovanseznam"/>
    <w:uiPriority w:val="99"/>
    <w:rsid w:val="00CA33E7"/>
    <w:pPr>
      <w:tabs>
        <w:tab w:val="clear" w:pos="567"/>
        <w:tab w:val="left" w:pos="357"/>
      </w:tabs>
      <w:ind w:left="357" w:hanging="357"/>
      <w:contextualSpacing w:val="0"/>
      <w:jc w:val="both"/>
    </w:pPr>
    <w:rPr>
      <w:noProof/>
      <w:sz w:val="24"/>
      <w:szCs w:val="24"/>
      <w:lang w:val="en-US"/>
    </w:rPr>
  </w:style>
  <w:style w:type="paragraph" w:customStyle="1" w:styleId="Novelizanbod">
    <w:name w:val="Novelizační bod"/>
    <w:basedOn w:val="Normln"/>
    <w:next w:val="Normln"/>
    <w:link w:val="NovelizanbodChar"/>
    <w:uiPriority w:val="99"/>
    <w:rsid w:val="00CA33E7"/>
    <w:pPr>
      <w:keepNext/>
      <w:keepLines/>
      <w:numPr>
        <w:numId w:val="52"/>
      </w:numPr>
      <w:tabs>
        <w:tab w:val="left" w:pos="851"/>
      </w:tabs>
      <w:spacing w:before="480" w:after="120"/>
      <w:jc w:val="both"/>
    </w:pPr>
    <w:rPr>
      <w:sz w:val="24"/>
      <w:lang w:eastAsia="en-GB"/>
    </w:rPr>
  </w:style>
  <w:style w:type="character" w:customStyle="1" w:styleId="NovelizanbodChar">
    <w:name w:val="Novelizační bod Char"/>
    <w:link w:val="Novelizanbod"/>
    <w:uiPriority w:val="99"/>
    <w:locked/>
    <w:rsid w:val="00CA33E7"/>
    <w:rPr>
      <w:sz w:val="24"/>
      <w:lang w:eastAsia="en-GB"/>
    </w:rPr>
  </w:style>
  <w:style w:type="paragraph" w:styleId="slovanseznam">
    <w:name w:val="List Number"/>
    <w:basedOn w:val="Normln"/>
    <w:rsid w:val="00CA33E7"/>
    <w:pPr>
      <w:tabs>
        <w:tab w:val="num" w:pos="567"/>
      </w:tabs>
      <w:ind w:left="567" w:hanging="567"/>
      <w:contextualSpacing/>
    </w:pPr>
  </w:style>
  <w:style w:type="character" w:customStyle="1" w:styleId="tituleknadpisu">
    <w:name w:val="titulek nadpisu"/>
    <w:rsid w:val="00595469"/>
    <w:rPr>
      <w:b/>
    </w:rPr>
  </w:style>
  <w:style w:type="paragraph" w:customStyle="1" w:styleId="ZKON">
    <w:name w:val="ZÁKON"/>
    <w:basedOn w:val="Normln"/>
    <w:next w:val="nadpiszkona"/>
    <w:uiPriority w:val="99"/>
    <w:rsid w:val="00796241"/>
    <w:pPr>
      <w:keepNext/>
      <w:keepLines/>
      <w:jc w:val="center"/>
      <w:outlineLvl w:val="0"/>
    </w:pPr>
    <w:rPr>
      <w:b/>
      <w:caps/>
      <w:sz w:val="24"/>
      <w:lang w:eastAsia="en-GB"/>
    </w:rPr>
  </w:style>
  <w:style w:type="paragraph" w:customStyle="1" w:styleId="nadpiszkona">
    <w:name w:val="nadpis zákona"/>
    <w:basedOn w:val="Normln"/>
    <w:next w:val="Normln"/>
    <w:uiPriority w:val="99"/>
    <w:rsid w:val="00796241"/>
    <w:pPr>
      <w:keepNext/>
      <w:keepLines/>
      <w:spacing w:before="120"/>
      <w:jc w:val="center"/>
      <w:outlineLvl w:val="0"/>
    </w:pPr>
    <w:rPr>
      <w:b/>
      <w:sz w:val="24"/>
      <w:lang w:eastAsia="en-GB"/>
    </w:rPr>
  </w:style>
  <w:style w:type="paragraph" w:customStyle="1" w:styleId="Nvrh">
    <w:name w:val="Návrh"/>
    <w:basedOn w:val="Normln"/>
    <w:next w:val="ZKON"/>
    <w:uiPriority w:val="99"/>
    <w:rsid w:val="00796241"/>
    <w:pPr>
      <w:keepNext/>
      <w:keepLines/>
      <w:spacing w:after="240"/>
      <w:jc w:val="center"/>
      <w:outlineLvl w:val="0"/>
    </w:pPr>
    <w:rPr>
      <w:spacing w:val="40"/>
      <w:sz w:val="24"/>
      <w:lang w:eastAsia="en-GB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0F26E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ulek">
    <w:name w:val="caption"/>
    <w:basedOn w:val="Normln"/>
    <w:next w:val="Normln"/>
    <w:qFormat/>
    <w:rsid w:val="00C271E7"/>
    <w:pPr>
      <w:spacing w:before="360" w:after="240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bcizek\Documents\MAE%20progn&#243;zy\Predikce%20&#268;R_tabulky_zkladni%20MAEukazatele_Honza0909podkladSR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HDP_HPH_Produkce_dleOSvetvi_s.c!$A$53:$B$53</c:f>
              <c:strCache>
                <c:ptCount val="1"/>
                <c:pt idx="0">
                  <c:v>Celkem</c:v>
                </c:pt>
              </c:strCache>
            </c:strRef>
          </c:tx>
          <c:marker>
            <c:symbol val="none"/>
          </c:marker>
          <c:cat>
            <c:strRef>
              <c:f>HDP_HPH_Produkce_dleOSvetvi_s.c!$C$52:$N$52</c:f>
              <c:strCache>
                <c:ptCount val="12"/>
                <c:pt idx="0">
                  <c:v>2001</c:v>
                </c:pt>
                <c:pt idx="1">
                  <c:v>2002</c:v>
                </c:pt>
                <c:pt idx="2">
                  <c:v>2003</c:v>
                </c:pt>
                <c:pt idx="3">
                  <c:v>2004</c:v>
                </c:pt>
                <c:pt idx="4">
                  <c:v>2005</c:v>
                </c:pt>
                <c:pt idx="5">
                  <c:v>2006</c:v>
                </c:pt>
                <c:pt idx="6">
                  <c:v>2007</c:v>
                </c:pt>
                <c:pt idx="7">
                  <c:v>2008</c:v>
                </c:pt>
                <c:pt idx="8">
                  <c:v>2009</c:v>
                </c:pt>
                <c:pt idx="9">
                  <c:v>2010</c:v>
                </c:pt>
                <c:pt idx="10">
                  <c:v>2011</c:v>
                </c:pt>
                <c:pt idx="11">
                  <c:v>2012e</c:v>
                </c:pt>
              </c:strCache>
            </c:strRef>
          </c:cat>
          <c:val>
            <c:numRef>
              <c:f>HDP_HPH_Produkce_dleOSvetvi_s.c!$C$53:$N$53</c:f>
              <c:numCache>
                <c:formatCode>0.0%</c:formatCode>
                <c:ptCount val="12"/>
                <c:pt idx="0">
                  <c:v>3.1793963248866651E-2</c:v>
                </c:pt>
                <c:pt idx="1">
                  <c:v>2.7577194236389182E-2</c:v>
                </c:pt>
                <c:pt idx="2">
                  <c:v>3.1224070830260242E-2</c:v>
                </c:pt>
                <c:pt idx="3">
                  <c:v>4.7448056543025786E-2</c:v>
                </c:pt>
                <c:pt idx="4">
                  <c:v>6.9872296809420892E-2</c:v>
                </c:pt>
                <c:pt idx="5">
                  <c:v>7.6992799754685398E-2</c:v>
                </c:pt>
                <c:pt idx="6">
                  <c:v>5.4907022248324618E-2</c:v>
                </c:pt>
                <c:pt idx="7">
                  <c:v>4.0590374672182947E-2</c:v>
                </c:pt>
                <c:pt idx="8">
                  <c:v>-5.1552525404974875E-2</c:v>
                </c:pt>
                <c:pt idx="9">
                  <c:v>3.1172371209857084E-2</c:v>
                </c:pt>
                <c:pt idx="10">
                  <c:v>1.8138079309049107E-2</c:v>
                </c:pt>
                <c:pt idx="11">
                  <c:v>-9.6898251541556232E-3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HDP_HPH_Produkce_dleOSvetvi_s.c!$A$54:$B$54</c:f>
              <c:strCache>
                <c:ptCount val="1"/>
                <c:pt idx="0">
                  <c:v>Průmysl (BCDE)</c:v>
                </c:pt>
              </c:strCache>
            </c:strRef>
          </c:tx>
          <c:marker>
            <c:symbol val="none"/>
          </c:marker>
          <c:cat>
            <c:strRef>
              <c:f>HDP_HPH_Produkce_dleOSvetvi_s.c!$C$52:$N$52</c:f>
              <c:strCache>
                <c:ptCount val="12"/>
                <c:pt idx="0">
                  <c:v>2001</c:v>
                </c:pt>
                <c:pt idx="1">
                  <c:v>2002</c:v>
                </c:pt>
                <c:pt idx="2">
                  <c:v>2003</c:v>
                </c:pt>
                <c:pt idx="3">
                  <c:v>2004</c:v>
                </c:pt>
                <c:pt idx="4">
                  <c:v>2005</c:v>
                </c:pt>
                <c:pt idx="5">
                  <c:v>2006</c:v>
                </c:pt>
                <c:pt idx="6">
                  <c:v>2007</c:v>
                </c:pt>
                <c:pt idx="7">
                  <c:v>2008</c:v>
                </c:pt>
                <c:pt idx="8">
                  <c:v>2009</c:v>
                </c:pt>
                <c:pt idx="9">
                  <c:v>2010</c:v>
                </c:pt>
                <c:pt idx="10">
                  <c:v>2011</c:v>
                </c:pt>
                <c:pt idx="11">
                  <c:v>2012e</c:v>
                </c:pt>
              </c:strCache>
            </c:strRef>
          </c:cat>
          <c:val>
            <c:numRef>
              <c:f>HDP_HPH_Produkce_dleOSvetvi_s.c!$C$54:$N$54</c:f>
              <c:numCache>
                <c:formatCode>0.00%</c:formatCode>
                <c:ptCount val="12"/>
                <c:pt idx="0">
                  <c:v>2.9892826410076005E-2</c:v>
                </c:pt>
                <c:pt idx="1">
                  <c:v>4.097342067523882E-2</c:v>
                </c:pt>
                <c:pt idx="2">
                  <c:v>2.9190326709251035E-2</c:v>
                </c:pt>
                <c:pt idx="3">
                  <c:v>8.9407837737813023E-2</c:v>
                </c:pt>
                <c:pt idx="4">
                  <c:v>0.14209495992356969</c:v>
                </c:pt>
                <c:pt idx="5">
                  <c:v>0.15389121443818521</c:v>
                </c:pt>
                <c:pt idx="6">
                  <c:v>6.4779359258377633E-2</c:v>
                </c:pt>
                <c:pt idx="7">
                  <c:v>0.10034960591649346</c:v>
                </c:pt>
                <c:pt idx="8">
                  <c:v>-0.14000109588579199</c:v>
                </c:pt>
                <c:pt idx="9">
                  <c:v>8.1390698485950527E-2</c:v>
                </c:pt>
                <c:pt idx="10">
                  <c:v>6.7668832163566117E-2</c:v>
                </c:pt>
                <c:pt idx="11">
                  <c:v>3.215141985831952E-3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777152"/>
        <c:axId val="33778688"/>
      </c:lineChart>
      <c:catAx>
        <c:axId val="33777152"/>
        <c:scaling>
          <c:orientation val="minMax"/>
        </c:scaling>
        <c:delete val="0"/>
        <c:axPos val="b"/>
        <c:majorTickMark val="none"/>
        <c:minorTickMark val="none"/>
        <c:tickLblPos val="nextTo"/>
        <c:crossAx val="33778688"/>
        <c:crosses val="autoZero"/>
        <c:auto val="1"/>
        <c:lblAlgn val="ctr"/>
        <c:lblOffset val="100"/>
        <c:noMultiLvlLbl val="0"/>
      </c:catAx>
      <c:valAx>
        <c:axId val="33778688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cs-CZ"/>
                  <a:t>Meziroční reálný</a:t>
                </a:r>
                <a:r>
                  <a:rPr lang="cs-CZ" baseline="0"/>
                  <a:t> vývoj</a:t>
                </a:r>
                <a:endParaRPr lang="cs-CZ"/>
              </a:p>
            </c:rich>
          </c:tx>
          <c:overlay val="0"/>
        </c:title>
        <c:numFmt formatCode="0.0%" sourceLinked="1"/>
        <c:majorTickMark val="none"/>
        <c:minorTickMark val="none"/>
        <c:tickLblPos val="nextTo"/>
        <c:crossAx val="3377715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1218</Words>
  <Characters>7188</Characters>
  <Application>Microsoft Office Word</Application>
  <DocSecurity>4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Hlavička dopisního papíru SP ČR</vt:lpstr>
    </vt:vector>
  </TitlesOfParts>
  <Manager>Ing. Zdeněk Liška</Manager>
  <Company>Svaz průmyslu a dopravy ČR</Company>
  <LinksUpToDate>false</LinksUpToDate>
  <CharactersWithSpaces>8390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Hlavička dopisního papíru SP ČR</dc:title>
  <dc:creator>Petra Ježková</dc:creator>
  <cp:lastModifiedBy>Matoušková Anna (MPSV)</cp:lastModifiedBy>
  <cp:revision>2</cp:revision>
  <cp:lastPrinted>2013-09-20T07:41:00Z</cp:lastPrinted>
  <dcterms:created xsi:type="dcterms:W3CDTF">2013-09-24T10:00:00Z</dcterms:created>
  <dcterms:modified xsi:type="dcterms:W3CDTF">2013-09-24T10:00:00Z</dcterms:modified>
</cp:coreProperties>
</file>