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E" w:rsidRPr="002A421B" w:rsidRDefault="00E7167E" w:rsidP="00FD003C">
      <w:pPr>
        <w:pStyle w:val="Normln1"/>
        <w:spacing w:after="480"/>
      </w:pPr>
      <w:r w:rsidRPr="002A421B">
        <w:t>Vážen</w:t>
      </w:r>
      <w:r w:rsidR="00BC36A1">
        <w:t xml:space="preserve">ý pane </w:t>
      </w:r>
      <w:r w:rsidR="009059A6">
        <w:t>…</w:t>
      </w:r>
      <w:r w:rsidRPr="002A421B">
        <w:t>,</w:t>
      </w:r>
    </w:p>
    <w:p w:rsidR="00BC36A1" w:rsidRDefault="009059A6" w:rsidP="00BC36A1">
      <w:pPr>
        <w:pStyle w:val="Normln1"/>
      </w:pPr>
      <w:r>
        <w:t>d</w:t>
      </w:r>
      <w:r w:rsidR="00BC36A1">
        <w:t xml:space="preserve">ovolujeme si Vás zdvořile upozornit, že veřejné rejstříky </w:t>
      </w:r>
      <w:r w:rsidR="00BC36A1" w:rsidRPr="008E1D58">
        <w:t>vedou rejstříkové soudy. Ve věci řízení o zápisu do veřejného rejstříku a provedení zápisu včetně založení příslušných</w:t>
      </w:r>
      <w:r w:rsidR="00BC36A1">
        <w:t xml:space="preserve"> listin do sbírky listin veřejného rejstříku je třeba se obracet na příslušný </w:t>
      </w:r>
      <w:r w:rsidR="00BC36A1" w:rsidRPr="00BC36A1">
        <w:rPr>
          <w:b/>
        </w:rPr>
        <w:t>rejstříkový soud</w:t>
      </w:r>
      <w:r w:rsidR="00BC36A1">
        <w:t xml:space="preserve">, kterým je krajský soud, v jehož obvodu má zapsaná osoba sídlo (§ 75 odst. 1 zákona č. 304/2013 Sb., o veřejných rejstřících právnických a fyzických osob a o evidenci svěřenských fondů, ve znění pozdějších předpisů – dále jen „ZVR“). Přehled soudů včetně jejich kontaktních údajů naleznete </w:t>
      </w:r>
      <w:hyperlink r:id="rId5" w:history="1">
        <w:r w:rsidR="00BC36A1">
          <w:rPr>
            <w:rStyle w:val="Hypertextovodkaz"/>
          </w:rPr>
          <w:t>zde</w:t>
        </w:r>
      </w:hyperlink>
      <w:r w:rsidR="00BC36A1">
        <w:t xml:space="preserve"> nebo z úvodní stránky </w:t>
      </w:r>
      <w:hyperlink r:id="rId6" w:history="1">
        <w:r w:rsidR="00BC36A1" w:rsidRPr="00D7459D">
          <w:rPr>
            <w:rStyle w:val="Hypertextovodkaz"/>
          </w:rPr>
          <w:t>justice.cz</w:t>
        </w:r>
      </w:hyperlink>
      <w:r w:rsidR="00BC36A1">
        <w:t xml:space="preserve"> – soudy – přehled soudů. </w:t>
      </w:r>
      <w:r w:rsidR="00BC36A1" w:rsidRPr="008E1D58">
        <w:t>Ministerstvo spravedlnosti veřejné rej</w:t>
      </w:r>
      <w:r w:rsidR="00BC36A1">
        <w:t>stříky ani sbírku listin nevede.</w:t>
      </w:r>
    </w:p>
    <w:p w:rsidR="00E7167E" w:rsidRDefault="00BC36A1" w:rsidP="00FD003C">
      <w:pPr>
        <w:pStyle w:val="Normln1"/>
      </w:pPr>
      <w:r>
        <w:t>K Vašemu podání dále uvádíme následující.</w:t>
      </w:r>
    </w:p>
    <w:p w:rsidR="00BC36A1" w:rsidRPr="001C1BE9" w:rsidRDefault="00BC36A1" w:rsidP="00BC36A1">
      <w:pPr>
        <w:pStyle w:val="Styl1"/>
      </w:pPr>
      <w:r>
        <w:t>Změny sdružovacího práva související s občanským zákoníkem</w:t>
      </w:r>
    </w:p>
    <w:p w:rsidR="00BC36A1" w:rsidRDefault="00BC36A1" w:rsidP="00BC36A1">
      <w:pPr>
        <w:pStyle w:val="Normln1"/>
      </w:pPr>
      <w:r>
        <w:t xml:space="preserve">Předně je třeba upozornit, že občanská sdružení podle zákona č. 83/1990 Sb., o sdružování občanů, ve znění pozdějších předpisů (dále jen „zákon o sdružování občanů“), se považují za </w:t>
      </w:r>
      <w:r w:rsidRPr="00C73959">
        <w:rPr>
          <w:b/>
        </w:rPr>
        <w:t>spolky</w:t>
      </w:r>
      <w:r>
        <w:t xml:space="preserve"> podle § 214 a násl. zákona č. 89/2012 Sb., občanský zákoník, ve znění pozdějších předpisů (dále jen „občanský zákoník“ nebo „OZ), a to ode dne jeho účinnosti, tedy od 1. ledna 2014 (§ 3045 a 3081 OZ). Bývalá občanská sdružení se tak ke dni účinnosti občanského zákoníku stala spolky, ledaže byla před účinností občanského zákoníku zrušena v souladu s ustanovení § 12 a násl. zákona o sdružování občanů. </w:t>
      </w:r>
    </w:p>
    <w:p w:rsidR="00BC36A1" w:rsidRDefault="00BC36A1" w:rsidP="00BC36A1">
      <w:pPr>
        <w:pStyle w:val="Normln1"/>
      </w:pPr>
      <w:r>
        <w:lastRenderedPageBreak/>
        <w:t xml:space="preserve">Evidence občanských sdružení se k 1. lednu 2014 považuje za spolkový rejstřík podle zákona o veřejných rejstřících. Ministerstvo vnitra bylo povinno předat příslušným rejstříkovým soudům do tří měsíců po dni nabytí účinnosti zákona o veřejných rejstřících spisy a do jednoho měsíce základní údaje o občanských sdruženích (zejména název, identifikační číslo, den vzniku, sídlo) v elektronické formě. </w:t>
      </w:r>
    </w:p>
    <w:p w:rsidR="00BC36A1" w:rsidRPr="00926B29" w:rsidRDefault="00BC36A1" w:rsidP="00BC36A1">
      <w:pPr>
        <w:pStyle w:val="Normln1"/>
      </w:pPr>
      <w:r>
        <w:t xml:space="preserve">Spolky se zapisují do veřejného (spolkového) rejstříku (srov. § 26 ZVR). Do veřejného rejstříku lze nahlížet </w:t>
      </w:r>
      <w:hyperlink r:id="rId7" w:history="1">
        <w:r w:rsidRPr="00DE5978">
          <w:rPr>
            <w:rStyle w:val="Hypertextovodkaz"/>
          </w:rPr>
          <w:t>zde</w:t>
        </w:r>
      </w:hyperlink>
      <w:r>
        <w:t xml:space="preserve"> nebo přímo z úvodní stránky </w:t>
      </w:r>
      <w:hyperlink r:id="rId8" w:history="1">
        <w:r w:rsidRPr="00DE5978">
          <w:rPr>
            <w:rStyle w:val="Hypertextovodkaz"/>
          </w:rPr>
          <w:t>justice.cz</w:t>
        </w:r>
      </w:hyperlink>
      <w:r>
        <w:t xml:space="preserve">. </w:t>
      </w:r>
    </w:p>
    <w:p w:rsidR="00BC36A1" w:rsidRDefault="00BC36A1" w:rsidP="00BC36A1">
      <w:pPr>
        <w:pStyle w:val="Normln1"/>
      </w:pPr>
      <w:r w:rsidRPr="00926B29">
        <w:t>Od 1. ledn</w:t>
      </w:r>
      <w:r>
        <w:t>a 2014 běžela lhůta určená</w:t>
      </w:r>
      <w:r w:rsidRPr="00926B29">
        <w:t xml:space="preserve"> k uvedení stanov </w:t>
      </w:r>
      <w:r>
        <w:t>spolků (tj. bývalých občanských sdružení) dosud vedených v evidenci</w:t>
      </w:r>
      <w:r w:rsidRPr="00926B29">
        <w:t xml:space="preserve"> Ministerstva vnitra do souladu s donucujícími ustanoveními </w:t>
      </w:r>
      <w:r>
        <w:t xml:space="preserve">občanského zákoníku a </w:t>
      </w:r>
      <w:r w:rsidRPr="00926B29">
        <w:t>k p</w:t>
      </w:r>
      <w:r>
        <w:t>řizpůsobení zapsaného stavu ve veřejném</w:t>
      </w:r>
      <w:r w:rsidRPr="00926B29">
        <w:t xml:space="preserve"> rejstřík</w:t>
      </w:r>
      <w:r>
        <w:t xml:space="preserve">u stavu požadovanému zákonem o veřejných rejstřících. </w:t>
      </w:r>
    </w:p>
    <w:p w:rsidR="00BC36A1" w:rsidRDefault="00BC36A1" w:rsidP="00BC36A1">
      <w:pPr>
        <w:pStyle w:val="Normln1"/>
      </w:pPr>
      <w:r w:rsidRPr="00C73959">
        <w:rPr>
          <w:b/>
        </w:rPr>
        <w:t>Stanovy</w:t>
      </w:r>
      <w:r>
        <w:t xml:space="preserve"> spolku (resp. jejich aktuální znění) jsou jednou z listin obligatorně zakládaných do sbírky listin veřejného </w:t>
      </w:r>
      <w:r w:rsidRPr="00C73959">
        <w:t>rejstříku [srov. § 66 písm. a) ZVR; dále jde např. o účetní závěrky, rozhodnutí o zvolení člena statutárního orgánu apod.]. Pokud ustanovení stanov spolku odporují donucujícím ustanovením  občanského zákoníku, pozbyla  tato</w:t>
      </w:r>
      <w:r w:rsidRPr="00926B29">
        <w:t xml:space="preserve"> ustanovení závaznosti dnem nabytí jeho účinnosti</w:t>
      </w:r>
      <w:r>
        <w:t>, tj. 1. lednem 2014</w:t>
      </w:r>
      <w:r w:rsidRPr="00926B29">
        <w:t>. Do tří let</w:t>
      </w:r>
      <w:r>
        <w:t xml:space="preserve"> od </w:t>
      </w:r>
      <w:r w:rsidRPr="00926B29">
        <w:t xml:space="preserve">dne nabytí účinnosti </w:t>
      </w:r>
      <w:r>
        <w:t>občanského zákoníku</w:t>
      </w:r>
      <w:r w:rsidRPr="00926B29">
        <w:t xml:space="preserve"> (tj. do 1. </w:t>
      </w:r>
      <w:r>
        <w:t>ledna</w:t>
      </w:r>
      <w:r w:rsidRPr="00926B29">
        <w:t>. 2017)</w:t>
      </w:r>
      <w:r>
        <w:t xml:space="preserve"> byl</w:t>
      </w:r>
      <w:r w:rsidRPr="00926B29">
        <w:t xml:space="preserve"> spolek povinen přizpůsobit  stanovy úpravě </w:t>
      </w:r>
      <w:r>
        <w:t xml:space="preserve">občanského zákoníku </w:t>
      </w:r>
      <w:r w:rsidRPr="00926B29">
        <w:t xml:space="preserve">a doručit je příslušnému rejstříkovému soudu k založení do sbírky listin (§ 3041 odst. 2 </w:t>
      </w:r>
      <w:r>
        <w:t xml:space="preserve">OZ). Nesplní-li spolek povinnost založit aktuální znění stanov do sbírky listin veřejného rejstříku, může jej rejstříkový soud vyzvat, aby tuto povinnosti splnil. Neučiní-li tak spolek ani poté, může rejstříkový soud uložit </w:t>
      </w:r>
      <w:r>
        <w:lastRenderedPageBreak/>
        <w:t xml:space="preserve">spolku pořádkovou pokutu do výše 100 000 Kč, a to i opakovaně (§ 104 ZVR). Neplní-li spolek svou povinnost zakládat zákonem určené listiny do sbírky listin (srov. § 66 ZVR), může rejstříkový soud i bez návrhu zahájit řízení o zrušení spolku s likvidací. Rejstříkový soud na tuto skutečnost spolek upozorní a poskytne mu přiměřenou lhůtu k odstranění nedostatků (§ 105 a 106 ZVR). </w:t>
      </w:r>
    </w:p>
    <w:p w:rsidR="00BC36A1" w:rsidRDefault="00BC36A1" w:rsidP="00BC36A1">
      <w:pPr>
        <w:pStyle w:val="Normln1"/>
      </w:pPr>
      <w:r>
        <w:t>Spolek byl také povinen</w:t>
      </w:r>
      <w:r w:rsidRPr="00926B29">
        <w:t xml:space="preserve"> </w:t>
      </w:r>
      <w:r>
        <w:t xml:space="preserve">ve lhůtě tří let ode dne nabytí účinnosti občanského zákoníku (tj. do 1. ledna 2017) </w:t>
      </w:r>
      <w:r w:rsidRPr="00C73959">
        <w:rPr>
          <w:b/>
        </w:rPr>
        <w:t>doplnit zapisované skutečnosti do veřejného rejstříku</w:t>
      </w:r>
      <w:r w:rsidRPr="00926B29">
        <w:t xml:space="preserve"> podle § 25 </w:t>
      </w:r>
      <w:r>
        <w:t xml:space="preserve">a 29 ZVR (§ 122 odst. 2 ZVR). Jde zejména o </w:t>
      </w:r>
      <w:r w:rsidRPr="00B17888">
        <w:rPr>
          <w:b/>
        </w:rPr>
        <w:t>sídlo, předmět činnosti, název statutárního orgánu a jeho členové</w:t>
      </w:r>
      <w:r>
        <w:t xml:space="preserve"> apod. Nepřizpůsobí-li spolek stav zapsaný ve veřejném rejstříku v dané lhůtě, rejstříkový soud jej k tomu vyzve a stanoví ve výzvě dodatečnou přiměřenou lhůtu ke splnění této povinnosti. Uplyne-li dodatečná lhůta marně, soud na návrh rejstříkového soudu nebo osoby, která na tom osvědčí právní zájem, spolek zruší a nařídí jeho likvidaci (§ 122 odst. 3 ZVR). </w:t>
      </w:r>
    </w:p>
    <w:p w:rsidR="00BC36A1" w:rsidRDefault="00BC36A1" w:rsidP="00BC36A1">
      <w:pPr>
        <w:pStyle w:val="Styl1"/>
      </w:pPr>
      <w:r>
        <w:t>Návrh na zápis do veřejného rejstříku</w:t>
      </w:r>
    </w:p>
    <w:p w:rsidR="00BC36A1" w:rsidRDefault="00BC36A1" w:rsidP="00BC36A1">
      <w:pPr>
        <w:pStyle w:val="Normln1"/>
      </w:pPr>
      <w:r>
        <w:t>Pro návrh na zápis (</w:t>
      </w:r>
      <w:r w:rsidRPr="00B9610A">
        <w:t>a to jak prvozápis, tak změnu zapsaných údajů či výmaz</w:t>
      </w:r>
      <w:r>
        <w:t xml:space="preserve">) je třeba použít </w:t>
      </w:r>
      <w:r w:rsidRPr="00C73959">
        <w:rPr>
          <w:b/>
        </w:rPr>
        <w:t>elektronický formulář</w:t>
      </w:r>
      <w:r>
        <w:t xml:space="preserve"> zveřejněný na internetových stránkách Ministerstva spravedlnosti. Příslušný formulář je dostupný </w:t>
      </w:r>
      <w:hyperlink r:id="rId9" w:history="1">
        <w:r>
          <w:rPr>
            <w:rStyle w:val="Hypertextovodkaz"/>
          </w:rPr>
          <w:t>zde</w:t>
        </w:r>
      </w:hyperlink>
      <w:r>
        <w:t xml:space="preserve"> nebo z úvodní stránky </w:t>
      </w:r>
      <w:hyperlink r:id="rId10" w:history="1">
        <w:r w:rsidRPr="00296CDE">
          <w:rPr>
            <w:rStyle w:val="Hypertextovodkaz"/>
          </w:rPr>
          <w:t>justice.cz</w:t>
        </w:r>
      </w:hyperlink>
      <w:r>
        <w:t xml:space="preserve"> – podání do veřejného rejstříku – inteligentní formulář.  Vyplněný formulář lze podat buď v elektronické, nebo v listinné podobě (§ 22 ZVR). </w:t>
      </w:r>
    </w:p>
    <w:p w:rsidR="00BC36A1" w:rsidRDefault="00BC36A1" w:rsidP="00BC36A1">
      <w:pPr>
        <w:pStyle w:val="Normln1"/>
      </w:pPr>
      <w:r>
        <w:t xml:space="preserve">K řízení o návrhu na zápis je příslušný </w:t>
      </w:r>
      <w:r w:rsidRPr="00C73959">
        <w:rPr>
          <w:b/>
        </w:rPr>
        <w:t>rejstříkový soud</w:t>
      </w:r>
      <w:r>
        <w:t xml:space="preserve">, kterým je krajský soud, v jehož obvodu má zapsaná osoba </w:t>
      </w:r>
      <w:r>
        <w:lastRenderedPageBreak/>
        <w:t xml:space="preserve">sídlo (§ 75 odst. 1 ZVR). Přehled soudů včetně jejich kontaktních údajů naleznete </w:t>
      </w:r>
      <w:hyperlink r:id="rId11" w:history="1">
        <w:r>
          <w:rPr>
            <w:rStyle w:val="Hypertextovodkaz"/>
          </w:rPr>
          <w:t>zde</w:t>
        </w:r>
      </w:hyperlink>
      <w:r>
        <w:t xml:space="preserve"> nebo z úvodní stránky </w:t>
      </w:r>
      <w:hyperlink r:id="rId12" w:history="1">
        <w:r w:rsidRPr="00D7459D">
          <w:rPr>
            <w:rStyle w:val="Hypertextovodkaz"/>
          </w:rPr>
          <w:t>justice.cz</w:t>
        </w:r>
      </w:hyperlink>
      <w:r>
        <w:t xml:space="preserve"> – soudy – přehled soudů. Ministerstvo spravedlnosti veřejné rejstříky ani sbírku listin nevede, není ani oprávněno podávat za zapisované osoby listiny k založení do sbírky listin. </w:t>
      </w:r>
    </w:p>
    <w:p w:rsidR="00BC36A1" w:rsidRDefault="00BC36A1" w:rsidP="00BC36A1">
      <w:pPr>
        <w:pStyle w:val="Normln1"/>
      </w:pPr>
      <w:r>
        <w:t>Návrh na zápis podává za spolek jeho statutární orgán. Tvoří-li statutární orgán více osob, jedná za spolek předseda statutárního orgánu, popřípadě jeho člen, který tím byl pověřen [§ </w:t>
      </w:r>
      <w:r w:rsidRPr="00155BD2">
        <w:t>28 ZVR a § 21 odst. 1 písm. a) zákona č. 99/19</w:t>
      </w:r>
      <w:r>
        <w:t>63 Sb., občanský soudní řád, ve </w:t>
      </w:r>
      <w:r w:rsidRPr="00155BD2">
        <w:t>znění pozdějších předpis].</w:t>
      </w:r>
      <w:r w:rsidRPr="00D43464">
        <w:t xml:space="preserve"> </w:t>
      </w:r>
      <w:r w:rsidRPr="00D563A1">
        <w:t>Podpis</w:t>
      </w:r>
      <w:r>
        <w:t xml:space="preserve"> navrhovatele na listinném návrhu musí být úředně ověřen (§ 22 odst. 2 ZVR). Návrh na zápis v </w:t>
      </w:r>
      <w:r w:rsidRPr="00AB5551">
        <w:t xml:space="preserve">elektronické podobě musí být podepsán </w:t>
      </w:r>
      <w:r>
        <w:t xml:space="preserve">způsobem, se kterým jiný právní předpis spojuje účinky vlastnoručního podpisu, tedy podepsán </w:t>
      </w:r>
      <w:r w:rsidRPr="00AB5551">
        <w:t>uznávaným elektronickým podpisem nebo zaslán prostřednictvím dato</w:t>
      </w:r>
      <w:r>
        <w:t>vé schránky osoby, jež návrh na </w:t>
      </w:r>
      <w:r w:rsidRPr="00AB5551">
        <w:t>zápis podává</w:t>
      </w:r>
      <w:r>
        <w:t xml:space="preserve"> (§ 22 odst. 3 ZVR ve spojení s § 6 odst. 1 zákona č. 297/2016 Sb., o službách vytvářejících důvěru pro elektronické transakce a s § 18 odst. 2 zákona č. 300/2008 Sb., o elektronických úkonech a autorizované konverzi dokumentů)</w:t>
      </w:r>
      <w:r w:rsidRPr="00AB5551">
        <w:t>.</w:t>
      </w:r>
      <w:r>
        <w:t xml:space="preserve"> </w:t>
      </w:r>
    </w:p>
    <w:p w:rsidR="00BC36A1" w:rsidRDefault="00BC36A1" w:rsidP="00BC36A1">
      <w:pPr>
        <w:pStyle w:val="Normln1"/>
      </w:pPr>
      <w:r>
        <w:t xml:space="preserve">Návrh na zápis musí být doložen listinami o skutečnostech, které mají být do veřejného rejstříku zapsány (srov. zejm. § 12 až 14 ZVR), a listinami, které se zakládají do sbírky listin (§ 66 ZVR) v souvislosti s tímto zápisem (§ 19 ZVR). Rozsah požadovaných příloh vyplývá ze zákona o veřejných rejstřících. Orientační seznam těchto příloh pro spolky je k dispozici </w:t>
      </w:r>
      <w:hyperlink r:id="rId13" w:history="1">
        <w:r>
          <w:rPr>
            <w:rStyle w:val="Hypertextovodkaz"/>
          </w:rPr>
          <w:t>zde</w:t>
        </w:r>
      </w:hyperlink>
      <w:r>
        <w:t xml:space="preserve"> (nebo při vstupu z úvodní stránky </w:t>
      </w:r>
      <w:hyperlink r:id="rId14" w:history="1">
        <w:r w:rsidRPr="009B1E5E">
          <w:rPr>
            <w:rStyle w:val="Hypertextovodkaz"/>
          </w:rPr>
          <w:t>justice.cz</w:t>
        </w:r>
      </w:hyperlink>
      <w:r>
        <w:t xml:space="preserve"> lze nalézt příslušný odkaz na stránce, která se otevře po zadání „podání do veřejného rejstříku“, před zadáním „inteligentní formulář“). </w:t>
      </w:r>
    </w:p>
    <w:p w:rsidR="00BC36A1" w:rsidRDefault="00BC36A1" w:rsidP="00BC36A1">
      <w:pPr>
        <w:pStyle w:val="Normln1"/>
      </w:pPr>
      <w:r>
        <w:lastRenderedPageBreak/>
        <w:t xml:space="preserve">Navrhovatel současné s návrhem na zápis doloží souhlas osob, které se do veřejného rejstříku zapisují v rámci spolku (např. členové statutárního orgánu), ledaže takový souhlas plyne z jiných k návrhu na zápis dokládaných listin. Není-li souhlas těchto osob udělen prohlášením osvědčeným veřejnou listinou, musí být jejich podpis na listině o udělení souhlasu úředně ověřen (§ 12 ZVR). </w:t>
      </w:r>
    </w:p>
    <w:p w:rsidR="00BC36A1" w:rsidRDefault="00BC36A1" w:rsidP="00BC36A1">
      <w:pPr>
        <w:pStyle w:val="Normln1"/>
      </w:pPr>
      <w:r>
        <w:t xml:space="preserve">Navrhuje-li se do veřejného rejstříku zapsat sídlo spolku, pak navrhovatel při návrhu na zápis doloží právní důvod užívání prostor (např. smlouva o nájmu), v nichž je sídlo umístěno. To neplatí, je-li právní důvod zjistitelný z informačního systému veřejné správy nebo jeho části, která je veřejnou evidencí, rejstříkem nebo seznamem. K doložení právního důvodu užívání prostor však postačí písemné prohlášení vlastníka nemovité věci, kde jsou prostory umístěny, popřípadě prohlášení osoby oprávněné s nemovitou věcí nakládat, že s umístěním sídla spolku souhlasí. Prohlášení nesmí být starší než 3 měsíce a podpisy na něm musí být úředně ověřeny (§ 14 ZVR). </w:t>
      </w:r>
    </w:p>
    <w:p w:rsidR="00BC36A1" w:rsidRDefault="00BC36A1" w:rsidP="00BC36A1">
      <w:pPr>
        <w:pStyle w:val="Normln1"/>
      </w:pPr>
      <w:r>
        <w:t xml:space="preserve">K tomu uvádíme, že spolky jsou podle § 11 odst. 1 písm. j) zákona č. 549/1991 Sb., o soudních poplatcích, ve znění pozdějších předpisů, osvobozeny od soudního poplatku ve věcech zápisu do veřejného rejstříku. </w:t>
      </w:r>
    </w:p>
    <w:p w:rsidR="00BC36A1" w:rsidRDefault="00BC36A1" w:rsidP="00BC36A1">
      <w:pPr>
        <w:pStyle w:val="Styl1"/>
      </w:pPr>
      <w:r>
        <w:t>Založení listin do sbírky listin veřejného rejstříku</w:t>
      </w:r>
    </w:p>
    <w:p w:rsidR="00BC36A1" w:rsidRDefault="00BC36A1" w:rsidP="00BC36A1">
      <w:pPr>
        <w:pStyle w:val="Normln1"/>
      </w:pPr>
      <w:r>
        <w:t xml:space="preserve">Listiny určené k založení do sbírky listin (§ 66 ZVR), jimiž se nedokládají skutečnosti uvedené v návrhu na zápis, změnu nebo výmaz zápisu ve veřejném rejstříku, je nutné zasílat příslušnému rejstříkovému soudu ve formátu PDF (srov. § 18 nařízení vlády č. 351/2013 Sb.; bližší informace lze získat </w:t>
      </w:r>
      <w:hyperlink r:id="rId15" w:history="1">
        <w:r>
          <w:rPr>
            <w:rStyle w:val="Hypertextovodkaz"/>
          </w:rPr>
          <w:t>zde</w:t>
        </w:r>
      </w:hyperlink>
      <w:r>
        <w:t>), a to následujícími způsoby:</w:t>
      </w:r>
    </w:p>
    <w:p w:rsidR="00BC36A1" w:rsidRDefault="00BC36A1" w:rsidP="00BC36A1">
      <w:pPr>
        <w:pStyle w:val="Normln1"/>
        <w:numPr>
          <w:ilvl w:val="0"/>
          <w:numId w:val="1"/>
        </w:numPr>
      </w:pPr>
      <w:r>
        <w:lastRenderedPageBreak/>
        <w:t>datovou schránkou,</w:t>
      </w:r>
    </w:p>
    <w:p w:rsidR="00BC36A1" w:rsidRDefault="00BC36A1" w:rsidP="00BC36A1">
      <w:pPr>
        <w:pStyle w:val="Normln1"/>
        <w:numPr>
          <w:ilvl w:val="0"/>
          <w:numId w:val="1"/>
        </w:numPr>
      </w:pPr>
      <w:r>
        <w:t>na elektronickou adresu rejstříkového soudu (e-mailem),</w:t>
      </w:r>
    </w:p>
    <w:p w:rsidR="00BC36A1" w:rsidRDefault="00BC36A1" w:rsidP="00BC36A1">
      <w:pPr>
        <w:pStyle w:val="Normln1"/>
        <w:numPr>
          <w:ilvl w:val="0"/>
          <w:numId w:val="1"/>
        </w:numPr>
      </w:pPr>
      <w:r>
        <w:t xml:space="preserve">prostřednictvím online podání do Sbírky listin dostupného </w:t>
      </w:r>
      <w:hyperlink r:id="rId16" w:history="1">
        <w:r>
          <w:rPr>
            <w:rStyle w:val="Hypertextovodkaz"/>
          </w:rPr>
          <w:t>zde</w:t>
        </w:r>
      </w:hyperlink>
      <w:r>
        <w:t>,</w:t>
      </w:r>
    </w:p>
    <w:p w:rsidR="00BC36A1" w:rsidRDefault="00BC36A1" w:rsidP="00BC36A1">
      <w:pPr>
        <w:pStyle w:val="Normln1"/>
        <w:numPr>
          <w:ilvl w:val="0"/>
          <w:numId w:val="1"/>
        </w:numPr>
      </w:pPr>
      <w:r>
        <w:t xml:space="preserve">webovou aplikací </w:t>
      </w:r>
      <w:proofErr w:type="spellStart"/>
      <w:r>
        <w:t>ePodatelna</w:t>
      </w:r>
      <w:proofErr w:type="spellEnd"/>
      <w:r>
        <w:t xml:space="preserve"> dostupnou z </w:t>
      </w:r>
      <w:hyperlink r:id="rId17" w:history="1">
        <w:r>
          <w:rPr>
            <w:rStyle w:val="Hypertextovodkaz"/>
          </w:rPr>
          <w:t>justice.cz</w:t>
        </w:r>
      </w:hyperlink>
      <w:r>
        <w:t>,</w:t>
      </w:r>
    </w:p>
    <w:p w:rsidR="00BC36A1" w:rsidRPr="002A421B" w:rsidRDefault="00BC36A1" w:rsidP="00BC36A1">
      <w:pPr>
        <w:pStyle w:val="Normln1"/>
        <w:numPr>
          <w:ilvl w:val="0"/>
          <w:numId w:val="1"/>
        </w:numPr>
      </w:pPr>
      <w:r>
        <w:t>na technických nosičích dat CD-R, CD-RW, DVD-R, DVD+R, DVD-RW, DVD+RW.</w:t>
      </w:r>
    </w:p>
    <w:p w:rsidR="00BC36A1" w:rsidRDefault="00BC36A1" w:rsidP="00BC36A1">
      <w:pPr>
        <w:pStyle w:val="Styl1"/>
      </w:pPr>
      <w:r>
        <w:t>Formální ukončení činnosti spolku</w:t>
      </w:r>
    </w:p>
    <w:p w:rsidR="00BC36A1" w:rsidRDefault="00BC36A1" w:rsidP="00BC36A1">
      <w:pPr>
        <w:pStyle w:val="Normln1"/>
      </w:pPr>
      <w:r w:rsidRPr="00DC600C">
        <w:t xml:space="preserve">Ukončení činnosti spolku </w:t>
      </w:r>
      <w:r>
        <w:t>je spojeno se dvěma formálními kroky</w:t>
      </w:r>
      <w:r w:rsidRPr="00DC600C">
        <w:t xml:space="preserve"> – zrušení a zánik</w:t>
      </w:r>
      <w:r>
        <w:t>, přičemž po zrušení probíhá proces likvidace</w:t>
      </w:r>
      <w:r w:rsidRPr="00DC600C">
        <w:t xml:space="preserve">. </w:t>
      </w:r>
    </w:p>
    <w:p w:rsidR="00BC36A1" w:rsidRPr="00823099" w:rsidRDefault="00BC36A1" w:rsidP="00BC36A1">
      <w:pPr>
        <w:pStyle w:val="Normln1"/>
        <w:numPr>
          <w:ilvl w:val="0"/>
          <w:numId w:val="2"/>
        </w:numPr>
        <w:ind w:left="1068"/>
        <w:rPr>
          <w:b/>
        </w:rPr>
      </w:pPr>
      <w:r w:rsidRPr="00823099">
        <w:rPr>
          <w:b/>
        </w:rPr>
        <w:t>Zrušení</w:t>
      </w:r>
    </w:p>
    <w:p w:rsidR="00BC36A1" w:rsidRPr="008104A9" w:rsidRDefault="00BC36A1" w:rsidP="00BC36A1">
      <w:pPr>
        <w:pStyle w:val="Normln1"/>
        <w:ind w:left="708"/>
        <w:rPr>
          <w:rFonts w:eastAsia="Times New Roman"/>
          <w:bCs/>
        </w:rPr>
      </w:pPr>
      <w:r>
        <w:t xml:space="preserve">Spolek lze dobrovolně zrušit právním jednáním. </w:t>
      </w:r>
      <w:r>
        <w:rPr>
          <w:rFonts w:eastAsia="Times New Roman"/>
          <w:bCs/>
        </w:rPr>
        <w:t xml:space="preserve">O dobrovolném zrušení spolku rozhoduje jeho příslušný orgán (§ 168 odst. 2 </w:t>
      </w:r>
      <w:r>
        <w:t>OZ</w:t>
      </w:r>
      <w:r>
        <w:rPr>
          <w:rFonts w:eastAsia="Times New Roman"/>
          <w:bCs/>
        </w:rPr>
        <w:t xml:space="preserve">). </w:t>
      </w:r>
      <w:r>
        <w:t xml:space="preserve">Příslušný orgán spolku je zpravidla specifikován ve stanovách spolku. V opačném případě jím je nejvyšší orgán spolku (§ 244 OZ). Neurčí-li stanovy jinak, je nejvyšším orgánem spolku členská schůze (§ 247 odst. 3 OZ). Co se týče pravidel pro zasedání členské schůze spolku, vychází se ze stanov spolku, případně srov. § 248 a násl. OZ. </w:t>
      </w:r>
    </w:p>
    <w:p w:rsidR="00BC36A1" w:rsidRPr="00C47BE8" w:rsidRDefault="00BC36A1" w:rsidP="00BC36A1">
      <w:pPr>
        <w:pStyle w:val="Normln1"/>
        <w:numPr>
          <w:ilvl w:val="0"/>
          <w:numId w:val="2"/>
        </w:numPr>
        <w:ind w:left="1068"/>
        <w:rPr>
          <w:b/>
        </w:rPr>
      </w:pPr>
      <w:r w:rsidRPr="00C47BE8">
        <w:rPr>
          <w:b/>
        </w:rPr>
        <w:t>Likvidace</w:t>
      </w:r>
    </w:p>
    <w:p w:rsidR="00BC36A1" w:rsidRDefault="00BC36A1" w:rsidP="00BC36A1">
      <w:pPr>
        <w:pStyle w:val="Normln1"/>
        <w:ind w:left="708"/>
      </w:pPr>
      <w:r w:rsidRPr="00DC600C">
        <w:t>Poté</w:t>
      </w:r>
      <w:r>
        <w:t>, co příslušný orgán spolku rozhodl o jeho zrušení,</w:t>
      </w:r>
      <w:r w:rsidRPr="00DC600C">
        <w:t xml:space="preserve"> musí proběhnout likvidace spolku, jejímž účelem je </w:t>
      </w:r>
      <w:r w:rsidRPr="00DC600C">
        <w:lastRenderedPageBreak/>
        <w:t xml:space="preserve">vypořádání majetku spolku. </w:t>
      </w:r>
      <w:r>
        <w:t xml:space="preserve">Likvidace musí alespoň formálně proběhnout i v případě, že spolek nemá žádný majetek ani žádné závazky. </w:t>
      </w:r>
      <w:r w:rsidRPr="00DC600C">
        <w:t xml:space="preserve">Musí být jmenován likvidátor, kterého jmenuje nejvyšší orgán spolku. </w:t>
      </w:r>
      <w:r>
        <w:t>Likvidátorem může být například také člen spolku nebo člen některého orgánu spolku. Likvidace je upravena v </w:t>
      </w:r>
      <w:r w:rsidRPr="00DC600C">
        <w:t>§ 187</w:t>
      </w:r>
      <w:r w:rsidRPr="00DC600C">
        <w:noBreakHyphen/>
        <w:t>209 a § 269-273</w:t>
      </w:r>
      <w:r>
        <w:t xml:space="preserve"> OZ</w:t>
      </w:r>
      <w:r w:rsidRPr="00DC600C">
        <w:t>.</w:t>
      </w:r>
    </w:p>
    <w:p w:rsidR="00BC36A1" w:rsidRDefault="00BC36A1" w:rsidP="00BC36A1">
      <w:pPr>
        <w:pStyle w:val="Normln1"/>
        <w:ind w:left="708"/>
      </w:pPr>
      <w:r>
        <w:t>L</w:t>
      </w:r>
      <w:r w:rsidRPr="00DC600C">
        <w:t xml:space="preserve">ikvidátor </w:t>
      </w:r>
      <w:r>
        <w:t>podá návrh na</w:t>
      </w:r>
      <w:r w:rsidRPr="00DC600C">
        <w:t xml:space="preserve"> zápis vstupu do likvidace do spolkového rejstříku. K tomuto návrhu musí být připojeno rozhodnutí </w:t>
      </w:r>
      <w:r>
        <w:t>příslušného</w:t>
      </w:r>
      <w:r w:rsidRPr="00DC600C">
        <w:t xml:space="preserve"> orgánu spolku o zrušení spolku. Spolek pak musí používat svůj název s připojením dodatku „v likvidaci“. </w:t>
      </w:r>
    </w:p>
    <w:p w:rsidR="00BC36A1" w:rsidRDefault="00BC36A1" w:rsidP="00BC36A1">
      <w:pPr>
        <w:pStyle w:val="Normln1"/>
        <w:ind w:left="708"/>
      </w:pPr>
      <w:r>
        <w:t xml:space="preserve">Likvidátor oznámí vstup spolku do likvidace všem známým věřitelům a zároveň zveřejní oznámení vstupu do likvidace společně s výzvou pro věřitele, aby přihlásili své pohledávky. Od 1. srpna 2019 není nutné toto oznámení dvakrát zveřejňovat v Obchodním věstníku, ale postačí nezbytné informace jednou uveřejnit ve spolkovém rejstříku. </w:t>
      </w:r>
    </w:p>
    <w:p w:rsidR="00BC36A1" w:rsidRDefault="00BC36A1" w:rsidP="00BC36A1">
      <w:pPr>
        <w:pStyle w:val="Normln1"/>
        <w:ind w:left="708"/>
      </w:pPr>
      <w:r>
        <w:t xml:space="preserve">Likvidátor tedy při podání návrhu na zápis vstupu spolku do likvidace také navrhne zapsat výzvu pro věřitele, a to v rámci zápisu tzv. ostatních skutečností. Zápis vstupu do likvidace a výzvy pro věřitele lze (s ohledem na požadavky § 198 OZ a § 13 odst. 2 nařízení vlády č. 351/2013 Sb.) formulovat např. následovně:  </w:t>
      </w:r>
    </w:p>
    <w:p w:rsidR="00BC36A1" w:rsidRDefault="00BC36A1" w:rsidP="00BC36A1">
      <w:pPr>
        <w:pStyle w:val="Normln1"/>
        <w:ind w:left="708"/>
        <w:rPr>
          <w:i/>
        </w:rPr>
      </w:pPr>
      <w:r w:rsidRPr="00F97867">
        <w:rPr>
          <w:i/>
        </w:rPr>
        <w:t>„</w:t>
      </w:r>
      <w:r>
        <w:rPr>
          <w:i/>
        </w:rPr>
        <w:t>Č</w:t>
      </w:r>
      <w:r w:rsidRPr="00F97867">
        <w:rPr>
          <w:i/>
        </w:rPr>
        <w:t xml:space="preserve">lenská schůze spolku </w:t>
      </w:r>
      <w:r w:rsidRPr="001A15AE">
        <w:t>[jméno spolku]</w:t>
      </w:r>
      <w:r>
        <w:rPr>
          <w:i/>
        </w:rPr>
        <w:t xml:space="preserve"> rozhodla o jeho zrušení ke dni</w:t>
      </w:r>
      <w:r w:rsidRPr="00F97867">
        <w:rPr>
          <w:i/>
        </w:rPr>
        <w:t xml:space="preserve"> </w:t>
      </w:r>
      <w:proofErr w:type="spellStart"/>
      <w:r w:rsidRPr="00F97867">
        <w:rPr>
          <w:i/>
        </w:rPr>
        <w:t>xx</w:t>
      </w:r>
      <w:proofErr w:type="spellEnd"/>
      <w:r w:rsidRPr="00F97867">
        <w:rPr>
          <w:i/>
        </w:rPr>
        <w:t xml:space="preserve">. </w:t>
      </w:r>
      <w:proofErr w:type="spellStart"/>
      <w:r w:rsidRPr="00F97867">
        <w:rPr>
          <w:i/>
        </w:rPr>
        <w:t>xx</w:t>
      </w:r>
      <w:proofErr w:type="spellEnd"/>
      <w:r w:rsidRPr="00F97867">
        <w:rPr>
          <w:i/>
        </w:rPr>
        <w:t xml:space="preserve">. </w:t>
      </w:r>
      <w:proofErr w:type="spellStart"/>
      <w:r w:rsidRPr="00F97867">
        <w:rPr>
          <w:i/>
        </w:rPr>
        <w:t>xxxx</w:t>
      </w:r>
      <w:proofErr w:type="spellEnd"/>
      <w:r w:rsidRPr="00F97867">
        <w:rPr>
          <w:i/>
        </w:rPr>
        <w:t>. Tímto dnem vstoupil spolek do likvidace</w:t>
      </w:r>
      <w:r>
        <w:rPr>
          <w:i/>
        </w:rPr>
        <w:t xml:space="preserve">. </w:t>
      </w:r>
      <w:r w:rsidRPr="00F97867">
        <w:rPr>
          <w:i/>
        </w:rPr>
        <w:t xml:space="preserve">Likvidátor </w:t>
      </w:r>
      <w:r>
        <w:rPr>
          <w:i/>
        </w:rPr>
        <w:t xml:space="preserve">spolku </w:t>
      </w:r>
      <w:r w:rsidRPr="00F97867">
        <w:t>[jméno spolku]</w:t>
      </w:r>
      <w:r>
        <w:rPr>
          <w:i/>
        </w:rPr>
        <w:t xml:space="preserve"> </w:t>
      </w:r>
      <w:r w:rsidRPr="00F97867">
        <w:rPr>
          <w:i/>
        </w:rPr>
        <w:t xml:space="preserve">v likvidaci tímto </w:t>
      </w:r>
      <w:r>
        <w:rPr>
          <w:i/>
        </w:rPr>
        <w:t xml:space="preserve">vyzývá </w:t>
      </w:r>
      <w:r w:rsidRPr="00F97867">
        <w:rPr>
          <w:i/>
        </w:rPr>
        <w:t xml:space="preserve">věřitele </w:t>
      </w:r>
      <w:r>
        <w:rPr>
          <w:i/>
        </w:rPr>
        <w:t>spolku</w:t>
      </w:r>
      <w:r w:rsidRPr="00F97867">
        <w:rPr>
          <w:i/>
        </w:rPr>
        <w:t xml:space="preserve">, aby přihlásili </w:t>
      </w:r>
      <w:r w:rsidRPr="00F97867">
        <w:rPr>
          <w:i/>
        </w:rPr>
        <w:lastRenderedPageBreak/>
        <w:t xml:space="preserve">své pohledávky, které mají za </w:t>
      </w:r>
      <w:r>
        <w:rPr>
          <w:i/>
        </w:rPr>
        <w:t xml:space="preserve">spolkem </w:t>
      </w:r>
      <w:r w:rsidRPr="00F97867">
        <w:t>[jméno spolku]</w:t>
      </w:r>
      <w:r>
        <w:rPr>
          <w:i/>
        </w:rPr>
        <w:t xml:space="preserve"> </w:t>
      </w:r>
      <w:r w:rsidRPr="00F97867">
        <w:rPr>
          <w:i/>
        </w:rPr>
        <w:t>v</w:t>
      </w:r>
      <w:r>
        <w:rPr>
          <w:i/>
        </w:rPr>
        <w:t> </w:t>
      </w:r>
      <w:r w:rsidRPr="00F97867">
        <w:rPr>
          <w:i/>
        </w:rPr>
        <w:t>likvidaci</w:t>
      </w:r>
      <w:r>
        <w:rPr>
          <w:i/>
        </w:rPr>
        <w:t xml:space="preserve">, a to ve lhůtě </w:t>
      </w:r>
      <w:r w:rsidRPr="002E35B4">
        <w:rPr>
          <w:i/>
        </w:rPr>
        <w:t xml:space="preserve">3 měsíců a 2 týdnů ode dne následujícího po dni zveřejnění </w:t>
      </w:r>
      <w:r>
        <w:rPr>
          <w:i/>
        </w:rPr>
        <w:t xml:space="preserve">tohoto </w:t>
      </w:r>
      <w:r w:rsidRPr="002E35B4">
        <w:rPr>
          <w:i/>
        </w:rPr>
        <w:t>zápisu</w:t>
      </w:r>
      <w:r>
        <w:rPr>
          <w:i/>
        </w:rPr>
        <w:t>.“</w:t>
      </w:r>
    </w:p>
    <w:p w:rsidR="00BC36A1" w:rsidRPr="002E35B4" w:rsidRDefault="00BC36A1" w:rsidP="00BC36A1">
      <w:pPr>
        <w:pStyle w:val="Normln1"/>
        <w:ind w:left="708"/>
      </w:pPr>
      <w:r>
        <w:t>Likvidátor také zapíše ú</w:t>
      </w:r>
      <w:r w:rsidRPr="002E35B4">
        <w:t>daje</w:t>
      </w:r>
      <w:r>
        <w:t>, které jej</w:t>
      </w:r>
      <w:r w:rsidRPr="002E35B4">
        <w:t xml:space="preserve"> identifikují</w:t>
      </w:r>
      <w:r>
        <w:t xml:space="preserve"> (do samostatné kolonky)</w:t>
      </w:r>
      <w:r w:rsidRPr="002E35B4">
        <w:t>.</w:t>
      </w:r>
      <w:r>
        <w:t xml:space="preserve"> Zápis veškerých údajů je osvobozen od soudního poplatku.</w:t>
      </w:r>
    </w:p>
    <w:p w:rsidR="00BC36A1" w:rsidRDefault="00BC36A1" w:rsidP="00BC36A1">
      <w:pPr>
        <w:pStyle w:val="Normln1"/>
        <w:ind w:left="708"/>
      </w:pPr>
      <w:r>
        <w:t xml:space="preserve">Likvidátor následně sestaví soupis jmění spolku a zpřístupní jej všem členům v sídle spolku. </w:t>
      </w:r>
      <w:r w:rsidRPr="009330E1">
        <w:t>Likvidátor zpen</w:t>
      </w:r>
      <w:r>
        <w:t>ěží likvidační podstatu pouze v </w:t>
      </w:r>
      <w:r w:rsidRPr="009330E1">
        <w:t xml:space="preserve">tom rozsahu, v jakém to je pro splnění </w:t>
      </w:r>
      <w:r>
        <w:t xml:space="preserve">dluhů spolku nezbytné a s likvidačním zůstatkem </w:t>
      </w:r>
      <w:r w:rsidRPr="009330E1">
        <w:t>naloží podle stanov.</w:t>
      </w:r>
      <w:r>
        <w:t xml:space="preserve"> Použitím likvidačního zůstatku likvidace končí. </w:t>
      </w:r>
    </w:p>
    <w:p w:rsidR="00BC36A1" w:rsidRPr="00C47BE8" w:rsidRDefault="00BC36A1" w:rsidP="00BC36A1">
      <w:pPr>
        <w:pStyle w:val="Normln1"/>
        <w:numPr>
          <w:ilvl w:val="0"/>
          <w:numId w:val="2"/>
        </w:numPr>
        <w:ind w:left="1068"/>
        <w:rPr>
          <w:b/>
        </w:rPr>
      </w:pPr>
      <w:r w:rsidRPr="00C47BE8">
        <w:rPr>
          <w:b/>
        </w:rPr>
        <w:t>Zánik spolku</w:t>
      </w:r>
    </w:p>
    <w:p w:rsidR="00BC36A1" w:rsidRPr="002A421B" w:rsidRDefault="00BC36A1" w:rsidP="00BC36A1">
      <w:pPr>
        <w:pStyle w:val="Normln1"/>
        <w:ind w:left="708"/>
      </w:pPr>
      <w:r>
        <w:t>Následně l</w:t>
      </w:r>
      <w:r w:rsidRPr="00DC600C">
        <w:t>i</w:t>
      </w:r>
      <w:r>
        <w:t>kvidátor podá do třiceti dnů od </w:t>
      </w:r>
      <w:r w:rsidRPr="00DC600C">
        <w:t>skončení lik</w:t>
      </w:r>
      <w:r>
        <w:t>vidace návrh na výmaz spolku ze </w:t>
      </w:r>
      <w:r w:rsidRPr="00DC600C">
        <w:t>spolkového rejstříku opět k rejstříkovému soudu</w:t>
      </w:r>
      <w:r>
        <w:t xml:space="preserve"> (viz výše)</w:t>
      </w:r>
      <w:r w:rsidRPr="00DC600C">
        <w:t xml:space="preserve">. </w:t>
      </w:r>
      <w:r>
        <w:t>Teprve výmazem ze spolkového rejstříku spolek zaniká.</w:t>
      </w:r>
    </w:p>
    <w:p w:rsidR="003C3363" w:rsidRDefault="003C3363" w:rsidP="00FD003C">
      <w:pPr>
        <w:pStyle w:val="Normln1"/>
        <w:rPr>
          <w:szCs w:val="22"/>
        </w:rPr>
      </w:pPr>
      <w:r w:rsidRPr="00BC36A1">
        <w:rPr>
          <w:bCs/>
          <w:szCs w:val="22"/>
        </w:rPr>
        <w:t>Závěrem si Vás dovolujeme upozornit, že Ministerstvo s</w:t>
      </w:r>
      <w:r w:rsidR="00C33F00" w:rsidRPr="00BC36A1">
        <w:rPr>
          <w:bCs/>
          <w:szCs w:val="22"/>
        </w:rPr>
        <w:t>pravedlnosti je podle zákona č. </w:t>
      </w:r>
      <w:r w:rsidRPr="00BC36A1">
        <w:rPr>
          <w:bCs/>
          <w:szCs w:val="22"/>
        </w:rPr>
        <w:t xml:space="preserve">2/1969 Sb., o zřízení ministerstev a jiných ústředních orgánů státní správy České republiky, </w:t>
      </w:r>
      <w:r w:rsidR="00C33F00" w:rsidRPr="00BC36A1">
        <w:rPr>
          <w:bCs/>
          <w:szCs w:val="22"/>
        </w:rPr>
        <w:t>ve </w:t>
      </w:r>
      <w:r w:rsidR="00127760" w:rsidRPr="00BC36A1">
        <w:rPr>
          <w:bCs/>
          <w:szCs w:val="22"/>
        </w:rPr>
        <w:t xml:space="preserve">znění pozdějších předpisů, </w:t>
      </w:r>
      <w:r w:rsidRPr="00BC36A1">
        <w:rPr>
          <w:bCs/>
          <w:szCs w:val="22"/>
        </w:rPr>
        <w:t>ústředním orgánem státní správy pro soudy, státní zastupitelství, vězeňství, probaci, mediaci a střet zájmů. Je oprávněno činit to, co mu tento zákon a jiné právní předpisy ukládají. Poskytování výkladových stanovisek, právních porad v konkrétních věcech, právních rozborů a dalších forem právní pomoci však mezi úkoly Ministerstva spravedlnosti nepatří. K poskytování právních služeb jsou oprávněny k tomu zákonem určené osoby, zejména pak advokáti ve smyslu zákona č. 85/1996 Sb.,</w:t>
      </w:r>
      <w:r w:rsidR="000C089B" w:rsidRPr="00BC36A1">
        <w:rPr>
          <w:bCs/>
          <w:szCs w:val="22"/>
        </w:rPr>
        <w:t xml:space="preserve"> o </w:t>
      </w:r>
      <w:r w:rsidRPr="00BC36A1">
        <w:rPr>
          <w:bCs/>
          <w:szCs w:val="22"/>
        </w:rPr>
        <w:t>advokacii</w:t>
      </w:r>
      <w:r w:rsidR="00127760" w:rsidRPr="00BC36A1">
        <w:rPr>
          <w:bCs/>
          <w:szCs w:val="22"/>
        </w:rPr>
        <w:t>, ve znění pozdějších předpisů</w:t>
      </w:r>
      <w:r w:rsidRPr="00BC36A1">
        <w:rPr>
          <w:bCs/>
          <w:szCs w:val="22"/>
        </w:rPr>
        <w:t xml:space="preserve">. Pokud jde o </w:t>
      </w:r>
      <w:r w:rsidRPr="00BC36A1">
        <w:rPr>
          <w:bCs/>
          <w:szCs w:val="22"/>
        </w:rPr>
        <w:lastRenderedPageBreak/>
        <w:t>podávání závazného výkladu právních předpisů, toto náleží v rámci řízení o konkrétní věci soudu. Ministerstvo spravedlnosti, jako</w:t>
      </w:r>
      <w:r w:rsidR="00C33F00" w:rsidRPr="00BC36A1">
        <w:rPr>
          <w:bCs/>
          <w:szCs w:val="22"/>
        </w:rPr>
        <w:t>žto orgán moci výkonné, není do </w:t>
      </w:r>
      <w:r w:rsidRPr="00BC36A1">
        <w:rPr>
          <w:bCs/>
          <w:szCs w:val="22"/>
        </w:rPr>
        <w:t xml:space="preserve">konkrétních právních kauz oprávněno jakkoliv zasahovat či se k nim vyjadřovat. </w:t>
      </w:r>
      <w:r w:rsidR="00D30B2E" w:rsidRPr="00BC36A1">
        <w:rPr>
          <w:szCs w:val="22"/>
        </w:rPr>
        <w:t>Výše uvedené stanovisko má pouze informativní povahu a je třeba jej považovat za nezávazné.</w:t>
      </w:r>
      <w:r w:rsidR="00D30B2E">
        <w:rPr>
          <w:szCs w:val="22"/>
        </w:rPr>
        <w:t xml:space="preserve"> </w:t>
      </w:r>
    </w:p>
    <w:p w:rsidR="000C56DD" w:rsidRPr="009059A6" w:rsidRDefault="009059A6" w:rsidP="009059A6">
      <w:pPr>
        <w:pStyle w:val="Normln1"/>
        <w:spacing w:after="720"/>
        <w:rPr>
          <w:szCs w:val="22"/>
        </w:rPr>
      </w:pPr>
      <w:r>
        <w:rPr>
          <w:szCs w:val="22"/>
        </w:rPr>
        <w:t>S pozdravem</w:t>
      </w:r>
      <w:bookmarkStart w:id="0" w:name="_GoBack"/>
      <w:bookmarkEnd w:id="0"/>
    </w:p>
    <w:sectPr w:rsidR="000C56DD" w:rsidRPr="0090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E6593"/>
    <w:multiLevelType w:val="hybridMultilevel"/>
    <w:tmpl w:val="069A82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3CF9"/>
    <w:multiLevelType w:val="hybridMultilevel"/>
    <w:tmpl w:val="13EEE4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A1"/>
    <w:rsid w:val="00011D81"/>
    <w:rsid w:val="0003147F"/>
    <w:rsid w:val="000635F7"/>
    <w:rsid w:val="00095004"/>
    <w:rsid w:val="000C089B"/>
    <w:rsid w:val="000C56DD"/>
    <w:rsid w:val="00127760"/>
    <w:rsid w:val="00147607"/>
    <w:rsid w:val="00155C3E"/>
    <w:rsid w:val="00164F3E"/>
    <w:rsid w:val="00173CB3"/>
    <w:rsid w:val="001A53D2"/>
    <w:rsid w:val="001C2687"/>
    <w:rsid w:val="001C3AC8"/>
    <w:rsid w:val="001C5BE1"/>
    <w:rsid w:val="001D62C2"/>
    <w:rsid w:val="002350FB"/>
    <w:rsid w:val="002533B4"/>
    <w:rsid w:val="00285210"/>
    <w:rsid w:val="00291165"/>
    <w:rsid w:val="00296A18"/>
    <w:rsid w:val="002A421B"/>
    <w:rsid w:val="002B638C"/>
    <w:rsid w:val="002D56F0"/>
    <w:rsid w:val="002F2AB0"/>
    <w:rsid w:val="00327A10"/>
    <w:rsid w:val="003C0DE9"/>
    <w:rsid w:val="003C3363"/>
    <w:rsid w:val="003D51D4"/>
    <w:rsid w:val="003F2510"/>
    <w:rsid w:val="003F28D7"/>
    <w:rsid w:val="00427694"/>
    <w:rsid w:val="00474E46"/>
    <w:rsid w:val="0047782B"/>
    <w:rsid w:val="004A01B7"/>
    <w:rsid w:val="004A3443"/>
    <w:rsid w:val="004B56E3"/>
    <w:rsid w:val="00536A28"/>
    <w:rsid w:val="005E7047"/>
    <w:rsid w:val="00620513"/>
    <w:rsid w:val="006407D4"/>
    <w:rsid w:val="00691310"/>
    <w:rsid w:val="006C54AF"/>
    <w:rsid w:val="006F5112"/>
    <w:rsid w:val="00750A0A"/>
    <w:rsid w:val="00790ECE"/>
    <w:rsid w:val="007B59FA"/>
    <w:rsid w:val="008E1740"/>
    <w:rsid w:val="009059A6"/>
    <w:rsid w:val="009565B2"/>
    <w:rsid w:val="009674EA"/>
    <w:rsid w:val="009A6EA2"/>
    <w:rsid w:val="009B297C"/>
    <w:rsid w:val="009C011C"/>
    <w:rsid w:val="00A6028E"/>
    <w:rsid w:val="00A915D3"/>
    <w:rsid w:val="00AB3DB4"/>
    <w:rsid w:val="00AD2D08"/>
    <w:rsid w:val="00B1129E"/>
    <w:rsid w:val="00B11537"/>
    <w:rsid w:val="00BC36A1"/>
    <w:rsid w:val="00C10B63"/>
    <w:rsid w:val="00C33F00"/>
    <w:rsid w:val="00CA6418"/>
    <w:rsid w:val="00CA6B72"/>
    <w:rsid w:val="00CD68C6"/>
    <w:rsid w:val="00D30B2E"/>
    <w:rsid w:val="00DA4CBC"/>
    <w:rsid w:val="00DE760E"/>
    <w:rsid w:val="00E03046"/>
    <w:rsid w:val="00E06FA2"/>
    <w:rsid w:val="00E232EF"/>
    <w:rsid w:val="00E7167E"/>
    <w:rsid w:val="00E8791B"/>
    <w:rsid w:val="00E87DB7"/>
    <w:rsid w:val="00EF0F13"/>
    <w:rsid w:val="00F02FB7"/>
    <w:rsid w:val="00F5218C"/>
    <w:rsid w:val="00FB0BA7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7FEB"/>
  <w15:docId w15:val="{C7314EBE-EB0F-48B2-8A87-D4CDA5BE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ln1Char"/>
    <w:qFormat/>
    <w:rsid w:val="00C33F00"/>
    <w:pPr>
      <w:spacing w:after="24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ormln2">
    <w:name w:val="Normální2"/>
    <w:basedOn w:val="Normln"/>
    <w:link w:val="Normln2Char"/>
    <w:qFormat/>
    <w:rsid w:val="002A421B"/>
    <w:pPr>
      <w:spacing w:before="220" w:after="0" w:line="360" w:lineRule="auto"/>
      <w:ind w:firstLine="340"/>
      <w:jc w:val="both"/>
    </w:pPr>
    <w:rPr>
      <w:rFonts w:ascii="Times New Roman" w:hAnsi="Times New Roman"/>
      <w:szCs w:val="24"/>
    </w:rPr>
  </w:style>
  <w:style w:type="character" w:customStyle="1" w:styleId="Normln1Char">
    <w:name w:val="Normální1 Char"/>
    <w:link w:val="Normln1"/>
    <w:rsid w:val="00C33F00"/>
    <w:rPr>
      <w:rFonts w:ascii="Times New Roman" w:hAnsi="Times New Roman"/>
      <w:sz w:val="24"/>
      <w:szCs w:val="24"/>
      <w:lang w:eastAsia="en-US"/>
    </w:rPr>
  </w:style>
  <w:style w:type="character" w:customStyle="1" w:styleId="Normln2Char">
    <w:name w:val="Normální2 Char"/>
    <w:link w:val="Normln2"/>
    <w:rsid w:val="002A421B"/>
    <w:rPr>
      <w:rFonts w:ascii="Times New Roman" w:hAnsi="Times New Roman"/>
      <w:sz w:val="22"/>
      <w:szCs w:val="24"/>
      <w:lang w:eastAsia="en-US"/>
    </w:rPr>
  </w:style>
  <w:style w:type="character" w:styleId="Hypertextovodkaz">
    <w:name w:val="Hyperlink"/>
    <w:uiPriority w:val="99"/>
    <w:unhideWhenUsed/>
    <w:rsid w:val="00164F3E"/>
    <w:rPr>
      <w:color w:val="0000FF"/>
      <w:u w:val="single"/>
    </w:rPr>
  </w:style>
  <w:style w:type="paragraph" w:customStyle="1" w:styleId="Styl1">
    <w:name w:val="Styl1"/>
    <w:basedOn w:val="Normln1"/>
    <w:link w:val="Styl1Char"/>
    <w:qFormat/>
    <w:rsid w:val="00536A28"/>
    <w:pPr>
      <w:spacing w:before="220" w:after="220"/>
    </w:pPr>
    <w:rPr>
      <w:b/>
      <w:szCs w:val="22"/>
    </w:rPr>
  </w:style>
  <w:style w:type="character" w:customStyle="1" w:styleId="Styl1Char">
    <w:name w:val="Styl1 Char"/>
    <w:link w:val="Styl1"/>
    <w:rsid w:val="00536A28"/>
    <w:rPr>
      <w:rFonts w:ascii="Times New Roman" w:hAnsi="Times New Roman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cz/" TargetMode="External"/><Relationship Id="rId13" Type="http://schemas.openxmlformats.org/officeDocument/2006/relationships/hyperlink" Target="https://or.justice.cz/ias/ui/download/prilohy_spolky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rejstrik-$firma" TargetMode="External"/><Relationship Id="rId12" Type="http://schemas.openxmlformats.org/officeDocument/2006/relationships/hyperlink" Target="https://www.justice.cz/" TargetMode="External"/><Relationship Id="rId17" Type="http://schemas.openxmlformats.org/officeDocument/2006/relationships/hyperlink" Target="https://www.justice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.justice.cz/ias/ui/poda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ustice.cz/" TargetMode="External"/><Relationship Id="rId11" Type="http://schemas.openxmlformats.org/officeDocument/2006/relationships/hyperlink" Target="https://www.justice.cz/soudy" TargetMode="External"/><Relationship Id="rId5" Type="http://schemas.openxmlformats.org/officeDocument/2006/relationships/hyperlink" Target="https://www.justice.cz/soudy" TargetMode="External"/><Relationship Id="rId15" Type="http://schemas.openxmlformats.org/officeDocument/2006/relationships/hyperlink" Target="https://or.justice.cz/ias/ui/specifikaceSL" TargetMode="External"/><Relationship Id="rId10" Type="http://schemas.openxmlformats.org/officeDocument/2006/relationships/hyperlink" Target="https://justice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.justice.cz/ias/iform/index.html;jsessionid=ahJoLchzO5UDz-aFiT9tL0-b?0" TargetMode="External"/><Relationship Id="rId14" Type="http://schemas.openxmlformats.org/officeDocument/2006/relationships/hyperlink" Target="https://just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11171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13038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mailto:ol@msp.justice.cz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Redlichová Aneta, Mgr.</dc:creator>
  <cp:lastModifiedBy>Hexner Adam Mgr.</cp:lastModifiedBy>
  <cp:revision>2</cp:revision>
  <dcterms:created xsi:type="dcterms:W3CDTF">2021-05-03T08:54:00Z</dcterms:created>
  <dcterms:modified xsi:type="dcterms:W3CDTF">2021-05-03T08:54:00Z</dcterms:modified>
</cp:coreProperties>
</file>