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61" w:rsidRDefault="00FF5261" w:rsidP="00FF526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Usnesení </w:t>
      </w:r>
    </w:p>
    <w:p w:rsidR="00FF5261" w:rsidRDefault="00FF5261" w:rsidP="00FF526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Výboru pro práva LGBTI+ lidí Rady vlády pro lidská práva</w:t>
      </w:r>
    </w:p>
    <w:p w:rsidR="00FF5261" w:rsidRDefault="00FF5261" w:rsidP="00FF526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ze dne 14. prosince 2022</w:t>
      </w:r>
    </w:p>
    <w:p w:rsidR="00FF5261" w:rsidRDefault="00FF5261" w:rsidP="00FF5261">
      <w:pPr>
        <w:spacing w:line="36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k leg</w:t>
      </w:r>
      <w:r w:rsidR="005959DA">
        <w:rPr>
          <w:rFonts w:ascii="Arial" w:eastAsia="Arial" w:hAnsi="Arial" w:cs="Arial"/>
          <w:b/>
          <w:i/>
        </w:rPr>
        <w:t>islativě upravující práva trans*</w:t>
      </w:r>
      <w:r>
        <w:rPr>
          <w:rFonts w:ascii="Arial" w:eastAsia="Arial" w:hAnsi="Arial" w:cs="Arial"/>
          <w:b/>
          <w:i/>
        </w:rPr>
        <w:t xml:space="preserve">lidí </w:t>
      </w:r>
    </w:p>
    <w:p w:rsidR="00FF5261" w:rsidRDefault="00FF5261" w:rsidP="00FF526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Výbor pro práva LGBTI+ lidí (dále jen „Výbor“)</w:t>
      </w:r>
    </w:p>
    <w:p w:rsidR="00FF5261" w:rsidRDefault="00FF5261" w:rsidP="00FF526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y z ý v á </w:t>
      </w:r>
    </w:p>
    <w:p w:rsidR="00FF5261" w:rsidRDefault="00FF5261" w:rsidP="00FF52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ministra spravedlnosti, aby ve spolupráci s 1. místopředsedou vlády a ministrem vnitra a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 xml:space="preserve"> místopředsedou vlády a ministrem zdravotnictví k předložení novely občanského zákoníku, zákona o specifických zdravotních službách, zákona o matrikách, jménu a příjmení a případně dalších předpisů, která by </w:t>
      </w:r>
    </w:p>
    <w:p w:rsidR="00FF5261" w:rsidRDefault="00F12C4A" w:rsidP="00FF52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zrušila </w:t>
      </w:r>
      <w:r w:rsidR="00FF5261">
        <w:rPr>
          <w:rFonts w:ascii="Arial" w:eastAsia="Arial" w:hAnsi="Arial" w:cs="Arial"/>
          <w:color w:val="000000"/>
        </w:rPr>
        <w:t xml:space="preserve">povinnost </w:t>
      </w:r>
      <w:r w:rsidR="0071005D">
        <w:rPr>
          <w:rFonts w:ascii="Arial" w:eastAsia="Arial" w:hAnsi="Arial" w:cs="Arial"/>
          <w:color w:val="000000"/>
        </w:rPr>
        <w:t>znemožnění reprodukční funkce a přeměny</w:t>
      </w:r>
      <w:r w:rsidR="00FF5261">
        <w:rPr>
          <w:rFonts w:ascii="Arial" w:eastAsia="Arial" w:hAnsi="Arial" w:cs="Arial"/>
          <w:color w:val="000000"/>
        </w:rPr>
        <w:t xml:space="preserve"> pohlavních orgánů</w:t>
      </w:r>
      <w:r w:rsidR="00444829">
        <w:rPr>
          <w:rFonts w:ascii="Arial" w:eastAsia="Arial" w:hAnsi="Arial" w:cs="Arial"/>
          <w:color w:val="000000"/>
        </w:rPr>
        <w:t xml:space="preserve"> či dalších medicínských zákroků </w:t>
      </w:r>
      <w:r w:rsidR="00FF5261">
        <w:rPr>
          <w:rFonts w:ascii="Arial" w:eastAsia="Arial" w:hAnsi="Arial" w:cs="Arial"/>
          <w:color w:val="000000"/>
        </w:rPr>
        <w:t xml:space="preserve">pro </w:t>
      </w:r>
      <w:r w:rsidR="0071005D">
        <w:rPr>
          <w:rFonts w:ascii="Arial" w:eastAsia="Arial" w:hAnsi="Arial" w:cs="Arial"/>
          <w:color w:val="000000"/>
        </w:rPr>
        <w:t xml:space="preserve">úřední </w:t>
      </w:r>
      <w:r w:rsidR="00FF5261">
        <w:rPr>
          <w:rFonts w:ascii="Arial" w:eastAsia="Arial" w:hAnsi="Arial" w:cs="Arial"/>
          <w:color w:val="000000"/>
        </w:rPr>
        <w:t xml:space="preserve">změnu pohlaví a </w:t>
      </w:r>
    </w:p>
    <w:p w:rsidR="00FF5261" w:rsidRDefault="00F12C4A" w:rsidP="00FF52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zrušila </w:t>
      </w:r>
      <w:r w:rsidR="00FF5261">
        <w:rPr>
          <w:rFonts w:ascii="Arial" w:eastAsia="Arial" w:hAnsi="Arial" w:cs="Arial"/>
          <w:color w:val="000000"/>
        </w:rPr>
        <w:t xml:space="preserve">povinnost </w:t>
      </w:r>
      <w:r w:rsidR="00444829">
        <w:rPr>
          <w:rFonts w:ascii="Arial" w:eastAsia="Arial" w:hAnsi="Arial" w:cs="Arial"/>
          <w:color w:val="000000"/>
        </w:rPr>
        <w:t>zrušení</w:t>
      </w:r>
      <w:r w:rsidR="00FF5261">
        <w:rPr>
          <w:rFonts w:ascii="Arial" w:eastAsia="Arial" w:hAnsi="Arial" w:cs="Arial"/>
          <w:color w:val="000000"/>
        </w:rPr>
        <w:t xml:space="preserve"> manželství nebo reg</w:t>
      </w:r>
      <w:r w:rsidR="0071005D">
        <w:rPr>
          <w:rFonts w:ascii="Arial" w:eastAsia="Arial" w:hAnsi="Arial" w:cs="Arial"/>
          <w:color w:val="000000"/>
        </w:rPr>
        <w:t>istrovaného partnerství v souvislosti se změnou</w:t>
      </w:r>
      <w:r w:rsidR="00FF5261">
        <w:rPr>
          <w:rFonts w:ascii="Arial" w:eastAsia="Arial" w:hAnsi="Arial" w:cs="Arial"/>
          <w:color w:val="000000"/>
        </w:rPr>
        <w:t xml:space="preserve"> pohlaví;</w:t>
      </w:r>
    </w:p>
    <w:p w:rsidR="00F12C4A" w:rsidRDefault="00F12C4A" w:rsidP="00FF52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umožnila úřední změnu pohlaví na základě sebeurčení;</w:t>
      </w:r>
    </w:p>
    <w:p w:rsidR="0071005D" w:rsidRDefault="0071005D" w:rsidP="00710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místopředsedu vlády a ministra vnitra k vypracování analýzy, která by ukázala nedostatky v procesu úřední změny pohlaví v porovnání s mezinárodními standardy a zajistila, aby byla </w:t>
      </w:r>
      <w:r>
        <w:rPr>
          <w:rFonts w:ascii="Arial" w:eastAsia="Arial" w:hAnsi="Arial" w:cs="Arial"/>
        </w:rPr>
        <w:t>rychlá</w:t>
      </w:r>
      <w:r>
        <w:rPr>
          <w:rFonts w:ascii="Arial" w:eastAsia="Arial" w:hAnsi="Arial" w:cs="Arial"/>
          <w:color w:val="000000"/>
        </w:rPr>
        <w:t>, snadná a dostupná a zároveň jednotná a transparentní a co nejvíce respektovala práva trans*lidí;</w:t>
      </w:r>
    </w:p>
    <w:p w:rsidR="00FF5261" w:rsidRDefault="00FF5261" w:rsidP="00FF52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místopředsedu vlády a ministra zdravotnictví k vypracování analýzy, která by ukázala cesty, jak zdravotní péči o osoby s genderovým nesouladem uvést do souladu s aktuálními světovými odbornými přístupy a standardy, a tyto cesty pak reflektovat v právních předpisech, metodických dokumentech i odborném vzdělávání</w:t>
      </w:r>
      <w:r w:rsidR="0071005D">
        <w:rPr>
          <w:rFonts w:ascii="Arial" w:eastAsia="Arial" w:hAnsi="Arial" w:cs="Arial"/>
          <w:color w:val="000000"/>
        </w:rPr>
        <w:t>.</w:t>
      </w:r>
    </w:p>
    <w:p w:rsidR="00FF5261" w:rsidRDefault="00FF5261" w:rsidP="00FF526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959DA" w:rsidRDefault="005959DA" w:rsidP="00FF526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959DA" w:rsidRDefault="005959DA" w:rsidP="00FF526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959DA" w:rsidRDefault="005959DA" w:rsidP="00FF526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F5261" w:rsidRDefault="00FF5261" w:rsidP="00FF5261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lastRenderedPageBreak/>
        <w:t>Odůvodnění:</w:t>
      </w:r>
    </w:p>
    <w:p w:rsidR="00FF5261" w:rsidRDefault="00FF5261" w:rsidP="00FF526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České právo</w:t>
      </w:r>
      <w:r>
        <w:rPr>
          <w:rFonts w:ascii="Arial" w:eastAsia="Arial" w:hAnsi="Arial" w:cs="Arial"/>
          <w:vertAlign w:val="superscript"/>
        </w:rPr>
        <w:footnoteReference w:id="1"/>
      </w:r>
      <w:r>
        <w:rPr>
          <w:rFonts w:ascii="Arial" w:eastAsia="Arial" w:hAnsi="Arial" w:cs="Arial"/>
        </w:rPr>
        <w:t xml:space="preserve"> ukládá trans</w:t>
      </w:r>
      <w:r w:rsidR="005959DA">
        <w:rPr>
          <w:rFonts w:ascii="Arial" w:eastAsia="Arial" w:hAnsi="Arial" w:cs="Arial"/>
        </w:rPr>
        <w:t>*</w:t>
      </w:r>
      <w:r>
        <w:rPr>
          <w:rFonts w:ascii="Arial" w:eastAsia="Arial" w:hAnsi="Arial" w:cs="Arial"/>
        </w:rPr>
        <w:t>lidem pro úřední uznání genderové identity (změnu úředního pohlaví) povinnost operativních zákroku směřujících ke znemožnění reprodukční funkce spolu s  přeměnou pohlavních orgánů, což se fakticky rovná kastraci.  To však je v přímém rozporu s  právy trans</w:t>
      </w:r>
      <w:r w:rsidR="005959DA">
        <w:rPr>
          <w:rFonts w:ascii="Arial" w:eastAsia="Arial" w:hAnsi="Arial" w:cs="Arial"/>
        </w:rPr>
        <w:t>*</w:t>
      </w:r>
      <w:r>
        <w:rPr>
          <w:rFonts w:ascii="Arial" w:eastAsia="Arial" w:hAnsi="Arial" w:cs="Arial"/>
        </w:rPr>
        <w:t>lidí, především právem na ochranu tělesné integrity, soukromí a rodinného života, když je nutí volit si mezi svou identitou a svou tělesnou integritou. K tomuto závěru dospěl ve své judikatuře Evropský soud pro lidská práva</w:t>
      </w:r>
      <w:r>
        <w:rPr>
          <w:rFonts w:ascii="Arial" w:eastAsia="Arial" w:hAnsi="Arial" w:cs="Arial"/>
          <w:vertAlign w:val="superscript"/>
        </w:rPr>
        <w:footnoteReference w:id="2"/>
      </w:r>
      <w:r>
        <w:rPr>
          <w:rFonts w:ascii="Arial" w:eastAsia="Arial" w:hAnsi="Arial" w:cs="Arial"/>
        </w:rPr>
        <w:t xml:space="preserve"> stejně jako Výbor pro sociální práva rady, jež rozhodl, že Česká republika tímto svý</w:t>
      </w:r>
      <w:r w:rsidR="005959DA">
        <w:rPr>
          <w:rFonts w:ascii="Arial" w:eastAsia="Arial" w:hAnsi="Arial" w:cs="Arial"/>
        </w:rPr>
        <w:t xml:space="preserve">m postupem porušila práva trans*lidí </w:t>
      </w:r>
      <w:r>
        <w:rPr>
          <w:rFonts w:ascii="Arial" w:eastAsia="Arial" w:hAnsi="Arial" w:cs="Arial"/>
        </w:rPr>
        <w:t>a vyzval ČR již v roce 2018, aby tuto svou zákonnou praxi zrušila.</w:t>
      </w:r>
      <w:r>
        <w:rPr>
          <w:rFonts w:ascii="Arial" w:eastAsia="Arial" w:hAnsi="Arial" w:cs="Arial"/>
          <w:vertAlign w:val="superscript"/>
        </w:rPr>
        <w:footnoteReference w:id="3"/>
      </w:r>
      <w:r>
        <w:rPr>
          <w:rFonts w:ascii="Arial" w:eastAsia="Arial" w:hAnsi="Arial" w:cs="Arial"/>
        </w:rPr>
        <w:t xml:space="preserve"> </w:t>
      </w:r>
    </w:p>
    <w:p w:rsidR="00FF5261" w:rsidRDefault="00FF5261" w:rsidP="00FF526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 podobně problematickou lze pak považovat i podmínku povinného zániku manželství či registrovaného partnerství po změně pohlaví</w:t>
      </w:r>
      <w:r>
        <w:rPr>
          <w:rFonts w:ascii="Arial" w:eastAsia="Arial" w:hAnsi="Arial" w:cs="Arial"/>
          <w:vertAlign w:val="superscript"/>
        </w:rPr>
        <w:footnoteReference w:id="4"/>
      </w:r>
      <w:r>
        <w:rPr>
          <w:rFonts w:ascii="Arial" w:eastAsia="Arial" w:hAnsi="Arial" w:cs="Arial"/>
        </w:rPr>
        <w:t>, resp. povinného rozvodu či zrušení partnerství před podstoupením operativních zákroku</w:t>
      </w:r>
      <w:r>
        <w:rPr>
          <w:rFonts w:ascii="Arial" w:eastAsia="Arial" w:hAnsi="Arial" w:cs="Arial"/>
          <w:vertAlign w:val="superscript"/>
        </w:rPr>
        <w:footnoteReference w:id="5"/>
      </w:r>
      <w:r>
        <w:rPr>
          <w:rFonts w:ascii="Arial" w:eastAsia="Arial" w:hAnsi="Arial" w:cs="Arial"/>
        </w:rPr>
        <w:t>, neboť také nerespektuje právo na zachování rodinného svazku a vztahů.</w:t>
      </w:r>
      <w:r>
        <w:rPr>
          <w:rFonts w:ascii="Arial" w:eastAsia="Arial" w:hAnsi="Arial" w:cs="Arial"/>
          <w:vertAlign w:val="superscript"/>
        </w:rPr>
        <w:footnoteReference w:id="6"/>
      </w:r>
    </w:p>
    <w:p w:rsidR="00A713E1" w:rsidRDefault="00A713E1" w:rsidP="00FF526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Podle mezinárodních standardů obecně by úřední změna pohlaví měla spočívat ve faktickém uznání osobní genderové identity člověka právním systémem (z toho plyne i anglický název </w:t>
      </w:r>
      <w:proofErr w:type="spellStart"/>
      <w:r>
        <w:rPr>
          <w:rFonts w:ascii="Arial" w:eastAsia="Arial" w:hAnsi="Arial" w:cs="Arial"/>
        </w:rPr>
        <w:t>legal</w:t>
      </w:r>
      <w:proofErr w:type="spellEnd"/>
      <w:r>
        <w:rPr>
          <w:rFonts w:ascii="Arial" w:eastAsia="Arial" w:hAnsi="Arial" w:cs="Arial"/>
        </w:rPr>
        <w:t xml:space="preserve"> gender </w:t>
      </w:r>
      <w:proofErr w:type="spellStart"/>
      <w:r>
        <w:rPr>
          <w:rFonts w:ascii="Arial" w:eastAsia="Arial" w:hAnsi="Arial" w:cs="Arial"/>
        </w:rPr>
        <w:t>recognition</w:t>
      </w:r>
      <w:proofErr w:type="spellEnd"/>
      <w:r>
        <w:rPr>
          <w:rFonts w:ascii="Arial" w:eastAsia="Arial" w:hAnsi="Arial" w:cs="Arial"/>
        </w:rPr>
        <w:t xml:space="preserve">). Tato procedura by měla být </w:t>
      </w:r>
      <w:r>
        <w:rPr>
          <w:rFonts w:ascii="Arial" w:eastAsia="Arial" w:hAnsi="Arial" w:cs="Arial"/>
        </w:rPr>
        <w:t>rychlá</w:t>
      </w:r>
      <w:r>
        <w:rPr>
          <w:rFonts w:ascii="Arial" w:eastAsia="Arial" w:hAnsi="Arial" w:cs="Arial"/>
          <w:color w:val="000000"/>
        </w:rPr>
        <w:t>, snadná a dostupná</w:t>
      </w:r>
      <w:r>
        <w:rPr>
          <w:rFonts w:ascii="Arial" w:eastAsia="Arial" w:hAnsi="Arial" w:cs="Arial"/>
          <w:color w:val="000000"/>
        </w:rPr>
        <w:t xml:space="preserve"> bez žádných nepřiměřených či zneužívajících podmínek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 měla by </w:t>
      </w:r>
      <w:r>
        <w:rPr>
          <w:rFonts w:ascii="Arial" w:eastAsia="Arial" w:hAnsi="Arial" w:cs="Arial"/>
          <w:color w:val="000000"/>
        </w:rPr>
        <w:t>co nejvíce</w:t>
      </w:r>
      <w:r>
        <w:rPr>
          <w:rFonts w:ascii="Arial" w:eastAsia="Arial" w:hAnsi="Arial" w:cs="Arial"/>
          <w:color w:val="000000"/>
        </w:rPr>
        <w:t xml:space="preserve"> respektovat práva trans*lidí.</w:t>
      </w:r>
      <w:r>
        <w:rPr>
          <w:rFonts w:ascii="Arial" w:eastAsia="Arial" w:hAnsi="Arial" w:cs="Arial"/>
          <w:vertAlign w:val="superscript"/>
        </w:rPr>
        <w:footnoteReference w:id="7"/>
      </w:r>
      <w:r>
        <w:rPr>
          <w:rFonts w:ascii="Arial" w:eastAsia="Arial" w:hAnsi="Arial" w:cs="Arial"/>
          <w:color w:val="000000"/>
        </w:rPr>
        <w:t xml:space="preserve"> Z toho prakticky vychází, že v ideálním případě by tento proces měl být založen na osobním sebeurčení každého člověka. </w:t>
      </w:r>
      <w:proofErr w:type="gramStart"/>
      <w:r>
        <w:rPr>
          <w:rFonts w:ascii="Arial" w:eastAsia="Arial" w:hAnsi="Arial" w:cs="Arial"/>
          <w:color w:val="000000"/>
        </w:rPr>
        <w:t>tj.</w:t>
      </w:r>
      <w:proofErr w:type="gramEnd"/>
      <w:r>
        <w:rPr>
          <w:rFonts w:ascii="Arial" w:eastAsia="Arial" w:hAnsi="Arial" w:cs="Arial"/>
          <w:color w:val="000000"/>
        </w:rPr>
        <w:t xml:space="preserve"> čistě na osobním rozhodnutí každého o své genderové identitě, kterou by pak stát plně uznával a přizpůsobily se jí další osobní charakteristiky jako jméno, příjmení, atd.</w:t>
      </w:r>
    </w:p>
    <w:p w:rsidR="00A713E1" w:rsidRDefault="00A713E1" w:rsidP="00A713E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ásledné změny jmen, rodných č</w:t>
      </w:r>
      <w:r>
        <w:rPr>
          <w:rFonts w:ascii="Arial" w:eastAsia="Arial" w:hAnsi="Arial" w:cs="Arial"/>
        </w:rPr>
        <w:t>ísel a dalších matričních údajů jsou přitom také problematické</w:t>
      </w:r>
      <w:r w:rsidR="005959DA">
        <w:rPr>
          <w:rFonts w:ascii="Arial" w:eastAsia="Arial" w:hAnsi="Arial" w:cs="Arial"/>
        </w:rPr>
        <w:t xml:space="preserve">. Během </w:t>
      </w:r>
      <w:proofErr w:type="spellStart"/>
      <w:r w:rsidR="005959DA">
        <w:rPr>
          <w:rFonts w:ascii="Arial" w:eastAsia="Arial" w:hAnsi="Arial" w:cs="Arial"/>
        </w:rPr>
        <w:t>tranzice</w:t>
      </w:r>
      <w:proofErr w:type="spellEnd"/>
      <w:r w:rsidR="005959DA">
        <w:rPr>
          <w:rFonts w:ascii="Arial" w:eastAsia="Arial" w:hAnsi="Arial" w:cs="Arial"/>
        </w:rPr>
        <w:t xml:space="preserve"> se trans*</w:t>
      </w:r>
      <w:r>
        <w:rPr>
          <w:rFonts w:ascii="Arial" w:eastAsia="Arial" w:hAnsi="Arial" w:cs="Arial"/>
        </w:rPr>
        <w:t xml:space="preserve">lidé potýkají se situací, kdy jejich jméno a další údaje neodpovídají jejich genderové identitě. Nutnost opakované identifikace a odhalení jejich identity je možné vyřešit např. vypuštěním kolonky pohlaví z osobních dokladů, neutrální formou rodného čísla či skrytím osobní historie z veřejných registrů. Na druhou stranu je třeba zpřehlednit proces uznání neutrálního jména v průběhu </w:t>
      </w:r>
      <w:proofErr w:type="spellStart"/>
      <w:r>
        <w:rPr>
          <w:rFonts w:ascii="Arial" w:eastAsia="Arial" w:hAnsi="Arial" w:cs="Arial"/>
        </w:rPr>
        <w:t>tranzice</w:t>
      </w:r>
      <w:proofErr w:type="spellEnd"/>
      <w:r>
        <w:rPr>
          <w:rFonts w:ascii="Arial" w:eastAsia="Arial" w:hAnsi="Arial" w:cs="Arial"/>
        </w:rPr>
        <w:t>, jelikož je praxe matrik nejednotná a nemusí být jasné, dle jakých kritérií v konkrétních případech postupují a proč právě podle nich. Ministerstvo vnitra by tedy mělo rovněž situaci odborně analyzovat a navrhnout případné změny ke zlepšení a sjednocení praxe.</w:t>
      </w:r>
    </w:p>
    <w:p w:rsidR="00FF5261" w:rsidRDefault="00FF5261" w:rsidP="00FF526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Zákon o specifických zdravotních službách vedle toho vychází ze zastaralých a j</w:t>
      </w:r>
      <w:r w:rsidR="005959DA">
        <w:rPr>
          <w:rFonts w:ascii="Arial" w:eastAsia="Arial" w:hAnsi="Arial" w:cs="Arial"/>
        </w:rPr>
        <w:t>iž překonaných přístupů k trans*</w:t>
      </w:r>
      <w:r>
        <w:rPr>
          <w:rFonts w:ascii="Arial" w:eastAsia="Arial" w:hAnsi="Arial" w:cs="Arial"/>
        </w:rPr>
        <w:t xml:space="preserve">lidem a obsahuje koncepty, pojmosloví a definice které nejsou v souladu s nově přijatou a implementovanou Mezinárodní klasifikací nemocí č. 11 </w:t>
      </w:r>
      <w:r>
        <w:rPr>
          <w:rFonts w:ascii="Arial" w:eastAsia="Arial" w:hAnsi="Arial" w:cs="Arial"/>
        </w:rPr>
        <w:lastRenderedPageBreak/>
        <w:t xml:space="preserve">publikovanou Světovou zdravotnickou organizací. Zákon je postaven především na operativních </w:t>
      </w:r>
      <w:r w:rsidR="005959DA">
        <w:rPr>
          <w:rFonts w:ascii="Arial" w:eastAsia="Arial" w:hAnsi="Arial" w:cs="Arial"/>
        </w:rPr>
        <w:t xml:space="preserve">postupech, které jsou pro trans*lidi </w:t>
      </w:r>
      <w:r>
        <w:rPr>
          <w:rFonts w:ascii="Arial" w:eastAsia="Arial" w:hAnsi="Arial" w:cs="Arial"/>
        </w:rPr>
        <w:t>povinné pro úřední změnu, zatímco v současnosti odborníci aplikují pluralitu různých cest a léčebných p</w:t>
      </w:r>
      <w:r w:rsidR="005959DA">
        <w:rPr>
          <w:rFonts w:ascii="Arial" w:eastAsia="Arial" w:hAnsi="Arial" w:cs="Arial"/>
        </w:rPr>
        <w:t>ostupů v souladu s přáními trans*člověka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vertAlign w:val="superscript"/>
        </w:rPr>
        <w:footnoteReference w:id="8"/>
      </w:r>
      <w:r>
        <w:rPr>
          <w:rFonts w:ascii="Arial" w:eastAsia="Arial" w:hAnsi="Arial" w:cs="Arial"/>
        </w:rPr>
        <w:t xml:space="preserve"> Samotná transsexualita či psychiatrická porucha pohlavní identity je nahrazena novou diagnózou nazvanou Genderový nesoulad (Gender </w:t>
      </w:r>
      <w:proofErr w:type="spellStart"/>
      <w:r>
        <w:rPr>
          <w:rFonts w:ascii="Arial" w:eastAsia="Arial" w:hAnsi="Arial" w:cs="Arial"/>
        </w:rPr>
        <w:t>Incongruence</w:t>
      </w:r>
      <w:proofErr w:type="spellEnd"/>
      <w:r>
        <w:rPr>
          <w:rFonts w:ascii="Arial" w:eastAsia="Arial" w:hAnsi="Arial" w:cs="Arial"/>
        </w:rPr>
        <w:t>), která je oproštěna od psychiatrické stigmatizace.</w:t>
      </w:r>
      <w:r>
        <w:rPr>
          <w:rFonts w:ascii="Arial" w:eastAsia="Arial" w:hAnsi="Arial" w:cs="Arial"/>
          <w:vertAlign w:val="superscript"/>
        </w:rPr>
        <w:footnoteReference w:id="9"/>
      </w:r>
      <w:r>
        <w:rPr>
          <w:rFonts w:ascii="Arial" w:eastAsia="Arial" w:hAnsi="Arial" w:cs="Arial"/>
        </w:rPr>
        <w:t xml:space="preserve"> Na tyto změny by měla reagovat i odborná zdravotní péče v ČR. Za tímto účelem navrhujeme provést odbornou analýzu, která by ukázala míru a způsob nutných změn.</w:t>
      </w:r>
    </w:p>
    <w:p w:rsidR="00FF5261" w:rsidRDefault="00FF5261" w:rsidP="00FF526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Veškeré procesy by pak měly probíhat za účas</w:t>
      </w:r>
      <w:r w:rsidR="005959DA">
        <w:rPr>
          <w:rFonts w:ascii="Arial" w:eastAsia="Arial" w:hAnsi="Arial" w:cs="Arial"/>
        </w:rPr>
        <w:t>ti a konzultace samotných trans*</w:t>
      </w:r>
      <w:r>
        <w:rPr>
          <w:rFonts w:ascii="Arial" w:eastAsia="Arial" w:hAnsi="Arial" w:cs="Arial"/>
        </w:rPr>
        <w:t>lidí a jejich organizací.</w:t>
      </w:r>
    </w:p>
    <w:p w:rsidR="008B7543" w:rsidRPr="00FF5261" w:rsidRDefault="008B7543" w:rsidP="00FF5261"/>
    <w:sectPr w:rsidR="008B7543" w:rsidRPr="00FF5261" w:rsidSect="00CE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04" w:rsidRDefault="00DE3704" w:rsidP="00FF5261">
      <w:pPr>
        <w:spacing w:after="0" w:line="240" w:lineRule="auto"/>
      </w:pPr>
      <w:r>
        <w:separator/>
      </w:r>
    </w:p>
  </w:endnote>
  <w:endnote w:type="continuationSeparator" w:id="0">
    <w:p w:rsidR="00DE3704" w:rsidRDefault="00DE3704" w:rsidP="00FF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04" w:rsidRDefault="00DE3704" w:rsidP="00FF5261">
      <w:pPr>
        <w:spacing w:after="0" w:line="240" w:lineRule="auto"/>
      </w:pPr>
      <w:r>
        <w:separator/>
      </w:r>
    </w:p>
  </w:footnote>
  <w:footnote w:type="continuationSeparator" w:id="0">
    <w:p w:rsidR="00DE3704" w:rsidRDefault="00DE3704" w:rsidP="00FF5261">
      <w:pPr>
        <w:spacing w:after="0" w:line="240" w:lineRule="auto"/>
      </w:pPr>
      <w:r>
        <w:continuationSeparator/>
      </w:r>
    </w:p>
  </w:footnote>
  <w:footnote w:id="1">
    <w:p w:rsidR="00FF5261" w:rsidRDefault="00FF5261" w:rsidP="00FF5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Především § 29 odst. 1 občanského zákoníku ve spojení s § 21 a násl. zákona o specifických zdravotn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color w:val="000000"/>
          <w:sz w:val="20"/>
          <w:szCs w:val="20"/>
        </w:rPr>
        <w:t>ch službách a § 72 odst. 5 zákona o matrikách, jménu a příjmení.</w:t>
      </w:r>
    </w:p>
  </w:footnote>
  <w:footnote w:id="2">
    <w:p w:rsidR="00FF5261" w:rsidRDefault="00FF5261" w:rsidP="00FF5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Viz především rozhodnutí ve věci A. P., 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Garçon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 a Nicot proti Francii z roku 2017, které bylo od té doby následováno min. 5 dalšími podobnými rozhodnutími. </w:t>
      </w:r>
    </w:p>
  </w:footnote>
  <w:footnote w:id="3">
    <w:p w:rsidR="00FF5261" w:rsidRDefault="00FF5261" w:rsidP="00FF5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Viz rozhodnutí ve věci ILGA-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Europe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Transgender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Europe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proti ČR z roku 2018.</w:t>
      </w:r>
    </w:p>
  </w:footnote>
  <w:footnote w:id="4">
    <w:p w:rsidR="00FF5261" w:rsidRDefault="00FF5261" w:rsidP="00FF5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Viz § 29 odst. 2 občanského zákoníku a.</w:t>
      </w:r>
    </w:p>
  </w:footnote>
  <w:footnote w:id="5">
    <w:p w:rsidR="00FF5261" w:rsidRDefault="00FF5261" w:rsidP="00FF5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Viz § 21 odst. 2 písm. b) zákona o specifických zdravotních službách</w:t>
      </w:r>
    </w:p>
  </w:footnote>
  <w:footnote w:id="6">
    <w:p w:rsidR="00FF5261" w:rsidRDefault="00FF5261" w:rsidP="00FF5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K tomu viz např. rozhodnutí Evropského soudu pro lidská práva ve věci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Hämäläinen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proti Finsku z roku 2014.</w:t>
      </w:r>
    </w:p>
  </w:footnote>
  <w:footnote w:id="7">
    <w:p w:rsidR="00A713E1" w:rsidRDefault="00A713E1" w:rsidP="00A713E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Standardy pro úřední změnu pohlaví plynou z mezinárodních dokumentů jako např. </w:t>
      </w:r>
      <w:hyperlink r:id="rId1" w:history="1">
        <w:proofErr w:type="spellStart"/>
        <w:r w:rsidRPr="000E7099">
          <w:rPr>
            <w:rStyle w:val="Hypertextovodkaz"/>
            <w:rFonts w:ascii="Arial" w:eastAsia="Arial" w:hAnsi="Arial" w:cs="Arial"/>
            <w:sz w:val="20"/>
            <w:szCs w:val="20"/>
          </w:rPr>
          <w:t>Yogyakartské</w:t>
        </w:r>
        <w:proofErr w:type="spellEnd"/>
        <w:r w:rsidRPr="000E7099">
          <w:rPr>
            <w:rStyle w:val="Hypertextovodkaz"/>
            <w:rFonts w:ascii="Arial" w:eastAsia="Arial" w:hAnsi="Arial" w:cs="Arial"/>
            <w:sz w:val="20"/>
            <w:szCs w:val="20"/>
          </w:rPr>
          <w:t xml:space="preserve"> principy</w:t>
        </w:r>
      </w:hyperlink>
      <w:r>
        <w:rPr>
          <w:rFonts w:ascii="Arial" w:eastAsia="Arial" w:hAnsi="Arial" w:cs="Arial"/>
          <w:sz w:val="20"/>
          <w:szCs w:val="20"/>
        </w:rPr>
        <w:t xml:space="preserve"> z roku 2006 s revizí v roce 2017 či </w:t>
      </w:r>
      <w:hyperlink r:id="rId2" w:history="1">
        <w:r w:rsidRPr="000E7099">
          <w:rPr>
            <w:rStyle w:val="Hypertextovodkaz"/>
            <w:rFonts w:ascii="Arial" w:eastAsia="Arial" w:hAnsi="Arial" w:cs="Arial"/>
            <w:sz w:val="20"/>
            <w:szCs w:val="20"/>
          </w:rPr>
          <w:t>doporučení Výboru ministrů Rady Evropy k opatřením v boji proti diskriminaci na základě sexuální orientace a genderové identity</w:t>
        </w:r>
      </w:hyperlink>
      <w:r>
        <w:rPr>
          <w:rFonts w:ascii="Arial" w:eastAsia="Arial" w:hAnsi="Arial" w:cs="Arial"/>
          <w:sz w:val="20"/>
          <w:szCs w:val="20"/>
        </w:rPr>
        <w:t xml:space="preserve"> z roku 2010.</w:t>
      </w:r>
    </w:p>
  </w:footnote>
  <w:footnote w:id="8">
    <w:p w:rsidR="00FF5261" w:rsidRDefault="00FF5261" w:rsidP="00FF5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Aktuální odborné standardy Světové asociace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profesionálů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transgender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zdraví jsou obsaženy zde: </w:t>
      </w:r>
      <w:hyperlink r:id="rId3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https://www.tandfonline.com/doi/pdf/10.1080/26895269.2022.2100644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</w:footnote>
  <w:footnote w:id="9">
    <w:p w:rsidR="00FF5261" w:rsidRDefault="00FF5261" w:rsidP="00FF5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Viz: </w:t>
      </w:r>
      <w:hyperlink r:id="rId4" w:anchor="/http%3a%2f%2fid.who.int%2ficd%2fentity%2f41147006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https://icd.who.int/browse11/l-m/en#/http%3a%2f%2fid.who.int%2ficd%2fentity%2f411470068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53691"/>
    <w:multiLevelType w:val="multilevel"/>
    <w:tmpl w:val="1FD6DB4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26237E"/>
    <w:multiLevelType w:val="multilevel"/>
    <w:tmpl w:val="BC348D14"/>
    <w:lvl w:ilvl="0">
      <w:start w:val="1"/>
      <w:numFmt w:val="upperRoman"/>
      <w:lvlText w:val="%1.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AA"/>
    <w:rsid w:val="000225AA"/>
    <w:rsid w:val="00160EAB"/>
    <w:rsid w:val="003F6DAD"/>
    <w:rsid w:val="00444829"/>
    <w:rsid w:val="0048108D"/>
    <w:rsid w:val="004941ED"/>
    <w:rsid w:val="005959DA"/>
    <w:rsid w:val="0071005D"/>
    <w:rsid w:val="007478A9"/>
    <w:rsid w:val="00863F10"/>
    <w:rsid w:val="00890630"/>
    <w:rsid w:val="008B7543"/>
    <w:rsid w:val="009A4B94"/>
    <w:rsid w:val="009B6CAF"/>
    <w:rsid w:val="00A713E1"/>
    <w:rsid w:val="00A94345"/>
    <w:rsid w:val="00AB3DED"/>
    <w:rsid w:val="00B930F2"/>
    <w:rsid w:val="00C767CD"/>
    <w:rsid w:val="00CE6A93"/>
    <w:rsid w:val="00DE3704"/>
    <w:rsid w:val="00F12C4A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65D1"/>
  <w15:docId w15:val="{C4B1AC97-E0BC-4AEB-8EE3-A7ACA047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A93"/>
  </w:style>
  <w:style w:type="paragraph" w:styleId="Nadpis1">
    <w:name w:val="heading 1"/>
    <w:basedOn w:val="Normln"/>
    <w:next w:val="Normln"/>
    <w:link w:val="Nadpis1Char"/>
    <w:rsid w:val="000225AA"/>
    <w:pPr>
      <w:keepNext/>
      <w:keepLines/>
      <w:spacing w:after="160" w:line="252" w:lineRule="auto"/>
      <w:outlineLvl w:val="0"/>
    </w:pPr>
    <w:rPr>
      <w:rFonts w:ascii="Arial" w:eastAsia="Arial" w:hAnsi="Arial" w:cs="Arial"/>
      <w:b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25AA"/>
    <w:rPr>
      <w:rFonts w:ascii="Arial" w:eastAsia="Arial" w:hAnsi="Arial" w:cs="Arial"/>
      <w:b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5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andfonline.com/doi/pdf/10.1080/26895269.2022.2100644" TargetMode="External"/><Relationship Id="rId2" Type="http://schemas.openxmlformats.org/officeDocument/2006/relationships/hyperlink" Target="https://search.coe.int/cm/Pages/result_details.aspx?ObjectID=09000016805cf40a" TargetMode="External"/><Relationship Id="rId1" Type="http://schemas.openxmlformats.org/officeDocument/2006/relationships/hyperlink" Target="http://yogyakartaprinciples.org/" TargetMode="External"/><Relationship Id="rId4" Type="http://schemas.openxmlformats.org/officeDocument/2006/relationships/hyperlink" Target="https://icd.who.int/browse11/l-m/en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Transparent</dc:creator>
  <cp:lastModifiedBy>Machačka Jakub</cp:lastModifiedBy>
  <cp:revision>5</cp:revision>
  <cp:lastPrinted>2022-12-12T15:09:00Z</cp:lastPrinted>
  <dcterms:created xsi:type="dcterms:W3CDTF">2022-12-14T12:24:00Z</dcterms:created>
  <dcterms:modified xsi:type="dcterms:W3CDTF">2022-12-15T15:12:00Z</dcterms:modified>
</cp:coreProperties>
</file>