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90772" w14:textId="756E4A3E" w:rsidR="001A6833" w:rsidRDefault="001A6833" w:rsidP="009024C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II.</w:t>
      </w:r>
    </w:p>
    <w:p w14:paraId="31FBFF0F" w14:textId="65739536" w:rsidR="0064437F" w:rsidRPr="003F41DF" w:rsidRDefault="0064437F" w:rsidP="00644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>Podnět</w:t>
      </w:r>
    </w:p>
    <w:p w14:paraId="342C8550" w14:textId="1D799D59" w:rsidR="0064437F" w:rsidRPr="003F41DF" w:rsidRDefault="0064437F" w:rsidP="00644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>Rady vlády</w:t>
      </w:r>
      <w:r w:rsidR="00804D1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7D3D99">
        <w:rPr>
          <w:rFonts w:ascii="Times New Roman" w:hAnsi="Times New Roman" w:cs="Times New Roman"/>
          <w:b/>
          <w:sz w:val="24"/>
          <w:szCs w:val="24"/>
          <w:lang w:val="cs-CZ"/>
        </w:rPr>
        <w:t>ČR</w:t>
      </w: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pro lidská práva</w:t>
      </w:r>
    </w:p>
    <w:p w14:paraId="2B031432" w14:textId="77777777" w:rsidR="0064437F" w:rsidRDefault="00FD2090" w:rsidP="009024C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bCs/>
          <w:sz w:val="24"/>
          <w:szCs w:val="24"/>
          <w:lang w:val="cs-CZ"/>
        </w:rPr>
        <w:t>k</w:t>
      </w:r>
      <w:r w:rsidR="00CE12A6" w:rsidRPr="003F41DF">
        <w:rPr>
          <w:rFonts w:ascii="Times New Roman" w:hAnsi="Times New Roman" w:cs="Times New Roman"/>
          <w:b/>
          <w:bCs/>
          <w:sz w:val="24"/>
          <w:szCs w:val="24"/>
          <w:lang w:val="cs-CZ"/>
        </w:rPr>
        <w:t> pozměňovacímu návrhu poslance Klučky ke sněmovnímu tisku č. 990</w:t>
      </w:r>
      <w:r w:rsidR="0064437F" w:rsidRPr="003F41D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27F63ECC" w14:textId="77777777" w:rsidR="000644DA" w:rsidRDefault="000644DA" w:rsidP="000644DA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DC6A2FF" w14:textId="1A608900" w:rsidR="00014624" w:rsidRPr="003F41DF" w:rsidRDefault="00564EB6" w:rsidP="0064437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Rada vlády </w:t>
      </w:r>
      <w:r w:rsidR="007D3D99">
        <w:rPr>
          <w:rFonts w:ascii="Times New Roman" w:hAnsi="Times New Roman" w:cs="Times New Roman"/>
          <w:sz w:val="24"/>
          <w:szCs w:val="24"/>
          <w:lang w:val="cs-CZ"/>
        </w:rPr>
        <w:t xml:space="preserve">ČR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pro lidská práva </w:t>
      </w:r>
      <w:r w:rsidR="00B1247D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vyjadřuje zásadní </w:t>
      </w:r>
      <w:r w:rsidR="00FD2090" w:rsidRPr="003F41DF">
        <w:rPr>
          <w:rFonts w:ascii="Times New Roman" w:hAnsi="Times New Roman" w:cs="Times New Roman"/>
          <w:sz w:val="24"/>
          <w:szCs w:val="24"/>
          <w:lang w:val="cs-CZ"/>
        </w:rPr>
        <w:t>nesouhlas s</w:t>
      </w:r>
      <w:r w:rsidR="00014624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 pozměňovacím návrhem poslance Klučky ke sněmovnímu tisku č. 990. </w:t>
      </w:r>
    </w:p>
    <w:p w14:paraId="77B251DD" w14:textId="18E2E0F6" w:rsidR="0005150F" w:rsidRPr="003F41DF" w:rsidRDefault="00014624" w:rsidP="003F41DF">
      <w:pPr>
        <w:jc w:val="both"/>
        <w:rPr>
          <w:sz w:val="18"/>
        </w:rPr>
      </w:pP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Dne 22. 2. 2017 načetl pan poslanec Klučka (ČSSD) pozměňovací návrh k novele zákona o pobytu cizinců – sněmovnímu tisku č. 990.  Tento návrh mění desítky ustanovení a znamenal by největší zásah do cizineckého práva za poslední desetiletí. Jednotlivá odůvodnění předloženého návrhu zcela 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postrádají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zjišťování souladu s mezinárodními závazky ČR a právem EU, statistické údaje či zhodnocení okruhu situací a právních vztahů, které regulují. Návrh 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přitom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výrazně omezuje nejen práva cizinců, ale i občanů EU</w:t>
      </w:r>
      <w:r w:rsidR="00DE67C0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a ČR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05150F" w:rsidRPr="003F41DF">
        <w:rPr>
          <w:rFonts w:ascii="Times New Roman" w:hAnsi="Times New Roman" w:cs="Times New Roman"/>
          <w:b/>
          <w:sz w:val="24"/>
          <w:szCs w:val="24"/>
          <w:lang w:val="cs-CZ"/>
        </w:rPr>
        <w:t xml:space="preserve">Některé části návrhu poslance Klučky jsou v rozporu s ústavním pořádkem České republiky, se závazky České republiky podle práva </w:t>
      </w:r>
      <w:r w:rsidR="0005150F" w:rsidRPr="003F41DF">
        <w:rPr>
          <w:rFonts w:ascii="Times New Roman" w:hAnsi="Times New Roman" w:cs="Times New Roman"/>
          <w:b/>
          <w:sz w:val="24"/>
          <w:szCs w:val="24"/>
        </w:rPr>
        <w:t>EU a</w:t>
      </w:r>
      <w:r w:rsidR="0005150F" w:rsidRPr="003F41D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="0005150F" w:rsidRPr="003F41DF">
        <w:rPr>
          <w:rFonts w:ascii="Times New Roman" w:hAnsi="Times New Roman" w:cs="Times New Roman"/>
          <w:b/>
          <w:sz w:val="24"/>
          <w:szCs w:val="24"/>
          <w:lang w:val="cs-CZ"/>
        </w:rPr>
        <w:t>mezinár</w:t>
      </w:r>
      <w:r w:rsidR="0005150F" w:rsidRPr="003F41DF">
        <w:rPr>
          <w:rFonts w:ascii="Times New Roman" w:hAnsi="Times New Roman" w:cs="Times New Roman"/>
          <w:b/>
          <w:sz w:val="24"/>
          <w:szCs w:val="24"/>
        </w:rPr>
        <w:t>odního</w:t>
      </w:r>
      <w:proofErr w:type="spellEnd"/>
      <w:r w:rsidR="0005150F" w:rsidRPr="003F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150F" w:rsidRPr="003F41DF">
        <w:rPr>
          <w:rFonts w:ascii="Times New Roman" w:hAnsi="Times New Roman" w:cs="Times New Roman"/>
          <w:b/>
          <w:sz w:val="24"/>
          <w:szCs w:val="24"/>
        </w:rPr>
        <w:t>práva</w:t>
      </w:r>
      <w:proofErr w:type="spellEnd"/>
      <w:r w:rsidR="0005150F" w:rsidRPr="003F41DF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14:paraId="61E9143F" w14:textId="77777777" w:rsidR="00741E56" w:rsidRPr="003F41DF" w:rsidRDefault="00741E56" w:rsidP="003F41DF">
      <w:pPr>
        <w:pStyle w:val="Odstavecseseznamem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58BAD69" w14:textId="77777777" w:rsidR="00C421BE" w:rsidRPr="003F41DF" w:rsidRDefault="00734A64" w:rsidP="00734A64">
      <w:pPr>
        <w:pStyle w:val="Odstavecseseznamem"/>
        <w:numPr>
          <w:ilvl w:val="0"/>
          <w:numId w:val="5"/>
        </w:num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>Vyloučení soudního přezkumu v řízeních o pobytech</w:t>
      </w:r>
    </w:p>
    <w:p w14:paraId="3A887EF2" w14:textId="07477349" w:rsidR="00734A64" w:rsidRPr="003F41DF" w:rsidRDefault="00734A64" w:rsidP="00734A64">
      <w:pPr>
        <w:pStyle w:val="Odstavecseseznamem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sz w:val="24"/>
          <w:szCs w:val="24"/>
          <w:lang w:val="cs-CZ"/>
        </w:rPr>
        <w:t>Nově by měla být ze správního soudnictví vyloučena všechna rozhodnutí o nevydání</w:t>
      </w:r>
      <w:r w:rsidR="00741E56" w:rsidRPr="003F41DF">
        <w:rPr>
          <w:rFonts w:ascii="Times New Roman" w:hAnsi="Times New Roman" w:cs="Times New Roman"/>
          <w:sz w:val="24"/>
          <w:szCs w:val="24"/>
          <w:lang w:val="cs-CZ"/>
        </w:rPr>
        <w:t>, zrušení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nebo neprodloužení platnosti povolení k dlouhodobému pobytu či trvalého pobytu. Jedná se bezprecedentní zásah do základních principů právního státu,</w:t>
      </w:r>
      <w:r w:rsidR="00872FE0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který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je v rozporu s judikaturou </w:t>
      </w:r>
      <w:r w:rsidR="00872FE0" w:rsidRPr="003F41DF">
        <w:rPr>
          <w:rFonts w:ascii="Times New Roman" w:hAnsi="Times New Roman" w:cs="Times New Roman"/>
          <w:sz w:val="24"/>
          <w:szCs w:val="24"/>
          <w:lang w:val="cs-CZ"/>
        </w:rPr>
        <w:t>Ú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stavního soudu a nepřiměřeně zasahuje do práv cizinců. Cizinecká agenda představuje etablovanou část práce soudů, které se na aplikaci norem cizineckého práva nezastupitelským způsobem podílí. V ČR není žádná právní oblast srovnatelného významu, která by byla z kontroly nezávislých soudů vyloučena. Vyloučení soudního přezkumu je navíc v rozporu s článkem 47 Listiny základních práv Evropské unie zaručující soudní přezkum proti všem zásahům do práv chráněných právem Unie.</w:t>
      </w:r>
      <w:r w:rsidR="00547F62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Hrozí také porušení čl. 8 a 13 Evropské úmluvy o lidských právech.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Je v rozporu s principem právního státu, aby určitá skupina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osob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byla vyloučena z možnosti dosáhnout účinného prostředku nápravy ve formě </w:t>
      </w:r>
      <w:r w:rsidR="003F41DF">
        <w:rPr>
          <w:rFonts w:ascii="Times New Roman" w:hAnsi="Times New Roman" w:cs="Times New Roman"/>
          <w:sz w:val="24"/>
          <w:szCs w:val="24"/>
          <w:lang w:val="cs-CZ"/>
        </w:rPr>
        <w:t>nezávislého soudního přezkumu.</w:t>
      </w:r>
    </w:p>
    <w:p w14:paraId="217ACFAD" w14:textId="77777777" w:rsidR="00882AFA" w:rsidRPr="003F41DF" w:rsidRDefault="00882AFA" w:rsidP="00734A64">
      <w:pPr>
        <w:pStyle w:val="Odstavecseseznamem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F7DD771" w14:textId="77777777" w:rsidR="00734A64" w:rsidRPr="003F41DF" w:rsidRDefault="00734A64" w:rsidP="00734A64">
      <w:pPr>
        <w:pStyle w:val="Odstavecseseznamem"/>
        <w:numPr>
          <w:ilvl w:val="0"/>
          <w:numId w:val="5"/>
        </w:num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>Omezení soudního přezkumu zbavení svobody cizinců</w:t>
      </w:r>
    </w:p>
    <w:p w14:paraId="19BF01B7" w14:textId="58725EE5" w:rsidR="00734A64" w:rsidRPr="003F41DF" w:rsidRDefault="00734A64" w:rsidP="00734A64">
      <w:pPr>
        <w:pStyle w:val="Odstavecseseznamem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Navrhovaná právní úprava </w:t>
      </w:r>
      <w:r w:rsidR="00882AFA" w:rsidRPr="003F41DF">
        <w:rPr>
          <w:rFonts w:ascii="Times New Roman" w:hAnsi="Times New Roman" w:cs="Times New Roman"/>
          <w:sz w:val="24"/>
          <w:szCs w:val="24"/>
          <w:lang w:val="cs-CZ"/>
        </w:rPr>
        <w:t>nově stanoví, že po propuštění cizince zaniká potřeba přezkumu rozhodnutí, na kterém bylo zbavení svobody postaveno</w:t>
      </w:r>
      <w:r w:rsidR="003F41D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82AF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a předmětná řízení budou automaticky zastavena. Z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ásadně </w:t>
      </w:r>
      <w:r w:rsidR="00882AF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tak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omezuje soudní přezkum zbavení svobody cizinců a představuje snahu ministerstva 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a policie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omezit dohled nezávislého soudního orgánu nad </w:t>
      </w:r>
      <w:r w:rsidR="009148F7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svým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rozhodováním</w:t>
      </w:r>
      <w:r w:rsidR="00882AF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Z hlediska individuálních nároků má rozhodnutí soudu dopad na povinnost cizince hradit náklady zajištění a také na jeho možnost požadovat za případné nezákonné zbavení svobody zadostiučinění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>. Vyloučení této možnosti</w:t>
      </w:r>
      <w:r w:rsidR="00882AF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je v rozporu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s čl. 5 odst. 5 Evropské úmluvy o ochraně lidských práv a základních svobod. Ten zaručuje při každém nezákonném zbavení svobody </w:t>
      </w:r>
      <w:r w:rsidR="009148F7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právo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oběti takového zásahu</w:t>
      </w:r>
      <w:r w:rsidR="009148F7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žádat odškodnění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47F62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Hrozí také porušení čl. 13 Evropské úmluvy.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Zastavování řízení o žalobách a kasačních stížnostech ve věci zajištění pak nepochybně dopadá také do vývoje judikatury a jejího sjednocování Nejvyšším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lastRenderedPageBreak/>
        <w:t>správním soudem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>. Tato judikatura přitom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v mnoha ohledech zasáhla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(a zasahuje)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proti 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>nezákonn</w:t>
      </w:r>
      <w:r w:rsidR="006B05FC" w:rsidRPr="003F41DF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6B05FC" w:rsidRPr="003F41DF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521B0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rozhodování exekutivy v předmětné oblasti.</w:t>
      </w:r>
    </w:p>
    <w:p w14:paraId="4FB1801A" w14:textId="77777777" w:rsidR="00882AFA" w:rsidRPr="003F41DF" w:rsidRDefault="00882AFA" w:rsidP="00734A64">
      <w:pPr>
        <w:pStyle w:val="Odstavecseseznamem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78C4F3E" w14:textId="77777777" w:rsidR="00882AFA" w:rsidRPr="003F41DF" w:rsidRDefault="00882AFA" w:rsidP="00882AFA">
      <w:pPr>
        <w:pStyle w:val="Odstavecseseznamem"/>
        <w:numPr>
          <w:ilvl w:val="0"/>
          <w:numId w:val="5"/>
        </w:numPr>
        <w:spacing w:after="240" w:line="271" w:lineRule="auto"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>Neposuzování přiměřenosti dopadů rozhodnutí do života cizinců a cizinek</w:t>
      </w:r>
    </w:p>
    <w:p w14:paraId="0CC8E9A6" w14:textId="4DC621E5" w:rsidR="00882AFA" w:rsidRPr="003F41DF" w:rsidRDefault="00882AFA" w:rsidP="00882AFA">
      <w:pPr>
        <w:pStyle w:val="Odstavecseseznamem"/>
        <w:spacing w:after="240" w:line="271" w:lineRule="auto"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Ministerstvo vnitra nově nemá posuzovat přiměřenost dopadů jeho rozhodnutí v případě uvedení nepravdivých údajů nebo předložení padělaných dokladů nebo dokladů, v nichž údaje podstatné pro posouzení žádosti neodpovídají skutečnosti, anebo v případě pravomocného odsouzení pro spáchání úmyslného trestného činu. Už samotná možnost zrušení pobytu z důvodu odsouzení pro jakýkoli úmyslný trestný čin (tj. nikoli pouze závažný trestný čin, ale i jakýkoli přečin) je v rozporu s právem EU, neboť žádná z unijních směrnic v oblasti migrace nevymezuje takovýto důvod </w:t>
      </w:r>
      <w:r w:rsidR="00A432E1" w:rsidRPr="003F41DF">
        <w:rPr>
          <w:rFonts w:ascii="Times New Roman" w:hAnsi="Times New Roman" w:cs="Times New Roman"/>
          <w:sz w:val="24"/>
          <w:szCs w:val="24"/>
          <w:lang w:val="cs-CZ"/>
        </w:rPr>
        <w:t>pro zrušení pobytu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– vždy se podle práva EU musí jednat o „závažné narušení veřejného pořádku“, přičemž rozsah tohoto pojmu nemohou členské státy určovat jednostranně bez kontroly ze strany unijních orgánů.  To, že nově při rušení pobytů z důvodu odsouzení pro jakýkoli úmyslný trestný čin nemá být ani respektována zásada hodnocení proporcionality takového rozhodnutí, je </w:t>
      </w:r>
      <w:r w:rsidR="00741E56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zjevným 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porušením závazků ČR v oblasti evropského i mezinárodního práva. Správní orgán je ve vztahu k soukromému a rodinnému životu povinen vždy posuzovat, zda se jedná o takové narušení veřejného pořádku, které by mohlo ospravedlňovat zásah do soukromého a rodinného života v souladu s čl. 8 odst. 2 Úmluvy, tedy zda je takový zásah nezbytný v demokratické společnosti a přiměřený ve vztahu ke skutečnostem, které mají tento zásah odůvodňovat.</w:t>
      </w:r>
    </w:p>
    <w:p w14:paraId="12B83CE8" w14:textId="77777777" w:rsidR="00882AFA" w:rsidRPr="003F41DF" w:rsidRDefault="00882AFA" w:rsidP="00882AFA">
      <w:pPr>
        <w:pStyle w:val="Odstavecseseznamem"/>
        <w:spacing w:after="240" w:line="271" w:lineRule="auto"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1053B37" w14:textId="77777777" w:rsidR="00882AFA" w:rsidRPr="003F41DF" w:rsidRDefault="00A432E1" w:rsidP="00734A64">
      <w:pPr>
        <w:pStyle w:val="Odstavecseseznamem"/>
        <w:numPr>
          <w:ilvl w:val="0"/>
          <w:numId w:val="5"/>
        </w:num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b/>
          <w:sz w:val="24"/>
          <w:szCs w:val="24"/>
          <w:lang w:val="cs-CZ"/>
        </w:rPr>
        <w:t xml:space="preserve">Omezování práv rodinných příslušníků občanů ČR </w:t>
      </w:r>
    </w:p>
    <w:p w14:paraId="3905EA0B" w14:textId="19CEA756" w:rsidR="00DB6174" w:rsidRPr="003F41DF" w:rsidRDefault="00A432E1" w:rsidP="000644DA">
      <w:pPr>
        <w:pStyle w:val="Odstavecseseznamem"/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F41DF">
        <w:rPr>
          <w:rFonts w:ascii="Times New Roman" w:hAnsi="Times New Roman" w:cs="Times New Roman"/>
          <w:sz w:val="24"/>
          <w:szCs w:val="24"/>
          <w:lang w:val="cs-CZ"/>
        </w:rPr>
        <w:t>Pozměňovací návrh podmiňuje právo na sloučení rodiny s</w:t>
      </w:r>
      <w:r w:rsidR="00324F79" w:rsidRPr="003F41D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>občanem</w:t>
      </w:r>
      <w:r w:rsidR="00324F79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ČR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legálním pobytem rodinného příslušníka. </w:t>
      </w:r>
      <w:r w:rsidR="00030D75" w:rsidRPr="003F41DF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ádost o přechodný pobyt rodinného příslušníka občana EU/ČR neumožňuje podat cizincům, kteří na území pobývají bez pobytového oprávnění či na základě výjezdního příkazu. Návrh je v rozporu </w:t>
      </w:r>
      <w:proofErr w:type="gramStart"/>
      <w:r w:rsidRPr="003F41DF">
        <w:rPr>
          <w:rFonts w:ascii="Times New Roman" w:hAnsi="Times New Roman" w:cs="Times New Roman"/>
          <w:sz w:val="24"/>
          <w:szCs w:val="24"/>
          <w:lang w:val="cs-CZ"/>
        </w:rPr>
        <w:t>se</w:t>
      </w:r>
      <w:proofErr w:type="gramEnd"/>
      <w:r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evropským právem – směrnicemi a ustálenou judikaturou.  Z judikatury Soudního dvora EU dále vyplývá, že nelze zamítnout vydání povolení k přechodnému pobytu rodinnému příslušníku občana EU pouze z důvodu, že vstoupil na území členského státu nezákonně (bez platného dokladu totožnosti, cestovního pasu nebo bez víza), nebo že v něm pobýval i po vypršení platnosti víza (resp. podal žádost o povolení k pobytu až po uplynutí doby platnosti víza) za předpokladu, že je schopen prokázat svou totožnost a skutečnost, že je rodinným příslušníkem občana EU. Opomenutí formalit týkajících se vstupu, pohybu a pobytu cizinců ze strany občana EU (nebo jeho rodinného příslušníka) není samo o sobě chováním ohrožujícím veřejný pořádek a veřejnou bezpečnost</w:t>
      </w:r>
      <w:r w:rsidR="00531B7A" w:rsidRPr="003F41DF">
        <w:rPr>
          <w:rFonts w:ascii="Times New Roman" w:hAnsi="Times New Roman" w:cs="Times New Roman"/>
          <w:sz w:val="24"/>
          <w:szCs w:val="24"/>
          <w:lang w:val="cs-CZ"/>
        </w:rPr>
        <w:t>. Na občany ČR zde dopadá unijní právo nepřímo ve smyslu tzv. rozšiřující transpozice, kterou si v případě předmětné směrnice ČR zvolila.</w:t>
      </w:r>
      <w:r w:rsidR="007023BD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V takovém případě je povinna příslušnou úpravu aplikovat </w:t>
      </w:r>
      <w:proofErr w:type="spellStart"/>
      <w:r w:rsidR="007023BD" w:rsidRPr="003F41DF">
        <w:rPr>
          <w:rFonts w:ascii="Times New Roman" w:hAnsi="Times New Roman" w:cs="Times New Roman"/>
          <w:sz w:val="24"/>
          <w:szCs w:val="24"/>
          <w:lang w:val="cs-CZ"/>
        </w:rPr>
        <w:t>eurokonform</w:t>
      </w:r>
      <w:bookmarkStart w:id="0" w:name="_GoBack"/>
      <w:bookmarkEnd w:id="0"/>
      <w:r w:rsidR="007023BD" w:rsidRPr="003F41DF">
        <w:rPr>
          <w:rFonts w:ascii="Times New Roman" w:hAnsi="Times New Roman" w:cs="Times New Roman"/>
          <w:sz w:val="24"/>
          <w:szCs w:val="24"/>
          <w:lang w:val="cs-CZ"/>
        </w:rPr>
        <w:t>ně</w:t>
      </w:r>
      <w:proofErr w:type="spellEnd"/>
      <w:r w:rsidR="007023BD" w:rsidRPr="003F41D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31B7A" w:rsidRPr="003F41DF">
        <w:rPr>
          <w:rFonts w:ascii="Times New Roman" w:hAnsi="Times New Roman" w:cs="Times New Roman"/>
          <w:sz w:val="24"/>
          <w:szCs w:val="24"/>
          <w:lang w:val="cs-CZ"/>
        </w:rPr>
        <w:t xml:space="preserve"> I v případě odmítnutí rozšířené transpozice však nelze říci, že se právo volného pohybu na občany ČR a jejich rodinné příslušníky nevztahuje (např. mobilita občana ČR do jiného státu EU a zpět). Tyto případy však zákon neupravuje, protože ČR automaticky vztáhla právo volného pobytu na všechny své občany. </w:t>
      </w:r>
      <w:r w:rsidR="0005150F" w:rsidRPr="003F41DF">
        <w:rPr>
          <w:rFonts w:ascii="Times New Roman" w:hAnsi="Times New Roman" w:cs="Times New Roman"/>
          <w:sz w:val="24"/>
          <w:szCs w:val="24"/>
          <w:lang w:val="cs-CZ"/>
        </w:rPr>
        <w:t>Hrozí také porušení čl. 8 Evropské úmluvy o lidských právech.</w:t>
      </w:r>
    </w:p>
    <w:sectPr w:rsidR="00DB6174" w:rsidRPr="003F41DF" w:rsidSect="000644D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B1EBEC" w15:done="0"/>
  <w15:commentEx w15:paraId="1AB4ABA1" w15:done="0"/>
  <w15:commentEx w15:paraId="202912BC" w15:done="0"/>
  <w15:commentEx w15:paraId="0F440D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6AFF7" w14:textId="77777777" w:rsidR="00A05259" w:rsidRDefault="00A05259" w:rsidP="00B1247D">
      <w:pPr>
        <w:spacing w:after="0" w:line="240" w:lineRule="auto"/>
      </w:pPr>
      <w:r>
        <w:separator/>
      </w:r>
    </w:p>
  </w:endnote>
  <w:endnote w:type="continuationSeparator" w:id="0">
    <w:p w14:paraId="35A26F2F" w14:textId="77777777" w:rsidR="00A05259" w:rsidRDefault="00A05259" w:rsidP="00B1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2E69" w14:textId="77777777" w:rsidR="00A05259" w:rsidRDefault="00A05259" w:rsidP="00B1247D">
      <w:pPr>
        <w:spacing w:after="0" w:line="240" w:lineRule="auto"/>
      </w:pPr>
      <w:r>
        <w:separator/>
      </w:r>
    </w:p>
  </w:footnote>
  <w:footnote w:type="continuationSeparator" w:id="0">
    <w:p w14:paraId="7FA6F043" w14:textId="77777777" w:rsidR="00A05259" w:rsidRDefault="00A05259" w:rsidP="00B1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B6"/>
    <w:multiLevelType w:val="hybridMultilevel"/>
    <w:tmpl w:val="2FAAF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FBE"/>
    <w:multiLevelType w:val="hybridMultilevel"/>
    <w:tmpl w:val="757479DA"/>
    <w:lvl w:ilvl="0" w:tplc="3FFAA33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17BB2"/>
    <w:multiLevelType w:val="hybridMultilevel"/>
    <w:tmpl w:val="663CA04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875"/>
    <w:multiLevelType w:val="hybridMultilevel"/>
    <w:tmpl w:val="3F30A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1122"/>
    <w:multiLevelType w:val="hybridMultilevel"/>
    <w:tmpl w:val="2C0AD3BC"/>
    <w:lvl w:ilvl="0" w:tplc="5F665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82E7B"/>
    <w:multiLevelType w:val="hybridMultilevel"/>
    <w:tmpl w:val="F0F4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CF2"/>
    <w:multiLevelType w:val="hybridMultilevel"/>
    <w:tmpl w:val="DBA4BD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96014"/>
    <w:multiLevelType w:val="hybridMultilevel"/>
    <w:tmpl w:val="51E66AD0"/>
    <w:lvl w:ilvl="0" w:tplc="3FFAA3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">
    <w15:presenceInfo w15:providerId="None" w15:userId="Ma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D"/>
    <w:rsid w:val="00014624"/>
    <w:rsid w:val="00030D75"/>
    <w:rsid w:val="0005150F"/>
    <w:rsid w:val="000644DA"/>
    <w:rsid w:val="001562E5"/>
    <w:rsid w:val="00164CDC"/>
    <w:rsid w:val="001970BA"/>
    <w:rsid w:val="001A6833"/>
    <w:rsid w:val="001F1721"/>
    <w:rsid w:val="002762B9"/>
    <w:rsid w:val="00324F79"/>
    <w:rsid w:val="00342231"/>
    <w:rsid w:val="003438BE"/>
    <w:rsid w:val="003C0EFE"/>
    <w:rsid w:val="003F41DF"/>
    <w:rsid w:val="00424C29"/>
    <w:rsid w:val="00464A02"/>
    <w:rsid w:val="004B15FD"/>
    <w:rsid w:val="004F1E11"/>
    <w:rsid w:val="00521B0A"/>
    <w:rsid w:val="00531B7A"/>
    <w:rsid w:val="00547F62"/>
    <w:rsid w:val="00564EB6"/>
    <w:rsid w:val="00571BC1"/>
    <w:rsid w:val="005D0F02"/>
    <w:rsid w:val="005D6C2C"/>
    <w:rsid w:val="0064437F"/>
    <w:rsid w:val="006722DC"/>
    <w:rsid w:val="00680C8E"/>
    <w:rsid w:val="006B05FC"/>
    <w:rsid w:val="006C0F89"/>
    <w:rsid w:val="007023BD"/>
    <w:rsid w:val="0071171F"/>
    <w:rsid w:val="00734A64"/>
    <w:rsid w:val="00741E56"/>
    <w:rsid w:val="00793CCD"/>
    <w:rsid w:val="0079613C"/>
    <w:rsid w:val="007D3D99"/>
    <w:rsid w:val="007E6D28"/>
    <w:rsid w:val="00804D16"/>
    <w:rsid w:val="00825D37"/>
    <w:rsid w:val="00831BD2"/>
    <w:rsid w:val="00872FE0"/>
    <w:rsid w:val="00882AFA"/>
    <w:rsid w:val="008920F0"/>
    <w:rsid w:val="009024CE"/>
    <w:rsid w:val="009148F7"/>
    <w:rsid w:val="0095469C"/>
    <w:rsid w:val="009C47FE"/>
    <w:rsid w:val="00A05259"/>
    <w:rsid w:val="00A26E0C"/>
    <w:rsid w:val="00A432E1"/>
    <w:rsid w:val="00B1247D"/>
    <w:rsid w:val="00B44E93"/>
    <w:rsid w:val="00B810BA"/>
    <w:rsid w:val="00BF19F5"/>
    <w:rsid w:val="00C240B6"/>
    <w:rsid w:val="00C421BE"/>
    <w:rsid w:val="00C5378B"/>
    <w:rsid w:val="00C9273F"/>
    <w:rsid w:val="00CA18D5"/>
    <w:rsid w:val="00CE12A6"/>
    <w:rsid w:val="00DB6174"/>
    <w:rsid w:val="00DD111F"/>
    <w:rsid w:val="00DE67C0"/>
    <w:rsid w:val="00E1670F"/>
    <w:rsid w:val="00E31DE5"/>
    <w:rsid w:val="00EF19D2"/>
    <w:rsid w:val="00F52556"/>
    <w:rsid w:val="00FD2090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24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7D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B124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Znakapoznpodarou">
    <w:name w:val="footnote reference"/>
    <w:aliases w:val="Footnote number"/>
    <w:basedOn w:val="Standardnpsmoodstavce"/>
    <w:uiPriority w:val="99"/>
    <w:unhideWhenUsed/>
    <w:rsid w:val="00B124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2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4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47D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  <w:style w:type="paragraph" w:styleId="Zhlav">
    <w:name w:val="header"/>
    <w:basedOn w:val="Normln"/>
    <w:link w:val="ZhlavChar"/>
    <w:uiPriority w:val="99"/>
    <w:unhideWhenUsed/>
    <w:rsid w:val="007E6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200" w:line="276" w:lineRule="auto"/>
    </w:pPr>
    <w:rPr>
      <w:rFonts w:cs="Times New Roman"/>
      <w:color w:val="auto"/>
      <w:bdr w:val="none" w:sz="0" w:space="0" w:color="auto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E6D28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26E0C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B0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31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24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7D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B124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Znakapoznpodarou">
    <w:name w:val="footnote reference"/>
    <w:aliases w:val="Footnote number"/>
    <w:basedOn w:val="Standardnpsmoodstavce"/>
    <w:uiPriority w:val="99"/>
    <w:unhideWhenUsed/>
    <w:rsid w:val="00B124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2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4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47D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  <w:style w:type="paragraph" w:styleId="Zhlav">
    <w:name w:val="header"/>
    <w:basedOn w:val="Normln"/>
    <w:link w:val="ZhlavChar"/>
    <w:uiPriority w:val="99"/>
    <w:unhideWhenUsed/>
    <w:rsid w:val="007E6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200" w:line="276" w:lineRule="auto"/>
    </w:pPr>
    <w:rPr>
      <w:rFonts w:cs="Times New Roman"/>
      <w:color w:val="auto"/>
      <w:bdr w:val="none" w:sz="0" w:space="0" w:color="auto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E6D28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26E0C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B0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Archalous Martin</cp:lastModifiedBy>
  <cp:revision>5</cp:revision>
  <cp:lastPrinted>2017-03-23T11:44:00Z</cp:lastPrinted>
  <dcterms:created xsi:type="dcterms:W3CDTF">2017-03-23T11:10:00Z</dcterms:created>
  <dcterms:modified xsi:type="dcterms:W3CDTF">2017-03-23T11:45:00Z</dcterms:modified>
</cp:coreProperties>
</file>