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C6" w:rsidRDefault="002A6AC6" w:rsidP="002A6A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USNESENÍ</w:t>
      </w:r>
    </w:p>
    <w:p w:rsidR="002A6AC6" w:rsidRDefault="002A6AC6" w:rsidP="00F10D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RADY VLÁDY ČR PRO LIDSKÁ PRÁVA </w:t>
      </w:r>
    </w:p>
    <w:p w:rsidR="002A6AC6" w:rsidRPr="00446833" w:rsidRDefault="002A6AC6" w:rsidP="00F10D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ze dne </w:t>
      </w:r>
      <w:r w:rsidR="00CD7BF1">
        <w:rPr>
          <w:rFonts w:ascii="Arial" w:hAnsi="Arial" w:cs="Arial"/>
          <w:b/>
          <w:sz w:val="28"/>
          <w:szCs w:val="28"/>
        </w:rPr>
        <w:t>20. ledna 2020</w:t>
      </w:r>
    </w:p>
    <w:p w:rsidR="00F10DC5" w:rsidRPr="00446833" w:rsidRDefault="00F10DC5" w:rsidP="00F10DC5">
      <w:pPr>
        <w:jc w:val="center"/>
        <w:rPr>
          <w:rFonts w:ascii="Arial" w:hAnsi="Arial" w:cs="Arial"/>
          <w:i/>
          <w:sz w:val="28"/>
          <w:szCs w:val="28"/>
        </w:rPr>
      </w:pPr>
      <w:r w:rsidRPr="00446833">
        <w:rPr>
          <w:rFonts w:ascii="Arial" w:hAnsi="Arial" w:cs="Arial"/>
          <w:i/>
          <w:sz w:val="28"/>
          <w:szCs w:val="28"/>
        </w:rPr>
        <w:t>k problematice předlužení v České republice</w:t>
      </w:r>
    </w:p>
    <w:p w:rsidR="000955B8" w:rsidRPr="009C162E" w:rsidRDefault="000955B8">
      <w:pPr>
        <w:rPr>
          <w:rFonts w:ascii="Arial" w:hAnsi="Arial" w:cs="Arial"/>
          <w:sz w:val="20"/>
        </w:rPr>
      </w:pPr>
    </w:p>
    <w:p w:rsidR="00F10DC5" w:rsidRPr="009C162E" w:rsidRDefault="009A5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vlády ČR pro lidská práva</w:t>
      </w:r>
    </w:p>
    <w:p w:rsidR="00A759B2" w:rsidRPr="00A759B2" w:rsidRDefault="00A759B2" w:rsidP="00A759B2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>d o p o r u č u j e vládě přijmout opatření proti předlužení obyvatel ČR a uložit ministryni spravedlnosti:</w:t>
      </w:r>
    </w:p>
    <w:p w:rsidR="00A759B2" w:rsidRPr="00A759B2" w:rsidRDefault="00A759B2" w:rsidP="00A759B2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 xml:space="preserve">předložit vládě novelu nařízení vlády o nezabavitelných částkách zvyšující nezabavitelnou částku a měnící její výpočet v součinnosti s ministryní práce a sociálních věcí; </w:t>
      </w:r>
    </w:p>
    <w:p w:rsidR="00A759B2" w:rsidRPr="00A759B2" w:rsidRDefault="00A759B2" w:rsidP="00A759B2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>předložit vládě návrh řešení umožňující rozšířit výpis z centrální evidence exekucí o informace o věřiteli a vymáhané částce, včetně příslušenství;</w:t>
      </w:r>
    </w:p>
    <w:p w:rsidR="00A759B2" w:rsidRPr="00A759B2" w:rsidRDefault="00A759B2" w:rsidP="00A759B2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>d o p o r u č u j e ministryni spravedlnosti podpořit navrženou novelu občanského soudního řádu upravující zrušení exekučního postižení daňového bonusu.</w:t>
      </w:r>
    </w:p>
    <w:p w:rsidR="00F11D51" w:rsidRPr="004F1D90" w:rsidRDefault="00F11D51" w:rsidP="00A759B2">
      <w:pPr>
        <w:pStyle w:val="Odstavecseseznamem"/>
        <w:ind w:left="56"/>
        <w:jc w:val="both"/>
        <w:rPr>
          <w:rFonts w:ascii="Arial" w:hAnsi="Arial" w:cs="Arial"/>
          <w:sz w:val="24"/>
        </w:rPr>
      </w:pPr>
      <w:r w:rsidRPr="004F1D90">
        <w:rPr>
          <w:rFonts w:ascii="Arial" w:hAnsi="Arial" w:cs="Arial"/>
          <w:sz w:val="24"/>
        </w:rPr>
        <w:t>.</w:t>
      </w:r>
    </w:p>
    <w:p w:rsidR="00230398" w:rsidRPr="00863F08" w:rsidRDefault="009A5296" w:rsidP="00863F0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428EF">
        <w:rPr>
          <w:rFonts w:ascii="Arial" w:hAnsi="Arial" w:cs="Arial"/>
          <w:b/>
          <w:sz w:val="24"/>
          <w:szCs w:val="24"/>
          <w:u w:val="single"/>
        </w:rPr>
        <w:t>ODŮVODNĚNÍ:</w:t>
      </w:r>
    </w:p>
    <w:p w:rsidR="00DB7EFA" w:rsidRDefault="00F11D51" w:rsidP="00DB7EFA">
      <w:pPr>
        <w:spacing w:before="240" w:after="240"/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V souvislosti s řešením </w:t>
      </w:r>
      <w:r w:rsidR="002A23E2" w:rsidRPr="00C33607">
        <w:rPr>
          <w:rFonts w:ascii="Arial" w:hAnsi="Arial" w:cs="Arial"/>
        </w:rPr>
        <w:t>p</w:t>
      </w:r>
      <w:r w:rsidRPr="00C33607">
        <w:rPr>
          <w:rFonts w:ascii="Arial" w:hAnsi="Arial" w:cs="Arial"/>
        </w:rPr>
        <w:t>riority „</w:t>
      </w:r>
      <w:r w:rsidRPr="00C33607">
        <w:rPr>
          <w:rFonts w:ascii="Arial" w:hAnsi="Arial" w:cs="Arial"/>
          <w:bCs/>
        </w:rPr>
        <w:t xml:space="preserve">Ochrana práv osob ohrožených chudobou a sociálním vyloučením“ se </w:t>
      </w:r>
      <w:r w:rsidR="009A5296" w:rsidRPr="00C33607">
        <w:rPr>
          <w:rFonts w:ascii="Arial" w:hAnsi="Arial" w:cs="Arial"/>
        </w:rPr>
        <w:t>Rad</w:t>
      </w:r>
      <w:r w:rsidR="009A5296">
        <w:rPr>
          <w:rFonts w:ascii="Arial" w:hAnsi="Arial" w:cs="Arial"/>
        </w:rPr>
        <w:t>a</w:t>
      </w:r>
      <w:r w:rsidR="009A5296" w:rsidRPr="00C33607">
        <w:rPr>
          <w:rFonts w:ascii="Arial" w:hAnsi="Arial" w:cs="Arial"/>
        </w:rPr>
        <w:t xml:space="preserve"> vlády ČR pro lidská práva </w:t>
      </w:r>
      <w:r w:rsidRPr="00C33607">
        <w:rPr>
          <w:rFonts w:ascii="Arial" w:hAnsi="Arial" w:cs="Arial"/>
          <w:bCs/>
        </w:rPr>
        <w:t xml:space="preserve">zabývá mimo jiné </w:t>
      </w:r>
      <w:r w:rsidRPr="00C33607">
        <w:rPr>
          <w:rFonts w:ascii="Arial" w:hAnsi="Arial" w:cs="Arial"/>
        </w:rPr>
        <w:t xml:space="preserve">přetrvávající vysokou zadlužeností ve společnosti. </w:t>
      </w:r>
      <w:r w:rsidR="00E93AA2" w:rsidRPr="00C33607">
        <w:rPr>
          <w:rFonts w:ascii="Arial" w:hAnsi="Arial" w:cs="Arial"/>
        </w:rPr>
        <w:t xml:space="preserve">Rostoucí zadluženost potažmo předluženost obyvatelstva je dlouhodobě vnímána jako závažný problém ohrožující stabilitu sociálního systému a celé ekonomiky. </w:t>
      </w:r>
    </w:p>
    <w:p w:rsidR="000955B8" w:rsidRDefault="00E93AA2" w:rsidP="00DB7EFA">
      <w:pPr>
        <w:spacing w:before="240" w:after="240"/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>Mezi</w:t>
      </w:r>
      <w:r w:rsidR="00F575DA" w:rsidRPr="00C33607">
        <w:rPr>
          <w:rFonts w:ascii="Arial" w:hAnsi="Arial" w:cs="Arial"/>
        </w:rPr>
        <w:t xml:space="preserve"> </w:t>
      </w:r>
      <w:r w:rsidR="003F0665" w:rsidRPr="00C33607">
        <w:rPr>
          <w:rFonts w:ascii="Arial" w:hAnsi="Arial" w:cs="Arial"/>
        </w:rPr>
        <w:t>klíčové změny</w:t>
      </w:r>
      <w:r w:rsidR="00F575DA" w:rsidRPr="00C33607">
        <w:rPr>
          <w:rFonts w:ascii="Arial" w:hAnsi="Arial" w:cs="Arial"/>
        </w:rPr>
        <w:t xml:space="preserve"> </w:t>
      </w:r>
      <w:r w:rsidRPr="00C33607">
        <w:rPr>
          <w:rFonts w:ascii="Arial" w:hAnsi="Arial" w:cs="Arial"/>
        </w:rPr>
        <w:t xml:space="preserve">na poli vymáhání pohledávek v exekučním řízení </w:t>
      </w:r>
      <w:r w:rsidR="00402453" w:rsidRPr="00C33607">
        <w:rPr>
          <w:rFonts w:ascii="Arial" w:hAnsi="Arial" w:cs="Arial"/>
        </w:rPr>
        <w:t>v současné době</w:t>
      </w:r>
      <w:r w:rsidRPr="00C33607">
        <w:rPr>
          <w:rFonts w:ascii="Arial" w:hAnsi="Arial" w:cs="Arial"/>
        </w:rPr>
        <w:t xml:space="preserve"> </w:t>
      </w:r>
      <w:r w:rsidR="00F575DA" w:rsidRPr="00C33607">
        <w:rPr>
          <w:rFonts w:ascii="Arial" w:hAnsi="Arial" w:cs="Arial"/>
        </w:rPr>
        <w:t xml:space="preserve">patří </w:t>
      </w:r>
      <w:r w:rsidR="003F0665" w:rsidRPr="00C33607">
        <w:rPr>
          <w:rFonts w:ascii="Arial" w:hAnsi="Arial" w:cs="Arial"/>
        </w:rPr>
        <w:t xml:space="preserve">prosazení </w:t>
      </w:r>
      <w:r w:rsidR="002A7553" w:rsidRPr="00C33607">
        <w:rPr>
          <w:rFonts w:ascii="Arial" w:hAnsi="Arial" w:cs="Arial"/>
        </w:rPr>
        <w:t xml:space="preserve">nezávislého přidělování exekutorů místně příslušným soudem </w:t>
      </w:r>
      <w:r w:rsidRPr="00C33607">
        <w:rPr>
          <w:rFonts w:ascii="Arial" w:hAnsi="Arial" w:cs="Arial"/>
        </w:rPr>
        <w:t xml:space="preserve">a </w:t>
      </w:r>
      <w:r w:rsidR="002A7553" w:rsidRPr="00C33607">
        <w:rPr>
          <w:rFonts w:ascii="Arial" w:hAnsi="Arial" w:cs="Arial"/>
        </w:rPr>
        <w:t xml:space="preserve">zavedení </w:t>
      </w:r>
      <w:r w:rsidR="00F575DA" w:rsidRPr="00C33607">
        <w:rPr>
          <w:rFonts w:ascii="Arial" w:hAnsi="Arial" w:cs="Arial"/>
        </w:rPr>
        <w:t xml:space="preserve">regulačních poplatků. </w:t>
      </w:r>
      <w:r w:rsidR="00402453" w:rsidRPr="00C33607">
        <w:rPr>
          <w:rFonts w:ascii="Arial" w:hAnsi="Arial" w:cs="Arial"/>
        </w:rPr>
        <w:t xml:space="preserve">Zvláštní pozornost je pak </w:t>
      </w:r>
      <w:r w:rsidR="00F575DA" w:rsidRPr="00C33607">
        <w:rPr>
          <w:rFonts w:ascii="Arial" w:hAnsi="Arial" w:cs="Arial"/>
        </w:rPr>
        <w:t xml:space="preserve">dále </w:t>
      </w:r>
      <w:r w:rsidR="00402453" w:rsidRPr="00C33607">
        <w:rPr>
          <w:rFonts w:ascii="Arial" w:hAnsi="Arial" w:cs="Arial"/>
        </w:rPr>
        <w:t xml:space="preserve">třeba věnovat </w:t>
      </w:r>
      <w:r w:rsidR="00F575DA" w:rsidRPr="00C33607">
        <w:rPr>
          <w:rFonts w:ascii="Arial" w:hAnsi="Arial" w:cs="Arial"/>
        </w:rPr>
        <w:t>těmto</w:t>
      </w:r>
      <w:r w:rsidR="00402453" w:rsidRPr="00C33607">
        <w:rPr>
          <w:rFonts w:ascii="Arial" w:hAnsi="Arial" w:cs="Arial"/>
        </w:rPr>
        <w:t xml:space="preserve"> opatřením:</w:t>
      </w:r>
    </w:p>
    <w:p w:rsidR="009C162E" w:rsidRPr="00C33607" w:rsidRDefault="009C162E" w:rsidP="009C162E">
      <w:pPr>
        <w:spacing w:after="0"/>
        <w:jc w:val="both"/>
        <w:rPr>
          <w:rFonts w:ascii="Arial" w:hAnsi="Arial" w:cs="Arial"/>
        </w:rPr>
      </w:pPr>
    </w:p>
    <w:p w:rsidR="00227A3A" w:rsidRPr="00C33607" w:rsidRDefault="00227A3A" w:rsidP="00D84CBD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ZVÝŠENÍ NEZABAVITELNÉ ČÁSTKY A ZMĚNA JEJÍHO VÝPOČTU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Současný stav</w:t>
      </w:r>
    </w:p>
    <w:p w:rsidR="00EF51C6" w:rsidRPr="00C33607" w:rsidRDefault="00EF51C6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Dle důvodové zprávy k návrhu změny nařízení vlády č. 595/2006 Sb., </w:t>
      </w:r>
      <w:r w:rsidR="00BA61D5" w:rsidRPr="00BA61D5">
        <w:rPr>
          <w:rFonts w:ascii="Arial" w:hAnsi="Arial" w:cs="Arial"/>
        </w:rPr>
        <w:t>o způsobu výpočtu základní částky, která nesmí být sražena povinnému z měsíční mzdy při výkonu rozhodnutí, a o stanovení částky, nad kterou je mzda postižitelná srážkami bez omezení (nařízení o nezabavitelných částkách)</w:t>
      </w:r>
      <w:r w:rsidRPr="00C33607">
        <w:rPr>
          <w:rFonts w:ascii="Arial" w:hAnsi="Arial" w:cs="Arial"/>
        </w:rPr>
        <w:t xml:space="preserve">, byla Česká republika jakožto smluvní strana Evropské sociální charty kritizována ze strany kontrolních orgánů této úmluvy za porušování článku 4 odst. 5 charty, a to z toho důvodu, že po srážkách ze mzdy může dojít v některých případech k tomu, že povinné osobě zbude částka nižší, než je životní minimum. Nařízení vlády č. </w:t>
      </w:r>
      <w:r w:rsidR="00BA61D5" w:rsidRPr="00BA61D5">
        <w:rPr>
          <w:rFonts w:ascii="Arial" w:hAnsi="Arial" w:cs="Arial"/>
        </w:rPr>
        <w:lastRenderedPageBreak/>
        <w:t>91/2019 Sb.</w:t>
      </w:r>
      <w:r w:rsidR="00BA61D5">
        <w:rPr>
          <w:rFonts w:ascii="Arial" w:hAnsi="Arial" w:cs="Arial"/>
        </w:rPr>
        <w:t xml:space="preserve">, kterým se mění nařízení </w:t>
      </w:r>
      <w:r w:rsidR="00BA61D5" w:rsidRPr="00C33607">
        <w:rPr>
          <w:rFonts w:ascii="Arial" w:hAnsi="Arial" w:cs="Arial"/>
        </w:rPr>
        <w:t>vlády č. 595/2006 Sb</w:t>
      </w:r>
      <w:r w:rsidR="00BA61D5">
        <w:rPr>
          <w:rFonts w:ascii="Arial" w:hAnsi="Arial" w:cs="Arial"/>
        </w:rPr>
        <w:t xml:space="preserve">., </w:t>
      </w:r>
      <w:r w:rsidR="00BA61D5" w:rsidRPr="00C33607">
        <w:rPr>
          <w:rFonts w:ascii="Arial" w:hAnsi="Arial" w:cs="Arial"/>
        </w:rPr>
        <w:t>o nezabavitelných částkách</w:t>
      </w:r>
      <w:r w:rsidR="00BA61D5">
        <w:rPr>
          <w:rFonts w:ascii="Arial" w:hAnsi="Arial" w:cs="Arial"/>
        </w:rPr>
        <w:t>,</w:t>
      </w:r>
      <w:r w:rsidRPr="00C33607">
        <w:rPr>
          <w:rFonts w:ascii="Arial" w:hAnsi="Arial" w:cs="Arial"/>
        </w:rPr>
        <w:t xml:space="preserve"> účinné od 1. června 2019</w:t>
      </w:r>
      <w:r w:rsidR="00BA61D5">
        <w:rPr>
          <w:rFonts w:ascii="Arial" w:hAnsi="Arial" w:cs="Arial"/>
        </w:rPr>
        <w:t>,</w:t>
      </w:r>
      <w:r w:rsidRPr="00C33607">
        <w:rPr>
          <w:rFonts w:ascii="Arial" w:hAnsi="Arial" w:cs="Arial"/>
        </w:rPr>
        <w:t xml:space="preserve"> bohužel tuto kritiku dostatečně nezohledňuje.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>Aktu</w:t>
      </w:r>
      <w:r w:rsidR="004F1D90">
        <w:rPr>
          <w:rFonts w:ascii="Arial" w:hAnsi="Arial" w:cs="Arial"/>
        </w:rPr>
        <w:t xml:space="preserve">ální výše nezabavitelné částky </w:t>
      </w:r>
      <w:r w:rsidRPr="00C33607">
        <w:rPr>
          <w:rFonts w:ascii="Arial" w:hAnsi="Arial" w:cs="Arial"/>
        </w:rPr>
        <w:t xml:space="preserve">nedosahuje často ani příjmů </w:t>
      </w:r>
      <w:r w:rsidR="00EF51C6" w:rsidRPr="00C33607">
        <w:rPr>
          <w:rFonts w:ascii="Arial" w:hAnsi="Arial" w:cs="Arial"/>
        </w:rPr>
        <w:t xml:space="preserve">dosažitelných </w:t>
      </w:r>
      <w:r w:rsidRPr="00C33607">
        <w:rPr>
          <w:rFonts w:ascii="Arial" w:hAnsi="Arial" w:cs="Arial"/>
        </w:rPr>
        <w:t>z dávkových systémů</w:t>
      </w:r>
      <w:r w:rsidR="00AE73C7" w:rsidRPr="00C33607">
        <w:rPr>
          <w:rStyle w:val="Znakapoznpodarou"/>
          <w:rFonts w:ascii="Arial" w:hAnsi="Arial" w:cs="Arial"/>
        </w:rPr>
        <w:footnoteReference w:id="1"/>
      </w:r>
      <w:r w:rsidR="007E2EAB" w:rsidRPr="00C33607">
        <w:rPr>
          <w:rFonts w:ascii="Arial" w:hAnsi="Arial" w:cs="Arial"/>
        </w:rPr>
        <w:t>,</w:t>
      </w:r>
      <w:r w:rsidRPr="00C33607">
        <w:rPr>
          <w:rFonts w:ascii="Arial" w:hAnsi="Arial" w:cs="Arial"/>
        </w:rPr>
        <w:t xml:space="preserve"> a tím motivuje dlužníky k částečnému nebo plnému úniku do šedé ekonomiky. Zejména pro rodiče samoživitele či domácnosti jednotlivců je její výše extrémně nízká</w:t>
      </w:r>
      <w:r w:rsidRPr="00C33607">
        <w:rPr>
          <w:rStyle w:val="Znakapoznpodarou"/>
          <w:rFonts w:ascii="Arial" w:hAnsi="Arial" w:cs="Arial"/>
        </w:rPr>
        <w:footnoteReference w:id="2"/>
      </w:r>
      <w:r w:rsidRPr="00C33607">
        <w:rPr>
          <w:rFonts w:ascii="Arial" w:hAnsi="Arial" w:cs="Arial"/>
        </w:rPr>
        <w:t xml:space="preserve">, ohrožující základní životní potřeby jich samotných i jejich dětí. Je nepřijatelné, aby základní </w:t>
      </w:r>
      <w:r w:rsidR="00AE73C7" w:rsidRPr="00C33607">
        <w:rPr>
          <w:rFonts w:ascii="Arial" w:hAnsi="Arial" w:cs="Arial"/>
        </w:rPr>
        <w:t xml:space="preserve">výše </w:t>
      </w:r>
      <w:r w:rsidRPr="00C33607">
        <w:rPr>
          <w:rFonts w:ascii="Arial" w:hAnsi="Arial" w:cs="Arial"/>
        </w:rPr>
        <w:t>nezabaviteln</w:t>
      </w:r>
      <w:r w:rsidR="00AE73C7" w:rsidRPr="00C33607">
        <w:rPr>
          <w:rFonts w:ascii="Arial" w:hAnsi="Arial" w:cs="Arial"/>
        </w:rPr>
        <w:t>é</w:t>
      </w:r>
      <w:r w:rsidRPr="00C33607">
        <w:rPr>
          <w:rFonts w:ascii="Arial" w:hAnsi="Arial" w:cs="Arial"/>
        </w:rPr>
        <w:t xml:space="preserve"> částk</w:t>
      </w:r>
      <w:r w:rsidR="00AE73C7" w:rsidRPr="00C33607">
        <w:rPr>
          <w:rFonts w:ascii="Arial" w:hAnsi="Arial" w:cs="Arial"/>
        </w:rPr>
        <w:t>y</w:t>
      </w:r>
      <w:r w:rsidRPr="00C33607">
        <w:rPr>
          <w:rFonts w:ascii="Arial" w:hAnsi="Arial" w:cs="Arial"/>
        </w:rPr>
        <w:t xml:space="preserve"> na dítě dosahovala 54 </w:t>
      </w:r>
      <w:r w:rsidR="002A6AC6">
        <w:rPr>
          <w:rFonts w:ascii="Arial" w:hAnsi="Arial" w:cs="Arial"/>
        </w:rPr>
        <w:t>Kč</w:t>
      </w:r>
      <w:r w:rsidR="002A6AC6" w:rsidRPr="00C33607">
        <w:rPr>
          <w:rFonts w:ascii="Arial" w:hAnsi="Arial" w:cs="Arial"/>
        </w:rPr>
        <w:t xml:space="preserve"> </w:t>
      </w:r>
      <w:r w:rsidRPr="00C33607">
        <w:rPr>
          <w:rFonts w:ascii="Arial" w:hAnsi="Arial" w:cs="Arial"/>
        </w:rPr>
        <w:t>na den.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Cíl návrhu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Zajistit lidem s nižšími příjmy důstojné přežití exekuce a insolvence, předcházet jejich dalšímu propadu, snížit riziko jejich přechodu do šedé ekonomiky a zvýšit příjmy státního rozpočtu. Do budoucna nastavit pravidelnou valorizaci </w:t>
      </w:r>
      <w:r w:rsidR="002A6AC6" w:rsidRPr="00C33607">
        <w:rPr>
          <w:rFonts w:ascii="Arial" w:hAnsi="Arial" w:cs="Arial"/>
        </w:rPr>
        <w:t>nezabavitelné částky</w:t>
      </w:r>
      <w:r w:rsidR="002A6AC6" w:rsidRPr="00C33607" w:rsidDel="002A6AC6">
        <w:rPr>
          <w:rFonts w:ascii="Arial" w:hAnsi="Arial" w:cs="Arial"/>
        </w:rPr>
        <w:t xml:space="preserve"> </w:t>
      </w:r>
      <w:r w:rsidRPr="00C33607">
        <w:rPr>
          <w:rFonts w:ascii="Arial" w:hAnsi="Arial" w:cs="Arial"/>
        </w:rPr>
        <w:t>tak, aby se brzy nedostala opět extrémně nízko.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Navrhovaný stav</w:t>
      </w:r>
    </w:p>
    <w:p w:rsidR="000955B8" w:rsidRDefault="007E2EAB" w:rsidP="009C162E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  <w:r w:rsidRPr="00C33607">
        <w:rPr>
          <w:rFonts w:ascii="Arial" w:hAnsi="Arial" w:cs="Arial"/>
          <w:sz w:val="22"/>
          <w:szCs w:val="22"/>
        </w:rPr>
        <w:t xml:space="preserve">Zvýšit výši základní nezabavitelné částky na úroveň zajišťující důstojné přežití exekuce či insolvence a neohrožující základní životní potřeby dětí. </w:t>
      </w:r>
      <w:r w:rsidR="00E73CAA" w:rsidRPr="00C33607">
        <w:rPr>
          <w:rFonts w:ascii="Arial" w:hAnsi="Arial" w:cs="Arial"/>
          <w:sz w:val="22"/>
          <w:szCs w:val="22"/>
        </w:rPr>
        <w:t>Sváz</w:t>
      </w:r>
      <w:r w:rsidR="00E73CAA">
        <w:rPr>
          <w:rFonts w:ascii="Arial" w:hAnsi="Arial" w:cs="Arial"/>
          <w:sz w:val="22"/>
          <w:szCs w:val="22"/>
        </w:rPr>
        <w:t>at</w:t>
      </w:r>
      <w:r w:rsidR="00E73CAA" w:rsidRPr="00C33607">
        <w:rPr>
          <w:rFonts w:ascii="Arial" w:hAnsi="Arial" w:cs="Arial"/>
          <w:sz w:val="22"/>
          <w:szCs w:val="22"/>
        </w:rPr>
        <w:t xml:space="preserve"> </w:t>
      </w:r>
      <w:r w:rsidRPr="00C33607">
        <w:rPr>
          <w:rFonts w:ascii="Arial" w:hAnsi="Arial" w:cs="Arial"/>
          <w:sz w:val="22"/>
          <w:szCs w:val="22"/>
        </w:rPr>
        <w:t>výpoč</w:t>
      </w:r>
      <w:r w:rsidR="00E73CAA">
        <w:rPr>
          <w:rFonts w:ascii="Arial" w:hAnsi="Arial" w:cs="Arial"/>
          <w:sz w:val="22"/>
          <w:szCs w:val="22"/>
        </w:rPr>
        <w:t>e</w:t>
      </w:r>
      <w:r w:rsidRPr="00C33607">
        <w:rPr>
          <w:rFonts w:ascii="Arial" w:hAnsi="Arial" w:cs="Arial"/>
          <w:sz w:val="22"/>
          <w:szCs w:val="22"/>
        </w:rPr>
        <w:t xml:space="preserve">t </w:t>
      </w:r>
      <w:r w:rsidR="002A6AC6" w:rsidRPr="00C33607">
        <w:rPr>
          <w:rFonts w:ascii="Arial" w:hAnsi="Arial" w:cs="Arial"/>
        </w:rPr>
        <w:t>nezabavitelné částky</w:t>
      </w:r>
      <w:r w:rsidR="002A6AC6" w:rsidRPr="00C33607" w:rsidDel="002A6AC6">
        <w:rPr>
          <w:rFonts w:ascii="Arial" w:hAnsi="Arial" w:cs="Arial"/>
          <w:sz w:val="22"/>
          <w:szCs w:val="22"/>
        </w:rPr>
        <w:t xml:space="preserve"> </w:t>
      </w:r>
      <w:r w:rsidRPr="00C33607">
        <w:rPr>
          <w:rFonts w:ascii="Arial" w:hAnsi="Arial" w:cs="Arial"/>
          <w:sz w:val="22"/>
          <w:szCs w:val="22"/>
        </w:rPr>
        <w:t>s jinou veličinou, než je zřídka valorizované životní minimum</w:t>
      </w:r>
      <w:r w:rsidR="001D5AD8">
        <w:rPr>
          <w:rFonts w:ascii="Arial" w:hAnsi="Arial" w:cs="Arial"/>
          <w:sz w:val="22"/>
          <w:szCs w:val="22"/>
        </w:rPr>
        <w:t xml:space="preserve"> (např. minimální mzda)</w:t>
      </w:r>
      <w:r w:rsidRPr="00C33607">
        <w:rPr>
          <w:rFonts w:ascii="Arial" w:hAnsi="Arial" w:cs="Arial"/>
          <w:sz w:val="22"/>
          <w:szCs w:val="22"/>
        </w:rPr>
        <w:t>.</w:t>
      </w:r>
    </w:p>
    <w:p w:rsidR="000955B8" w:rsidRPr="00C33607" w:rsidRDefault="000955B8" w:rsidP="009C162E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:rsidR="000955B8" w:rsidRPr="00C33607" w:rsidRDefault="000955B8" w:rsidP="009C162E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:rsidR="00227A3A" w:rsidRPr="00C33607" w:rsidRDefault="00227A3A" w:rsidP="00D84CBD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ZRUŠENÍ EXEKUČNÍHO POSTIŽENÍ DAŇOVÉHO BONUSU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Současný stav</w:t>
      </w:r>
    </w:p>
    <w:p w:rsidR="00522524" w:rsidRPr="00C33607" w:rsidRDefault="00522524" w:rsidP="00522524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>Daňový</w:t>
      </w:r>
      <w:r>
        <w:rPr>
          <w:rFonts w:ascii="Arial" w:hAnsi="Arial" w:cs="Arial"/>
        </w:rPr>
        <w:t>m</w:t>
      </w:r>
      <w:r w:rsidRPr="00C33607">
        <w:rPr>
          <w:rFonts w:ascii="Arial" w:hAnsi="Arial" w:cs="Arial"/>
        </w:rPr>
        <w:t xml:space="preserve"> bonus</w:t>
      </w:r>
      <w:r>
        <w:rPr>
          <w:rFonts w:ascii="Arial" w:hAnsi="Arial" w:cs="Arial"/>
        </w:rPr>
        <w:t>em se rozumí</w:t>
      </w:r>
      <w:r w:rsidRPr="00C33607">
        <w:rPr>
          <w:rFonts w:ascii="Arial" w:hAnsi="Arial" w:cs="Arial"/>
        </w:rPr>
        <w:t xml:space="preserve"> kladný rozdíl mezi daňovým zvýhodněním a daňovou povinností</w:t>
      </w:r>
      <w:r>
        <w:rPr>
          <w:rFonts w:ascii="Arial" w:hAnsi="Arial" w:cs="Arial"/>
        </w:rPr>
        <w:t xml:space="preserve"> podle zákona č. 586/1992 Sb., o daních z příjmů, ve znění pozdějších předpisů. Jedná se o </w:t>
      </w:r>
      <w:r w:rsidRPr="00C33607">
        <w:rPr>
          <w:rFonts w:ascii="Arial" w:hAnsi="Arial" w:cs="Arial"/>
        </w:rPr>
        <w:t>sociální výhodu</w:t>
      </w:r>
      <w:r>
        <w:rPr>
          <w:rFonts w:ascii="Arial" w:hAnsi="Arial" w:cs="Arial"/>
        </w:rPr>
        <w:t xml:space="preserve">, která je </w:t>
      </w:r>
      <w:r w:rsidRPr="00C33607">
        <w:rPr>
          <w:rFonts w:ascii="Arial" w:hAnsi="Arial" w:cs="Arial"/>
        </w:rPr>
        <w:t>určen</w:t>
      </w:r>
      <w:r>
        <w:rPr>
          <w:rFonts w:ascii="Arial" w:hAnsi="Arial" w:cs="Arial"/>
        </w:rPr>
        <w:t>a</w:t>
      </w:r>
      <w:r w:rsidRPr="00C33607">
        <w:rPr>
          <w:rFonts w:ascii="Arial" w:hAnsi="Arial" w:cs="Arial"/>
        </w:rPr>
        <w:t xml:space="preserve"> na úhradu nákladů spojených s výchovou dětí. Smyslem institutu daňového zvýhodnění na vyživované dítě je podpora rodin s dětmi. Zvýhodnění míří především na </w:t>
      </w:r>
      <w:r w:rsidR="001E1F6A">
        <w:rPr>
          <w:rFonts w:ascii="Arial" w:hAnsi="Arial" w:cs="Arial"/>
        </w:rPr>
        <w:t>rodiny, které mají nižší</w:t>
      </w:r>
      <w:r w:rsidR="001D5AD8">
        <w:rPr>
          <w:rFonts w:ascii="Arial" w:hAnsi="Arial" w:cs="Arial"/>
        </w:rPr>
        <w:t xml:space="preserve"> </w:t>
      </w:r>
      <w:r w:rsidRPr="00C33607">
        <w:rPr>
          <w:rFonts w:ascii="Arial" w:hAnsi="Arial" w:cs="Arial"/>
        </w:rPr>
        <w:t>příjmy</w:t>
      </w:r>
      <w:r w:rsidR="001D5AD8">
        <w:rPr>
          <w:rFonts w:ascii="Arial" w:hAnsi="Arial" w:cs="Arial"/>
        </w:rPr>
        <w:t>, a tudíž nemohou využívat slevy na dani na své děti.</w:t>
      </w:r>
      <w:r w:rsidRPr="00C33607">
        <w:rPr>
          <w:rFonts w:ascii="Arial" w:hAnsi="Arial" w:cs="Arial"/>
        </w:rPr>
        <w:t xml:space="preserve"> </w:t>
      </w:r>
      <w:r w:rsidR="001D5AD8">
        <w:rPr>
          <w:rFonts w:ascii="Arial" w:hAnsi="Arial" w:cs="Arial"/>
        </w:rPr>
        <w:t xml:space="preserve">Proto je jim tato sleva poskytnuta zpětně jako součást příjmu. </w:t>
      </w:r>
      <w:r w:rsidRPr="00C33607">
        <w:rPr>
          <w:rFonts w:ascii="Arial" w:hAnsi="Arial" w:cs="Arial"/>
        </w:rPr>
        <w:t>Skutečným úmyslem zákonodárce při úpravě daňového bonusu totiž od počátku bylo podpořit výchovu dětí v rodinách daňových poplatníků.</w:t>
      </w:r>
      <w:r>
        <w:rPr>
          <w:rStyle w:val="Znakapoznpodarou"/>
          <w:rFonts w:ascii="Arial" w:hAnsi="Arial" w:cs="Arial"/>
        </w:rPr>
        <w:footnoteReference w:id="3"/>
      </w:r>
    </w:p>
    <w:p w:rsidR="00522524" w:rsidRPr="00C33607" w:rsidRDefault="00227A3A" w:rsidP="00522524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Daňový bonus na dítě je plně exekvovatelný přikázáním jiné pohledávky. Nízkopříjmové domácnosti tak přicházejí o důležitou část příjmu, </w:t>
      </w:r>
      <w:r w:rsidR="008B709A" w:rsidRPr="00C33607">
        <w:rPr>
          <w:rFonts w:ascii="Arial" w:hAnsi="Arial" w:cs="Arial"/>
        </w:rPr>
        <w:t xml:space="preserve">která je navíc určena </w:t>
      </w:r>
      <w:r w:rsidRPr="00C33607">
        <w:rPr>
          <w:rFonts w:ascii="Arial" w:hAnsi="Arial" w:cs="Arial"/>
        </w:rPr>
        <w:t>na výživu jejich dětí.</w:t>
      </w:r>
      <w:r w:rsidR="005357FC">
        <w:rPr>
          <w:rFonts w:ascii="Arial" w:hAnsi="Arial" w:cs="Arial"/>
        </w:rPr>
        <w:t xml:space="preserve"> </w:t>
      </w:r>
      <w:r w:rsidR="00522524" w:rsidRPr="00C33607">
        <w:rPr>
          <w:rFonts w:ascii="Arial" w:hAnsi="Arial" w:cs="Arial"/>
        </w:rPr>
        <w:t xml:space="preserve">Pokud </w:t>
      </w:r>
      <w:r w:rsidR="00522524">
        <w:rPr>
          <w:rFonts w:ascii="Arial" w:hAnsi="Arial" w:cs="Arial"/>
        </w:rPr>
        <w:t>však</w:t>
      </w:r>
      <w:r w:rsidR="00522524" w:rsidRPr="00C33607">
        <w:rPr>
          <w:rFonts w:ascii="Arial" w:hAnsi="Arial" w:cs="Arial"/>
        </w:rPr>
        <w:t xml:space="preserve"> stát vyjádřil podporu rodině tím, že daňově zvýhodnil rodiče pečující o děti prostřednictvím daňového bonusu, měla by tato podpora skutečně sloužit k zajištění potřeb rodiny, nikoli se stát předmětem exekučního řízení.  V případě, kdy je však daňový bonus postižen v exekučním řízení, může v rodině nacházející se v tíživé sociální situaci dojít k tomu, že jsou výše zmíněná práva dětí na určitou životní úroveň dotčena. </w:t>
      </w:r>
      <w:r w:rsidR="00522524">
        <w:rPr>
          <w:rFonts w:ascii="Arial" w:hAnsi="Arial" w:cs="Arial"/>
        </w:rPr>
        <w:t>K tomu navíc je zapotřebí poukázat na to</w:t>
      </w:r>
      <w:r w:rsidR="00522524" w:rsidRPr="00C33607">
        <w:rPr>
          <w:rFonts w:ascii="Arial" w:hAnsi="Arial" w:cs="Arial"/>
        </w:rPr>
        <w:t>, že</w:t>
      </w:r>
      <w:r w:rsidR="00522524">
        <w:rPr>
          <w:rFonts w:ascii="Arial" w:hAnsi="Arial" w:cs="Arial"/>
        </w:rPr>
        <w:t xml:space="preserve"> se</w:t>
      </w:r>
      <w:r w:rsidR="00522524" w:rsidRPr="00C33607">
        <w:rPr>
          <w:rFonts w:ascii="Arial" w:hAnsi="Arial" w:cs="Arial"/>
        </w:rPr>
        <w:t xml:space="preserve"> ustanovení o nezabavitelné částce nevztahují na provedení exekuce přikázáním jiné peněžité pohledávky</w:t>
      </w:r>
      <w:r w:rsidR="00522524">
        <w:rPr>
          <w:rFonts w:ascii="Arial" w:hAnsi="Arial" w:cs="Arial"/>
        </w:rPr>
        <w:t>.</w:t>
      </w:r>
      <w:r w:rsidR="00522524" w:rsidRPr="00C33607">
        <w:rPr>
          <w:rFonts w:ascii="Arial" w:hAnsi="Arial" w:cs="Arial"/>
        </w:rPr>
        <w:t xml:space="preserve"> </w:t>
      </w:r>
      <w:r w:rsidR="00522524">
        <w:rPr>
          <w:rFonts w:ascii="Arial" w:hAnsi="Arial" w:cs="Arial"/>
        </w:rPr>
        <w:t xml:space="preserve">Pokud tak dochází k výkonu </w:t>
      </w:r>
      <w:r w:rsidR="00522524" w:rsidRPr="00C33607">
        <w:rPr>
          <w:rFonts w:ascii="Arial" w:hAnsi="Arial" w:cs="Arial"/>
        </w:rPr>
        <w:t>rozhodnutí</w:t>
      </w:r>
      <w:r w:rsidR="00522524">
        <w:rPr>
          <w:rFonts w:ascii="Arial" w:hAnsi="Arial" w:cs="Arial"/>
        </w:rPr>
        <w:t xml:space="preserve"> </w:t>
      </w:r>
      <w:r w:rsidR="00522524">
        <w:rPr>
          <w:rFonts w:ascii="Arial" w:hAnsi="Arial" w:cs="Arial"/>
        </w:rPr>
        <w:lastRenderedPageBreak/>
        <w:t xml:space="preserve">uvedeným způsobem, sráží se </w:t>
      </w:r>
      <w:r w:rsidR="00522524" w:rsidRPr="00C33607">
        <w:rPr>
          <w:rFonts w:ascii="Arial" w:hAnsi="Arial" w:cs="Arial"/>
        </w:rPr>
        <w:t>daňový bonus v plném rozsahu.</w:t>
      </w:r>
      <w:r w:rsidR="00522524">
        <w:rPr>
          <w:rStyle w:val="Znakapoznpodarou"/>
          <w:rFonts w:ascii="Arial" w:hAnsi="Arial" w:cs="Arial"/>
        </w:rPr>
        <w:footnoteReference w:id="4"/>
      </w:r>
      <w:r w:rsidR="00522524">
        <w:rPr>
          <w:rFonts w:ascii="Arial" w:hAnsi="Arial" w:cs="Arial"/>
        </w:rPr>
        <w:t xml:space="preserve"> D</w:t>
      </w:r>
      <w:r w:rsidR="00522524" w:rsidRPr="00C33607">
        <w:rPr>
          <w:rFonts w:ascii="Arial" w:hAnsi="Arial" w:cs="Arial"/>
        </w:rPr>
        <w:t>aňov</w:t>
      </w:r>
      <w:r w:rsidR="00522524">
        <w:rPr>
          <w:rFonts w:ascii="Arial" w:hAnsi="Arial" w:cs="Arial"/>
        </w:rPr>
        <w:t>ému</w:t>
      </w:r>
      <w:r w:rsidR="00522524" w:rsidRPr="00C33607">
        <w:rPr>
          <w:rFonts w:ascii="Arial" w:hAnsi="Arial" w:cs="Arial"/>
        </w:rPr>
        <w:t xml:space="preserve"> bonus</w:t>
      </w:r>
      <w:r w:rsidR="00522524">
        <w:rPr>
          <w:rFonts w:ascii="Arial" w:hAnsi="Arial" w:cs="Arial"/>
        </w:rPr>
        <w:t>u</w:t>
      </w:r>
      <w:r w:rsidR="00522524" w:rsidRPr="00C33607">
        <w:rPr>
          <w:rFonts w:ascii="Arial" w:hAnsi="Arial" w:cs="Arial"/>
        </w:rPr>
        <w:t xml:space="preserve"> je</w:t>
      </w:r>
      <w:r w:rsidR="00522524">
        <w:rPr>
          <w:rFonts w:ascii="Arial" w:hAnsi="Arial" w:cs="Arial"/>
        </w:rPr>
        <w:t xml:space="preserve"> proto</w:t>
      </w:r>
      <w:r w:rsidR="00522524" w:rsidRPr="00C33607">
        <w:rPr>
          <w:rFonts w:ascii="Arial" w:hAnsi="Arial" w:cs="Arial"/>
        </w:rPr>
        <w:t xml:space="preserve"> nutno poskytnou</w:t>
      </w:r>
      <w:r w:rsidR="00522524">
        <w:rPr>
          <w:rFonts w:ascii="Arial" w:hAnsi="Arial" w:cs="Arial"/>
        </w:rPr>
        <w:t>t</w:t>
      </w:r>
      <w:r w:rsidR="00522524" w:rsidRPr="00C33607">
        <w:rPr>
          <w:rFonts w:ascii="Arial" w:hAnsi="Arial" w:cs="Arial"/>
        </w:rPr>
        <w:t xml:space="preserve"> stejnou ochranu před výkonem rozhodnutí</w:t>
      </w:r>
      <w:r w:rsidR="00522524">
        <w:rPr>
          <w:rFonts w:ascii="Arial" w:hAnsi="Arial" w:cs="Arial"/>
        </w:rPr>
        <w:t>,</w:t>
      </w:r>
      <w:r w:rsidR="00522524" w:rsidRPr="00C33607">
        <w:rPr>
          <w:rFonts w:ascii="Arial" w:hAnsi="Arial" w:cs="Arial"/>
        </w:rPr>
        <w:t xml:space="preserve"> jaká existuje u dávek státní sociální podpory</w:t>
      </w:r>
      <w:r w:rsidR="005357FC">
        <w:rPr>
          <w:rFonts w:ascii="Arial" w:hAnsi="Arial" w:cs="Arial"/>
        </w:rPr>
        <w:t xml:space="preserve"> či jiných sociálních dávek</w:t>
      </w:r>
      <w:r w:rsidR="00522524" w:rsidRPr="00C33607">
        <w:rPr>
          <w:rFonts w:ascii="Arial" w:hAnsi="Arial" w:cs="Arial"/>
        </w:rPr>
        <w:t xml:space="preserve">. 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Cíl návrhu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>Zajistit rodinám s nižšími příjmy nepostižitelnost daňového bonusu</w:t>
      </w:r>
      <w:r w:rsidR="008B709A" w:rsidRPr="00C33607">
        <w:rPr>
          <w:rFonts w:ascii="Arial" w:hAnsi="Arial" w:cs="Arial"/>
        </w:rPr>
        <w:t>,</w:t>
      </w:r>
      <w:r w:rsidRPr="00C33607">
        <w:rPr>
          <w:rFonts w:ascii="Arial" w:hAnsi="Arial" w:cs="Arial"/>
        </w:rPr>
        <w:t xml:space="preserve"> a tím motivovat k zajištění či udržení si legálního zaměstnání. </w:t>
      </w:r>
      <w:r w:rsidR="00C2476D">
        <w:rPr>
          <w:rFonts w:ascii="Arial" w:hAnsi="Arial" w:cs="Arial"/>
        </w:rPr>
        <w:t>Budou tak ochráněny</w:t>
      </w:r>
      <w:r w:rsidR="00C2476D" w:rsidRPr="00C33607">
        <w:rPr>
          <w:rFonts w:ascii="Arial" w:hAnsi="Arial" w:cs="Arial"/>
        </w:rPr>
        <w:t xml:space="preserve"> </w:t>
      </w:r>
      <w:r w:rsidRPr="00C33607">
        <w:rPr>
          <w:rFonts w:ascii="Arial" w:hAnsi="Arial" w:cs="Arial"/>
        </w:rPr>
        <w:t>základní životní potřeby dětí</w:t>
      </w:r>
      <w:r w:rsidR="00C2476D">
        <w:rPr>
          <w:rFonts w:ascii="Arial" w:hAnsi="Arial" w:cs="Arial"/>
        </w:rPr>
        <w:t>, a tím bude předcházeno n</w:t>
      </w:r>
      <w:r w:rsidRPr="00C33607">
        <w:rPr>
          <w:rFonts w:ascii="Arial" w:hAnsi="Arial" w:cs="Arial"/>
        </w:rPr>
        <w:t>egativní</w:t>
      </w:r>
      <w:r w:rsidR="00C2476D">
        <w:rPr>
          <w:rFonts w:ascii="Arial" w:hAnsi="Arial" w:cs="Arial"/>
        </w:rPr>
        <w:t>mu</w:t>
      </w:r>
      <w:r w:rsidRPr="00C33607">
        <w:rPr>
          <w:rFonts w:ascii="Arial" w:hAnsi="Arial" w:cs="Arial"/>
        </w:rPr>
        <w:t xml:space="preserve"> mezigenerační</w:t>
      </w:r>
      <w:r w:rsidR="00C2476D">
        <w:rPr>
          <w:rFonts w:ascii="Arial" w:hAnsi="Arial" w:cs="Arial"/>
        </w:rPr>
        <w:t>mu</w:t>
      </w:r>
      <w:r w:rsidRPr="00C33607">
        <w:rPr>
          <w:rFonts w:ascii="Arial" w:hAnsi="Arial" w:cs="Arial"/>
        </w:rPr>
        <w:t xml:space="preserve"> přenos</w:t>
      </w:r>
      <w:r w:rsidR="00C2476D">
        <w:rPr>
          <w:rFonts w:ascii="Arial" w:hAnsi="Arial" w:cs="Arial"/>
        </w:rPr>
        <w:t>u sociálního vyloučení</w:t>
      </w:r>
      <w:r w:rsidRPr="00C33607">
        <w:rPr>
          <w:rFonts w:ascii="Arial" w:hAnsi="Arial" w:cs="Arial"/>
        </w:rPr>
        <w:t xml:space="preserve">. 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Navrhovaný stav</w:t>
      </w:r>
    </w:p>
    <w:p w:rsidR="00D04900" w:rsidRDefault="00D04900" w:rsidP="00D0490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33607">
        <w:rPr>
          <w:rFonts w:ascii="Arial" w:hAnsi="Arial" w:cs="Arial"/>
        </w:rPr>
        <w:t xml:space="preserve">Novelizací ust. § 317 odst. 2 </w:t>
      </w:r>
      <w:r w:rsidR="00FD08CD">
        <w:rPr>
          <w:rFonts w:ascii="Arial" w:hAnsi="Arial" w:cs="Arial"/>
        </w:rPr>
        <w:t xml:space="preserve">zákona č. </w:t>
      </w:r>
      <w:r w:rsidR="00FD08CD" w:rsidRPr="000C771A">
        <w:rPr>
          <w:rFonts w:ascii="Arial" w:hAnsi="Arial" w:cs="Arial"/>
        </w:rPr>
        <w:t>99/1963 Sb.</w:t>
      </w:r>
      <w:r w:rsidR="00FD08CD">
        <w:rPr>
          <w:rFonts w:ascii="Arial" w:hAnsi="Arial" w:cs="Arial"/>
        </w:rPr>
        <w:t xml:space="preserve">, občanský soudní řád, </w:t>
      </w:r>
      <w:r w:rsidR="00CD6D5D">
        <w:rPr>
          <w:rFonts w:ascii="Arial" w:hAnsi="Arial" w:cs="Arial"/>
        </w:rPr>
        <w:t xml:space="preserve">ve znění pozdějších předpisů, </w:t>
      </w:r>
      <w:r w:rsidRPr="00C33607">
        <w:rPr>
          <w:rFonts w:ascii="Arial" w:hAnsi="Arial" w:cs="Arial"/>
        </w:rPr>
        <w:t>zvýšit ochranu daňového bonusu</w:t>
      </w:r>
      <w:r w:rsidR="00C2476D">
        <w:rPr>
          <w:rFonts w:ascii="Arial" w:hAnsi="Arial" w:cs="Arial"/>
        </w:rPr>
        <w:t>, a to</w:t>
      </w:r>
      <w:r w:rsidRPr="00C33607">
        <w:rPr>
          <w:rFonts w:ascii="Arial" w:hAnsi="Arial" w:cs="Arial"/>
        </w:rPr>
        <w:t xml:space="preserve"> v tomto znění:</w:t>
      </w:r>
      <w:r w:rsidRPr="00C33607">
        <w:rPr>
          <w:rFonts w:ascii="Arial" w:hAnsi="Arial" w:cs="Arial"/>
          <w:b/>
          <w:bCs/>
          <w:i/>
          <w:iCs/>
        </w:rPr>
        <w:t xml:space="preserve"> </w:t>
      </w:r>
      <w:r w:rsidRPr="00C33607">
        <w:rPr>
          <w:rFonts w:ascii="Arial" w:hAnsi="Arial" w:cs="Arial"/>
          <w:i/>
          <w:iCs/>
        </w:rPr>
        <w:t>„Výkonu rozhodnutí nepodléhá daňové zvýhodnění na děti (daňový bonus)</w:t>
      </w:r>
      <w:r w:rsidRPr="00C33607">
        <w:rPr>
          <w:rStyle w:val="Znakapoznpodarou"/>
          <w:rFonts w:ascii="Arial" w:hAnsi="Arial" w:cs="Arial"/>
          <w:i/>
          <w:iCs/>
        </w:rPr>
        <w:footnoteReference w:id="5"/>
      </w:r>
      <w:r w:rsidRPr="00C33607">
        <w:rPr>
          <w:rFonts w:ascii="Arial" w:hAnsi="Arial" w:cs="Arial"/>
          <w:i/>
          <w:iCs/>
        </w:rPr>
        <w:t>, peněžité dávky sociální péče, dávky pomoci v hmotné nouzi, z dávek státní sociální podpory příspěvek na bydlení a jednorázově vyplacené dávky státní sociální podpory a pěstounské péče.“</w:t>
      </w:r>
    </w:p>
    <w:p w:rsidR="008A1C31" w:rsidRDefault="008A1C31" w:rsidP="00D0490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0955B8" w:rsidRDefault="000955B8" w:rsidP="00D04900">
      <w:pPr>
        <w:jc w:val="both"/>
        <w:rPr>
          <w:rFonts w:ascii="Arial" w:hAnsi="Arial" w:cs="Arial"/>
        </w:rPr>
      </w:pPr>
    </w:p>
    <w:p w:rsidR="001F0F42" w:rsidRPr="00C33607" w:rsidRDefault="00227A3A" w:rsidP="00D04900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ROZŠÍŘ</w:t>
      </w:r>
      <w:r w:rsidR="00D96164">
        <w:rPr>
          <w:rFonts w:ascii="Arial" w:hAnsi="Arial" w:cs="Arial"/>
          <w:b/>
        </w:rPr>
        <w:t>ENÍ</w:t>
      </w:r>
      <w:r w:rsidRPr="00C33607">
        <w:rPr>
          <w:rFonts w:ascii="Arial" w:hAnsi="Arial" w:cs="Arial"/>
          <w:b/>
        </w:rPr>
        <w:t xml:space="preserve"> VÝPIS</w:t>
      </w:r>
      <w:r w:rsidR="00D96164">
        <w:rPr>
          <w:rFonts w:ascii="Arial" w:hAnsi="Arial" w:cs="Arial"/>
          <w:b/>
        </w:rPr>
        <w:t>U</w:t>
      </w:r>
      <w:r w:rsidRPr="00C33607">
        <w:rPr>
          <w:rFonts w:ascii="Arial" w:hAnsi="Arial" w:cs="Arial"/>
          <w:b/>
        </w:rPr>
        <w:t xml:space="preserve"> Z CENTRÁLNÍ EVIDENCE EXEKUCÍ </w:t>
      </w:r>
      <w:r w:rsidR="001F0F42" w:rsidRPr="00C33607">
        <w:rPr>
          <w:rFonts w:ascii="Arial" w:hAnsi="Arial" w:cs="Arial"/>
          <w:b/>
        </w:rPr>
        <w:t>O INFORMACE O VĚŘITELI A AKTUÁLNĚ VYMÁHANÉ ČÁSTCE VČETNĚ PŘÍSLUŠENSTVÍ</w:t>
      </w:r>
      <w:r w:rsidR="001F0F42" w:rsidRPr="00C33607" w:rsidDel="001F0F42">
        <w:rPr>
          <w:rFonts w:ascii="Arial" w:hAnsi="Arial" w:cs="Arial"/>
          <w:b/>
        </w:rPr>
        <w:t xml:space="preserve"> </w:t>
      </w:r>
    </w:p>
    <w:p w:rsidR="00227A3A" w:rsidRPr="00C33607" w:rsidRDefault="00227A3A" w:rsidP="00234E0B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Současný stav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Výpisy z centrální evidence exekucí aktuálně neobsahují </w:t>
      </w:r>
      <w:r w:rsidR="008B709A" w:rsidRPr="00C33607">
        <w:rPr>
          <w:rFonts w:ascii="Arial" w:hAnsi="Arial" w:cs="Arial"/>
        </w:rPr>
        <w:t xml:space="preserve">klíčové </w:t>
      </w:r>
      <w:r w:rsidRPr="00C33607">
        <w:rPr>
          <w:rFonts w:ascii="Arial" w:hAnsi="Arial" w:cs="Arial"/>
        </w:rPr>
        <w:t>informace o věřiteli, tedy kdo disponuje vůči dlužníku pohledávkou, ani</w:t>
      </w:r>
      <w:r w:rsidR="008B709A" w:rsidRPr="00C33607">
        <w:rPr>
          <w:rFonts w:ascii="Arial" w:hAnsi="Arial" w:cs="Arial"/>
        </w:rPr>
        <w:t xml:space="preserve"> o</w:t>
      </w:r>
      <w:r w:rsidRPr="00C33607">
        <w:rPr>
          <w:rFonts w:ascii="Arial" w:hAnsi="Arial" w:cs="Arial"/>
        </w:rPr>
        <w:t xml:space="preserve"> výš</w:t>
      </w:r>
      <w:r w:rsidR="008B709A" w:rsidRPr="00C33607">
        <w:rPr>
          <w:rFonts w:ascii="Arial" w:hAnsi="Arial" w:cs="Arial"/>
        </w:rPr>
        <w:t>i</w:t>
      </w:r>
      <w:r w:rsidRPr="00C33607">
        <w:rPr>
          <w:rFonts w:ascii="Arial" w:hAnsi="Arial" w:cs="Arial"/>
        </w:rPr>
        <w:t xml:space="preserve"> aktuálně vymáhané částky, ale pouze jistinu bez jakéhokoli příslušenství a bez zohlednění již splacených částek. 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Cíl návrhu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 xml:space="preserve">Zajistit základní informační komfort a umožnit tak efektivnější splacení pohledávek věřitelů </w:t>
      </w:r>
    </w:p>
    <w:p w:rsidR="00227A3A" w:rsidRPr="00C33607" w:rsidRDefault="00227A3A" w:rsidP="00D04900">
      <w:pPr>
        <w:jc w:val="both"/>
        <w:rPr>
          <w:rFonts w:ascii="Arial" w:hAnsi="Arial" w:cs="Arial"/>
          <w:b/>
        </w:rPr>
      </w:pPr>
      <w:r w:rsidRPr="00C33607">
        <w:rPr>
          <w:rFonts w:ascii="Arial" w:hAnsi="Arial" w:cs="Arial"/>
          <w:b/>
        </w:rPr>
        <w:t>Navrhovaný stav</w:t>
      </w:r>
    </w:p>
    <w:p w:rsidR="00227A3A" w:rsidRPr="00C33607" w:rsidRDefault="00227A3A" w:rsidP="00D04900">
      <w:pPr>
        <w:jc w:val="both"/>
        <w:rPr>
          <w:rFonts w:ascii="Arial" w:hAnsi="Arial" w:cs="Arial"/>
        </w:rPr>
      </w:pPr>
      <w:r w:rsidRPr="00C33607">
        <w:rPr>
          <w:rFonts w:ascii="Arial" w:hAnsi="Arial" w:cs="Arial"/>
        </w:rPr>
        <w:t>Doplnit do výpisů z centrální evidence exekucí informace o věřiteli a aktuálně vymáhané částce včetně příslušenství. Návrh je plně v souladu s opatřením 4.1.1.2. Akčního plánu Strategie boje proti sociálnímu vyloučení, schválen</w:t>
      </w:r>
      <w:r w:rsidR="00EC4639" w:rsidRPr="00C33607">
        <w:rPr>
          <w:rFonts w:ascii="Arial" w:hAnsi="Arial" w:cs="Arial"/>
        </w:rPr>
        <w:t>ého</w:t>
      </w:r>
      <w:r w:rsidRPr="00C33607">
        <w:rPr>
          <w:rFonts w:ascii="Arial" w:hAnsi="Arial" w:cs="Arial"/>
        </w:rPr>
        <w:t xml:space="preserve"> </w:t>
      </w:r>
      <w:r w:rsidR="00EC4639" w:rsidRPr="00C33607">
        <w:rPr>
          <w:rFonts w:ascii="Arial" w:hAnsi="Arial" w:cs="Arial"/>
        </w:rPr>
        <w:t xml:space="preserve">usnesením </w:t>
      </w:r>
      <w:r w:rsidRPr="00C33607">
        <w:rPr>
          <w:rFonts w:ascii="Arial" w:hAnsi="Arial" w:cs="Arial"/>
        </w:rPr>
        <w:t>vlád</w:t>
      </w:r>
      <w:r w:rsidR="00EC4639" w:rsidRPr="00C33607">
        <w:rPr>
          <w:rFonts w:ascii="Arial" w:hAnsi="Arial" w:cs="Arial"/>
        </w:rPr>
        <w:t>y</w:t>
      </w:r>
      <w:r w:rsidRPr="00C33607">
        <w:rPr>
          <w:rFonts w:ascii="Arial" w:hAnsi="Arial" w:cs="Arial"/>
        </w:rPr>
        <w:t xml:space="preserve"> </w:t>
      </w:r>
      <w:r w:rsidR="00EC4639" w:rsidRPr="00C33607">
        <w:rPr>
          <w:rFonts w:ascii="Arial" w:hAnsi="Arial" w:cs="Arial"/>
        </w:rPr>
        <w:t>ČR č. 1067 z listopadu 2016.</w:t>
      </w:r>
    </w:p>
    <w:p w:rsidR="00D04900" w:rsidRPr="00C33607" w:rsidRDefault="00D04900" w:rsidP="008A1C31">
      <w:pPr>
        <w:jc w:val="both"/>
        <w:rPr>
          <w:rFonts w:ascii="Arial" w:hAnsi="Arial" w:cs="Arial"/>
          <w:i/>
          <w:iCs/>
        </w:rPr>
      </w:pPr>
      <w:r w:rsidRPr="00C33607">
        <w:rPr>
          <w:rFonts w:ascii="Arial" w:hAnsi="Arial" w:cs="Arial"/>
          <w:b/>
        </w:rPr>
        <w:t xml:space="preserve"> </w:t>
      </w:r>
    </w:p>
    <w:p w:rsidR="00D04900" w:rsidRPr="00C33607" w:rsidRDefault="00D04900" w:rsidP="00D0490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D04900" w:rsidRPr="00C33607" w:rsidRDefault="00D04900" w:rsidP="00D04900">
      <w:pPr>
        <w:jc w:val="both"/>
        <w:rPr>
          <w:rFonts w:ascii="Arial" w:hAnsi="Arial" w:cs="Arial"/>
          <w:b/>
        </w:rPr>
      </w:pPr>
    </w:p>
    <w:sectPr w:rsidR="00D04900" w:rsidRPr="00C33607" w:rsidSect="004362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45" w:rsidRDefault="000D1A45" w:rsidP="00DA5EBC">
      <w:pPr>
        <w:spacing w:after="0" w:line="240" w:lineRule="auto"/>
      </w:pPr>
      <w:r>
        <w:separator/>
      </w:r>
    </w:p>
  </w:endnote>
  <w:endnote w:type="continuationSeparator" w:id="0">
    <w:p w:rsidR="000D1A45" w:rsidRDefault="000D1A45" w:rsidP="00DA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41172"/>
      <w:docPartObj>
        <w:docPartGallery w:val="Page Numbers (Bottom of Page)"/>
        <w:docPartUnique/>
      </w:docPartObj>
    </w:sdtPr>
    <w:sdtEndPr/>
    <w:sdtContent>
      <w:p w:rsidR="00D04900" w:rsidRDefault="00D4560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900" w:rsidRDefault="00D049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45" w:rsidRDefault="000D1A45" w:rsidP="00DA5EBC">
      <w:pPr>
        <w:spacing w:after="0" w:line="240" w:lineRule="auto"/>
      </w:pPr>
      <w:r>
        <w:separator/>
      </w:r>
    </w:p>
  </w:footnote>
  <w:footnote w:type="continuationSeparator" w:id="0">
    <w:p w:rsidR="000D1A45" w:rsidRDefault="000D1A45" w:rsidP="00DA5EBC">
      <w:pPr>
        <w:spacing w:after="0" w:line="240" w:lineRule="auto"/>
      </w:pPr>
      <w:r>
        <w:continuationSeparator/>
      </w:r>
    </w:p>
  </w:footnote>
  <w:footnote w:id="1">
    <w:p w:rsidR="00AE73C7" w:rsidRPr="004428EF" w:rsidRDefault="00AE73C7" w:rsidP="00863F08">
      <w:pPr>
        <w:pStyle w:val="Textpoznpodarou1"/>
        <w:spacing w:after="0" w:line="240" w:lineRule="auto"/>
        <w:ind w:left="0" w:firstLine="0"/>
        <w:rPr>
          <w:rStyle w:val="Znakypropoznmkupodarou"/>
          <w:rFonts w:ascii="Arial" w:hAnsi="Arial" w:cs="Arial"/>
          <w:sz w:val="18"/>
          <w:szCs w:val="18"/>
        </w:rPr>
      </w:pPr>
      <w:r w:rsidRPr="008E3CAC">
        <w:rPr>
          <w:rStyle w:val="Znakypropoznmkupodarou"/>
          <w:rFonts w:ascii="Arial" w:hAnsi="Arial" w:cs="Arial"/>
          <w:sz w:val="18"/>
          <w:szCs w:val="18"/>
          <w:vertAlign w:val="superscript"/>
        </w:rPr>
        <w:footnoteRef/>
      </w:r>
      <w:r w:rsidR="00BA61D5" w:rsidRPr="004428EF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4428EF">
        <w:rPr>
          <w:rStyle w:val="Znakypropoznmkupodarou"/>
          <w:rFonts w:ascii="Arial" w:hAnsi="Arial" w:cs="Arial"/>
          <w:sz w:val="18"/>
          <w:szCs w:val="18"/>
        </w:rPr>
        <w:t xml:space="preserve">Více viz například studie SPOT – Centra pro společenské otázky: </w:t>
      </w:r>
      <w:hyperlink r:id="rId1" w:history="1">
        <w:r w:rsidRPr="00863F08">
          <w:rPr>
            <w:rStyle w:val="Znakypropoznmkupodarou"/>
            <w:rFonts w:ascii="Arial" w:hAnsi="Arial" w:cs="Arial"/>
            <w:sz w:val="18"/>
            <w:szCs w:val="18"/>
          </w:rPr>
          <w:t>https://www.pracevobci.cz/upload/studies/3/SPOT-Proc-je-nutne-zmenit-nezabavitelnou-castku-a-jak-na-to-analyza.pdf</w:t>
        </w:r>
      </w:hyperlink>
      <w:r w:rsidR="001E1F6A">
        <w:rPr>
          <w:rStyle w:val="Znakypropoznmkupodarou"/>
          <w:rFonts w:ascii="Arial" w:hAnsi="Arial" w:cs="Arial"/>
          <w:sz w:val="18"/>
          <w:szCs w:val="18"/>
        </w:rPr>
        <w:t xml:space="preserve"> </w:t>
      </w:r>
    </w:p>
  </w:footnote>
  <w:footnote w:id="2">
    <w:p w:rsidR="00227A3A" w:rsidRPr="00863F08" w:rsidRDefault="00227A3A" w:rsidP="00863F08">
      <w:pPr>
        <w:pStyle w:val="Textpoznpodarou1"/>
        <w:spacing w:after="0" w:line="240" w:lineRule="auto"/>
        <w:ind w:left="0" w:firstLine="0"/>
        <w:jc w:val="both"/>
        <w:rPr>
          <w:rStyle w:val="Znakypropoznmkupodarou"/>
          <w:rFonts w:ascii="Arial" w:hAnsi="Arial" w:cs="Arial"/>
          <w:sz w:val="18"/>
          <w:szCs w:val="18"/>
        </w:rPr>
      </w:pPr>
      <w:r w:rsidRPr="004428EF">
        <w:rPr>
          <w:rStyle w:val="Znakypropoznmkupodarou"/>
          <w:rFonts w:ascii="Arial" w:hAnsi="Arial" w:cs="Arial"/>
          <w:sz w:val="18"/>
          <w:szCs w:val="18"/>
          <w:vertAlign w:val="superscript"/>
        </w:rPr>
        <w:footnoteRef/>
      </w:r>
      <w:r w:rsidRPr="004428EF">
        <w:rPr>
          <w:rStyle w:val="Znakypropoznmkupodarou"/>
          <w:rFonts w:ascii="Arial" w:hAnsi="Arial" w:cs="Arial"/>
          <w:sz w:val="18"/>
          <w:szCs w:val="18"/>
        </w:rPr>
        <w:t xml:space="preserve"> Aktuálně výše </w:t>
      </w:r>
      <w:r w:rsidR="00BA61D5" w:rsidRPr="004428EF">
        <w:rPr>
          <w:rFonts w:ascii="Arial" w:hAnsi="Arial" w:cs="Arial"/>
          <w:sz w:val="18"/>
          <w:szCs w:val="18"/>
        </w:rPr>
        <w:t xml:space="preserve">nezabavitelné částky </w:t>
      </w:r>
      <w:r w:rsidRPr="009D3919">
        <w:rPr>
          <w:rStyle w:val="Znakypropoznmkupodarou"/>
          <w:rFonts w:ascii="Arial" w:hAnsi="Arial" w:cs="Arial"/>
          <w:sz w:val="18"/>
          <w:szCs w:val="18"/>
        </w:rPr>
        <w:t>je 6.429 Kč (2/3 životního minima a 2/3 normativních nákladů na bydlení v obci do 100.000 obyvatel) + 25% z této částky (1</w:t>
      </w:r>
      <w:r w:rsidRPr="00EA42BA">
        <w:rPr>
          <w:rStyle w:val="Znakypropoznmkupodarou"/>
          <w:rFonts w:ascii="Arial" w:hAnsi="Arial" w:cs="Arial"/>
          <w:sz w:val="18"/>
          <w:szCs w:val="18"/>
        </w:rPr>
        <w:t xml:space="preserve">.607 Kč) za každou vyživovanou osobu + 1/3 z rozdílu mezi čistým příjmem a vypočtenou základní nezabavitelnou částkou (2/3 u nepřednostních pohledávek). Výpočet </w:t>
      </w:r>
      <w:r w:rsidR="00BA61D5" w:rsidRPr="00863F08">
        <w:rPr>
          <w:rFonts w:ascii="Arial" w:hAnsi="Arial" w:cs="Arial"/>
          <w:sz w:val="18"/>
          <w:szCs w:val="18"/>
        </w:rPr>
        <w:t xml:space="preserve">nezabavitelné částky </w:t>
      </w:r>
      <w:r w:rsidRPr="00863F08">
        <w:rPr>
          <w:rStyle w:val="Znakypropoznmkupodarou"/>
          <w:rFonts w:ascii="Arial" w:hAnsi="Arial" w:cs="Arial"/>
          <w:sz w:val="18"/>
          <w:szCs w:val="18"/>
        </w:rPr>
        <w:t>definuje Nařízení vlády č.595/2006 Sb. o způsobu výpočtu nezabavitelné částky.</w:t>
      </w:r>
    </w:p>
  </w:footnote>
  <w:footnote w:id="3">
    <w:p w:rsidR="00522524" w:rsidRDefault="00522524" w:rsidP="00522524">
      <w:pPr>
        <w:pStyle w:val="Textpoznpodarou"/>
        <w:jc w:val="both"/>
      </w:pPr>
      <w:r w:rsidRPr="00863F08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863F08">
        <w:rPr>
          <w:rFonts w:ascii="Arial" w:hAnsi="Arial" w:cs="Arial"/>
          <w:sz w:val="18"/>
        </w:rPr>
        <w:t xml:space="preserve">ŠTEFKO, Martin. Podcenění sociální funkce daňového bonusu v exekučním řízení. </w:t>
      </w:r>
      <w:r w:rsidRPr="00863F08">
        <w:rPr>
          <w:rFonts w:ascii="Arial" w:hAnsi="Arial" w:cs="Arial"/>
          <w:i/>
          <w:iCs/>
          <w:sz w:val="18"/>
        </w:rPr>
        <w:t>ACTA UNIVERSITATIS CAROLINAE: IURIDICA</w:t>
      </w:r>
      <w:r w:rsidRPr="00863F08">
        <w:rPr>
          <w:rFonts w:ascii="Arial" w:hAnsi="Arial" w:cs="Arial"/>
          <w:sz w:val="18"/>
        </w:rPr>
        <w:t xml:space="preserve">. 2016, </w:t>
      </w:r>
      <w:r w:rsidRPr="00863F08">
        <w:rPr>
          <w:rFonts w:ascii="Arial" w:hAnsi="Arial" w:cs="Arial"/>
          <w:b/>
          <w:bCs/>
          <w:sz w:val="18"/>
        </w:rPr>
        <w:t>2016</w:t>
      </w:r>
      <w:r w:rsidRPr="00863F08">
        <w:rPr>
          <w:rFonts w:ascii="Arial" w:hAnsi="Arial" w:cs="Arial"/>
          <w:sz w:val="18"/>
        </w:rPr>
        <w:t>(4), s. 47.</w:t>
      </w:r>
    </w:p>
  </w:footnote>
  <w:footnote w:id="4">
    <w:p w:rsidR="00522524" w:rsidRPr="00863F08" w:rsidRDefault="00522524" w:rsidP="005225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63F08">
        <w:rPr>
          <w:rStyle w:val="Znakapoznpodarou"/>
          <w:rFonts w:ascii="Arial" w:hAnsi="Arial" w:cs="Arial"/>
          <w:sz w:val="18"/>
          <w:szCs w:val="18"/>
        </w:rPr>
        <w:footnoteRef/>
      </w:r>
      <w:r w:rsidRPr="00863F08">
        <w:rPr>
          <w:rFonts w:ascii="Arial" w:hAnsi="Arial" w:cs="Arial"/>
          <w:sz w:val="18"/>
          <w:szCs w:val="18"/>
        </w:rPr>
        <w:t xml:space="preserve"> ŠTEFKO, Martin. Podcenění sociální funkce daňového bonusu v exekučním řízení. </w:t>
      </w:r>
      <w:r w:rsidRPr="00863F08">
        <w:rPr>
          <w:rFonts w:ascii="Arial" w:hAnsi="Arial" w:cs="Arial"/>
          <w:i/>
          <w:iCs/>
          <w:sz w:val="18"/>
          <w:szCs w:val="18"/>
        </w:rPr>
        <w:t>ACTA UNIVERSITATIS CAROLINAE: IURIDICA.</w:t>
      </w:r>
      <w:r w:rsidRPr="00863F08">
        <w:rPr>
          <w:rFonts w:ascii="Arial" w:hAnsi="Arial" w:cs="Arial"/>
          <w:sz w:val="18"/>
          <w:szCs w:val="18"/>
        </w:rPr>
        <w:t xml:space="preserve"> 2016, </w:t>
      </w:r>
      <w:r w:rsidRPr="00863F08">
        <w:rPr>
          <w:rFonts w:ascii="Arial" w:hAnsi="Arial" w:cs="Arial"/>
          <w:b/>
          <w:bCs/>
          <w:sz w:val="18"/>
          <w:szCs w:val="18"/>
        </w:rPr>
        <w:t>2016</w:t>
      </w:r>
      <w:r w:rsidRPr="00863F08">
        <w:rPr>
          <w:rFonts w:ascii="Arial" w:hAnsi="Arial" w:cs="Arial"/>
          <w:sz w:val="18"/>
          <w:szCs w:val="18"/>
        </w:rPr>
        <w:t>(4), s. 42.</w:t>
      </w:r>
    </w:p>
  </w:footnote>
  <w:footnote w:id="5">
    <w:p w:rsidR="00D04900" w:rsidRPr="00A92110" w:rsidRDefault="00D04900" w:rsidP="00863F08">
      <w:pPr>
        <w:pStyle w:val="Textpoznpodarou1"/>
        <w:spacing w:after="0" w:line="240" w:lineRule="auto"/>
        <w:jc w:val="both"/>
        <w:rPr>
          <w:rStyle w:val="Znakypropoznmkupodarou"/>
          <w:rFonts w:ascii="Arial" w:hAnsi="Arial" w:cs="Arial"/>
          <w:sz w:val="18"/>
          <w:szCs w:val="18"/>
        </w:rPr>
      </w:pPr>
      <w:r w:rsidRPr="00A92110">
        <w:rPr>
          <w:rStyle w:val="Znakypropoznmkupodarou"/>
          <w:rFonts w:ascii="Arial" w:hAnsi="Arial" w:cs="Arial"/>
          <w:sz w:val="18"/>
          <w:szCs w:val="18"/>
          <w:vertAlign w:val="superscript"/>
        </w:rPr>
        <w:footnoteRef/>
      </w:r>
      <w:r w:rsidR="007356CA" w:rsidRPr="00A92110">
        <w:rPr>
          <w:rStyle w:val="Znakypropoznmkupodarou"/>
          <w:rFonts w:ascii="Arial" w:hAnsi="Arial" w:cs="Arial"/>
          <w:sz w:val="18"/>
          <w:szCs w:val="18"/>
          <w:vertAlign w:val="superscript"/>
        </w:rPr>
        <w:t xml:space="preserve"> </w:t>
      </w:r>
      <w:r w:rsidR="007356CA" w:rsidRPr="00A92110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A92110">
        <w:rPr>
          <w:rStyle w:val="Znakypropoznmkupodarou"/>
          <w:rFonts w:ascii="Arial" w:hAnsi="Arial" w:cs="Arial"/>
          <w:sz w:val="18"/>
          <w:szCs w:val="18"/>
        </w:rPr>
        <w:t>§ 35c zákona č. 586/1992 Sb., o daních z příjmů, ve znění pozdějších předpisů</w:t>
      </w:r>
      <w:r w:rsidR="008A1C31">
        <w:rPr>
          <w:rStyle w:val="Znakypropoznmkupodarou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85A"/>
    <w:multiLevelType w:val="hybridMultilevel"/>
    <w:tmpl w:val="0C325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032"/>
    <w:multiLevelType w:val="multilevel"/>
    <w:tmpl w:val="6ADC008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F0971"/>
    <w:multiLevelType w:val="hybridMultilevel"/>
    <w:tmpl w:val="FEB03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95716"/>
    <w:multiLevelType w:val="hybridMultilevel"/>
    <w:tmpl w:val="0C325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0772A"/>
    <w:multiLevelType w:val="hybridMultilevel"/>
    <w:tmpl w:val="E6980AF4"/>
    <w:lvl w:ilvl="0" w:tplc="863AE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CD"/>
    <w:rsid w:val="00043A50"/>
    <w:rsid w:val="00072009"/>
    <w:rsid w:val="00073F5A"/>
    <w:rsid w:val="00077F06"/>
    <w:rsid w:val="00080EA6"/>
    <w:rsid w:val="000955B8"/>
    <w:rsid w:val="000A59AA"/>
    <w:rsid w:val="000C58FD"/>
    <w:rsid w:val="000C771A"/>
    <w:rsid w:val="000D1A45"/>
    <w:rsid w:val="000E244E"/>
    <w:rsid w:val="0011668A"/>
    <w:rsid w:val="00134DCB"/>
    <w:rsid w:val="00136941"/>
    <w:rsid w:val="001575C7"/>
    <w:rsid w:val="00160E76"/>
    <w:rsid w:val="0019176D"/>
    <w:rsid w:val="001B1F46"/>
    <w:rsid w:val="001D5AD8"/>
    <w:rsid w:val="001E1F6A"/>
    <w:rsid w:val="001F0F42"/>
    <w:rsid w:val="00216C20"/>
    <w:rsid w:val="00220CFB"/>
    <w:rsid w:val="00227A3A"/>
    <w:rsid w:val="00230398"/>
    <w:rsid w:val="00234E0B"/>
    <w:rsid w:val="0025174F"/>
    <w:rsid w:val="00272CE8"/>
    <w:rsid w:val="002A23E2"/>
    <w:rsid w:val="002A6AC6"/>
    <w:rsid w:val="002A7553"/>
    <w:rsid w:val="002B0A50"/>
    <w:rsid w:val="002B42E9"/>
    <w:rsid w:val="002B4F53"/>
    <w:rsid w:val="002F00F7"/>
    <w:rsid w:val="00355A1A"/>
    <w:rsid w:val="003F0665"/>
    <w:rsid w:val="00402453"/>
    <w:rsid w:val="00403F70"/>
    <w:rsid w:val="004362DC"/>
    <w:rsid w:val="004428EF"/>
    <w:rsid w:val="00446833"/>
    <w:rsid w:val="00450E03"/>
    <w:rsid w:val="00456004"/>
    <w:rsid w:val="0045792D"/>
    <w:rsid w:val="00464015"/>
    <w:rsid w:val="0047247D"/>
    <w:rsid w:val="004F1D90"/>
    <w:rsid w:val="0050705F"/>
    <w:rsid w:val="00522524"/>
    <w:rsid w:val="005357FC"/>
    <w:rsid w:val="00590342"/>
    <w:rsid w:val="005C1551"/>
    <w:rsid w:val="00610E28"/>
    <w:rsid w:val="006221F4"/>
    <w:rsid w:val="006307D4"/>
    <w:rsid w:val="006C036B"/>
    <w:rsid w:val="006D52F4"/>
    <w:rsid w:val="006F6682"/>
    <w:rsid w:val="007123D5"/>
    <w:rsid w:val="007356CA"/>
    <w:rsid w:val="007B13EA"/>
    <w:rsid w:val="007B74F9"/>
    <w:rsid w:val="007D4206"/>
    <w:rsid w:val="007D6CA8"/>
    <w:rsid w:val="007E2EAB"/>
    <w:rsid w:val="00816E92"/>
    <w:rsid w:val="00863F08"/>
    <w:rsid w:val="00867A65"/>
    <w:rsid w:val="00897342"/>
    <w:rsid w:val="008A1C31"/>
    <w:rsid w:val="008B709A"/>
    <w:rsid w:val="008E3CAC"/>
    <w:rsid w:val="008E65BA"/>
    <w:rsid w:val="009062A3"/>
    <w:rsid w:val="009346F5"/>
    <w:rsid w:val="00953F55"/>
    <w:rsid w:val="00964810"/>
    <w:rsid w:val="0097518D"/>
    <w:rsid w:val="00994A67"/>
    <w:rsid w:val="009A5296"/>
    <w:rsid w:val="009C162E"/>
    <w:rsid w:val="009D0260"/>
    <w:rsid w:val="009D1834"/>
    <w:rsid w:val="009D3919"/>
    <w:rsid w:val="009D6924"/>
    <w:rsid w:val="009E1A68"/>
    <w:rsid w:val="00A110FB"/>
    <w:rsid w:val="00A17585"/>
    <w:rsid w:val="00A2387D"/>
    <w:rsid w:val="00A42DD8"/>
    <w:rsid w:val="00A759B2"/>
    <w:rsid w:val="00A92110"/>
    <w:rsid w:val="00AA6753"/>
    <w:rsid w:val="00AC1702"/>
    <w:rsid w:val="00AE73C7"/>
    <w:rsid w:val="00B1551B"/>
    <w:rsid w:val="00B42052"/>
    <w:rsid w:val="00B62318"/>
    <w:rsid w:val="00B82B20"/>
    <w:rsid w:val="00BA61D5"/>
    <w:rsid w:val="00C2476D"/>
    <w:rsid w:val="00C27A0D"/>
    <w:rsid w:val="00C33607"/>
    <w:rsid w:val="00C53F5B"/>
    <w:rsid w:val="00C54754"/>
    <w:rsid w:val="00C655B7"/>
    <w:rsid w:val="00C71DC2"/>
    <w:rsid w:val="00CB637B"/>
    <w:rsid w:val="00CD5206"/>
    <w:rsid w:val="00CD6D5D"/>
    <w:rsid w:val="00CD7BF1"/>
    <w:rsid w:val="00CE4020"/>
    <w:rsid w:val="00D0478A"/>
    <w:rsid w:val="00D04900"/>
    <w:rsid w:val="00D2462B"/>
    <w:rsid w:val="00D2717C"/>
    <w:rsid w:val="00D35BBE"/>
    <w:rsid w:val="00D4560B"/>
    <w:rsid w:val="00D84CBD"/>
    <w:rsid w:val="00D96164"/>
    <w:rsid w:val="00DA2636"/>
    <w:rsid w:val="00DA5EBC"/>
    <w:rsid w:val="00DB7EFA"/>
    <w:rsid w:val="00E07944"/>
    <w:rsid w:val="00E44955"/>
    <w:rsid w:val="00E73CAA"/>
    <w:rsid w:val="00E77EDD"/>
    <w:rsid w:val="00E81F6C"/>
    <w:rsid w:val="00E93AA2"/>
    <w:rsid w:val="00EA0D90"/>
    <w:rsid w:val="00EA1140"/>
    <w:rsid w:val="00EA42BA"/>
    <w:rsid w:val="00EC4639"/>
    <w:rsid w:val="00EC760F"/>
    <w:rsid w:val="00EF51C6"/>
    <w:rsid w:val="00F10DC5"/>
    <w:rsid w:val="00F11D51"/>
    <w:rsid w:val="00F23DCD"/>
    <w:rsid w:val="00F575DA"/>
    <w:rsid w:val="00FB4D23"/>
    <w:rsid w:val="00FC6523"/>
    <w:rsid w:val="00FD08CD"/>
    <w:rsid w:val="00FE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2DC"/>
  </w:style>
  <w:style w:type="paragraph" w:styleId="Nadpis1">
    <w:name w:val="heading 1"/>
    <w:basedOn w:val="Normln"/>
    <w:next w:val="Normln"/>
    <w:link w:val="Nadpis1Char"/>
    <w:uiPriority w:val="9"/>
    <w:qFormat/>
    <w:rsid w:val="002B4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9 pt,Schriftart: 10 pt,Schriftart: 8 pt,Footnote Text Char Char,Fußnote,single space,FOOTNOTES,fn,Char Char Char Char,Footnote Text Char1,Schriftart: 9 pt Char,Schriftart: 10 pt Char,Schriftart: 8 pt Char,Char,Char Char1"/>
    <w:basedOn w:val="Normln"/>
    <w:link w:val="TextpoznpodarouChar"/>
    <w:unhideWhenUsed/>
    <w:qFormat/>
    <w:rsid w:val="00DA5E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 Char Char Char,Footnote Text Char1 Char,Char Char"/>
    <w:basedOn w:val="Standardnpsmoodstavce"/>
    <w:link w:val="Textpoznpodarou"/>
    <w:uiPriority w:val="99"/>
    <w:qFormat/>
    <w:rsid w:val="00DA5EBC"/>
    <w:rPr>
      <w:sz w:val="20"/>
      <w:szCs w:val="20"/>
    </w:rPr>
  </w:style>
  <w:style w:type="character" w:styleId="Znakapoznpodarou">
    <w:name w:val="footnote reference"/>
    <w:aliases w:val="BVI fnr,Footnote symbol,PGI Fußnote Ziffer,Footnote reference number,Times 10 Point,Exposant 3 Point,EN Footnote Reference,note TESI,SUPERS,Nota,Footnote number,Ref,de nota al pie,EN Footnote text,Fussnota,Footnote Refernece,fr,o"/>
    <w:basedOn w:val="Standardnpsmoodstavce"/>
    <w:link w:val="4GChar"/>
    <w:unhideWhenUsed/>
    <w:qFormat/>
    <w:rsid w:val="00DA5E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C15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6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6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682"/>
    <w:rPr>
      <w:rFonts w:ascii="Segoe UI" w:hAnsi="Segoe UI" w:cs="Segoe UI"/>
      <w:sz w:val="18"/>
      <w:szCs w:val="18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E93AA2"/>
    <w:pPr>
      <w:spacing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C4639"/>
    <w:rPr>
      <w:color w:val="0000FF"/>
      <w:u w:val="single"/>
    </w:rPr>
  </w:style>
  <w:style w:type="character" w:customStyle="1" w:styleId="Znakypropoznmkupodarou">
    <w:name w:val="Znaky pro poznámku pod čarou"/>
    <w:qFormat/>
    <w:rsid w:val="00D04900"/>
  </w:style>
  <w:style w:type="paragraph" w:styleId="Zhlav">
    <w:name w:val="header"/>
    <w:basedOn w:val="Normln"/>
    <w:link w:val="ZhlavChar"/>
    <w:uiPriority w:val="99"/>
    <w:unhideWhenUsed/>
    <w:rsid w:val="00D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900"/>
  </w:style>
  <w:style w:type="paragraph" w:styleId="Zpat">
    <w:name w:val="footer"/>
    <w:basedOn w:val="Normln"/>
    <w:link w:val="ZpatChar"/>
    <w:uiPriority w:val="99"/>
    <w:unhideWhenUsed/>
    <w:rsid w:val="00D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900"/>
  </w:style>
  <w:style w:type="paragraph" w:customStyle="1" w:styleId="Textpoznpodarou1">
    <w:name w:val="Text pozn. pod čarou1"/>
    <w:basedOn w:val="Normln"/>
    <w:rsid w:val="00D04900"/>
    <w:pPr>
      <w:widowControl w:val="0"/>
      <w:suppressLineNumbers/>
      <w:suppressAutoHyphens/>
      <w:spacing w:line="254" w:lineRule="auto"/>
      <w:ind w:left="283" w:hanging="283"/>
      <w:textAlignment w:val="baseline"/>
    </w:pPr>
    <w:rPr>
      <w:rFonts w:ascii="Calibri" w:eastAsia="SimSun" w:hAnsi="Calibri" w:cs="Tahoma"/>
      <w:kern w:val="2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B42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2DC"/>
  </w:style>
  <w:style w:type="paragraph" w:styleId="Nadpis1">
    <w:name w:val="heading 1"/>
    <w:basedOn w:val="Normln"/>
    <w:next w:val="Normln"/>
    <w:link w:val="Nadpis1Char"/>
    <w:uiPriority w:val="9"/>
    <w:qFormat/>
    <w:rsid w:val="002B4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9 pt,Schriftart: 10 pt,Schriftart: 8 pt,Footnote Text Char Char,Fußnote,single space,FOOTNOTES,fn,Char Char Char Char,Footnote Text Char1,Schriftart: 9 pt Char,Schriftart: 10 pt Char,Schriftart: 8 pt Char,Char,Char Char1"/>
    <w:basedOn w:val="Normln"/>
    <w:link w:val="TextpoznpodarouChar"/>
    <w:unhideWhenUsed/>
    <w:qFormat/>
    <w:rsid w:val="00DA5E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 Char Char Char,Footnote Text Char1 Char,Char Char"/>
    <w:basedOn w:val="Standardnpsmoodstavce"/>
    <w:link w:val="Textpoznpodarou"/>
    <w:uiPriority w:val="99"/>
    <w:qFormat/>
    <w:rsid w:val="00DA5EBC"/>
    <w:rPr>
      <w:sz w:val="20"/>
      <w:szCs w:val="20"/>
    </w:rPr>
  </w:style>
  <w:style w:type="character" w:styleId="Znakapoznpodarou">
    <w:name w:val="footnote reference"/>
    <w:aliases w:val="BVI fnr,Footnote symbol,PGI Fußnote Ziffer,Footnote reference number,Times 10 Point,Exposant 3 Point,EN Footnote Reference,note TESI,SUPERS,Nota,Footnote number,Ref,de nota al pie,EN Footnote text,Fussnota,Footnote Refernece,fr,o"/>
    <w:basedOn w:val="Standardnpsmoodstavce"/>
    <w:link w:val="4GChar"/>
    <w:unhideWhenUsed/>
    <w:qFormat/>
    <w:rsid w:val="00DA5EB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C15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6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6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682"/>
    <w:rPr>
      <w:rFonts w:ascii="Segoe UI" w:hAnsi="Segoe UI" w:cs="Segoe UI"/>
      <w:sz w:val="18"/>
      <w:szCs w:val="18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E93AA2"/>
    <w:pPr>
      <w:spacing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C4639"/>
    <w:rPr>
      <w:color w:val="0000FF"/>
      <w:u w:val="single"/>
    </w:rPr>
  </w:style>
  <w:style w:type="character" w:customStyle="1" w:styleId="Znakypropoznmkupodarou">
    <w:name w:val="Znaky pro poznámku pod čarou"/>
    <w:qFormat/>
    <w:rsid w:val="00D04900"/>
  </w:style>
  <w:style w:type="paragraph" w:styleId="Zhlav">
    <w:name w:val="header"/>
    <w:basedOn w:val="Normln"/>
    <w:link w:val="ZhlavChar"/>
    <w:uiPriority w:val="99"/>
    <w:unhideWhenUsed/>
    <w:rsid w:val="00D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900"/>
  </w:style>
  <w:style w:type="paragraph" w:styleId="Zpat">
    <w:name w:val="footer"/>
    <w:basedOn w:val="Normln"/>
    <w:link w:val="ZpatChar"/>
    <w:uiPriority w:val="99"/>
    <w:unhideWhenUsed/>
    <w:rsid w:val="00D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900"/>
  </w:style>
  <w:style w:type="paragraph" w:customStyle="1" w:styleId="Textpoznpodarou1">
    <w:name w:val="Text pozn. pod čarou1"/>
    <w:basedOn w:val="Normln"/>
    <w:rsid w:val="00D04900"/>
    <w:pPr>
      <w:widowControl w:val="0"/>
      <w:suppressLineNumbers/>
      <w:suppressAutoHyphens/>
      <w:spacing w:line="254" w:lineRule="auto"/>
      <w:ind w:left="283" w:hanging="283"/>
      <w:textAlignment w:val="baseline"/>
    </w:pPr>
    <w:rPr>
      <w:rFonts w:ascii="Calibri" w:eastAsia="SimSun" w:hAnsi="Calibri" w:cs="Tahoma"/>
      <w:kern w:val="2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B42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evobci.cz/upload/studies/3/SPOT-Proc-je-nutne-zmenit-nezabavitelnou-castku-a-jak-na-to-analyza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CD02-86FA-493E-83BB-EDF044D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Dostálková Adéla</dc:creator>
  <cp:lastModifiedBy>Machačka Jakub</cp:lastModifiedBy>
  <cp:revision>3</cp:revision>
  <cp:lastPrinted>2019-12-17T09:52:00Z</cp:lastPrinted>
  <dcterms:created xsi:type="dcterms:W3CDTF">2020-03-25T13:47:00Z</dcterms:created>
  <dcterms:modified xsi:type="dcterms:W3CDTF">2020-03-25T17:46:00Z</dcterms:modified>
</cp:coreProperties>
</file>