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1" w:rsidRPr="00096740" w:rsidRDefault="00C15EA5" w:rsidP="009814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20523181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15D61" w:rsidRPr="00096740">
        <w:rPr>
          <w:rFonts w:ascii="Times New Roman" w:hAnsi="Times New Roman" w:cs="Times New Roman"/>
          <w:b/>
          <w:sz w:val="24"/>
          <w:szCs w:val="24"/>
        </w:rPr>
        <w:t>odnět</w:t>
      </w:r>
    </w:p>
    <w:p w:rsidR="00315D61" w:rsidRPr="00096740" w:rsidRDefault="00315D61" w:rsidP="00315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40">
        <w:rPr>
          <w:rFonts w:ascii="Times New Roman" w:hAnsi="Times New Roman" w:cs="Times New Roman"/>
          <w:b/>
          <w:sz w:val="24"/>
          <w:szCs w:val="24"/>
        </w:rPr>
        <w:t xml:space="preserve">Rady vlády </w:t>
      </w:r>
      <w:r w:rsidR="00BC241C">
        <w:rPr>
          <w:rFonts w:ascii="Times New Roman" w:hAnsi="Times New Roman" w:cs="Times New Roman"/>
          <w:b/>
          <w:sz w:val="24"/>
          <w:szCs w:val="24"/>
        </w:rPr>
        <w:t xml:space="preserve">České republiky </w:t>
      </w:r>
      <w:bookmarkStart w:id="1" w:name="_GoBack"/>
      <w:bookmarkEnd w:id="1"/>
      <w:r w:rsidRPr="00096740">
        <w:rPr>
          <w:rFonts w:ascii="Times New Roman" w:hAnsi="Times New Roman" w:cs="Times New Roman"/>
          <w:b/>
          <w:sz w:val="24"/>
          <w:szCs w:val="24"/>
        </w:rPr>
        <w:t>pro lidská práva</w:t>
      </w:r>
    </w:p>
    <w:p w:rsidR="00315D61" w:rsidRPr="00803554" w:rsidRDefault="00315D61" w:rsidP="00315D6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ke zřízení nezávislého monitorovacího </w:t>
      </w:r>
      <w:r w:rsidR="005D3613" w:rsidRPr="005D3613">
        <w:rPr>
          <w:rFonts w:ascii="Times New Roman" w:hAnsi="Times New Roman" w:cs="Times New Roman"/>
          <w:b/>
          <w:color w:val="000000"/>
          <w:sz w:val="24"/>
          <w:szCs w:val="24"/>
        </w:rPr>
        <w:t>mechanismu specializovaného na prosazování a ochranu práv dítěte</w:t>
      </w:r>
    </w:p>
    <w:p w:rsidR="00315D61" w:rsidRDefault="00315D61" w:rsidP="00315D61">
      <w:pPr>
        <w:pStyle w:val="Nadpis1"/>
      </w:pPr>
    </w:p>
    <w:p w:rsidR="0007420F" w:rsidRPr="0007420F" w:rsidRDefault="0007420F" w:rsidP="0007420F"/>
    <w:bookmarkEnd w:id="0"/>
    <w:p w:rsidR="00315D61" w:rsidRPr="004A5FC9" w:rsidRDefault="00315D61" w:rsidP="00315D61">
      <w:pPr>
        <w:pStyle w:val="Nadpis1"/>
        <w:numPr>
          <w:ilvl w:val="0"/>
          <w:numId w:val="2"/>
        </w:numPr>
      </w:pPr>
      <w:r>
        <w:t xml:space="preserve">Mezinárodní závazky </w:t>
      </w:r>
    </w:p>
    <w:p w:rsidR="00315D61" w:rsidRDefault="00315D61" w:rsidP="00315D61">
      <w:pPr>
        <w:spacing w:after="0"/>
        <w:jc w:val="both"/>
      </w:pPr>
    </w:p>
    <w:p w:rsidR="00315D61" w:rsidRDefault="00315D61" w:rsidP="00315D61">
      <w:pPr>
        <w:spacing w:before="120" w:after="120"/>
        <w:jc w:val="both"/>
      </w:pPr>
      <w:r>
        <w:t xml:space="preserve">Navzdory skutečnosti, že Česká republika ratifikovala Úmluvu o právech dítěte (dále jen „Úmluva“) již k 6. 2. 1991, respektive k 1. 1. 1993, </w:t>
      </w:r>
      <w:r w:rsidRPr="00E43143">
        <w:rPr>
          <w:b/>
        </w:rPr>
        <w:t>stále nedošlo ke zřízení nezávislého orgánu, který by byl příslušný k monitorování jejího naplňování</w:t>
      </w:r>
      <w:r>
        <w:t xml:space="preserve">. Ačkoli závazek zřídit takový orgán není v Úmluvě explicitně zakotvený, </w:t>
      </w:r>
      <w:r w:rsidRPr="00315D61">
        <w:rPr>
          <w:b/>
        </w:rPr>
        <w:t>Výbor OSN pro práva dítěte</w:t>
      </w:r>
      <w:r>
        <w:t xml:space="preserve"> zdůrazňuje, že tento závazek je součástí čl. 4 Úmluvy, v souladu s nímž jsou smluvní státy povinny učinit všechna potřebná zákonodární, správní a jiná opatření k provádění práv, uznaných v Úmluvě. Výbor OSN pro práva dítěte v této souvislosti výslovně uvádí, že významným mechanismem pro prosazování a zajištění implementace Úmluvy jsou nezávislé národní orgány na ochranu lidských práv</w:t>
      </w:r>
      <w:r>
        <w:rPr>
          <w:rStyle w:val="Znakapoznpodarou"/>
        </w:rPr>
        <w:footnoteReference w:id="1"/>
      </w:r>
      <w:r>
        <w:t>, zřízené v souladu s Pařížskými principy</w:t>
      </w:r>
      <w:r>
        <w:rPr>
          <w:rStyle w:val="Znakapoznpodarou"/>
        </w:rPr>
        <w:footnoteReference w:id="2"/>
      </w:r>
      <w:r>
        <w:t>.</w:t>
      </w:r>
    </w:p>
    <w:p w:rsidR="00315D61" w:rsidRDefault="00315D61" w:rsidP="00315D61">
      <w:pPr>
        <w:spacing w:before="120" w:after="120"/>
        <w:jc w:val="both"/>
      </w:pPr>
      <w:r>
        <w:t xml:space="preserve">Podobný přístup, v souladu s nímž představuje zřízení nezávislého či nezávislých orgánů na ochranu lidských práv, zastává i </w:t>
      </w:r>
      <w:r w:rsidRPr="00315D61">
        <w:rPr>
          <w:b/>
        </w:rPr>
        <w:t>Výbor OSN pro hospodářská, sociální a kulturní práva</w:t>
      </w:r>
      <w:r>
        <w:t>. Ten poukazuje na to, že pokud čl. 2 odst. 1 Mezinárodního paktu o hospodářských, sociálních a kulturních právech zakotvuje závazek státu podniknout kroky k postupnému dosažení plného uskutečnění práv uznaných v tomto Paktu všemi vhodnými prostředky, představuje jeden z těchto „vhodných prostředků“ právě činnost národních orgánů pro ochranu lidských práv.</w:t>
      </w:r>
      <w:r>
        <w:rPr>
          <w:rStyle w:val="Znakapoznpodarou"/>
        </w:rPr>
        <w:footnoteReference w:id="3"/>
      </w:r>
      <w:r>
        <w:t xml:space="preserve"> V souladu s názorem Výboru mají tyto orgány potenciálně klíčovou úlohu při prosazování a zajištění nedělitelnosti a vzájemné provázanosti všech lidských práv.</w:t>
      </w:r>
      <w:r>
        <w:rPr>
          <w:rStyle w:val="Znakapoznpodarou"/>
        </w:rPr>
        <w:footnoteReference w:id="4"/>
      </w:r>
      <w:r>
        <w:t xml:space="preserve"> Výbor OSN pro lidská práva poté v obecné rovině vyzdvihl další významnou funkci národních orgánů pro ochranu lidských práv, a to působnost v oblasti nápravy individuálních porušení práv. V souvislosti se závazkem podle čl. 2 odst. 3 Mezinárodního paktu o občanských a politických právech, který upravuje právo na přístupné a účinné prostředky nápravy, jimiž se jednotlivec může domáhat práv zakotvených v Paktu, Výbor zdůraznil roli národních orgánů pro ochranu lidských práv, nadaných odpovídajícími pravomocemi. Výbor OSN pro lidská práva navíc poukázal na to, že všechny </w:t>
      </w:r>
      <w:r>
        <w:lastRenderedPageBreak/>
        <w:t>prostředky nápravy musí být přiměřeně přizpůsobené takovým způsobem, aby zohledňovaly zvláštní zranitelnost některých skupin, obzvláště dětí.</w:t>
      </w:r>
      <w:r>
        <w:rPr>
          <w:rStyle w:val="Znakapoznpodarou"/>
        </w:rPr>
        <w:footnoteReference w:id="5"/>
      </w:r>
    </w:p>
    <w:p w:rsidR="00315D61" w:rsidRDefault="00315D61" w:rsidP="00315D61">
      <w:pPr>
        <w:spacing w:before="120" w:after="120"/>
        <w:jc w:val="both"/>
      </w:pPr>
      <w:r w:rsidRPr="00315D61">
        <w:rPr>
          <w:b/>
        </w:rPr>
        <w:t>Doporučení zřídit nezávislý národní mechanismus na ochranu práv dítěte je dále v různých kontextech obsaženo v řadě mezinárodních dokumentů doporučující povahy, přijatých především na úrovni OSN a Rady Evropy</w:t>
      </w:r>
      <w:r>
        <w:t>. Konkrétně lze zmínit zejména:</w:t>
      </w:r>
    </w:p>
    <w:p w:rsidR="00315D61" w:rsidRDefault="00315D61" w:rsidP="00315D61">
      <w:pPr>
        <w:pStyle w:val="Odstavecseseznamem"/>
        <w:numPr>
          <w:ilvl w:val="0"/>
          <w:numId w:val="1"/>
        </w:numPr>
        <w:spacing w:before="120" w:after="120"/>
        <w:jc w:val="both"/>
      </w:pPr>
      <w:r>
        <w:t>z dokumentů OSN</w:t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Směrnici o náhradní péči</w:t>
      </w:r>
      <w:r>
        <w:rPr>
          <w:rStyle w:val="Znakapoznpodarou"/>
        </w:rPr>
        <w:footnoteReference w:id="6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Směrnici pro prevenci delikvence mládeže (tzv. Rijádská směrnice)</w:t>
      </w:r>
      <w:r>
        <w:rPr>
          <w:rStyle w:val="Znakapoznpodarou"/>
        </w:rPr>
        <w:footnoteReference w:id="7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Pravidla k ochraně mladistvých zbavených osobní svobody (tzv. Havanská pravidla)</w:t>
      </w:r>
      <w:r>
        <w:rPr>
          <w:rStyle w:val="Znakapoznpodarou"/>
        </w:rPr>
        <w:footnoteReference w:id="8"/>
      </w:r>
    </w:p>
    <w:p w:rsidR="00315D61" w:rsidRDefault="00315D61" w:rsidP="00315D61">
      <w:pPr>
        <w:pStyle w:val="Odstavecseseznamem"/>
        <w:spacing w:before="120" w:after="120"/>
        <w:ind w:left="1440"/>
        <w:jc w:val="both"/>
      </w:pPr>
    </w:p>
    <w:p w:rsidR="00315D61" w:rsidRDefault="00315D61" w:rsidP="00315D61">
      <w:pPr>
        <w:pStyle w:val="Odstavecseseznamem"/>
        <w:numPr>
          <w:ilvl w:val="0"/>
          <w:numId w:val="1"/>
        </w:numPr>
        <w:spacing w:before="120" w:after="120"/>
        <w:jc w:val="both"/>
      </w:pPr>
      <w:r>
        <w:t>z dokumentů Rady Evropy</w:t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Doporučení 1286 (1996) Parlamentního shromáždění o Evropské strategii pro děti</w:t>
      </w:r>
      <w:r>
        <w:rPr>
          <w:rStyle w:val="Znakapoznpodarou"/>
        </w:rPr>
        <w:footnoteReference w:id="9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 xml:space="preserve">Doporučení </w:t>
      </w:r>
      <w:proofErr w:type="spellStart"/>
      <w:r>
        <w:t>Rec</w:t>
      </w:r>
      <w:proofErr w:type="spellEnd"/>
      <w:r>
        <w:t>(2005)5 Výboru ministrů členským státům o právech dětí žijících v pobytových zařízeních</w:t>
      </w:r>
      <w:r>
        <w:rPr>
          <w:rStyle w:val="Znakapoznpodarou"/>
        </w:rPr>
        <w:footnoteReference w:id="10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Doporučení CM/</w:t>
      </w:r>
      <w:proofErr w:type="spellStart"/>
      <w:r>
        <w:t>Rec</w:t>
      </w:r>
      <w:proofErr w:type="spellEnd"/>
      <w:r>
        <w:t>(2008)11 Výboru ministrů členským státům o Evropských pravidlech pro mladistvé pachatele vystavené sankcím a opatřením</w:t>
      </w:r>
      <w:r>
        <w:rPr>
          <w:rStyle w:val="Znakapoznpodarou"/>
        </w:rPr>
        <w:footnoteReference w:id="11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Doporučení CM/</w:t>
      </w:r>
      <w:proofErr w:type="spellStart"/>
      <w:r>
        <w:t>Rec</w:t>
      </w:r>
      <w:proofErr w:type="spellEnd"/>
      <w:r>
        <w:t>(2009)10 Výboru ministrů členským státům o integrovaných národních strategiích pro ochranu dětí před násilím</w:t>
      </w:r>
      <w:r>
        <w:rPr>
          <w:rStyle w:val="Znakapoznpodarou"/>
        </w:rPr>
        <w:footnoteReference w:id="12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Pokyny Výboru ministrů o justici vstřícné k dětem</w:t>
      </w:r>
      <w:r>
        <w:rPr>
          <w:rStyle w:val="Znakapoznpodarou"/>
        </w:rPr>
        <w:footnoteReference w:id="13"/>
      </w:r>
    </w:p>
    <w:p w:rsidR="00315D61" w:rsidRDefault="00315D61" w:rsidP="00315D61">
      <w:pPr>
        <w:pStyle w:val="Odstavecseseznamem"/>
        <w:numPr>
          <w:ilvl w:val="1"/>
          <w:numId w:val="1"/>
        </w:numPr>
        <w:spacing w:before="120" w:after="120"/>
        <w:jc w:val="both"/>
      </w:pPr>
      <w:r>
        <w:t>Doporučení CM/</w:t>
      </w:r>
      <w:proofErr w:type="spellStart"/>
      <w:r>
        <w:t>Rec</w:t>
      </w:r>
      <w:proofErr w:type="spellEnd"/>
      <w:r>
        <w:t>(2011)12 Výboru ministrů členským státům o právech dětí a sociálních službách vstřícných k dětem a rodinám</w:t>
      </w:r>
      <w:r>
        <w:rPr>
          <w:rStyle w:val="Znakapoznpodarou"/>
        </w:rPr>
        <w:footnoteReference w:id="14"/>
      </w:r>
      <w:r>
        <w:t xml:space="preserve"> </w:t>
      </w:r>
    </w:p>
    <w:p w:rsidR="00315D61" w:rsidRDefault="00315D61" w:rsidP="00315D61">
      <w:pPr>
        <w:pStyle w:val="Odstavecseseznamem"/>
        <w:spacing w:before="120" w:after="120"/>
        <w:ind w:left="1440"/>
        <w:jc w:val="both"/>
      </w:pPr>
    </w:p>
    <w:p w:rsidR="00C15EA5" w:rsidRDefault="00C15EA5" w:rsidP="00315D61">
      <w:pPr>
        <w:pStyle w:val="Odstavecseseznamem"/>
        <w:spacing w:before="120" w:after="120"/>
        <w:ind w:left="1440"/>
        <w:jc w:val="both"/>
      </w:pPr>
    </w:p>
    <w:p w:rsidR="00315D61" w:rsidRDefault="00315D61" w:rsidP="00315D61">
      <w:pPr>
        <w:pStyle w:val="Nadpis1"/>
        <w:numPr>
          <w:ilvl w:val="0"/>
          <w:numId w:val="2"/>
        </w:numPr>
        <w:spacing w:before="120" w:after="120"/>
      </w:pPr>
      <w:bookmarkStart w:id="2" w:name="_Toc420523182"/>
      <w:r w:rsidRPr="004A5FC9">
        <w:t>Současný stav v České republice</w:t>
      </w:r>
      <w:bookmarkEnd w:id="2"/>
    </w:p>
    <w:p w:rsidR="00315D61" w:rsidRDefault="00315D61" w:rsidP="00315D61">
      <w:pPr>
        <w:spacing w:before="120" w:after="120"/>
        <w:jc w:val="both"/>
      </w:pPr>
      <w:r>
        <w:t xml:space="preserve">Česká republika v současnosti nedisponuje nezávislým orgánem příslušným obecně k monitorování implementace Úmluvy. Naplňováním Úmluvy se v současnosti částečně zabývá Výbor pro práva </w:t>
      </w:r>
      <w:r>
        <w:lastRenderedPageBreak/>
        <w:t xml:space="preserve">dítěte jako odborný orgán Rady vlády pro lidská práva - poradního orgánu vlády. I s ohledem na zařazení tohoto orgánu je zřejmé, že jeho činnost nelze označit za monitorování v pravém slova smyslu, Výbor navíc nesplňuje kritéria nezávislosti, jak jsou definovaná Pařížskými principy. Neexistuje zde tedy žádný orgán, který by byl příslušný k systematickému monitorování provádění Úmluvy a který by byl zřízen v souladu s principy fungování národních orgánů pro ochranu lidských práv. </w:t>
      </w:r>
    </w:p>
    <w:p w:rsidR="00315D61" w:rsidRDefault="00315D61" w:rsidP="00315D61">
      <w:pPr>
        <w:spacing w:before="120" w:after="120"/>
        <w:jc w:val="both"/>
      </w:pPr>
      <w:r>
        <w:t xml:space="preserve">Ochrana dětí v případě individuálních porušení jejich práv je tak v současnosti zajištěna především prostřednictvím </w:t>
      </w:r>
      <w:r w:rsidRPr="00315D61">
        <w:rPr>
          <w:b/>
        </w:rPr>
        <w:t>obecných stížnostních mechanismů a orgánu sociálně-právní ochrany dětí</w:t>
      </w:r>
      <w:r>
        <w:t xml:space="preserve">. </w:t>
      </w:r>
    </w:p>
    <w:p w:rsidR="00315D61" w:rsidRDefault="00315D61" w:rsidP="00315D61">
      <w:pPr>
        <w:spacing w:before="120" w:after="120"/>
        <w:jc w:val="both"/>
      </w:pPr>
      <w:r w:rsidRPr="00493756">
        <w:t>Obecné stížnostní mechanismy</w:t>
      </w:r>
      <w:r>
        <w:t xml:space="preserve">, jimiž se dítě v současnosti teoreticky může domáhat svých práv, představuje vedle možnosti občanskoprávního, správního a trestního soudnictví, především </w:t>
      </w:r>
      <w:r w:rsidRPr="00315D61">
        <w:rPr>
          <w:b/>
        </w:rPr>
        <w:t>veřejný ochránce práv.</w:t>
      </w:r>
      <w:r>
        <w:t xml:space="preserve"> Jeho působnost je však pro zajištění ochrany práv dítěte, jak jsou garantována v Úmluvě, limitovaná. Dětem, jako komukoli jinému, je prostřednictvím tohoto orgánu zajišťována ochrana před jednáním úřadů ve smyslu legislativní zkratky podle § 1 odst. 2 zákona č. 348/1999 Sb., o Veřejném ochránci práv (dále jen „ZVOP“), pokud je v rozporu s právem, neodpovídá principům demokratického právního státu a dobré správy, jakož i před jejich nečinností. Tato působnost ochránce však nedopadá např. do oblasti samosprávy, přičemž i zde mohou rozhodnutí a jiná opatření veřejnoprávních korporací, především územních samosprávných celků, významným způsobem zasahovat do práv dítěte garantovaných Úmluvou, např. v otázkách rozvoje sociálních služeb, v otázkách sociálního bydlení apod. Byť nikoli výlučně specializované na ochranu práv dětí, dopadají na děti i další oblasti působnosti ochránce, především působnost ochránce jako národního preventivního mechanismu před špatným zacházením ve smyslu čl. 3 a části IV Opčního protokolu k Úmluvě proti mučení a jinému krutému, nelidskému či ponižujícímu zacházení nebo trestání (dále jen „OPCAT“)</w:t>
      </w:r>
      <w:r>
        <w:rPr>
          <w:rStyle w:val="Znakapoznpodarou"/>
        </w:rPr>
        <w:footnoteReference w:id="15"/>
      </w:r>
      <w:r>
        <w:t xml:space="preserve"> a působnost ochránce jako národního orgánu pro rovné zacházení a ochranu před diskriminací (</w:t>
      </w:r>
      <w:proofErr w:type="spellStart"/>
      <w:r w:rsidRPr="00C6737C">
        <w:rPr>
          <w:i/>
        </w:rPr>
        <w:t>equality</w:t>
      </w:r>
      <w:proofErr w:type="spellEnd"/>
      <w:r w:rsidRPr="00C6737C">
        <w:rPr>
          <w:i/>
        </w:rPr>
        <w:t xml:space="preserve"> body</w:t>
      </w:r>
      <w:r>
        <w:t xml:space="preserve">). </w:t>
      </w:r>
    </w:p>
    <w:p w:rsidR="00315D61" w:rsidRDefault="00315D61" w:rsidP="00315D61">
      <w:pPr>
        <w:spacing w:before="120" w:after="120"/>
        <w:jc w:val="both"/>
      </w:pPr>
      <w:r>
        <w:t xml:space="preserve">Důvodem, proč úřad veřejného ochránce práv není v současnosti možné vnímat jako naplnění závazku vyplývajícího z čl. 4 Úmluvy, jsou vedle omezené působnosti pro účely Úmluvy a ochrany práv dítěte i do značné míry omezené pravomoci tohoto úřadu a obecně sílu jeho mandátu jako takovou, které neodpovídají požadavkům Pařížských principů. To vyplývá i z posledních Závěrečných doporučení Výboru OSN pro lidská práva k třetí periodické zprávě České republiky, v nichž </w:t>
      </w:r>
      <w:r w:rsidRPr="00315D61">
        <w:rPr>
          <w:b/>
        </w:rPr>
        <w:t xml:space="preserve">Výbor vyjádřil znepokojení nad tím, že úřad veřejného ochránce práv </w:t>
      </w:r>
      <w:r w:rsidRPr="00315D61">
        <w:rPr>
          <w:b/>
          <w:i/>
        </w:rPr>
        <w:t>„nebyl zřízen jako konsolidovaná národní instituce se širokými pravomocemi v oblasti lidských práv, v souladu s Pařížskými principy“</w:t>
      </w:r>
      <w:r w:rsidRPr="00315D61">
        <w:rPr>
          <w:rStyle w:val="Znakapoznpodarou"/>
          <w:b/>
        </w:rPr>
        <w:footnoteReference w:id="16"/>
      </w:r>
      <w:r w:rsidRPr="00315D61">
        <w:rPr>
          <w:b/>
        </w:rPr>
        <w:t>,</w:t>
      </w:r>
      <w:r>
        <w:t xml:space="preserve"> a České republice doporučil, že </w:t>
      </w:r>
      <w:r w:rsidRPr="00BD6657">
        <w:rPr>
          <w:i/>
        </w:rPr>
        <w:t>„by měla buď poskytnout veřejnému ochránci práv konsolidovaný mandát k plnějšímu prosazování a ochraně všech lidských práv, nebo dosáhnout tohoto účelu jinými prostředky s cílem zřídit národní lidskoprávní instituci s širokým lidskoprávním mandátem a vybavit ji odpovídajícími finančními i lidskými zdroji, jak to stanoví Pařížské principy</w:t>
      </w:r>
      <w:r>
        <w:rPr>
          <w:i/>
        </w:rPr>
        <w:t>.</w:t>
      </w:r>
      <w:r w:rsidRPr="00BD6657">
        <w:rPr>
          <w:i/>
        </w:rPr>
        <w:t>“</w:t>
      </w:r>
      <w:r>
        <w:rPr>
          <w:rStyle w:val="Znakapoznpodarou"/>
        </w:rPr>
        <w:footnoteReference w:id="17"/>
      </w:r>
    </w:p>
    <w:p w:rsidR="00315D61" w:rsidRDefault="00315D61" w:rsidP="00315D61">
      <w:pPr>
        <w:spacing w:before="120" w:after="120"/>
        <w:jc w:val="both"/>
      </w:pPr>
      <w:r>
        <w:t xml:space="preserve">Specificky ve vztahu k dětem je poté dalším problematickým aspektem činnosti veřejného ochránce práv jeho nedostatečná specializace právě na ochranu práv dítěte. Výše citované dokumenty sice </w:t>
      </w:r>
      <w:r>
        <w:lastRenderedPageBreak/>
        <w:t>připouštějí, že závazek spočívající ve zřízení nezávislého národního orgánu na ochranu práv dítěte je možné realizovat i v rámci instituce zaměřené nikoli výlučně právě na děti, vždy však zdůrazňují, že v takovém případě by tyto instituce v rámci své struktury měly mít určeného komisaře, nebo zvláštní oddělení odpovědné k ochraně práv dětí, a měly by být zajištěny odpovídající zdroje, včetně finančních, určené specificky pro činnost zaměřenou na děti.</w:t>
      </w:r>
      <w:r>
        <w:rPr>
          <w:rStyle w:val="Znakapoznpodarou"/>
        </w:rPr>
        <w:footnoteReference w:id="18"/>
      </w:r>
      <w:r>
        <w:t xml:space="preserve"> Úřad veřejného ochránce práv, jak je v současnosti strukturován a organizován, těmto požadavkům nedostává. To ostatně konstatoval i Výbor OSN pro práva dítěte, který ve svých Závěrečných doporučeních ke třetí a čtvrté periodické zprávě České republiky vyjádřil znepokojení nad tím, že </w:t>
      </w:r>
      <w:r w:rsidRPr="0041469A">
        <w:rPr>
          <w:i/>
        </w:rPr>
        <w:t>„ačkoli veřejný ochránce práv může obdržet stížnosti od dětí, není dostatečně vybaven finančními, technickými prostředky a lidskými zdroji, aby mohl účinně plnit tuto funkci.“</w:t>
      </w:r>
      <w:r>
        <w:rPr>
          <w:rStyle w:val="Znakapoznpodarou"/>
        </w:rPr>
        <w:footnoteReference w:id="19"/>
      </w:r>
      <w:r>
        <w:t xml:space="preserve"> </w:t>
      </w:r>
    </w:p>
    <w:p w:rsidR="00315D61" w:rsidRDefault="00315D61" w:rsidP="00315D61">
      <w:pPr>
        <w:spacing w:before="120" w:after="120"/>
        <w:jc w:val="both"/>
      </w:pPr>
      <w:r>
        <w:t xml:space="preserve">Za obecný stížnostní mechanismus lze specificky v kontextu dětí umístěných v zařízeních, v nichž dochází k omezení nebo zbavení jejich osobní svobody, rovněž označit </w:t>
      </w:r>
      <w:r w:rsidRPr="00461EBB">
        <w:rPr>
          <w:b/>
        </w:rPr>
        <w:t>dozor státního zastupitelství</w:t>
      </w:r>
      <w:r>
        <w:t xml:space="preserve"> nad dodržováním právních předpisů v místech, kde dochází k omezení osobní svobody. </w:t>
      </w:r>
      <w:r w:rsidRPr="00461EBB">
        <w:rPr>
          <w:b/>
        </w:rPr>
        <w:t>I tento mechanismus však lze označit na nedostatečný,</w:t>
      </w:r>
      <w:r>
        <w:t xml:space="preserve"> a to z několika důvodů. Předně, zákonné vymezení této působnosti státního zastupitelství v § 4 odst. 1 písm. b) zákona č. 283/1993 Sb., o státním zastupitelství (dále jen „ZSZ“), je v praxi státních zastupitelství podstatně zúženo v důsledku pokynu obecné povahy nejvyššího státního zástupce ze dne 2. 11. 2012, o výkonu dozoru nad dodržováním právních předpisů v místech, kde je podle zákonného oprávnění omezována osobní svoboda</w:t>
      </w:r>
      <w:r>
        <w:rPr>
          <w:rStyle w:val="Znakapoznpodarou"/>
        </w:rPr>
        <w:footnoteReference w:id="20"/>
      </w:r>
      <w:r>
        <w:t>. Citovaný závazný pokyn totiž v rámci vymezení předmětu dozoru v čl. 1 odst. 1 neuvádí všechna ústavní zařízení, v nichž děti mohou být umístěna. Opomíjí především dětské domovy pro děti do 3 let, pobytová zařízení sociálních služeb a střediska výchovné péče. Děti, které se nachází v těchto zařízeních, jsou tak v současnosti zbaveny ochrany dozoru státního zastupitelství.</w:t>
      </w:r>
    </w:p>
    <w:p w:rsidR="00315D61" w:rsidRDefault="00315D61" w:rsidP="00315D61">
      <w:pPr>
        <w:spacing w:before="120" w:after="120"/>
        <w:jc w:val="both"/>
      </w:pPr>
      <w:r>
        <w:t>Dalším z důvodů, proč nelze dozor státního zastupitelství v současnosti označit za dostatečnou a odpovídající ochranu práv dětí omezených nebo zbavených osobní svobody, spočívá i v samotném vymezení role státního zastupitelství jako takového, které nepředstavuje orgán ochrany lidských práv a základních svobod, ale v souladu s § 1 odst. 1 ZSZ soustavu úřadů státu, určených k zastupování státu při ochraně veřejného zájmu ve věcech svěřených zákonem do působnosti státního zastupitelství. Veřejný zájem však svým obsahem nemusí být shodný s ochranou základních lidských práv a svobod člověka, i když v některých případech mohou oba tyto pojmy splývat.</w:t>
      </w:r>
      <w:r>
        <w:rPr>
          <w:rStyle w:val="Znakapoznpodarou"/>
        </w:rPr>
        <w:footnoteReference w:id="21"/>
      </w:r>
      <w:r>
        <w:t xml:space="preserve"> Navíc s ohledem na skutečnost, že státní zastupitelství má vždy zastupovat stát, nelze jej označit za nezávislý národní orgán ve smyslu Pařížských principů. </w:t>
      </w:r>
    </w:p>
    <w:p w:rsidR="00315D61" w:rsidRDefault="00315D61" w:rsidP="00315D61">
      <w:pPr>
        <w:spacing w:before="120" w:after="120"/>
        <w:jc w:val="both"/>
      </w:pPr>
      <w:r>
        <w:t xml:space="preserve">Vedle zmíněných obecných stížnostních a monitorovacích mechanismů je vhodné zmínit ještě dva tyto mechanismy specificky zaměřené na děti, tedy </w:t>
      </w:r>
      <w:r w:rsidRPr="00461EBB">
        <w:rPr>
          <w:b/>
        </w:rPr>
        <w:t>OSPOD</w:t>
      </w:r>
      <w:r>
        <w:t xml:space="preserve"> a specificky v kontextu školství poté ještě </w:t>
      </w:r>
      <w:r w:rsidRPr="00461EBB">
        <w:rPr>
          <w:b/>
        </w:rPr>
        <w:t>Českou školní inspekci</w:t>
      </w:r>
      <w:r>
        <w:t xml:space="preserve">. </w:t>
      </w:r>
      <w:r w:rsidRPr="00461EBB">
        <w:rPr>
          <w:b/>
        </w:rPr>
        <w:t>Ani jeden z nich však rovněž neplní funkci národního orgánu na ochranu práv dítěte ve smyslu čl. 4 Úmluvy a Pařížských principů a není to ani jejich účelem</w:t>
      </w:r>
      <w:r>
        <w:t xml:space="preserve">. OSPOD je </w:t>
      </w:r>
      <w:r>
        <w:lastRenderedPageBreak/>
        <w:t>orgánem veřejné správy a jeho úkolem tak není působit jako nezávislý státní orgán, nýbrž jako správní orgán, tedy jako reprezentant státu a vykonavatel státní moci. Stejně tak Česká školní inspekce, jejímž úkolem je i výkon kontroly dodržování právních předpisů, které se vztahují k poskytování vzdělávání a školských služeb</w:t>
      </w:r>
      <w:r>
        <w:rPr>
          <w:rStyle w:val="Znakapoznpodarou"/>
        </w:rPr>
        <w:footnoteReference w:id="22"/>
      </w:r>
      <w:r>
        <w:t>, tedy svého druhu monitoring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t xml:space="preserve"> je v souladu s § 173 odst. 1 zákona č. 561/2004 Sb., o předškolním, základním, středním, vyšším odborném a jiném vzdělávání (dále jen „školský zákon“) správním úřadem, navíc z hlediska Úmluvy s poměrně omezeným záběrem. </w:t>
      </w:r>
    </w:p>
    <w:p w:rsidR="00461EBB" w:rsidRPr="00461EBB" w:rsidRDefault="00461EBB" w:rsidP="00315D61">
      <w:pPr>
        <w:spacing w:before="120" w:after="120"/>
        <w:jc w:val="both"/>
        <w:rPr>
          <w:b/>
        </w:rPr>
      </w:pPr>
    </w:p>
    <w:p w:rsidR="00461EBB" w:rsidRPr="00461EBB" w:rsidRDefault="00461EBB" w:rsidP="00461EBB">
      <w:pPr>
        <w:pStyle w:val="Odstavecseseznamem"/>
        <w:numPr>
          <w:ilvl w:val="0"/>
          <w:numId w:val="2"/>
        </w:numPr>
        <w:spacing w:before="120" w:after="120"/>
        <w:jc w:val="both"/>
        <w:rPr>
          <w:b/>
        </w:rPr>
      </w:pPr>
      <w:r w:rsidRPr="00461EBB">
        <w:rPr>
          <w:b/>
        </w:rPr>
        <w:t>Závěr</w:t>
      </w:r>
    </w:p>
    <w:p w:rsidR="001478DE" w:rsidRDefault="00315D61" w:rsidP="005D3613">
      <w:pPr>
        <w:spacing w:before="120" w:after="120"/>
        <w:jc w:val="both"/>
      </w:pPr>
      <w:r>
        <w:t xml:space="preserve">Česká republika byla za absenci nezávislého monitorovacího mechanismu specializovaného na prosazování a ochranu práv dítěte ze strany mezinárodních orgánů, zejména Výboru OSN pro práva dítěte, opakovaně kritizována. Výbor ve svých dosud posledních Závěrečných doporučeních ve vztahu k České republice vyjádřil znepokojení nad tím, že Česká republika </w:t>
      </w:r>
      <w:r w:rsidRPr="00743B23">
        <w:rPr>
          <w:i/>
        </w:rPr>
        <w:t>„nerealizovala jeho předchozí doporučení (CRC/C/15/Add.201, odst. 17) o zřízení nezávislého orgánu monitorujícího realizaci Úmluvy a pro citlivé šetření jednotlivých stížností dětí.“</w:t>
      </w:r>
      <w:r>
        <w:rPr>
          <w:rStyle w:val="Znakapoznpodarou"/>
        </w:rPr>
        <w:footnoteReference w:id="23"/>
      </w:r>
      <w:r>
        <w:t xml:space="preserve"> Výbor tedy zopakoval své předchozí doporučení a Českou republiku vyzval, </w:t>
      </w:r>
      <w:r w:rsidRPr="00743B23">
        <w:rPr>
          <w:i/>
        </w:rPr>
        <w:t>„aby zcela zohlednila obecný komentář Výboru č. 2 týkající se role národních institucí pro lidská práva a zřídila nezávislý orgán pro monitoring implementace Úmluvy, včetně citlivého šetření jednotlivých stížností dětí“</w:t>
      </w:r>
      <w:r>
        <w:t>.</w:t>
      </w:r>
      <w:r>
        <w:rPr>
          <w:rStyle w:val="Znakapoznpodarou"/>
        </w:rPr>
        <w:footnoteReference w:id="24"/>
      </w:r>
      <w:r>
        <w:t xml:space="preserve">  </w:t>
      </w:r>
      <w:r w:rsidRPr="00493756">
        <w:t>Výbor OSN pro práva dítěte tedy zdůraznil význam nezávislého národního mechanismu na ochranu práv dítěte jak z hlediska jeho systémových pravomocí (monitorování naplňování Úmluvy), tak jeho pravomocí v individuálních případech (řešení stížností dětí dětem vstřícným způsobem).</w:t>
      </w:r>
    </w:p>
    <w:p w:rsidR="0007420F" w:rsidRDefault="008B6526" w:rsidP="005D3613">
      <w:pPr>
        <w:spacing w:before="120" w:after="120"/>
        <w:jc w:val="both"/>
        <w:rPr>
          <w:b/>
        </w:rPr>
      </w:pPr>
      <w:r>
        <w:rPr>
          <w:b/>
        </w:rPr>
        <w:t>Rada vlády České republiky</w:t>
      </w:r>
      <w:r w:rsidR="00BC241C">
        <w:rPr>
          <w:b/>
        </w:rPr>
        <w:t xml:space="preserve"> pro lidská práva</w:t>
      </w:r>
      <w:r w:rsidR="005D3613" w:rsidRPr="005D3613">
        <w:rPr>
          <w:b/>
        </w:rPr>
        <w:t xml:space="preserve"> ta</w:t>
      </w:r>
      <w:r>
        <w:rPr>
          <w:b/>
        </w:rPr>
        <w:t>k na základě výše uvedeného doš</w:t>
      </w:r>
      <w:r w:rsidR="005D3613" w:rsidRPr="005D3613">
        <w:rPr>
          <w:b/>
        </w:rPr>
        <w:t>l</w:t>
      </w:r>
      <w:r>
        <w:rPr>
          <w:b/>
        </w:rPr>
        <w:t>a</w:t>
      </w:r>
      <w:r w:rsidR="005D3613" w:rsidRPr="005D3613">
        <w:rPr>
          <w:b/>
        </w:rPr>
        <w:t xml:space="preserve"> k názoru, že je potřeba institut nezávislého monitorovacího mechanismu specializovaného na prosazování a ochranu práv dítěte („dětského omb</w:t>
      </w:r>
      <w:r w:rsidR="0007420F">
        <w:rPr>
          <w:b/>
        </w:rPr>
        <w:t>udsmana“) legislativně zakotvit</w:t>
      </w:r>
      <w:r w:rsidR="00C15EA5">
        <w:rPr>
          <w:b/>
        </w:rPr>
        <w:t xml:space="preserve"> a navrhuje, aby </w:t>
      </w:r>
      <w:r>
        <w:rPr>
          <w:b/>
        </w:rPr>
        <w:t xml:space="preserve">Vláda uložila </w:t>
      </w:r>
      <w:r w:rsidRPr="008B6526">
        <w:rPr>
          <w:b/>
        </w:rPr>
        <w:t>ministrovi pro lidská práva, rovné příležitosti a legislativu ve spolupráci s ministryní práce a sociálních věcí zpracovat a vládě do 30. 6. 2016 předložit návrh zákona o zřízení nezávislého monitorovacího mechanismu specializovaného na prosazování a ochranu práv dítěte</w:t>
      </w:r>
      <w:r>
        <w:rPr>
          <w:b/>
        </w:rPr>
        <w:t xml:space="preserve">. </w:t>
      </w:r>
    </w:p>
    <w:p w:rsidR="0007420F" w:rsidRDefault="0007420F" w:rsidP="005D3613">
      <w:pPr>
        <w:spacing w:before="120" w:after="120"/>
        <w:jc w:val="both"/>
        <w:rPr>
          <w:b/>
        </w:rPr>
      </w:pPr>
    </w:p>
    <w:p w:rsidR="0007420F" w:rsidRDefault="0007420F" w:rsidP="005D3613">
      <w:pPr>
        <w:spacing w:before="120" w:after="120"/>
        <w:jc w:val="both"/>
        <w:rPr>
          <w:b/>
        </w:rPr>
      </w:pPr>
    </w:p>
    <w:sectPr w:rsidR="0007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FE" w:rsidRDefault="00DC45FE" w:rsidP="00315D61">
      <w:pPr>
        <w:spacing w:after="0" w:line="240" w:lineRule="auto"/>
      </w:pPr>
      <w:r>
        <w:separator/>
      </w:r>
    </w:p>
  </w:endnote>
  <w:endnote w:type="continuationSeparator" w:id="0">
    <w:p w:rsidR="00DC45FE" w:rsidRDefault="00DC45FE" w:rsidP="0031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FE" w:rsidRDefault="00DC45FE" w:rsidP="00315D61">
      <w:pPr>
        <w:spacing w:after="0" w:line="240" w:lineRule="auto"/>
      </w:pPr>
      <w:r>
        <w:separator/>
      </w:r>
    </w:p>
  </w:footnote>
  <w:footnote w:type="continuationSeparator" w:id="0">
    <w:p w:rsidR="00DC45FE" w:rsidRDefault="00DC45FE" w:rsidP="00315D61">
      <w:pPr>
        <w:spacing w:after="0" w:line="240" w:lineRule="auto"/>
      </w:pPr>
      <w:r>
        <w:continuationSeparator/>
      </w:r>
    </w:p>
  </w:footnote>
  <w:footnote w:id="1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Výbor OSN pro práva dítěte. Obecný komentář č. 2 (2002) – Role nezávislých národních orgánů na ochranu lidských práv v ochraně a prosazování práv dítěte. Obecný komentář je dostupný z:</w:t>
      </w:r>
    </w:p>
    <w:p w:rsidR="00315D61" w:rsidRPr="004A1BD0" w:rsidRDefault="00BC241C" w:rsidP="00315D61">
      <w:pPr>
        <w:pStyle w:val="Textpoznpodarou"/>
        <w:jc w:val="both"/>
        <w:rPr>
          <w:rFonts w:cstheme="minorHAnsi"/>
        </w:rPr>
      </w:pPr>
      <w:hyperlink r:id="rId1" w:history="1">
        <w:r w:rsidR="00315D61" w:rsidRPr="004A1BD0">
          <w:rPr>
            <w:rStyle w:val="Hypertextovodkaz"/>
            <w:rFonts w:cstheme="minorHAnsi"/>
          </w:rPr>
          <w:t>http://tbinternet.ohchr.org/_layouts/treatybodyexternal/Download.aspx?symbolno=CRC%2fGC%2f2002%2f2&amp;Lang=en</w:t>
        </w:r>
      </w:hyperlink>
      <w:r w:rsidR="00315D61" w:rsidRPr="004A1BD0">
        <w:rPr>
          <w:rFonts w:cstheme="minorHAnsi"/>
        </w:rPr>
        <w:t xml:space="preserve"> .</w:t>
      </w:r>
    </w:p>
  </w:footnote>
  <w:footnote w:id="2">
    <w:p w:rsidR="00315D61" w:rsidRPr="004A1BD0" w:rsidRDefault="00315D61" w:rsidP="00315D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  <w:sz w:val="20"/>
          <w:szCs w:val="20"/>
        </w:rPr>
        <w:t xml:space="preserve"> Rezoluce Valného shromáždění OSN ze dne 20. prosince 1993, A/RES/48/134, o národních orgánech na ochranu lidských práv (Pařížské principy). Rezoluce je dostupná z: </w:t>
      </w:r>
    </w:p>
    <w:p w:rsidR="00315D61" w:rsidRPr="004A1BD0" w:rsidRDefault="00BC241C" w:rsidP="00315D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hyperlink r:id="rId2" w:history="1">
        <w:r w:rsidR="00315D61" w:rsidRPr="004A1BD0">
          <w:rPr>
            <w:rStyle w:val="Hypertextovodkaz"/>
            <w:rFonts w:cstheme="minorHAnsi"/>
          </w:rPr>
          <w:t>http://enoc.eu/wp-content/uploads/2015/01/Paris-Principle.pdf</w:t>
        </w:r>
      </w:hyperlink>
      <w:r w:rsidR="00315D61" w:rsidRPr="004A1BD0">
        <w:rPr>
          <w:rFonts w:cstheme="minorHAnsi"/>
          <w:sz w:val="20"/>
          <w:szCs w:val="20"/>
        </w:rPr>
        <w:t xml:space="preserve"> .</w:t>
      </w:r>
    </w:p>
  </w:footnote>
  <w:footnote w:id="3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Výbor OSN pro hospodářská, sociální a kulturní práva. Obecný komentář č. 10 (1998) – Role národních orgánů na ochranu lidských práv v ochraně hospodářských, sociálních a kulturních práv, odst. 1. Obecný komentář je dostupný z:</w:t>
      </w:r>
    </w:p>
    <w:p w:rsidR="00315D61" w:rsidRPr="004A1BD0" w:rsidRDefault="00BC241C" w:rsidP="00315D61">
      <w:pPr>
        <w:pStyle w:val="Textpoznpodarou"/>
        <w:jc w:val="both"/>
        <w:rPr>
          <w:rFonts w:cstheme="minorHAnsi"/>
        </w:rPr>
      </w:pPr>
      <w:hyperlink r:id="rId3" w:history="1">
        <w:r w:rsidR="00315D61" w:rsidRPr="004A1BD0">
          <w:rPr>
            <w:rStyle w:val="Hypertextovodkaz"/>
            <w:rFonts w:cstheme="minorHAnsi"/>
          </w:rPr>
          <w:t>http://tbinternet.ohchr.org/_layouts/treatybodyexternal/Download.aspx?symbolno=E%2fC.12%2f1998%2f25&amp;Lang=en</w:t>
        </w:r>
      </w:hyperlink>
      <w:r w:rsidR="00315D61" w:rsidRPr="004A1BD0">
        <w:rPr>
          <w:rFonts w:cstheme="minorHAnsi"/>
        </w:rPr>
        <w:t xml:space="preserve"> .</w:t>
      </w:r>
    </w:p>
  </w:footnote>
  <w:footnote w:id="4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</w:t>
      </w:r>
      <w:proofErr w:type="spellStart"/>
      <w:r w:rsidRPr="004A1BD0">
        <w:rPr>
          <w:rFonts w:cstheme="minorHAnsi"/>
          <w:i/>
        </w:rPr>
        <w:t>Ibid</w:t>
      </w:r>
      <w:proofErr w:type="spellEnd"/>
      <w:r w:rsidRPr="004A1BD0">
        <w:rPr>
          <w:rFonts w:cstheme="minorHAnsi"/>
        </w:rPr>
        <w:t xml:space="preserve">., odst. 3. </w:t>
      </w:r>
    </w:p>
  </w:footnote>
  <w:footnote w:id="5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Výbor OSN pro lidská práva. Obecný komentář č. 31 (2004) – Povaha obecných právních závazků vyplývajících pro smluvní státy z Paktu, odst. 15. Obecný komentář je dostupný z:</w:t>
      </w:r>
    </w:p>
    <w:p w:rsidR="00315D61" w:rsidRPr="004A1BD0" w:rsidRDefault="00BC241C" w:rsidP="00315D61">
      <w:pPr>
        <w:pStyle w:val="Textpoznpodarou"/>
        <w:jc w:val="both"/>
        <w:rPr>
          <w:rFonts w:cstheme="minorHAnsi"/>
        </w:rPr>
      </w:pPr>
      <w:hyperlink r:id="rId4" w:history="1">
        <w:r w:rsidR="00315D61" w:rsidRPr="004A1BD0">
          <w:rPr>
            <w:rStyle w:val="Hypertextovodkaz"/>
            <w:rFonts w:cstheme="minorHAnsi"/>
          </w:rPr>
          <w:t>http://tbinternet.ohchr.org/_layouts/treatybodyexternal/Download.aspx?symbolno=CCPR%2fC%2f21%2fRev.1%2fAdd.13&amp;Lang=en</w:t>
        </w:r>
      </w:hyperlink>
      <w:r w:rsidR="00315D61" w:rsidRPr="004A1BD0">
        <w:rPr>
          <w:rFonts w:cstheme="minorHAnsi"/>
        </w:rPr>
        <w:t xml:space="preserve"> .</w:t>
      </w:r>
    </w:p>
  </w:footnote>
  <w:footnote w:id="6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Rezoluce Valného shromáždění OSN ze dne 24. února 2010, A/RES/64/142, Směrnice o náhradní péči, odst. 130. Směrnice je dostupná z: </w:t>
      </w:r>
      <w:hyperlink r:id="rId5" w:history="1">
        <w:r w:rsidRPr="004A1BD0">
          <w:rPr>
            <w:rStyle w:val="Hypertextovodkaz"/>
            <w:rFonts w:cstheme="minorHAnsi"/>
          </w:rPr>
          <w:t>http://www.unicef.org/protection/alternative_care_Guidelines-English.pdf</w:t>
        </w:r>
      </w:hyperlink>
      <w:r w:rsidRPr="004A1BD0">
        <w:rPr>
          <w:rFonts w:cstheme="minorHAnsi"/>
        </w:rPr>
        <w:t xml:space="preserve"> .</w:t>
      </w:r>
    </w:p>
  </w:footnote>
  <w:footnote w:id="7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Rezoluce Valného shromáždění OSN ze dne 14. prosince 1990, A/RES/45/112, Směrnice pro prevenci delikvence mládeže (Rijádská směrnice), odst. 57. Směrnice je dostupná z:</w:t>
      </w:r>
    </w:p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Fonts w:cstheme="minorHAnsi"/>
        </w:rPr>
        <w:t xml:space="preserve"> </w:t>
      </w:r>
      <w:hyperlink r:id="rId6" w:history="1">
        <w:r w:rsidRPr="004A1BD0">
          <w:rPr>
            <w:rStyle w:val="Hypertextovodkaz"/>
            <w:rFonts w:cstheme="minorHAnsi"/>
          </w:rPr>
          <w:t>http://www.un.org/documents/ga/res/45/a45r112.htm</w:t>
        </w:r>
      </w:hyperlink>
      <w:r w:rsidRPr="004A1BD0">
        <w:rPr>
          <w:rFonts w:cstheme="minorHAnsi"/>
        </w:rPr>
        <w:t xml:space="preserve"> . </w:t>
      </w:r>
    </w:p>
  </w:footnote>
  <w:footnote w:id="8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Rezoluce Valného shromáždění OSN ze dne 14. prosince 1990, A/RES/45/113, Pravidla pro ochranu dětí a mladistvých zbavených osobní svobody (Havanská pravidla), odst. 77. Pravidla jsou dostupná z:</w:t>
      </w:r>
    </w:p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Fonts w:cstheme="minorHAnsi"/>
        </w:rPr>
        <w:t xml:space="preserve"> </w:t>
      </w:r>
      <w:hyperlink r:id="rId7" w:history="1">
        <w:r w:rsidRPr="004A1BD0">
          <w:rPr>
            <w:rStyle w:val="Hypertextovodkaz"/>
            <w:rFonts w:cstheme="minorHAnsi"/>
          </w:rPr>
          <w:t>http://www.ohchr.org/Documents/ProfessionalInterest/res45_113.pdf</w:t>
        </w:r>
      </w:hyperlink>
      <w:r w:rsidRPr="004A1BD0">
        <w:rPr>
          <w:rFonts w:cstheme="minorHAnsi"/>
        </w:rPr>
        <w:t xml:space="preserve"> .</w:t>
      </w:r>
    </w:p>
  </w:footnote>
  <w:footnote w:id="9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Strategie je dostupná z:</w:t>
      </w:r>
    </w:p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Fonts w:cstheme="minorHAnsi"/>
        </w:rPr>
        <w:t xml:space="preserve"> </w:t>
      </w:r>
      <w:hyperlink r:id="rId8" w:history="1">
        <w:r w:rsidRPr="004A1BD0">
          <w:rPr>
            <w:rStyle w:val="Hypertextovodkaz"/>
            <w:rFonts w:cstheme="minorHAnsi"/>
          </w:rPr>
          <w:t>http://assembly.coe.int/Main.asp?link=/Documents/AdoptedText/ta96/EREC1286.htm</w:t>
        </w:r>
      </w:hyperlink>
      <w:r w:rsidRPr="004A1BD0">
        <w:rPr>
          <w:rFonts w:cstheme="minorHAnsi"/>
        </w:rPr>
        <w:t xml:space="preserve"> .</w:t>
      </w:r>
    </w:p>
  </w:footnote>
  <w:footnote w:id="10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Doporučení je dostupné z: </w:t>
      </w:r>
      <w:hyperlink r:id="rId9" w:history="1">
        <w:r w:rsidRPr="004A1BD0">
          <w:rPr>
            <w:rStyle w:val="Hypertextovodkaz"/>
            <w:rFonts w:cstheme="minorHAnsi"/>
          </w:rPr>
          <w:t>https://wcd.coe.int/ViewDoc.jsp?id=835953</w:t>
        </w:r>
      </w:hyperlink>
      <w:r w:rsidRPr="004A1BD0">
        <w:rPr>
          <w:rFonts w:cstheme="minorHAnsi"/>
        </w:rPr>
        <w:t xml:space="preserve"> .</w:t>
      </w:r>
    </w:p>
  </w:footnote>
  <w:footnote w:id="11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Odst. 126.1. Doporučení je dostupné z: </w:t>
      </w:r>
      <w:hyperlink r:id="rId10" w:history="1">
        <w:r w:rsidRPr="004A1BD0">
          <w:rPr>
            <w:rStyle w:val="Hypertextovodkaz"/>
            <w:rFonts w:cstheme="minorHAnsi"/>
          </w:rPr>
          <w:t>https://wcd.coe.int/ViewDoc.jsp?id=1367113</w:t>
        </w:r>
      </w:hyperlink>
      <w:r w:rsidRPr="004A1BD0">
        <w:rPr>
          <w:rFonts w:cstheme="minorHAnsi"/>
        </w:rPr>
        <w:t xml:space="preserve"> .</w:t>
      </w:r>
    </w:p>
  </w:footnote>
  <w:footnote w:id="12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Odst. 5.1. a </w:t>
      </w:r>
      <w:proofErr w:type="gramStart"/>
      <w:r w:rsidRPr="004A1BD0">
        <w:rPr>
          <w:rFonts w:cstheme="minorHAnsi"/>
        </w:rPr>
        <w:t>5.3.1.c.</w:t>
      </w:r>
      <w:proofErr w:type="gramEnd"/>
      <w:r w:rsidRPr="004A1BD0">
        <w:rPr>
          <w:rFonts w:cstheme="minorHAnsi"/>
        </w:rPr>
        <w:t xml:space="preserve"> Doporučení je dostupné z: </w:t>
      </w:r>
      <w:hyperlink r:id="rId11" w:history="1">
        <w:r w:rsidRPr="004A1BD0">
          <w:rPr>
            <w:rStyle w:val="Hypertextovodkaz"/>
            <w:rFonts w:cstheme="minorHAnsi"/>
          </w:rPr>
          <w:t>https://wcd.coe.int/ViewDoc.jsp?id=1539717&amp;</w:t>
        </w:r>
      </w:hyperlink>
      <w:r w:rsidRPr="004A1BD0">
        <w:rPr>
          <w:rFonts w:cstheme="minorHAnsi"/>
        </w:rPr>
        <w:t xml:space="preserve"> .</w:t>
      </w:r>
    </w:p>
  </w:footnote>
  <w:footnote w:id="13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Pokyny Výboru ministrů členským státům Rady Evropy ze dne 17. listopadu 2010, </w:t>
      </w:r>
      <w:proofErr w:type="gramStart"/>
      <w:r w:rsidRPr="004A1BD0">
        <w:rPr>
          <w:rFonts w:cstheme="minorHAnsi"/>
        </w:rPr>
        <w:t>odst. E.3.</w:t>
      </w:r>
      <w:proofErr w:type="gramEnd"/>
      <w:r w:rsidRPr="004A1BD0">
        <w:rPr>
          <w:rFonts w:cstheme="minorHAnsi"/>
        </w:rPr>
        <w:t xml:space="preserve"> Pokyny jsou dostupné v češtině z:</w:t>
      </w:r>
    </w:p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Fonts w:cstheme="minorHAnsi"/>
        </w:rPr>
        <w:t xml:space="preserve"> </w:t>
      </w:r>
      <w:hyperlink r:id="rId12" w:history="1">
        <w:r w:rsidRPr="004A1BD0">
          <w:rPr>
            <w:rStyle w:val="Hypertextovodkaz"/>
            <w:rFonts w:cstheme="minorHAnsi"/>
          </w:rPr>
          <w:t>http://www.coe.int/t/dghl/standardsetting/childjustice/Source/GuidelinesChildFriendlyJustice_CS.pdf</w:t>
        </w:r>
      </w:hyperlink>
      <w:r w:rsidRPr="004A1BD0">
        <w:rPr>
          <w:rFonts w:cstheme="minorHAnsi"/>
        </w:rPr>
        <w:t xml:space="preserve"> .</w:t>
      </w:r>
    </w:p>
  </w:footnote>
  <w:footnote w:id="14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</w:t>
      </w:r>
      <w:proofErr w:type="gramStart"/>
      <w:r w:rsidRPr="004A1BD0">
        <w:rPr>
          <w:rFonts w:cstheme="minorHAnsi"/>
        </w:rPr>
        <w:t>Odst. V.I.</w:t>
      </w:r>
      <w:proofErr w:type="gramEnd"/>
      <w:r w:rsidRPr="004A1BD0">
        <w:rPr>
          <w:rFonts w:cstheme="minorHAnsi"/>
        </w:rPr>
        <w:t xml:space="preserve"> Doporučení je dostupné z:  </w:t>
      </w:r>
      <w:hyperlink r:id="rId13" w:history="1">
        <w:r w:rsidRPr="004A1BD0">
          <w:rPr>
            <w:rStyle w:val="Hypertextovodkaz"/>
            <w:rFonts w:cstheme="minorHAnsi"/>
          </w:rPr>
          <w:t>https://wcd.coe.int/ViewDoc.jsp?id=1872121</w:t>
        </w:r>
      </w:hyperlink>
      <w:r w:rsidRPr="004A1BD0">
        <w:rPr>
          <w:rFonts w:cstheme="minorHAnsi"/>
        </w:rPr>
        <w:t xml:space="preserve"> .</w:t>
      </w:r>
    </w:p>
  </w:footnote>
  <w:footnote w:id="15">
    <w:p w:rsidR="00315D61" w:rsidRPr="004A1BD0" w:rsidRDefault="00315D61" w:rsidP="00315D61">
      <w:pPr>
        <w:pStyle w:val="Textpoznpodarou"/>
        <w:tabs>
          <w:tab w:val="left" w:pos="1320"/>
        </w:tabs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Vyhlášený pod č. 78/2006 Sb. m. s. </w:t>
      </w:r>
    </w:p>
  </w:footnote>
  <w:footnote w:id="16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Závěrečná doporučení Výboru OSN pro lidská práva k třetí periodické zprávě České republiky o naplňování Mezinárodního paktu o občanských a politických právech, 22. 8. 2013, odst. 5. Závěrečná doporučení jsou dostupná z:</w:t>
      </w:r>
    </w:p>
    <w:p w:rsidR="00315D61" w:rsidRPr="004A1BD0" w:rsidRDefault="00BC241C" w:rsidP="00315D61">
      <w:pPr>
        <w:pStyle w:val="Textpoznpodarou"/>
        <w:jc w:val="both"/>
        <w:rPr>
          <w:rFonts w:cstheme="minorHAnsi"/>
        </w:rPr>
      </w:pPr>
      <w:hyperlink r:id="rId14" w:history="1">
        <w:r w:rsidR="00315D61" w:rsidRPr="004A1BD0">
          <w:rPr>
            <w:rStyle w:val="Hypertextovodkaz"/>
            <w:rFonts w:cstheme="minorHAnsi"/>
          </w:rPr>
          <w:t>http://tbinternet.ohchr.org/_layouts/treatybodyexternal/Download.aspx?symbolno=CCPR%2fC%2fCZE%2fCO%2f3&amp;Lang=en</w:t>
        </w:r>
      </w:hyperlink>
      <w:r w:rsidR="00315D61" w:rsidRPr="004A1BD0">
        <w:rPr>
          <w:rFonts w:cstheme="minorHAnsi"/>
        </w:rPr>
        <w:t xml:space="preserve"> .</w:t>
      </w:r>
    </w:p>
  </w:footnote>
  <w:footnote w:id="17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 </w:t>
      </w:r>
      <w:proofErr w:type="spellStart"/>
      <w:r w:rsidRPr="004A1BD0">
        <w:rPr>
          <w:rFonts w:cstheme="minorHAnsi"/>
          <w:i/>
        </w:rPr>
        <w:t>Ibid</w:t>
      </w:r>
      <w:proofErr w:type="spellEnd"/>
      <w:r w:rsidRPr="004A1BD0">
        <w:rPr>
          <w:rFonts w:cstheme="minorHAnsi"/>
          <w:i/>
        </w:rPr>
        <w:t>.</w:t>
      </w:r>
    </w:p>
  </w:footnote>
  <w:footnote w:id="18">
    <w:p w:rsidR="00315D61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Výbor OSN pro práva dítěte. Obecný komentář č. 2 (2002) – Role nezávislých národních orgánů na ochranu lidských práv v ochraně a prosazování práv dítěte. Obecný komentář je dostupný z:</w:t>
      </w:r>
    </w:p>
    <w:p w:rsidR="00315D61" w:rsidRPr="004A1BD0" w:rsidRDefault="00BC241C" w:rsidP="00315D61">
      <w:pPr>
        <w:pStyle w:val="Textpoznpodarou"/>
        <w:jc w:val="both"/>
        <w:rPr>
          <w:rFonts w:cstheme="minorHAnsi"/>
        </w:rPr>
      </w:pPr>
      <w:hyperlink r:id="rId15" w:history="1">
        <w:r w:rsidR="00315D61" w:rsidRPr="004A1BD0">
          <w:rPr>
            <w:rStyle w:val="Hypertextovodkaz"/>
            <w:rFonts w:cstheme="minorHAnsi"/>
          </w:rPr>
          <w:t>http://tbinternet.ohchr.org/_layouts/treatybodyexternal/Download.aspx?symbolno=CRC%2fGC%2f2002%2f2&amp;Lang=en</w:t>
        </w:r>
      </w:hyperlink>
      <w:r w:rsidR="00315D61" w:rsidRPr="004A1BD0">
        <w:rPr>
          <w:rFonts w:cstheme="minorHAnsi"/>
        </w:rPr>
        <w:t xml:space="preserve"> .</w:t>
      </w:r>
    </w:p>
  </w:footnote>
  <w:footnote w:id="19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Závěrečná doporučení Výboru OSN pro práva dítěte ke třetí a čtvrté periodické zprávě České republiky o naplňování Úmluvy o právech dítěte, 2011, odst. 16. </w:t>
      </w:r>
    </w:p>
  </w:footnote>
  <w:footnote w:id="20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Pokyn obecné povahy je dostupný z: </w:t>
      </w:r>
      <w:hyperlink r:id="rId16" w:history="1">
        <w:r w:rsidRPr="004A1BD0">
          <w:rPr>
            <w:rStyle w:val="Hypertextovodkaz"/>
            <w:rFonts w:cstheme="minorHAnsi"/>
          </w:rPr>
          <w:t>http://www.nsz.cz/images/stories/PDF/POP/netrest/1_SL_913-2014.pdf</w:t>
        </w:r>
      </w:hyperlink>
      <w:r w:rsidRPr="004A1BD0">
        <w:rPr>
          <w:rFonts w:cstheme="minorHAnsi"/>
        </w:rPr>
        <w:t xml:space="preserve"> .</w:t>
      </w:r>
    </w:p>
  </w:footnote>
  <w:footnote w:id="21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K tomu viz ZÁRUBA, J. In KOCOUREK, J., ZÁRUBA, J. </w:t>
      </w:r>
      <w:r w:rsidRPr="004A1BD0">
        <w:rPr>
          <w:rFonts w:cstheme="minorHAnsi"/>
          <w:i/>
        </w:rPr>
        <w:t xml:space="preserve">Zákon o soudech a soudcích. Zákon o státním zastupitelství. </w:t>
      </w:r>
      <w:r w:rsidRPr="004A1BD0">
        <w:rPr>
          <w:rFonts w:cstheme="minorHAnsi"/>
        </w:rPr>
        <w:t xml:space="preserve">2. vydání. Praha: C. H. Beck, 2004, s. 392 – 400. </w:t>
      </w:r>
    </w:p>
  </w:footnote>
  <w:footnote w:id="22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Ustanovení § 174 odst. 2 písm. b) zákona č. 561/2004 Sb.</w:t>
      </w:r>
    </w:p>
  </w:footnote>
  <w:footnote w:id="23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Závěrečný doporučení Výboru OSN ke Třetí a čtvrté periodické zprávě České republiky o naplňování Úmluvy o právech dítěte, 2011, odst. 16.</w:t>
      </w:r>
    </w:p>
  </w:footnote>
  <w:footnote w:id="24">
    <w:p w:rsidR="00315D61" w:rsidRPr="004A1BD0" w:rsidRDefault="00315D61" w:rsidP="00315D61">
      <w:pPr>
        <w:pStyle w:val="Textpoznpodarou"/>
        <w:jc w:val="both"/>
        <w:rPr>
          <w:rFonts w:cstheme="minorHAnsi"/>
        </w:rPr>
      </w:pPr>
      <w:r w:rsidRPr="004A1BD0">
        <w:rPr>
          <w:rStyle w:val="Znakapoznpodarou"/>
          <w:rFonts w:cstheme="minorHAnsi"/>
        </w:rPr>
        <w:footnoteRef/>
      </w:r>
      <w:r w:rsidRPr="004A1BD0">
        <w:rPr>
          <w:rFonts w:cstheme="minorHAnsi"/>
        </w:rPr>
        <w:t xml:space="preserve"> </w:t>
      </w:r>
      <w:proofErr w:type="spellStart"/>
      <w:r w:rsidRPr="004A1BD0">
        <w:rPr>
          <w:rFonts w:cstheme="minorHAnsi"/>
          <w:i/>
        </w:rPr>
        <w:t>Ibid</w:t>
      </w:r>
      <w:proofErr w:type="spellEnd"/>
      <w:r w:rsidRPr="004A1BD0">
        <w:rPr>
          <w:rFonts w:cstheme="minorHAnsi"/>
          <w:i/>
        </w:rPr>
        <w:t xml:space="preserve">., </w:t>
      </w:r>
      <w:r w:rsidRPr="004A1BD0">
        <w:rPr>
          <w:rFonts w:cstheme="minorHAnsi"/>
        </w:rPr>
        <w:t xml:space="preserve">odst. 17.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AEF"/>
    <w:multiLevelType w:val="hybridMultilevel"/>
    <w:tmpl w:val="329629C8"/>
    <w:lvl w:ilvl="0" w:tplc="1A126A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23975"/>
    <w:multiLevelType w:val="hybridMultilevel"/>
    <w:tmpl w:val="6A74463A"/>
    <w:lvl w:ilvl="0" w:tplc="C94E4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5153"/>
    <w:multiLevelType w:val="hybridMultilevel"/>
    <w:tmpl w:val="0F3A7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61"/>
    <w:rsid w:val="0007420F"/>
    <w:rsid w:val="001354B5"/>
    <w:rsid w:val="001478DE"/>
    <w:rsid w:val="00315D61"/>
    <w:rsid w:val="0038638B"/>
    <w:rsid w:val="00461EBB"/>
    <w:rsid w:val="005D3613"/>
    <w:rsid w:val="00670D74"/>
    <w:rsid w:val="0067117F"/>
    <w:rsid w:val="008B6526"/>
    <w:rsid w:val="009814AC"/>
    <w:rsid w:val="00AB7F74"/>
    <w:rsid w:val="00BC241C"/>
    <w:rsid w:val="00C14DC6"/>
    <w:rsid w:val="00C15EA5"/>
    <w:rsid w:val="00DC45FE"/>
    <w:rsid w:val="00EC3592"/>
    <w:rsid w:val="00E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D61"/>
  </w:style>
  <w:style w:type="paragraph" w:styleId="Nadpis1">
    <w:name w:val="heading 1"/>
    <w:basedOn w:val="Normln"/>
    <w:next w:val="Normln"/>
    <w:link w:val="Nadpis1Char"/>
    <w:uiPriority w:val="9"/>
    <w:qFormat/>
    <w:rsid w:val="00315D61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D61"/>
    <w:rPr>
      <w:rFonts w:eastAsiaTheme="majorEastAsia" w:cstheme="majorBidi"/>
      <w:b/>
      <w:bCs/>
      <w:szCs w:val="28"/>
    </w:rPr>
  </w:style>
  <w:style w:type="paragraph" w:styleId="Textpoznpodarou">
    <w:name w:val="footnote text"/>
    <w:aliases w:val="5_G,Footnote,Schriftart: 9 pt,Schriftart: 10 pt,Schriftart: 8 pt,o,Testo nota a piè di pagina Carattere,Footnote text,Fußnote,Char Char Car,Fußnotentextf,Note de bas de page Car Car Car Car Car Car Car Car Car Car,f,ft,fn"/>
    <w:basedOn w:val="Normln"/>
    <w:link w:val="TextpoznpodarouChar"/>
    <w:uiPriority w:val="99"/>
    <w:semiHidden/>
    <w:unhideWhenUsed/>
    <w:rsid w:val="00315D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5_G Char,Footnote Char,Schriftart: 9 pt Char,Schriftart: 10 pt Char,Schriftart: 8 pt Char,o Char,Testo nota a piè di pagina Carattere Char,Footnote text Char,Fußnote Char,Char Char Car Char,Fußnotentextf Char,f Char,ft Char"/>
    <w:basedOn w:val="Standardnpsmoodstavce"/>
    <w:link w:val="Textpoznpodarou"/>
    <w:uiPriority w:val="99"/>
    <w:semiHidden/>
    <w:rsid w:val="00315D61"/>
    <w:rPr>
      <w:sz w:val="20"/>
      <w:szCs w:val="20"/>
    </w:rPr>
  </w:style>
  <w:style w:type="character" w:styleId="Znakapoznpodarou">
    <w:name w:val="footnote reference"/>
    <w:aliases w:val="Footnotes refss,Style 10,4_G,Footnote number"/>
    <w:basedOn w:val="Standardnpsmoodstavce"/>
    <w:uiPriority w:val="99"/>
    <w:semiHidden/>
    <w:unhideWhenUsed/>
    <w:rsid w:val="00315D6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15D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D6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D6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D6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D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D61"/>
  </w:style>
  <w:style w:type="paragraph" w:styleId="Nadpis1">
    <w:name w:val="heading 1"/>
    <w:basedOn w:val="Normln"/>
    <w:next w:val="Normln"/>
    <w:link w:val="Nadpis1Char"/>
    <w:uiPriority w:val="9"/>
    <w:qFormat/>
    <w:rsid w:val="00315D61"/>
    <w:pPr>
      <w:keepNext/>
      <w:keepLines/>
      <w:spacing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D61"/>
    <w:rPr>
      <w:rFonts w:eastAsiaTheme="majorEastAsia" w:cstheme="majorBidi"/>
      <w:b/>
      <w:bCs/>
      <w:szCs w:val="28"/>
    </w:rPr>
  </w:style>
  <w:style w:type="paragraph" w:styleId="Textpoznpodarou">
    <w:name w:val="footnote text"/>
    <w:aliases w:val="5_G,Footnote,Schriftart: 9 pt,Schriftart: 10 pt,Schriftart: 8 pt,o,Testo nota a piè di pagina Carattere,Footnote text,Fußnote,Char Char Car,Fußnotentextf,Note de bas de page Car Car Car Car Car Car Car Car Car Car,f,ft,fn"/>
    <w:basedOn w:val="Normln"/>
    <w:link w:val="TextpoznpodarouChar"/>
    <w:uiPriority w:val="99"/>
    <w:semiHidden/>
    <w:unhideWhenUsed/>
    <w:rsid w:val="00315D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5_G Char,Footnote Char,Schriftart: 9 pt Char,Schriftart: 10 pt Char,Schriftart: 8 pt Char,o Char,Testo nota a piè di pagina Carattere Char,Footnote text Char,Fußnote Char,Char Char Car Char,Fußnotentextf Char,f Char,ft Char"/>
    <w:basedOn w:val="Standardnpsmoodstavce"/>
    <w:link w:val="Textpoznpodarou"/>
    <w:uiPriority w:val="99"/>
    <w:semiHidden/>
    <w:rsid w:val="00315D61"/>
    <w:rPr>
      <w:sz w:val="20"/>
      <w:szCs w:val="20"/>
    </w:rPr>
  </w:style>
  <w:style w:type="character" w:styleId="Znakapoznpodarou">
    <w:name w:val="footnote reference"/>
    <w:aliases w:val="Footnotes refss,Style 10,4_G,Footnote number"/>
    <w:basedOn w:val="Standardnpsmoodstavce"/>
    <w:uiPriority w:val="99"/>
    <w:semiHidden/>
    <w:unhideWhenUsed/>
    <w:rsid w:val="00315D6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15D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D6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D6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D6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coe.int/Main.asp?link=/Documents/AdoptedText/ta96/EREC1286.htm" TargetMode="External"/><Relationship Id="rId13" Type="http://schemas.openxmlformats.org/officeDocument/2006/relationships/hyperlink" Target="https://wcd.coe.int/ViewDoc.jsp?id=1872121" TargetMode="External"/><Relationship Id="rId3" Type="http://schemas.openxmlformats.org/officeDocument/2006/relationships/hyperlink" Target="http://tbinternet.ohchr.org/_layouts/treatybodyexternal/Download.aspx?symbolno=E%2fC.12%2f1998%2f25&amp;Lang=en" TargetMode="External"/><Relationship Id="rId7" Type="http://schemas.openxmlformats.org/officeDocument/2006/relationships/hyperlink" Target="http://www.ohchr.org/Documents/ProfessionalInterest/res45_113.pdf" TargetMode="External"/><Relationship Id="rId12" Type="http://schemas.openxmlformats.org/officeDocument/2006/relationships/hyperlink" Target="http://www.coe.int/t/dghl/standardsetting/childjustice/Source/GuidelinesChildFriendlyJustice_CS.pdf" TargetMode="External"/><Relationship Id="rId2" Type="http://schemas.openxmlformats.org/officeDocument/2006/relationships/hyperlink" Target="http://enoc.eu/wp-content/uploads/2015/01/Paris-Principle.pdf" TargetMode="External"/><Relationship Id="rId16" Type="http://schemas.openxmlformats.org/officeDocument/2006/relationships/hyperlink" Target="http://www.nsz.cz/images/stories/PDF/POP/netrest/1_SL_913-2014.pdf" TargetMode="External"/><Relationship Id="rId1" Type="http://schemas.openxmlformats.org/officeDocument/2006/relationships/hyperlink" Target="http://tbinternet.ohchr.org/_layouts/treatybodyexternal/Download.aspx?symbolno=CRC%2fGC%2f2002%2f2&amp;Lang=en" TargetMode="External"/><Relationship Id="rId6" Type="http://schemas.openxmlformats.org/officeDocument/2006/relationships/hyperlink" Target="http://www.un.org/documents/ga/res/45/a45r112.htm" TargetMode="External"/><Relationship Id="rId11" Type="http://schemas.openxmlformats.org/officeDocument/2006/relationships/hyperlink" Target="https://wcd.coe.int/ViewDoc.jsp?id=1539717&amp;" TargetMode="External"/><Relationship Id="rId5" Type="http://schemas.openxmlformats.org/officeDocument/2006/relationships/hyperlink" Target="http://www.unicef.org/protection/alternative_care_Guidelines-English.pdf" TargetMode="External"/><Relationship Id="rId15" Type="http://schemas.openxmlformats.org/officeDocument/2006/relationships/hyperlink" Target="http://tbinternet.ohchr.org/_layouts/treatybodyexternal/Download.aspx?symbolno=CRC%2fGC%2f2002%2f2&amp;Lang=en" TargetMode="External"/><Relationship Id="rId10" Type="http://schemas.openxmlformats.org/officeDocument/2006/relationships/hyperlink" Target="https://wcd.coe.int/ViewDoc.jsp?id=1367113" TargetMode="External"/><Relationship Id="rId4" Type="http://schemas.openxmlformats.org/officeDocument/2006/relationships/hyperlink" Target="http://tbinternet.ohchr.org/_layouts/treatybodyexternal/Download.aspx?symbolno=CCPR%2fC%2f21%2fRev.1%2fAdd.13&amp;Lang=en" TargetMode="External"/><Relationship Id="rId9" Type="http://schemas.openxmlformats.org/officeDocument/2006/relationships/hyperlink" Target="https://wcd.coe.int/ViewDoc.jsp?id=835953" TargetMode="External"/><Relationship Id="rId14" Type="http://schemas.openxmlformats.org/officeDocument/2006/relationships/hyperlink" Target="http://tbinternet.ohchr.org/_layouts/treatybodyexternal/Download.aspx?symbolno=CCPR%2fC%2fCZE%2fCO%2f3&amp;Lang=e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 Eva</dc:creator>
  <cp:lastModifiedBy>Hlaváčová Jana</cp:lastModifiedBy>
  <cp:revision>6</cp:revision>
  <dcterms:created xsi:type="dcterms:W3CDTF">2015-06-02T13:52:00Z</dcterms:created>
  <dcterms:modified xsi:type="dcterms:W3CDTF">2015-06-29T15:58:00Z</dcterms:modified>
</cp:coreProperties>
</file>