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52C" w:rsidRDefault="0097352C" w:rsidP="004B4A3D">
      <w:pPr>
        <w:tabs>
          <w:tab w:val="left" w:pos="6660"/>
        </w:tabs>
        <w:spacing w:before="120" w:after="120" w:line="240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 xml:space="preserve">Přehled dopadů návrhu právního předpisu pro zdůvodnění na zařazení návrhu do Plánu legislativních prací vlády na zbývající část roku 2014 a Výhledu legislativních prací vlády na léta 2015 až 2017 </w:t>
      </w:r>
    </w:p>
    <w:p w:rsidR="0097352C" w:rsidRDefault="0097352C" w:rsidP="004B4A3D">
      <w:pPr>
        <w:tabs>
          <w:tab w:val="left" w:pos="2694"/>
          <w:tab w:val="left" w:pos="6660"/>
        </w:tabs>
        <w:spacing w:before="120" w:after="120" w:line="24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I. Základní identifikační údaje</w:t>
      </w:r>
    </w:p>
    <w:tbl>
      <w:tblPr>
        <w:tblW w:w="94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96"/>
        <w:gridCol w:w="2549"/>
        <w:gridCol w:w="2199"/>
        <w:gridCol w:w="2476"/>
      </w:tblGrid>
      <w:tr w:rsidR="0097352C" w:rsidTr="004B4A3D">
        <w:trPr>
          <w:jc w:val="center"/>
        </w:trPr>
        <w:tc>
          <w:tcPr>
            <w:tcW w:w="942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bottom"/>
          </w:tcPr>
          <w:p w:rsidR="0097352C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</w:rPr>
              <w:t>Název návrhu právního předpisu</w:t>
            </w:r>
          </w:p>
        </w:tc>
      </w:tr>
      <w:bookmarkStart w:id="1" w:name="Rozevírací2"/>
      <w:tr w:rsidR="0097352C" w:rsidTr="004B4A3D">
        <w:trPr>
          <w:jc w:val="center"/>
        </w:trPr>
        <w:tc>
          <w:tcPr>
            <w:tcW w:w="9426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Rozevírací2"/>
                  <w:enabled/>
                  <w:calcOnExit w:val="0"/>
                  <w:ddList>
                    <w:result w:val="3"/>
                    <w:listEntry w:val="vyberte druh právního předpisu"/>
                    <w:listEntry w:val="návrh věcného záměru zákona"/>
                    <w:listEntry w:val="návrh zákona"/>
                    <w:listEntry w:val="návrh zákona, kterým se mění zákon č."/>
                    <w:listEntry w:val="návrh zákona, kterým se mění některé zákony"/>
                    <w:listEntry w:val="návrh nařízení vlády"/>
                    <w:listEntry w:val="návrh nařízení vlády, kterým se mění nařízení č."/>
                    <w:listEntry w:val="návrh vyhlášky"/>
                    <w:listEntry w:val="návrh vyhlášky, kterou se mění vyhláška č."/>
                  </w:ddList>
                </w:ffData>
              </w:fldChar>
            </w:r>
            <w:r>
              <w:rPr>
                <w:rFonts w:ascii="Arial" w:hAnsi="Arial" w:cs="Arial"/>
              </w:rPr>
              <w:instrText xml:space="preserve"> FORMDROPDOWN </w:instrText>
            </w:r>
            <w:r w:rsidR="002D3B3A">
              <w:rPr>
                <w:rFonts w:ascii="Arial" w:hAnsi="Arial" w:cs="Arial"/>
              </w:rPr>
            </w:r>
            <w:r w:rsidR="002D3B3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"/>
            <w:r>
              <w:rPr>
                <w:rFonts w:ascii="Arial" w:hAnsi="Arial" w:cs="Arial"/>
              </w:rPr>
              <w:t xml:space="preserve"> </w:t>
            </w:r>
            <w:r w:rsidRPr="007866BE">
              <w:rPr>
                <w:rFonts w:ascii="Arial" w:hAnsi="Arial" w:cs="Arial"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oplňte název navrhovaného legislativního úkolu"/>
                  </w:textInput>
                </w:ffData>
              </w:fldChar>
            </w:r>
            <w:r w:rsidRPr="007866BE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866BE">
              <w:rPr>
                <w:rFonts w:ascii="Arial" w:hAnsi="Arial" w:cs="Arial"/>
                <w:i/>
                <w:iCs/>
              </w:rPr>
            </w:r>
            <w:r w:rsidRPr="007866BE">
              <w:rPr>
                <w:rFonts w:ascii="Arial" w:hAnsi="Arial" w:cs="Arial"/>
                <w:i/>
                <w:iCs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</w:rPr>
              <w:t>253/2008 Sb., o některých opatřeních proti legalizaci výnosů z trestné činnosti a financování terorismu</w:t>
            </w:r>
            <w:r w:rsidRPr="007866BE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  <w:tr w:rsidR="0097352C" w:rsidTr="004B4A3D">
        <w:trPr>
          <w:jc w:val="center"/>
        </w:trPr>
        <w:tc>
          <w:tcPr>
            <w:tcW w:w="2197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:rsidR="0097352C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Předkladatel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97352C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Spolupřed</w:t>
            </w:r>
            <w:proofErr w:type="spellEnd"/>
            <w:r>
              <w:rPr>
                <w:rFonts w:ascii="Arial" w:hAnsi="Arial" w:cs="Arial"/>
                <w:bCs/>
              </w:rPr>
              <w:t>-</w:t>
            </w:r>
          </w:p>
          <w:p w:rsidR="0097352C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kladatel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200" w:type="dxa"/>
            <w:shd w:val="clear" w:color="auto" w:fill="D9D9D9"/>
            <w:vAlign w:val="center"/>
          </w:tcPr>
          <w:p w:rsidR="0097352C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Stanovený termín předložení vládě</w:t>
            </w:r>
          </w:p>
        </w:tc>
        <w:tc>
          <w:tcPr>
            <w:tcW w:w="2478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:rsidR="0097352C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Předpokládaný termín nabytí účinnosti</w:t>
            </w:r>
          </w:p>
        </w:tc>
      </w:tr>
      <w:tr w:rsidR="0097352C" w:rsidTr="004B4A3D">
        <w:trPr>
          <w:jc w:val="center"/>
        </w:trPr>
        <w:tc>
          <w:tcPr>
            <w:tcW w:w="219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:rsidR="0097352C" w:rsidRPr="0004614D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iCs/>
              </w:rPr>
            </w:pPr>
            <w:r w:rsidRPr="0004614D">
              <w:rPr>
                <w:rFonts w:ascii="Arial" w:hAnsi="Arial" w:cs="Arial"/>
                <w:b/>
                <w:i/>
                <w:iCs/>
              </w:rPr>
              <w:t>MF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vAlign w:val="center"/>
          </w:tcPr>
          <w:p w:rsidR="0097352C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zkratkou"/>
                  </w:textInput>
                </w:ffData>
              </w:fldChar>
            </w:r>
            <w:r>
              <w:rPr>
                <w:rFonts w:ascii="Arial" w:hAnsi="Arial" w:cs="Arial"/>
                <w:i/>
                <w:iCs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</w:rPr>
            </w:r>
            <w:r>
              <w:rPr>
                <w:rFonts w:ascii="Arial" w:hAnsi="Arial" w:cs="Arial"/>
                <w:i/>
                <w:iCs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</w:rPr>
              <w:fldChar w:fldCharType="end"/>
            </w:r>
          </w:p>
        </w:tc>
        <w:tc>
          <w:tcPr>
            <w:tcW w:w="2200" w:type="dxa"/>
            <w:tcBorders>
              <w:bottom w:val="single" w:sz="12" w:space="0" w:color="000000"/>
            </w:tcBorders>
            <w:vAlign w:val="center"/>
          </w:tcPr>
          <w:p w:rsidR="0097352C" w:rsidRPr="0004614D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04614D">
              <w:rPr>
                <w:rFonts w:ascii="Arial" w:hAnsi="Arial" w:cs="Arial"/>
                <w:b/>
                <w:i/>
                <w:iCs/>
                <w:noProof/>
              </w:rPr>
              <w:t>12.</w:t>
            </w:r>
            <w:r w:rsidRPr="0004614D">
              <w:rPr>
                <w:rFonts w:ascii="Arial" w:hAnsi="Arial" w:cs="Arial"/>
                <w:b/>
                <w:i/>
                <w:iCs/>
              </w:rPr>
              <w:t xml:space="preserve"> </w:t>
            </w:r>
            <w:bookmarkStart w:id="2" w:name="Text36"/>
            <w:r w:rsidRPr="0004614D">
              <w:rPr>
                <w:rFonts w:ascii="Arial" w:hAnsi="Arial" w:cs="Arial"/>
                <w:b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rok"/>
                  </w:textInput>
                </w:ffData>
              </w:fldChar>
            </w:r>
            <w:r w:rsidRPr="0004614D">
              <w:rPr>
                <w:rFonts w:ascii="Arial" w:hAnsi="Arial" w:cs="Arial"/>
                <w:b/>
                <w:i/>
                <w:iCs/>
              </w:rPr>
              <w:instrText xml:space="preserve"> FORMTEXT </w:instrText>
            </w:r>
            <w:r w:rsidRPr="0004614D">
              <w:rPr>
                <w:rFonts w:ascii="Arial" w:hAnsi="Arial" w:cs="Arial"/>
                <w:b/>
                <w:i/>
                <w:iCs/>
              </w:rPr>
            </w:r>
            <w:r w:rsidRPr="0004614D">
              <w:rPr>
                <w:rFonts w:ascii="Arial" w:hAnsi="Arial" w:cs="Arial"/>
                <w:b/>
                <w:i/>
                <w:iCs/>
              </w:rPr>
              <w:fldChar w:fldCharType="separate"/>
            </w:r>
            <w:r w:rsidRPr="0004614D">
              <w:rPr>
                <w:rFonts w:ascii="Arial" w:hAnsi="Arial" w:cs="Arial"/>
                <w:b/>
                <w:i/>
                <w:iCs/>
                <w:noProof/>
              </w:rPr>
              <w:t>2014</w:t>
            </w:r>
            <w:r w:rsidRPr="0004614D">
              <w:rPr>
                <w:rFonts w:ascii="Arial" w:hAnsi="Arial" w:cs="Arial"/>
                <w:b/>
                <w:i/>
                <w:iCs/>
              </w:rPr>
              <w:fldChar w:fldCharType="end"/>
            </w:r>
            <w:bookmarkEnd w:id="2"/>
          </w:p>
        </w:tc>
        <w:tc>
          <w:tcPr>
            <w:tcW w:w="247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97352C" w:rsidRPr="0004614D" w:rsidRDefault="0097352C" w:rsidP="00523C2A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04614D">
              <w:rPr>
                <w:rFonts w:ascii="Arial" w:hAnsi="Arial" w:cs="Arial"/>
                <w:b/>
                <w:bCs/>
                <w:i/>
                <w:iCs/>
              </w:rPr>
              <w:t>01</w:t>
            </w:r>
            <w:r w:rsidRPr="0004614D">
              <w:rPr>
                <w:rFonts w:ascii="Arial" w:hAnsi="Arial" w:cs="Arial"/>
                <w:b/>
                <w:i/>
                <w:iCs/>
              </w:rPr>
              <w:t>. 2016</w:t>
            </w:r>
          </w:p>
        </w:tc>
      </w:tr>
    </w:tbl>
    <w:p w:rsidR="0097352C" w:rsidRDefault="0097352C" w:rsidP="004B4A3D">
      <w:pPr>
        <w:spacing w:line="240" w:lineRule="auto"/>
        <w:rPr>
          <w:rFonts w:ascii="Arial" w:hAnsi="Arial" w:cs="Arial"/>
        </w:rPr>
      </w:pPr>
    </w:p>
    <w:tbl>
      <w:tblPr>
        <w:tblW w:w="9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10"/>
        <w:gridCol w:w="4710"/>
      </w:tblGrid>
      <w:tr w:rsidR="0097352C" w:rsidTr="004B4A3D">
        <w:trPr>
          <w:jc w:val="center"/>
        </w:trPr>
        <w:tc>
          <w:tcPr>
            <w:tcW w:w="4713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:rsidR="0097352C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Transpozice práva EU: Číselné označení právních předpisů EU a jejich název v českém znění</w:t>
            </w:r>
            <w:r>
              <w:rPr>
                <w:rStyle w:val="Znakapoznpodarou"/>
                <w:rFonts w:ascii="Arial" w:hAnsi="Arial" w:cs="Arial"/>
                <w:bCs/>
              </w:rPr>
              <w:footnoteReference w:id="1"/>
            </w:r>
          </w:p>
        </w:tc>
        <w:tc>
          <w:tcPr>
            <w:tcW w:w="4713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97352C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Termín stanovený pro implementaci</w:t>
            </w:r>
          </w:p>
        </w:tc>
      </w:tr>
      <w:tr w:rsidR="0097352C" w:rsidTr="004B4A3D">
        <w:trPr>
          <w:jc w:val="center"/>
        </w:trPr>
        <w:tc>
          <w:tcPr>
            <w:tcW w:w="4713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:rsidR="0097352C" w:rsidRPr="007866BE" w:rsidRDefault="0097352C" w:rsidP="00523C2A">
            <w:pPr>
              <w:tabs>
                <w:tab w:val="left" w:pos="6660"/>
              </w:tabs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866BE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866BE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866BE">
              <w:rPr>
                <w:rFonts w:ascii="Arial" w:hAnsi="Arial" w:cs="Arial"/>
                <w:b/>
                <w:bCs/>
              </w:rPr>
            </w:r>
            <w:r w:rsidRPr="007866BE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 xml:space="preserve">2005/60/ES </w:t>
            </w:r>
            <w:r w:rsidRPr="007866BE">
              <w:rPr>
                <w:rFonts w:ascii="Arial" w:hAnsi="Arial" w:cs="Arial"/>
                <w:b/>
                <w:bCs/>
              </w:rPr>
              <w:fldChar w:fldCharType="end"/>
            </w:r>
          </w:p>
          <w:p w:rsidR="0097352C" w:rsidRPr="007866BE" w:rsidRDefault="0097352C" w:rsidP="00523C2A">
            <w:pPr>
              <w:tabs>
                <w:tab w:val="left" w:pos="6660"/>
              </w:tabs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866BE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66BE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866BE">
              <w:rPr>
                <w:rFonts w:ascii="Arial" w:hAnsi="Arial" w:cs="Arial"/>
                <w:b/>
                <w:bCs/>
              </w:rPr>
            </w:r>
            <w:r w:rsidRPr="007866BE">
              <w:rPr>
                <w:rFonts w:ascii="Arial" w:hAnsi="Arial" w:cs="Arial"/>
                <w:b/>
                <w:bCs/>
              </w:rPr>
              <w:fldChar w:fldCharType="separate"/>
            </w:r>
            <w:r w:rsidRPr="00E62961">
              <w:rPr>
                <w:rFonts w:ascii="Arial" w:hAnsi="Arial" w:cs="Arial"/>
                <w:b/>
                <w:bCs/>
                <w:noProof/>
              </w:rPr>
              <w:t xml:space="preserve">o předcházení zneužití finančního systému k praní peněz a financování terorismu, </w:t>
            </w:r>
            <w:r w:rsidRPr="007866BE">
              <w:rPr>
                <w:rFonts w:ascii="Arial" w:hAnsi="Arial" w:cs="Arial"/>
                <w:b/>
                <w:bCs/>
              </w:rPr>
              <w:fldChar w:fldCharType="end"/>
            </w:r>
          </w:p>
          <w:p w:rsidR="0097352C" w:rsidRDefault="0097352C" w:rsidP="00523C2A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866BE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866BE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866BE">
              <w:rPr>
                <w:rFonts w:ascii="Arial" w:hAnsi="Arial" w:cs="Arial"/>
                <w:b/>
                <w:bCs/>
              </w:rPr>
            </w:r>
            <w:r w:rsidRPr="007866BE">
              <w:rPr>
                <w:rFonts w:ascii="Arial" w:hAnsi="Arial" w:cs="Arial"/>
                <w:b/>
                <w:bCs/>
              </w:rPr>
              <w:fldChar w:fldCharType="separate"/>
            </w:r>
            <w:r w:rsidRPr="00E62961">
              <w:rPr>
                <w:rFonts w:ascii="Arial" w:hAnsi="Arial" w:cs="Arial"/>
                <w:b/>
                <w:bCs/>
                <w:noProof/>
              </w:rPr>
              <w:t>ve znění připravované novely (dosud nezveřejněno</w:t>
            </w:r>
            <w:r>
              <w:rPr>
                <w:rFonts w:ascii="Arial" w:hAnsi="Arial" w:cs="Arial"/>
                <w:b/>
                <w:bCs/>
                <w:noProof/>
              </w:rPr>
              <w:t>, termín pro implementaci dosud neurčen</w:t>
            </w:r>
            <w:r w:rsidRPr="00E62961">
              <w:rPr>
                <w:rFonts w:ascii="Arial" w:hAnsi="Arial" w:cs="Arial"/>
                <w:b/>
                <w:bCs/>
                <w:noProof/>
              </w:rPr>
              <w:t>)</w:t>
            </w:r>
            <w:r w:rsidRPr="007866BE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71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97352C" w:rsidRDefault="0097352C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zatím není stanoveno</w:t>
            </w:r>
          </w:p>
        </w:tc>
      </w:tr>
    </w:tbl>
    <w:p w:rsidR="0097352C" w:rsidRDefault="0097352C" w:rsidP="004B4A3D">
      <w:pPr>
        <w:tabs>
          <w:tab w:val="left" w:pos="6660"/>
        </w:tabs>
        <w:spacing w:line="24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II.</w:t>
      </w: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65"/>
      </w:tblGrid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A. Kontext a definice problému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2. Definice problému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jc w:val="both"/>
              <w:rPr>
                <w:rFonts w:ascii="Arial" w:hAnsi="Arial" w:cs="Arial"/>
              </w:rPr>
            </w:pP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instrText xml:space="preserve"> FORMTEXT </w:instrTex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iCs/>
                <w:noProof/>
              </w:rPr>
              <w:t xml:space="preserve">V návaznosti na revizi doporučení FATF připravuje EU návrh novely AML směrnice, kterou bude třeba transponovat do českého právního řádu  </w: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end"/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3. Cíl návrhu právního předpisu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instrText xml:space="preserve"> FORMTEXT </w:instrTex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iCs/>
                <w:noProof/>
              </w:rPr>
              <w:t xml:space="preserve">Transpozice práva EU - </w:t>
            </w:r>
            <w:r w:rsidRPr="008D78D7">
              <w:rPr>
                <w:rFonts w:ascii="Arial" w:hAnsi="Arial" w:cs="Arial"/>
                <w:b/>
                <w:bCs/>
                <w:i/>
                <w:iCs/>
                <w:noProof/>
              </w:rPr>
              <w:t>vytvoření dalších bariér pro praní špinavých peněz a financování terorismu</w: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end"/>
            </w:r>
            <w:r>
              <w:rPr>
                <w:rFonts w:ascii="Arial" w:hAnsi="Arial" w:cs="Arial"/>
                <w:b/>
                <w:bCs/>
                <w:i/>
                <w:iCs/>
              </w:rPr>
              <w:t>.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4. Odůvodnění varianty přípravy legislativního návrhu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before="24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ANO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bookmarkStart w:id="3" w:name="Zaškrtávací3"/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/>
                <w:bCs/>
              </w:rPr>
            </w:r>
            <w:r w:rsidR="002D3B3A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Cs/>
                <w:i/>
              </w:rPr>
              <w:t>Uveďte varianty, které byly zvažovány.</w:t>
            </w:r>
          </w:p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</w:rPr>
              <w:t>NE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bookmarkStart w:id="4" w:name="Zaškrtávací11"/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/>
                <w:bCs/>
              </w:rPr>
            </w:r>
            <w:r w:rsidR="002D3B3A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Cs/>
                <w:i/>
              </w:rPr>
              <w:t xml:space="preserve">Uveďte důvody, proč nemohla být alternativní řešení zvažována. </w:t>
            </w:r>
          </w:p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instrText xml:space="preserve"> FORMTEXT </w:instrTex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separate"/>
            </w:r>
            <w:r w:rsidRPr="005C5197">
              <w:rPr>
                <w:rFonts w:ascii="Arial" w:hAnsi="Arial" w:cs="Arial"/>
                <w:b/>
                <w:bCs/>
                <w:i/>
                <w:iCs/>
                <w:noProof/>
              </w:rPr>
              <w:t>Povinnost transpozice</w: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end"/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směrnice do právního řádu ČR, nelze řešit jinak než legislativní </w:t>
            </w:r>
            <w:r>
              <w:rPr>
                <w:rFonts w:ascii="Arial" w:hAnsi="Arial" w:cs="Arial"/>
                <w:b/>
                <w:bCs/>
                <w:i/>
                <w:iCs/>
              </w:rPr>
              <w:lastRenderedPageBreak/>
              <w:t>cestou.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5. Stanovisko předkladatele k zpracování RIA.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ANO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/>
                <w:bCs/>
              </w:rPr>
            </w:r>
            <w:r w:rsidR="002D3B3A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  <w:i/>
              </w:rPr>
              <w:t xml:space="preserve"> Uveďte varianty, které budou v rámci RIA posuzovány.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</w:p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NE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/>
                <w:bCs/>
              </w:rPr>
            </w:r>
            <w:r w:rsidR="002D3B3A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i/>
              </w:rPr>
              <w:t>Uveďte zdůvodnění, proč nemá být k legislativnímu návrhu RIA zpracována</w:t>
            </w:r>
            <w:r>
              <w:rPr>
                <w:rFonts w:ascii="Arial" w:hAnsi="Arial" w:cs="Arial"/>
              </w:rPr>
              <w:t xml:space="preserve">. </w:t>
            </w:r>
          </w:p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var. </w:t>
            </w:r>
            <w:r w:rsidRPr="0004614D">
              <w:rPr>
                <w:rFonts w:ascii="Arial" w:hAnsi="Arial" w:cs="Arial"/>
                <w:b/>
                <w:bCs/>
              </w:rPr>
              <w:t>1 - zavedení  opatře</w:t>
            </w:r>
            <w:r>
              <w:rPr>
                <w:rFonts w:ascii="Arial" w:hAnsi="Arial" w:cs="Arial"/>
                <w:b/>
                <w:bCs/>
              </w:rPr>
              <w:t>ní podle povinného předpisu EU v plném rozsahu</w:t>
            </w:r>
          </w:p>
          <w:p w:rsidR="0097352C" w:rsidRPr="0004614D" w:rsidRDefault="0097352C" w:rsidP="00E16DAF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var. 2 – zavedení opatření podle povinného předpisu EU pouze v rozsahu odpovídajícím souladu s FATF doporučeními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99CCFF"/>
            <w:vAlign w:val="bottom"/>
          </w:tcPr>
          <w:p w:rsidR="0097352C" w:rsidRDefault="0097352C" w:rsidP="00523C2A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6. Přijetí prováděcích právních předpisů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ANO  </w:t>
            </w:r>
            <w:bookmarkStart w:id="5" w:name="Zaškrtávací12"/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5"/>
            <w:r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 w:rsidP="00B10208">
            <w:pPr>
              <w:tabs>
                <w:tab w:val="left" w:pos="6660"/>
              </w:tabs>
              <w:spacing w:line="240" w:lineRule="auto"/>
              <w:jc w:val="both"/>
              <w:rPr>
                <w:rFonts w:ascii="Arial" w:hAnsi="Arial" w:cs="Arial"/>
                <w:i/>
              </w:rPr>
            </w:pPr>
            <w:r w:rsidRPr="0004614D">
              <w:rPr>
                <w:rFonts w:ascii="Arial" w:hAnsi="Arial" w:cs="Arial"/>
                <w:b/>
                <w:bCs/>
                <w:i/>
                <w:iCs/>
              </w:rPr>
              <w:t>Novela vyhlášky č. 281/2008 Sb., o některých požadavcích na systém vnitřních zásad, postupů a kontrolních opatření proti legalizaci výnosů z trestné činnosti a financování terorismu. Upřesňuje povinnosti vůči subjektům dozorovaným ČNB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(j</w:t>
            </w:r>
            <w:r w:rsidRPr="0004614D">
              <w:rPr>
                <w:rFonts w:ascii="Arial" w:hAnsi="Arial" w:cs="Arial"/>
                <w:b/>
                <w:bCs/>
                <w:i/>
                <w:iCs/>
              </w:rPr>
              <w:t>de o předpis v gesci ČNB)</w:t>
            </w:r>
            <w:r>
              <w:rPr>
                <w:rFonts w:ascii="Arial" w:hAnsi="Arial" w:cs="Arial"/>
                <w:b/>
                <w:bCs/>
                <w:i/>
                <w:iCs/>
              </w:rPr>
              <w:t>.</w:t>
            </w:r>
          </w:p>
        </w:tc>
      </w:tr>
    </w:tbl>
    <w:p w:rsidR="0097352C" w:rsidRDefault="0097352C" w:rsidP="004B4A3D">
      <w:pPr>
        <w:spacing w:line="240" w:lineRule="auto"/>
        <w:rPr>
          <w:rFonts w:ascii="Arial" w:hAnsi="Arial" w:cs="Arial"/>
        </w:rPr>
      </w:pP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65"/>
      </w:tblGrid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B. Hodnocení dopadů – procesní stránka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7. Dotčené subjekty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instrText xml:space="preserve"> FORMTEXT </w:instrTex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iCs/>
              </w:rPr>
              <w:t>P</w:t>
            </w:r>
            <w:r>
              <w:rPr>
                <w:rFonts w:ascii="Arial" w:hAnsi="Arial" w:cs="Arial"/>
                <w:b/>
                <w:bCs/>
                <w:i/>
                <w:iCs/>
                <w:noProof/>
              </w:rPr>
              <w:t xml:space="preserve">odnikatelské subjekty ("povinné osoby") v rozsahu § 2 zákona č. 253/2008 Sb., státní orgány v rozsahu části třetí uvedeného zákona. </w: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end"/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8. Konzultace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instrText xml:space="preserve"> FORMTEXT </w:instrTex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iCs/>
              </w:rPr>
              <w:t>B</w:t>
            </w:r>
            <w:r>
              <w:rPr>
                <w:rFonts w:ascii="Arial" w:hAnsi="Arial" w:cs="Arial"/>
                <w:b/>
                <w:bCs/>
                <w:i/>
                <w:iCs/>
                <w:noProof/>
              </w:rPr>
              <w:t>udou provedeny zejména s asociacemi a komorami příslušných profesních sdružení</w: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end"/>
            </w:r>
            <w:r>
              <w:rPr>
                <w:rFonts w:ascii="Arial" w:hAnsi="Arial" w:cs="Arial"/>
                <w:b/>
                <w:bCs/>
                <w:i/>
                <w:iCs/>
              </w:rPr>
              <w:t>, ze státních orgánů zejména ČNB, GŘC, MS, MV a MPO.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 xml:space="preserve">9. Dostupná data a zdroje statistik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Pr="00A72535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</w:rPr>
            </w:pPr>
            <w:r w:rsidRPr="00A72535">
              <w:rPr>
                <w:rFonts w:ascii="Arial" w:hAnsi="Arial" w:cs="Arial"/>
                <w:b/>
                <w:bCs/>
                <w:i/>
              </w:rPr>
              <w:t>Dokumentace Finančního analytického útvaru MF a ČNB, statistiky GŘC, MV a MS.</w:t>
            </w:r>
          </w:p>
        </w:tc>
      </w:tr>
    </w:tbl>
    <w:p w:rsidR="0097352C" w:rsidRDefault="0097352C" w:rsidP="004B4A3D">
      <w:pPr>
        <w:spacing w:line="240" w:lineRule="auto"/>
        <w:rPr>
          <w:rFonts w:ascii="Arial" w:hAnsi="Arial" w:cs="Arial"/>
        </w:rPr>
      </w:pP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65"/>
      </w:tblGrid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C. Charakteristika specifických dopadů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10.1 Dopady na státní rozpočet a ostatní veřejné rozpočty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ANO   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 w:rsidP="002D5C7E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 xml:space="preserve">10.2 Dopady na mezinárodní konkurenceschopnost ČR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ANO   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04614D">
              <w:rPr>
                <w:rFonts w:ascii="Arial" w:hAnsi="Arial" w:cs="Arial"/>
                <w:b/>
                <w:bCs/>
                <w:i/>
                <w:iCs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04614D">
              <w:rPr>
                <w:rFonts w:ascii="Arial" w:hAnsi="Arial" w:cs="Arial"/>
                <w:b/>
                <w:bCs/>
                <w:i/>
                <w:iCs/>
              </w:rPr>
              <w:instrText xml:space="preserve"> FORMTEXT </w:instrText>
            </w:r>
            <w:r w:rsidRPr="0004614D">
              <w:rPr>
                <w:rFonts w:ascii="Arial" w:hAnsi="Arial" w:cs="Arial"/>
                <w:b/>
                <w:bCs/>
                <w:i/>
                <w:iCs/>
              </w:rPr>
            </w:r>
            <w:r w:rsidRPr="0004614D">
              <w:rPr>
                <w:rFonts w:ascii="Arial" w:hAnsi="Arial" w:cs="Arial"/>
                <w:b/>
                <w:bCs/>
                <w:i/>
                <w:iCs/>
              </w:rPr>
              <w:fldChar w:fldCharType="separate"/>
            </w:r>
            <w:r w:rsidRPr="0004614D">
              <w:rPr>
                <w:rFonts w:ascii="Arial" w:hAnsi="Arial" w:cs="Arial"/>
                <w:b/>
                <w:bCs/>
                <w:i/>
                <w:iCs/>
              </w:rPr>
              <w:t xml:space="preserve">V případě neprovedení nebo opožděné transpozice 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zejména s ohledem na plnění klíčových doporučení FATF </w:t>
            </w:r>
            <w:r w:rsidRPr="0004614D">
              <w:rPr>
                <w:rFonts w:ascii="Arial" w:hAnsi="Arial" w:cs="Arial"/>
                <w:b/>
                <w:bCs/>
                <w:i/>
                <w:iCs/>
              </w:rPr>
              <w:t>omezení přístupu na finanční trhy</w:t>
            </w:r>
            <w:r w:rsidRPr="0004614D">
              <w:rPr>
                <w:rFonts w:ascii="Arial" w:hAnsi="Arial" w:cs="Arial"/>
                <w:b/>
                <w:bCs/>
                <w:i/>
                <w:iCs/>
              </w:rPr>
              <w:fldChar w:fldCharType="end"/>
            </w:r>
            <w:r>
              <w:rPr>
                <w:rFonts w:ascii="Arial" w:hAnsi="Arial" w:cs="Arial"/>
                <w:b/>
                <w:bCs/>
                <w:i/>
                <w:iCs/>
              </w:rPr>
              <w:t>.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10.3 Dopady na podnikatelské subjekty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ANO   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instrText xml:space="preserve"> FORMTEXT </w:instrTex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iCs/>
              </w:rPr>
              <w:t>P</w:t>
            </w:r>
            <w:r>
              <w:rPr>
                <w:rFonts w:ascii="Arial" w:hAnsi="Arial" w:cs="Arial"/>
                <w:b/>
                <w:bCs/>
                <w:i/>
                <w:iCs/>
                <w:noProof/>
              </w:rPr>
              <w:t>ředpokládají se některé nové povinnosti pro povinné osoby, zejména provádění hodnocení AML/CFT rizik a opatření proti šíření ZHN</w:t>
            </w:r>
            <w:r w:rsidRPr="007866BE">
              <w:rPr>
                <w:rFonts w:ascii="Arial" w:hAnsi="Arial" w:cs="Arial"/>
                <w:b/>
                <w:bCs/>
                <w:i/>
                <w:iCs/>
              </w:rPr>
              <w:fldChar w:fldCharType="end"/>
            </w:r>
            <w:r>
              <w:rPr>
                <w:rFonts w:ascii="Arial" w:hAnsi="Arial" w:cs="Arial"/>
                <w:b/>
                <w:bCs/>
                <w:i/>
                <w:iCs/>
              </w:rPr>
              <w:t>.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 xml:space="preserve">10.4 Dopady na územní samosprávné celky (obce, kraje)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ANO   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10.5 Sociální dopady 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ANO   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 w:rsidP="006239C8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10.6 Dopady na spotřebitele 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ANO   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52C" w:rsidRDefault="0097352C" w:rsidP="00152105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U některých finančních služeb bude vyžadováno poskytování více informací ze strany klienta, ať už PO nebo FO.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10.7 Dopady na životní prostředí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ANO   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right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10.8 Dopady ve vztahu k zákazu diskriminace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/>
                <w:bCs/>
              </w:rPr>
            </w:r>
            <w:r w:rsidR="002D3B3A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ANO   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NE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9CC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10.9 Dopady na výkon státní statistické služby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ANO   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FORMCHECKBOX </w:instrText>
            </w:r>
            <w:r w:rsidR="002D3B3A">
              <w:rPr>
                <w:rFonts w:ascii="Arial" w:hAnsi="Arial" w:cs="Arial"/>
                <w:bCs/>
              </w:rPr>
            </w:r>
            <w:r w:rsidR="002D3B3A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97352C" w:rsidTr="004B4A3D">
        <w:trPr>
          <w:jc w:val="center"/>
        </w:trPr>
        <w:tc>
          <w:tcPr>
            <w:tcW w:w="946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</w:p>
        </w:tc>
      </w:tr>
    </w:tbl>
    <w:p w:rsidR="0097352C" w:rsidRDefault="0097352C" w:rsidP="004B4A3D">
      <w:pPr>
        <w:tabs>
          <w:tab w:val="left" w:pos="6660"/>
        </w:tabs>
        <w:spacing w:line="240" w:lineRule="auto"/>
        <w:rPr>
          <w:rFonts w:ascii="Arial" w:hAnsi="Arial" w:cs="Arial"/>
        </w:rPr>
      </w:pPr>
    </w:p>
    <w:tbl>
      <w:tblPr>
        <w:tblW w:w="943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430"/>
      </w:tblGrid>
      <w:tr w:rsidR="0097352C" w:rsidTr="004B4A3D">
        <w:trPr>
          <w:trHeight w:val="1266"/>
          <w:jc w:val="center"/>
        </w:trPr>
        <w:tc>
          <w:tcPr>
            <w:tcW w:w="9430" w:type="dxa"/>
            <w:tcBorders>
              <w:top w:val="single" w:sz="12" w:space="0" w:color="auto"/>
              <w:bottom w:val="single" w:sz="12" w:space="0" w:color="auto"/>
            </w:tcBorders>
          </w:tcPr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11. Kontakty na zpracovatele</w:t>
            </w:r>
          </w:p>
          <w:p w:rsidR="0097352C" w:rsidRPr="002D5C7E" w:rsidRDefault="0097352C" w:rsidP="002D5C7E">
            <w:pPr>
              <w:numPr>
                <w:ilvl w:val="0"/>
                <w:numId w:val="1"/>
              </w:numPr>
              <w:tabs>
                <w:tab w:val="left" w:pos="6660"/>
              </w:tabs>
              <w:spacing w:before="120"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Mgr. </w:t>
            </w:r>
            <w:r w:rsidRPr="002D5C7E">
              <w:rPr>
                <w:rFonts w:ascii="Arial" w:hAnsi="Arial" w:cs="Arial"/>
              </w:rPr>
              <w:t>Michaela Kolářová, referent 24</w:t>
            </w:r>
            <w:r>
              <w:rPr>
                <w:rFonts w:ascii="Arial" w:hAnsi="Arial" w:cs="Arial"/>
              </w:rPr>
              <w:t>0</w:t>
            </w:r>
            <w:r w:rsidRPr="002D5C7E">
              <w:rPr>
                <w:rFonts w:ascii="Arial" w:hAnsi="Arial" w:cs="Arial"/>
              </w:rPr>
              <w:t>1, tel. 257 044 516, Michaela.Kolarova@mfcr.cz</w:t>
            </w:r>
          </w:p>
          <w:p w:rsidR="0097352C" w:rsidRDefault="0097352C" w:rsidP="002D5C7E">
            <w:pPr>
              <w:numPr>
                <w:ilvl w:val="0"/>
                <w:numId w:val="1"/>
              </w:numPr>
              <w:tabs>
                <w:tab w:val="left" w:pos="6660"/>
              </w:tabs>
              <w:spacing w:before="120"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Mgr. </w:t>
            </w:r>
            <w:r w:rsidRPr="002D5C7E">
              <w:rPr>
                <w:rFonts w:ascii="Arial" w:hAnsi="Arial" w:cs="Arial"/>
              </w:rPr>
              <w:t>Jiří Tvrdý, ZŘO24+VO24</w:t>
            </w:r>
            <w:r>
              <w:rPr>
                <w:rFonts w:ascii="Arial" w:hAnsi="Arial" w:cs="Arial"/>
              </w:rPr>
              <w:t>0</w:t>
            </w:r>
            <w:r w:rsidRPr="002D5C7E">
              <w:rPr>
                <w:rFonts w:ascii="Arial" w:hAnsi="Arial" w:cs="Arial"/>
              </w:rPr>
              <w:t>1, tel. 257 044 533, Jiri.Tvrdy@mfcr.cz</w:t>
            </w:r>
          </w:p>
          <w:p w:rsidR="0097352C" w:rsidRDefault="0097352C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</w:p>
        </w:tc>
      </w:tr>
    </w:tbl>
    <w:p w:rsidR="0097352C" w:rsidRDefault="0097352C" w:rsidP="004B4A3D">
      <w:pPr>
        <w:tabs>
          <w:tab w:val="left" w:pos="6660"/>
        </w:tabs>
        <w:spacing w:before="120" w:after="120" w:line="240" w:lineRule="auto"/>
      </w:pPr>
    </w:p>
    <w:p w:rsidR="0097352C" w:rsidRPr="002D5C7E" w:rsidRDefault="0097352C" w:rsidP="002D5C7E">
      <w:pPr>
        <w:tabs>
          <w:tab w:val="left" w:pos="6660"/>
        </w:tabs>
        <w:spacing w:before="120" w:after="120" w:line="240" w:lineRule="auto"/>
        <w:jc w:val="both"/>
        <w:rPr>
          <w:rFonts w:ascii="Arial" w:hAnsi="Arial" w:cs="Arial"/>
        </w:rPr>
      </w:pPr>
      <w:r w:rsidRPr="002D5C7E">
        <w:rPr>
          <w:rFonts w:ascii="Arial" w:hAnsi="Arial" w:cs="Arial"/>
        </w:rPr>
        <w:t xml:space="preserve">Pozn. </w:t>
      </w:r>
    </w:p>
    <w:p w:rsidR="0097352C" w:rsidRPr="004A3BC2" w:rsidRDefault="0097352C" w:rsidP="002D5C7E">
      <w:pPr>
        <w:tabs>
          <w:tab w:val="left" w:pos="6660"/>
        </w:tabs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2D5C7E">
        <w:rPr>
          <w:rFonts w:ascii="Arial" w:hAnsi="Arial" w:cs="Arial"/>
        </w:rPr>
        <w:t xml:space="preserve">Podrobnosti je problematické blíže specifikovat, neboť </w:t>
      </w:r>
      <w:r>
        <w:rPr>
          <w:rFonts w:ascii="Arial" w:hAnsi="Arial" w:cs="Arial"/>
        </w:rPr>
        <w:t>příslušné orgány EU návrh novely AML směrnice dosud připravují (podle předpokladů by měla být vydána cca v polovině r. 2014). Nicméně zahájení prací na transpozici (s ohledem na požadavky FATF) bude nutné již v r. 2014, proto Ministerstvo financí přistoupilo k předběžnému zařazení novely uvedeného zákona do PLPV již na tento rok. Nelze vyloučit, že v návaznosti na průběh legislativních prací na úrovni EU bude třeba termíny uvedené v tabulce ještě modifikovat.</w:t>
      </w:r>
    </w:p>
    <w:p w:rsidR="0097352C" w:rsidRDefault="0097352C"/>
    <w:sectPr w:rsidR="0097352C" w:rsidSect="008E7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52C" w:rsidRDefault="0097352C" w:rsidP="004B4A3D">
      <w:pPr>
        <w:spacing w:after="0" w:line="240" w:lineRule="auto"/>
      </w:pPr>
      <w:r>
        <w:separator/>
      </w:r>
    </w:p>
  </w:endnote>
  <w:endnote w:type="continuationSeparator" w:id="0">
    <w:p w:rsidR="0097352C" w:rsidRDefault="0097352C" w:rsidP="004B4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52C" w:rsidRDefault="0097352C" w:rsidP="004B4A3D">
      <w:pPr>
        <w:spacing w:after="0" w:line="240" w:lineRule="auto"/>
      </w:pPr>
      <w:r>
        <w:separator/>
      </w:r>
    </w:p>
  </w:footnote>
  <w:footnote w:type="continuationSeparator" w:id="0">
    <w:p w:rsidR="0097352C" w:rsidRDefault="0097352C" w:rsidP="004B4A3D">
      <w:pPr>
        <w:spacing w:after="0" w:line="240" w:lineRule="auto"/>
      </w:pPr>
      <w:r>
        <w:continuationSeparator/>
      </w:r>
    </w:p>
  </w:footnote>
  <w:footnote w:id="1">
    <w:p w:rsidR="0097352C" w:rsidRDefault="0097352C" w:rsidP="004B4A3D">
      <w:pPr>
        <w:pStyle w:val="Textpoznpodarou"/>
      </w:pPr>
      <w:r>
        <w:rPr>
          <w:rStyle w:val="Znakapoznpodarou"/>
        </w:rPr>
        <w:footnoteRef/>
      </w:r>
      <w:r>
        <w:t xml:space="preserve"> V případě, že se jedná o směrnici přijatou legislativním postupem, u které může být postupováno podle čl. 260 odst. 3 Smlouvy o fungování EU, tato skutečnost se výslovně uvede.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838B0"/>
    <w:multiLevelType w:val="hybridMultilevel"/>
    <w:tmpl w:val="3946A346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A3D"/>
    <w:rsid w:val="00042EC6"/>
    <w:rsid w:val="0004614D"/>
    <w:rsid w:val="00152105"/>
    <w:rsid w:val="001E2717"/>
    <w:rsid w:val="0027434D"/>
    <w:rsid w:val="002D3B3A"/>
    <w:rsid w:val="002D5C7E"/>
    <w:rsid w:val="003C4341"/>
    <w:rsid w:val="004010AE"/>
    <w:rsid w:val="004A3BC2"/>
    <w:rsid w:val="004B4A3D"/>
    <w:rsid w:val="004D4CBE"/>
    <w:rsid w:val="00523C2A"/>
    <w:rsid w:val="005618EF"/>
    <w:rsid w:val="00587295"/>
    <w:rsid w:val="005C5197"/>
    <w:rsid w:val="005E1612"/>
    <w:rsid w:val="006239C8"/>
    <w:rsid w:val="007866BE"/>
    <w:rsid w:val="007C184B"/>
    <w:rsid w:val="008C22BD"/>
    <w:rsid w:val="008D43DB"/>
    <w:rsid w:val="008D78D7"/>
    <w:rsid w:val="008E7537"/>
    <w:rsid w:val="009364C6"/>
    <w:rsid w:val="0097352C"/>
    <w:rsid w:val="00A235F2"/>
    <w:rsid w:val="00A72535"/>
    <w:rsid w:val="00AA3C49"/>
    <w:rsid w:val="00B10208"/>
    <w:rsid w:val="00B2387D"/>
    <w:rsid w:val="00B41BBE"/>
    <w:rsid w:val="00B5439E"/>
    <w:rsid w:val="00B85E65"/>
    <w:rsid w:val="00C70A68"/>
    <w:rsid w:val="00CC0128"/>
    <w:rsid w:val="00DC644B"/>
    <w:rsid w:val="00E16DAF"/>
    <w:rsid w:val="00E6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4A3D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4B4A3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4B4A3D"/>
    <w:rPr>
      <w:rFonts w:ascii="Calibri" w:hAnsi="Calibri" w:cs="Calibr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4B4A3D"/>
    <w:rPr>
      <w:rFonts w:ascii="Times New Roman" w:hAnsi="Times New Roman"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4A3D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4B4A3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4B4A3D"/>
    <w:rPr>
      <w:rFonts w:ascii="Calibri" w:hAnsi="Calibri" w:cs="Calibr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4B4A3D"/>
    <w:rPr>
      <w:rFonts w:ascii="Times New Roman" w:hAnsi="Times New Roman"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22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4182</Characters>
  <Application>Microsoft Office Word</Application>
  <DocSecurity>0</DocSecurity>
  <Lines>34</Lines>
  <Paragraphs>9</Paragraphs>
  <ScaleCrop>false</ScaleCrop>
  <Company>Microsoft</Company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dopadů návrhu právního předpisu pro zdůvodnění na zařazení návrhu do Plánu legislativních prací vlády na zbývající část roku 2014 a Výhledu legislativních prací vlády na léta 2015 až 2017</dc:title>
  <dc:creator>Kolářová Michaela Mgr.</dc:creator>
  <cp:lastModifiedBy>Pecka Aleš</cp:lastModifiedBy>
  <cp:revision>2</cp:revision>
  <dcterms:created xsi:type="dcterms:W3CDTF">2014-03-27T09:25:00Z</dcterms:created>
  <dcterms:modified xsi:type="dcterms:W3CDTF">2014-03-27T09:25:00Z</dcterms:modified>
</cp:coreProperties>
</file>