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D4" w:rsidRPr="00DF0A4F" w:rsidRDefault="00C205D4" w:rsidP="0063666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DF0A4F">
        <w:rPr>
          <w:rFonts w:ascii="Arial" w:hAnsi="Arial" w:cs="Arial"/>
          <w:sz w:val="24"/>
          <w:szCs w:val="24"/>
          <w:u w:val="single"/>
        </w:rPr>
        <w:t xml:space="preserve">Příloha č. </w:t>
      </w:r>
      <w:r w:rsidR="00F32C99" w:rsidRPr="00DF0A4F">
        <w:rPr>
          <w:rFonts w:ascii="Arial" w:hAnsi="Arial" w:cs="Arial"/>
          <w:sz w:val="24"/>
          <w:szCs w:val="24"/>
          <w:u w:val="single"/>
        </w:rPr>
        <w:t>5</w:t>
      </w:r>
    </w:p>
    <w:p w:rsidR="00D06C40" w:rsidRPr="00DF0A4F" w:rsidRDefault="00DF0A4F" w:rsidP="0063666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Rozbor zasedání pracovní komise Legislativní rady vlády pro hodnocení dopadů regulace (RIA) a hodnocení projednávaných návrhů právních předpisů v roce 2014</w:t>
      </w:r>
    </w:p>
    <w:p w:rsidR="00C205D4" w:rsidRDefault="00C205D4" w:rsidP="00636660">
      <w:pPr>
        <w:spacing w:line="240" w:lineRule="auto"/>
        <w:jc w:val="center"/>
        <w:rPr>
          <w:rFonts w:cs="Calibri"/>
          <w:b/>
          <w:sz w:val="36"/>
          <w:szCs w:val="36"/>
        </w:rPr>
      </w:pPr>
    </w:p>
    <w:p w:rsidR="00E1236E" w:rsidRPr="004A5006" w:rsidRDefault="00DF0A4F" w:rsidP="0063666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Pracovní k</w:t>
      </w:r>
      <w:r w:rsidR="00E1236E" w:rsidRPr="00DF0A4F">
        <w:rPr>
          <w:rFonts w:ascii="Arial" w:hAnsi="Arial" w:cs="Arial"/>
          <w:sz w:val="24"/>
          <w:szCs w:val="24"/>
        </w:rPr>
        <w:t xml:space="preserve">omise </w:t>
      </w:r>
      <w:r>
        <w:rPr>
          <w:rFonts w:ascii="Arial" w:hAnsi="Arial" w:cs="Arial"/>
          <w:sz w:val="24"/>
          <w:szCs w:val="24"/>
        </w:rPr>
        <w:t xml:space="preserve">Legislativní rady vlády </w:t>
      </w:r>
      <w:r w:rsidR="00E1236E" w:rsidRPr="00DF0A4F">
        <w:rPr>
          <w:rFonts w:ascii="Arial" w:hAnsi="Arial" w:cs="Arial"/>
          <w:sz w:val="24"/>
          <w:szCs w:val="24"/>
        </w:rPr>
        <w:t>pro hodnocení dopadů regulace (dále jen „Komise RIA“) byla ustavena v listopadu 2011. Jejím posláním je institucionální zajištění procesu přezkumu kvality hodnocení dopadů navrhované regulace (</w:t>
      </w:r>
      <w:r w:rsidR="00E1236E" w:rsidRPr="00DF0A4F">
        <w:rPr>
          <w:rFonts w:ascii="Arial" w:hAnsi="Arial" w:cs="Arial"/>
          <w:i/>
          <w:sz w:val="24"/>
          <w:szCs w:val="24"/>
        </w:rPr>
        <w:t>regulatory impact assessment,</w:t>
      </w:r>
      <w:r w:rsidR="00E1236E" w:rsidRPr="00DF0A4F">
        <w:rPr>
          <w:rFonts w:ascii="Arial" w:hAnsi="Arial" w:cs="Arial"/>
          <w:sz w:val="24"/>
          <w:szCs w:val="24"/>
        </w:rPr>
        <w:t xml:space="preserve"> zkráceně RIA) předkládaných k návrh</w:t>
      </w:r>
      <w:r>
        <w:rPr>
          <w:rFonts w:ascii="Arial" w:hAnsi="Arial" w:cs="Arial"/>
          <w:sz w:val="24"/>
          <w:szCs w:val="24"/>
        </w:rPr>
        <w:t>ům právních předpisů na úrovni vlády,</w:t>
      </w:r>
      <w:r w:rsidR="00E1236E" w:rsidRPr="00DF0A4F">
        <w:rPr>
          <w:rFonts w:ascii="Arial" w:hAnsi="Arial" w:cs="Arial"/>
          <w:sz w:val="24"/>
          <w:szCs w:val="24"/>
        </w:rPr>
        <w:t xml:space="preserve"> tj. </w:t>
      </w:r>
      <w:r>
        <w:rPr>
          <w:rFonts w:ascii="Arial" w:hAnsi="Arial" w:cs="Arial"/>
          <w:sz w:val="24"/>
          <w:szCs w:val="24"/>
        </w:rPr>
        <w:t xml:space="preserve">návrhů věcných záměrů zákonů, </w:t>
      </w:r>
      <w:r w:rsidR="00E1236E" w:rsidRPr="00DF0A4F">
        <w:rPr>
          <w:rFonts w:ascii="Arial" w:hAnsi="Arial" w:cs="Arial"/>
          <w:sz w:val="24"/>
          <w:szCs w:val="24"/>
        </w:rPr>
        <w:t xml:space="preserve">návrhů zákonů a nařízení vlády (dále jen „právní předpisy“). Komise RIA byla ustavena mj. v reakci na doporučení OECD členským </w:t>
      </w:r>
      <w:r w:rsidR="00E1236E" w:rsidRPr="004A5006">
        <w:rPr>
          <w:rFonts w:ascii="Arial" w:hAnsi="Arial" w:cs="Arial"/>
          <w:sz w:val="24"/>
          <w:szCs w:val="24"/>
        </w:rPr>
        <w:t xml:space="preserve">státům ohledně ustavení mechanismů a institucí pro aktivní provádění nezávislé kontroly předkládaných právních předpisů z hlediska kvality hodnocení jejich dopadů a identifikaci případných nedostatků. </w:t>
      </w:r>
    </w:p>
    <w:p w:rsidR="007229DD" w:rsidRPr="00DF0A4F" w:rsidRDefault="007229DD" w:rsidP="0063666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F0A4F">
        <w:rPr>
          <w:rFonts w:ascii="Arial" w:hAnsi="Arial" w:cs="Arial"/>
          <w:sz w:val="24"/>
          <w:szCs w:val="24"/>
        </w:rPr>
        <w:t>Komise RIA v uplynulých 3 letech svého působení měla ambici přispět</w:t>
      </w:r>
      <w:r w:rsidR="00AA4E7E">
        <w:rPr>
          <w:rFonts w:ascii="Arial" w:hAnsi="Arial" w:cs="Arial"/>
          <w:sz w:val="24"/>
          <w:szCs w:val="24"/>
        </w:rPr>
        <w:t xml:space="preserve"> ke zlepšení </w:t>
      </w:r>
      <w:r w:rsidRPr="00DF0A4F">
        <w:rPr>
          <w:rFonts w:ascii="Arial" w:hAnsi="Arial" w:cs="Arial"/>
          <w:sz w:val="24"/>
          <w:szCs w:val="24"/>
        </w:rPr>
        <w:t xml:space="preserve">analýzy celospolečenských dopadů nově navrhovaných právních předpisů. Prostřednictvím kvalitativní kontroly zpracovávaných RIA se Komise RIA nepřímo snaží přispět i ke změně kultury legislativního procesu v proces založený jednak na transparentnosti směrem k „příjemcům“ regulace, a jednak na kvalitní analýze řešeného problému. </w:t>
      </w:r>
    </w:p>
    <w:p w:rsidR="007229DD" w:rsidRPr="00DF0A4F" w:rsidRDefault="007229DD" w:rsidP="00636660">
      <w:pPr>
        <w:spacing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DF0A4F">
        <w:rPr>
          <w:rFonts w:ascii="Arial" w:hAnsi="Arial" w:cs="Arial"/>
          <w:b/>
          <w:sz w:val="24"/>
          <w:szCs w:val="24"/>
        </w:rPr>
        <w:t>Komise RIA</w:t>
      </w:r>
      <w:r w:rsidRPr="00DF0A4F">
        <w:rPr>
          <w:rFonts w:ascii="Arial" w:hAnsi="Arial" w:cs="Arial"/>
          <w:sz w:val="24"/>
          <w:szCs w:val="24"/>
        </w:rPr>
        <w:t xml:space="preserve"> </w:t>
      </w:r>
      <w:r w:rsidRPr="00DF0A4F">
        <w:rPr>
          <w:rFonts w:ascii="Arial" w:hAnsi="Arial" w:cs="Arial"/>
          <w:b/>
          <w:sz w:val="24"/>
          <w:szCs w:val="24"/>
        </w:rPr>
        <w:t>v roce 2014</w:t>
      </w:r>
      <w:r w:rsidRPr="00DF0A4F">
        <w:rPr>
          <w:rFonts w:ascii="Arial" w:hAnsi="Arial" w:cs="Arial"/>
          <w:sz w:val="24"/>
          <w:szCs w:val="24"/>
        </w:rPr>
        <w:t xml:space="preserve"> </w:t>
      </w:r>
      <w:r w:rsidRPr="00DF0A4F">
        <w:rPr>
          <w:rFonts w:ascii="Arial" w:hAnsi="Arial" w:cs="Arial"/>
          <w:b/>
          <w:sz w:val="24"/>
          <w:szCs w:val="24"/>
        </w:rPr>
        <w:t xml:space="preserve">projednala celkem 65 závěrečných zpráv RIA </w:t>
      </w:r>
      <w:r w:rsidRPr="004A5006">
        <w:rPr>
          <w:rFonts w:ascii="Arial" w:hAnsi="Arial" w:cs="Arial"/>
          <w:sz w:val="24"/>
          <w:szCs w:val="24"/>
        </w:rPr>
        <w:t xml:space="preserve">k návrhům </w:t>
      </w:r>
      <w:r w:rsidR="00AA4E7E">
        <w:rPr>
          <w:rFonts w:ascii="Arial" w:hAnsi="Arial" w:cs="Arial"/>
          <w:sz w:val="24"/>
          <w:szCs w:val="24"/>
        </w:rPr>
        <w:t xml:space="preserve">právních předpisů a v rámci zasedání bylo dále projednáno </w:t>
      </w:r>
      <w:r w:rsidRPr="004A5006">
        <w:rPr>
          <w:rFonts w:ascii="Arial" w:hAnsi="Arial" w:cs="Arial"/>
          <w:sz w:val="24"/>
          <w:szCs w:val="24"/>
        </w:rPr>
        <w:t>9 návrhů závěrečných</w:t>
      </w:r>
      <w:r w:rsidRPr="00DF0A4F">
        <w:rPr>
          <w:rFonts w:ascii="Arial" w:hAnsi="Arial" w:cs="Arial"/>
          <w:sz w:val="24"/>
          <w:szCs w:val="24"/>
        </w:rPr>
        <w:t xml:space="preserve"> zpráv RIA</w:t>
      </w:r>
      <w:r w:rsidR="00AA4E7E">
        <w:rPr>
          <w:rFonts w:ascii="Arial" w:hAnsi="Arial" w:cs="Arial"/>
          <w:sz w:val="24"/>
          <w:szCs w:val="24"/>
        </w:rPr>
        <w:t xml:space="preserve"> k návrhům vyhlášek</w:t>
      </w:r>
      <w:r w:rsidRPr="00DF0A4F">
        <w:rPr>
          <w:rFonts w:ascii="Arial" w:hAnsi="Arial" w:cs="Arial"/>
          <w:sz w:val="24"/>
          <w:szCs w:val="24"/>
        </w:rPr>
        <w:t>. Ostatní návrhy byly projednávány per rollam a p</w:t>
      </w:r>
      <w:r w:rsidR="000A417C">
        <w:rPr>
          <w:rFonts w:ascii="Arial" w:hAnsi="Arial" w:cs="Arial"/>
          <w:sz w:val="24"/>
          <w:szCs w:val="24"/>
        </w:rPr>
        <w:t xml:space="preserve">ředevším v rámci </w:t>
      </w:r>
      <w:r w:rsidRPr="00DF0A4F">
        <w:rPr>
          <w:rFonts w:ascii="Arial" w:hAnsi="Arial" w:cs="Arial"/>
          <w:sz w:val="24"/>
          <w:szCs w:val="24"/>
        </w:rPr>
        <w:t>připomínkového řízení anebo připomínkovány oddělením pro koordinaci procesu RIA jako sekretariátem Komise RIA. Tato skutečnost vyplývá z logiky projednávání návrhu vyhlášek, které jsou primárně projednávány pouze v</w:t>
      </w:r>
      <w:r w:rsidR="000A417C">
        <w:rPr>
          <w:rFonts w:ascii="Arial" w:hAnsi="Arial" w:cs="Arial"/>
          <w:sz w:val="24"/>
          <w:szCs w:val="24"/>
        </w:rPr>
        <w:t xml:space="preserve"> pracovních </w:t>
      </w:r>
      <w:r w:rsidRPr="00DF0A4F">
        <w:rPr>
          <w:rFonts w:ascii="Arial" w:hAnsi="Arial" w:cs="Arial"/>
          <w:sz w:val="24"/>
          <w:szCs w:val="24"/>
        </w:rPr>
        <w:t>komisích LRV, nikoliv schvalovány vládou, a proto zásadní připomínky k odůvodnění je důležité uplatnit ještě</w:t>
      </w:r>
      <w:r w:rsidRPr="00DF0A4F">
        <w:rPr>
          <w:rFonts w:ascii="Arial" w:hAnsi="Arial" w:cs="Arial"/>
          <w:iCs/>
          <w:sz w:val="24"/>
          <w:szCs w:val="24"/>
        </w:rPr>
        <w:t xml:space="preserve"> </w:t>
      </w:r>
      <w:r w:rsidR="000A417C">
        <w:rPr>
          <w:rFonts w:ascii="Arial" w:hAnsi="Arial" w:cs="Arial"/>
          <w:sz w:val="24"/>
          <w:szCs w:val="24"/>
        </w:rPr>
        <w:t>v rámci</w:t>
      </w:r>
      <w:r w:rsidRPr="00DF0A4F">
        <w:rPr>
          <w:rFonts w:ascii="Arial" w:hAnsi="Arial" w:cs="Arial"/>
          <w:sz w:val="24"/>
          <w:szCs w:val="24"/>
        </w:rPr>
        <w:t xml:space="preserve"> připomínkového řízení. </w:t>
      </w:r>
    </w:p>
    <w:p w:rsidR="001D4702" w:rsidRDefault="007229DD" w:rsidP="001D47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F0A4F">
        <w:rPr>
          <w:rFonts w:ascii="Arial" w:hAnsi="Arial" w:cs="Arial"/>
          <w:sz w:val="24"/>
          <w:szCs w:val="24"/>
        </w:rPr>
        <w:t xml:space="preserve">Z tohoto </w:t>
      </w:r>
      <w:r w:rsidR="000A417C">
        <w:rPr>
          <w:rFonts w:ascii="Arial" w:hAnsi="Arial" w:cs="Arial"/>
          <w:sz w:val="24"/>
          <w:szCs w:val="24"/>
        </w:rPr>
        <w:t xml:space="preserve">celkového </w:t>
      </w:r>
      <w:r w:rsidRPr="00DF0A4F">
        <w:rPr>
          <w:rFonts w:ascii="Arial" w:hAnsi="Arial" w:cs="Arial"/>
          <w:sz w:val="24"/>
          <w:szCs w:val="24"/>
        </w:rPr>
        <w:t xml:space="preserve">počtu </w:t>
      </w:r>
      <w:r w:rsidR="001D4702">
        <w:rPr>
          <w:rFonts w:ascii="Arial" w:hAnsi="Arial" w:cs="Arial"/>
          <w:sz w:val="24"/>
          <w:szCs w:val="24"/>
        </w:rPr>
        <w:t>Komise RIA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24 návrhů </w:t>
      </w:r>
      <w:r w:rsidRPr="001D4702">
        <w:rPr>
          <w:rFonts w:ascii="Arial" w:hAnsi="Arial" w:cs="Arial"/>
          <w:sz w:val="24"/>
          <w:szCs w:val="24"/>
        </w:rPr>
        <w:t xml:space="preserve">doporučila při prvním projednání bez dalších připomínek, 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30 návrhů </w:t>
      </w:r>
      <w:r w:rsidRPr="001D4702">
        <w:rPr>
          <w:rFonts w:ascii="Arial" w:hAnsi="Arial" w:cs="Arial"/>
          <w:sz w:val="24"/>
          <w:szCs w:val="24"/>
        </w:rPr>
        <w:t>doporučila po částečném doplnění závěrečných zpráv RIA</w:t>
      </w:r>
      <w:r w:rsidR="001D4702">
        <w:rPr>
          <w:rFonts w:ascii="Arial" w:hAnsi="Arial" w:cs="Arial"/>
          <w:sz w:val="24"/>
          <w:szCs w:val="24"/>
        </w:rPr>
        <w:t>,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>v</w:t>
      </w:r>
      <w:r w:rsidRPr="001D4702">
        <w:rPr>
          <w:rFonts w:ascii="Arial" w:hAnsi="Arial" w:cs="Arial"/>
          <w:sz w:val="24"/>
          <w:szCs w:val="24"/>
        </w:rPr>
        <w:t xml:space="preserve"> </w:t>
      </w:r>
      <w:r w:rsidRPr="001D4702">
        <w:rPr>
          <w:rFonts w:ascii="Arial" w:hAnsi="Arial" w:cs="Arial"/>
          <w:b/>
          <w:sz w:val="24"/>
          <w:szCs w:val="24"/>
        </w:rPr>
        <w:t>3 příp</w:t>
      </w:r>
      <w:r w:rsidR="001D4702">
        <w:rPr>
          <w:rFonts w:ascii="Arial" w:hAnsi="Arial" w:cs="Arial"/>
          <w:b/>
          <w:sz w:val="24"/>
          <w:szCs w:val="24"/>
        </w:rPr>
        <w:t xml:space="preserve">adech </w:t>
      </w:r>
      <w:r w:rsidRPr="001D4702">
        <w:rPr>
          <w:rFonts w:ascii="Arial" w:hAnsi="Arial" w:cs="Arial"/>
          <w:sz w:val="24"/>
          <w:szCs w:val="24"/>
        </w:rPr>
        <w:t xml:space="preserve">doporučující stanovisko </w:t>
      </w:r>
      <w:r w:rsidR="000A417C">
        <w:rPr>
          <w:rFonts w:ascii="Arial" w:hAnsi="Arial" w:cs="Arial"/>
          <w:sz w:val="24"/>
          <w:szCs w:val="24"/>
        </w:rPr>
        <w:t>vydala</w:t>
      </w:r>
      <w:r w:rsidR="001D4702" w:rsidRPr="001D4702">
        <w:rPr>
          <w:rFonts w:ascii="Arial" w:hAnsi="Arial" w:cs="Arial"/>
          <w:sz w:val="24"/>
          <w:szCs w:val="24"/>
        </w:rPr>
        <w:t xml:space="preserve"> </w:t>
      </w:r>
      <w:r w:rsidRPr="001D4702">
        <w:rPr>
          <w:rFonts w:ascii="Arial" w:hAnsi="Arial" w:cs="Arial"/>
          <w:sz w:val="24"/>
          <w:szCs w:val="24"/>
        </w:rPr>
        <w:t>na základě opětovného posouzení zásadně přepracovaných z</w:t>
      </w:r>
      <w:r w:rsidR="001D4702">
        <w:rPr>
          <w:rFonts w:ascii="Arial" w:hAnsi="Arial" w:cs="Arial"/>
          <w:sz w:val="24"/>
          <w:szCs w:val="24"/>
        </w:rPr>
        <w:t>ávěrečných zpráv RIA,</w:t>
      </w:r>
    </w:p>
    <w:p w:rsidR="00DF0A4F" w:rsidRP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 </w:t>
      </w:r>
      <w:r w:rsidR="001D4702">
        <w:rPr>
          <w:rFonts w:ascii="Arial" w:hAnsi="Arial" w:cs="Arial"/>
          <w:b/>
          <w:sz w:val="24"/>
          <w:szCs w:val="24"/>
        </w:rPr>
        <w:t>v</w:t>
      </w:r>
      <w:r w:rsidRPr="001D4702">
        <w:rPr>
          <w:rFonts w:ascii="Arial" w:hAnsi="Arial" w:cs="Arial"/>
          <w:b/>
          <w:sz w:val="24"/>
          <w:szCs w:val="24"/>
        </w:rPr>
        <w:t> 8 </w:t>
      </w:r>
      <w:r w:rsidR="001D4702">
        <w:rPr>
          <w:rFonts w:ascii="Arial" w:hAnsi="Arial" w:cs="Arial"/>
          <w:b/>
          <w:sz w:val="24"/>
          <w:szCs w:val="24"/>
        </w:rPr>
        <w:t xml:space="preserve">případech </w:t>
      </w:r>
      <w:r w:rsidRPr="001D4702">
        <w:rPr>
          <w:rFonts w:ascii="Arial" w:hAnsi="Arial" w:cs="Arial"/>
          <w:sz w:val="24"/>
          <w:szCs w:val="24"/>
        </w:rPr>
        <w:t>vyslovila negativní stanovisko k předloženému hodnocení dopadů regulace a v těchto případech nedoporučila návrh s předloženou závěrečnou zprá</w:t>
      </w:r>
      <w:r w:rsidR="006C2916" w:rsidRPr="001D4702">
        <w:rPr>
          <w:rFonts w:ascii="Arial" w:hAnsi="Arial" w:cs="Arial"/>
          <w:sz w:val="24"/>
          <w:szCs w:val="24"/>
        </w:rPr>
        <w:t>vou RIA k dalšímu projednávání vládou</w:t>
      </w:r>
      <w:r w:rsidRPr="001D4702">
        <w:rPr>
          <w:rFonts w:ascii="Arial" w:hAnsi="Arial" w:cs="Arial"/>
          <w:sz w:val="24"/>
          <w:szCs w:val="24"/>
        </w:rPr>
        <w:t xml:space="preserve"> (</w:t>
      </w:r>
      <w:r w:rsidRPr="001D4702">
        <w:rPr>
          <w:rFonts w:ascii="Arial" w:hAnsi="Arial" w:cs="Arial"/>
          <w:i/>
          <w:sz w:val="24"/>
          <w:szCs w:val="24"/>
        </w:rPr>
        <w:t>Pozn.: Mezi tyto návrhy bylo ale nutno zařadit i návrhy, kdy nedoporučující stanovisko zůstalo na základě nepředloženého dopracování závěrečné zprávy RIA</w:t>
      </w:r>
      <w:r w:rsidRPr="001D4702">
        <w:rPr>
          <w:rFonts w:ascii="Arial" w:hAnsi="Arial" w:cs="Arial"/>
          <w:sz w:val="24"/>
          <w:szCs w:val="24"/>
        </w:rPr>
        <w:t xml:space="preserve">). </w:t>
      </w:r>
    </w:p>
    <w:p w:rsidR="007229DD" w:rsidRPr="00DF0A4F" w:rsidRDefault="007229DD" w:rsidP="00636660">
      <w:pPr>
        <w:spacing w:before="24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F0A4F">
        <w:rPr>
          <w:rFonts w:ascii="Arial" w:hAnsi="Arial" w:cs="Arial"/>
          <w:b/>
          <w:i/>
          <w:sz w:val="24"/>
          <w:szCs w:val="24"/>
        </w:rPr>
        <w:t>Tabulka: Typologie stanovisek Komise RIA v r. 2014 podle výsledku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229DD" w:rsidRPr="00C35D56" w:rsidTr="008816FA">
        <w:trPr>
          <w:trHeight w:val="948"/>
          <w:jc w:val="center"/>
        </w:trPr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Negativní stanovisko 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>Kladné stanovisko bez připomínek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Kladné stanovisko po dopracování 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Kladné stanovisko po přepracování </w:t>
            </w:r>
          </w:p>
        </w:tc>
      </w:tr>
      <w:tr w:rsidR="007229DD" w:rsidRPr="003F29EE" w:rsidTr="008816FA">
        <w:trPr>
          <w:trHeight w:val="3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</w:t>
            </w:r>
          </w:p>
        </w:tc>
      </w:tr>
    </w:tbl>
    <w:p w:rsidR="00D558A3" w:rsidRDefault="00D558A3" w:rsidP="00636660">
      <w:pPr>
        <w:spacing w:line="240" w:lineRule="auto"/>
        <w:jc w:val="both"/>
        <w:rPr>
          <w:rFonts w:cs="Calibri"/>
          <w:b/>
          <w:i/>
        </w:rPr>
      </w:pPr>
    </w:p>
    <w:p w:rsidR="007229DD" w:rsidRDefault="007229DD" w:rsidP="00636660">
      <w:pPr>
        <w:spacing w:line="240" w:lineRule="auto"/>
        <w:jc w:val="both"/>
        <w:rPr>
          <w:noProof/>
        </w:rPr>
      </w:pPr>
      <w:r w:rsidRPr="0058283B">
        <w:rPr>
          <w:rFonts w:cs="Calibri"/>
          <w:b/>
          <w:i/>
        </w:rPr>
        <w:t>Graf</w:t>
      </w:r>
      <w:r w:rsidR="00D558A3">
        <w:rPr>
          <w:rFonts w:cs="Calibri"/>
          <w:b/>
          <w:i/>
        </w:rPr>
        <w:t xml:space="preserve">: </w:t>
      </w:r>
      <w:r w:rsidRPr="0058283B">
        <w:rPr>
          <w:rFonts w:cs="Calibri"/>
          <w:b/>
          <w:i/>
        </w:rPr>
        <w:t xml:space="preserve">Podíl jednotlivých stanovisek Komise RIA za rok </w:t>
      </w:r>
      <w:r>
        <w:rPr>
          <w:rFonts w:cs="Calibri"/>
          <w:b/>
          <w:i/>
        </w:rPr>
        <w:t>2014 dle závěrečných doporučení</w:t>
      </w:r>
    </w:p>
    <w:p w:rsidR="00D558A3" w:rsidRPr="006C2916" w:rsidRDefault="007229DD" w:rsidP="006C2916">
      <w:pPr>
        <w:spacing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12A60D25" wp14:editId="0752EEEE">
            <wp:extent cx="4581525" cy="2752725"/>
            <wp:effectExtent l="0" t="0" r="9525" b="9525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9DD" w:rsidRPr="00AC51CA" w:rsidRDefault="007229DD" w:rsidP="00636660">
      <w:pPr>
        <w:spacing w:before="240" w:line="240" w:lineRule="auto"/>
        <w:jc w:val="both"/>
        <w:rPr>
          <w:rFonts w:cs="Calibri"/>
          <w:b/>
          <w:i/>
        </w:rPr>
      </w:pPr>
      <w:r w:rsidRPr="00EB3D4E">
        <w:rPr>
          <w:rFonts w:cs="Calibri"/>
          <w:b/>
          <w:i/>
        </w:rPr>
        <w:t xml:space="preserve">Tabulka: </w:t>
      </w:r>
      <w:r>
        <w:rPr>
          <w:rFonts w:cs="Calibri"/>
          <w:b/>
          <w:i/>
        </w:rPr>
        <w:t>Klasifikace stanovisek Komise 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bez připomínek</w:t>
            </w:r>
            <w:r w:rsidRPr="00C35D56">
              <w:rPr>
                <w:rFonts w:eastAsia="Calibri" w:cs="Calibri"/>
              </w:rPr>
              <w:t xml:space="preserve"> znamená, že Komise RIA neshledala v předložené RIA žádná metodická pochybení a nedostatky, zpráva obsahuje všechny požadované části dle Obecných zásad RIA a předkládá srozumitelné, kvalitně zpracované a průkazné hodnocení dopadů k navrhovanému legislativnímu řešení. 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po dopracování</w:t>
            </w:r>
            <w:r w:rsidRPr="00C35D56">
              <w:rPr>
                <w:rFonts w:eastAsia="Calibri" w:cs="Calibri"/>
              </w:rPr>
              <w:t xml:space="preserve"> znamená, že komise identifikovala v 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zprávě RIA dílčí nedostatky, týkající se některých částí předloženého hodnocení dopadů, které neovlivňují celkovou kvalitu a průkaznost předloženého hodnocení dopadů k navrhovanému legislativnímu řešení. Pro účely úplnosti doprovodného hodnocení dopadů, které má sloužit k informovanému rozhodování </w:t>
            </w:r>
            <w:r>
              <w:rPr>
                <w:rFonts w:eastAsia="Calibri" w:cs="Calibri"/>
              </w:rPr>
              <w:t xml:space="preserve">vlády </w:t>
            </w:r>
            <w:r w:rsidRPr="00C35D56">
              <w:rPr>
                <w:rFonts w:eastAsia="Calibri" w:cs="Calibri"/>
              </w:rPr>
              <w:t xml:space="preserve">o předloženém návrhu, však shledala Komise RIA dopracování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zprávy RIA </w:t>
            </w:r>
            <w:r>
              <w:rPr>
                <w:rFonts w:eastAsia="Calibri" w:cs="Calibri"/>
              </w:rPr>
              <w:t xml:space="preserve">za </w:t>
            </w:r>
            <w:r w:rsidRPr="00C35D56">
              <w:rPr>
                <w:rFonts w:eastAsia="Calibri" w:cs="Calibri"/>
              </w:rPr>
              <w:t xml:space="preserve">potřebné. Obvykle to znamenalo, že Komise RIA požadovala předložení doplněné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zprávy RIA pro vydání kladného stanoviska. 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po přepracování</w:t>
            </w:r>
            <w:r w:rsidRPr="00C35D56">
              <w:rPr>
                <w:rFonts w:eastAsia="Calibri" w:cs="Calibri"/>
              </w:rPr>
              <w:t xml:space="preserve"> znamená, že Komise RIA v předložené RIA shledala metodické nedostatky a nekonzistentnosti v odůvodnění a prezentaci hodnocení dopadů k předloženému návrhu legislativního řešení. Obecně znamenalo, že pro jednotlivá tvrzení chyběly konkrétní argumenty, ve zprávě absentovaly celé mandatorní části RIA, např. způsob provedení a vypořádání konzultací s dotčenými subjekty, prezentace metodiky a zdrojů dat, o které se opíralo provedené hodnocení dopadů, absence popisu a vyhodnocení jiných proveditelných variant řešení a jejich srovnání pro doporučení preferované varianty, tj. legislativního řešení apod. Zpravidla v takových případech došlo k dopracování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>ávěrečné zprávy</w:t>
            </w:r>
            <w:r>
              <w:rPr>
                <w:rFonts w:eastAsia="Calibri" w:cs="Calibri"/>
              </w:rPr>
              <w:t xml:space="preserve"> RIA</w:t>
            </w:r>
            <w:r w:rsidRPr="00C35D56">
              <w:rPr>
                <w:rFonts w:eastAsia="Calibri" w:cs="Calibri"/>
              </w:rPr>
              <w:t xml:space="preserve"> předkladatelem a její</w:t>
            </w:r>
            <w:r>
              <w:rPr>
                <w:rFonts w:eastAsia="Calibri" w:cs="Calibri"/>
              </w:rPr>
              <w:t>mu</w:t>
            </w:r>
            <w:r w:rsidRPr="00C35D56">
              <w:rPr>
                <w:rFonts w:eastAsia="Calibri" w:cs="Calibri"/>
              </w:rPr>
              <w:t xml:space="preserve"> opětovné</w:t>
            </w:r>
            <w:r>
              <w:rPr>
                <w:rFonts w:eastAsia="Calibri" w:cs="Calibri"/>
              </w:rPr>
              <w:t>mu</w:t>
            </w:r>
            <w:r w:rsidRPr="00C35D56">
              <w:rPr>
                <w:rFonts w:eastAsia="Calibri" w:cs="Calibri"/>
              </w:rPr>
              <w:t xml:space="preserve"> předložení, resp. projednání v Komisi RIA před vydáním revidovaného doporučujícího stanoviska.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0" w:line="240" w:lineRule="auto"/>
              <w:ind w:left="0"/>
              <w:jc w:val="both"/>
              <w:rPr>
                <w:rFonts w:eastAsia="Calibri" w:cs="Calibri"/>
                <w:b/>
              </w:rPr>
            </w:pPr>
            <w:r w:rsidRPr="00C35D56">
              <w:rPr>
                <w:rFonts w:eastAsia="Calibri" w:cs="Calibri"/>
                <w:b/>
              </w:rPr>
              <w:t xml:space="preserve">Negativní stanovisko </w:t>
            </w:r>
            <w:r w:rsidRPr="00C35D56">
              <w:rPr>
                <w:rFonts w:eastAsia="Calibri" w:cs="Calibri"/>
              </w:rPr>
              <w:t>znamená, že Komise RIA identifikovala závažné nedostatky v hodnocení dopadů a metodice jejího zpracování a předkl</w:t>
            </w:r>
            <w:r>
              <w:rPr>
                <w:rFonts w:eastAsia="Calibri" w:cs="Calibri"/>
              </w:rPr>
              <w:t>adatel nepředložil revidovanou z</w:t>
            </w:r>
            <w:r w:rsidRPr="00C35D56">
              <w:rPr>
                <w:rFonts w:eastAsia="Calibri" w:cs="Calibri"/>
              </w:rPr>
              <w:t>ávěrečnou zprávu RIA</w:t>
            </w:r>
            <w:r>
              <w:rPr>
                <w:rFonts w:eastAsia="Calibri" w:cs="Calibri"/>
              </w:rPr>
              <w:t>, ke které byly z hlediska metodiky RIA uplatněny zásadní připomínky, nebo způsob dopracování neodpovídal povaze připomínek uplatněných Komisí RIA, respektive předkladatel nevypořádal všechny zásadní připomínky uplatněné k obsahovým a metodickým požadavkům zpracované RIA</w:t>
            </w:r>
            <w:r w:rsidRPr="00C35D56">
              <w:rPr>
                <w:rFonts w:eastAsia="Calibri" w:cs="Calibri"/>
              </w:rPr>
              <w:t xml:space="preserve">. </w:t>
            </w:r>
          </w:p>
        </w:tc>
      </w:tr>
    </w:tbl>
    <w:p w:rsidR="007229DD" w:rsidRDefault="007229DD" w:rsidP="00636660">
      <w:pPr>
        <w:spacing w:line="240" w:lineRule="auto"/>
        <w:jc w:val="both"/>
        <w:rPr>
          <w:rFonts w:cs="Calibri"/>
        </w:rPr>
      </w:pPr>
    </w:p>
    <w:p w:rsidR="007825D2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Z celkového počtu posuzovaných závěrečných zpráv RIA Komisí RIA bylo </w:t>
      </w:r>
      <w:r w:rsidRPr="006C2916">
        <w:rPr>
          <w:rFonts w:ascii="Arial" w:hAnsi="Arial" w:cs="Arial"/>
          <w:b/>
          <w:sz w:val="24"/>
          <w:szCs w:val="24"/>
        </w:rPr>
        <w:t>24 návrhů</w:t>
      </w:r>
      <w:r w:rsidRPr="006C2916">
        <w:rPr>
          <w:rFonts w:ascii="Arial" w:hAnsi="Arial" w:cs="Arial"/>
          <w:sz w:val="24"/>
          <w:szCs w:val="24"/>
        </w:rPr>
        <w:t xml:space="preserve"> </w:t>
      </w:r>
      <w:r w:rsidRPr="006C2916">
        <w:rPr>
          <w:rFonts w:ascii="Arial" w:hAnsi="Arial" w:cs="Arial"/>
          <w:b/>
          <w:sz w:val="24"/>
          <w:szCs w:val="24"/>
        </w:rPr>
        <w:t>(37 % z celkového počtu)</w:t>
      </w:r>
      <w:r w:rsidRPr="006C2916">
        <w:rPr>
          <w:rFonts w:ascii="Arial" w:hAnsi="Arial" w:cs="Arial"/>
          <w:sz w:val="24"/>
          <w:szCs w:val="24"/>
        </w:rPr>
        <w:t xml:space="preserve"> shledáno se zpracovnou závěrečnou zprávou RIA vyhovující požadavkům metodiky Obecných zásad RIA bez dalších zásadních připomínek. </w:t>
      </w:r>
      <w:r w:rsidRPr="006C2916">
        <w:rPr>
          <w:rFonts w:ascii="Arial" w:hAnsi="Arial" w:cs="Arial"/>
          <w:b/>
          <w:sz w:val="24"/>
          <w:szCs w:val="24"/>
        </w:rPr>
        <w:t>Toto je dosud nejvyšší číslo kladných stanovisek neobsahujících připomínky ke zpracované RIA od r. 2012</w:t>
      </w:r>
      <w:r w:rsidRPr="006C2916">
        <w:rPr>
          <w:rFonts w:ascii="Arial" w:hAnsi="Arial" w:cs="Arial"/>
          <w:sz w:val="24"/>
          <w:szCs w:val="24"/>
        </w:rPr>
        <w:t>, kdy tato statistika byla sledována poprvé (pro srovnání v r. 2012 činil tento údaj 33% a v r. 2013 dosahovala pouze 26 %).</w:t>
      </w:r>
      <w:bookmarkStart w:id="1" w:name="_Toc381286063"/>
      <w:bookmarkStart w:id="2" w:name="_Toc381286096"/>
      <w:bookmarkEnd w:id="1"/>
      <w:bookmarkEnd w:id="2"/>
    </w:p>
    <w:p w:rsidR="007229DD" w:rsidRPr="002060F5" w:rsidRDefault="007229DD" w:rsidP="00636660">
      <w:pPr>
        <w:spacing w:line="240" w:lineRule="auto"/>
        <w:jc w:val="both"/>
        <w:rPr>
          <w:rFonts w:cs="Calibri"/>
          <w:b/>
          <w:i/>
        </w:rPr>
      </w:pPr>
      <w:r w:rsidRPr="007229DD">
        <w:rPr>
          <w:rFonts w:cs="Calibri"/>
          <w:b/>
          <w:i/>
        </w:rPr>
        <w:t xml:space="preserve">Graf </w:t>
      </w:r>
    </w:p>
    <w:p w:rsidR="007229DD" w:rsidRDefault="007229DD" w:rsidP="00636660">
      <w:pPr>
        <w:spacing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482823DB" wp14:editId="46F4549C">
            <wp:extent cx="4581525" cy="2752725"/>
            <wp:effectExtent l="0" t="0" r="9525" b="9525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8A3" w:rsidRDefault="00D558A3" w:rsidP="00636660">
      <w:pPr>
        <w:jc w:val="both"/>
        <w:rPr>
          <w:rFonts w:cs="Calibri"/>
        </w:rPr>
      </w:pP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Zbývající návrhy právních předpisů, </w:t>
      </w:r>
      <w:r w:rsidRPr="006C2916">
        <w:rPr>
          <w:rFonts w:ascii="Arial" w:hAnsi="Arial" w:cs="Arial"/>
          <w:b/>
          <w:sz w:val="24"/>
          <w:szCs w:val="24"/>
        </w:rPr>
        <w:t>tj.</w:t>
      </w:r>
      <w:r w:rsidRPr="006C2916">
        <w:rPr>
          <w:rFonts w:ascii="Arial" w:hAnsi="Arial" w:cs="Arial"/>
          <w:sz w:val="24"/>
          <w:szCs w:val="24"/>
        </w:rPr>
        <w:t> </w:t>
      </w:r>
      <w:r w:rsidRPr="006C2916">
        <w:rPr>
          <w:rFonts w:ascii="Arial" w:hAnsi="Arial" w:cs="Arial"/>
          <w:b/>
          <w:sz w:val="24"/>
          <w:szCs w:val="24"/>
        </w:rPr>
        <w:t>41 návrhů</w:t>
      </w:r>
      <w:r w:rsidRPr="006C2916">
        <w:rPr>
          <w:rFonts w:ascii="Arial" w:hAnsi="Arial" w:cs="Arial"/>
          <w:sz w:val="24"/>
          <w:szCs w:val="24"/>
        </w:rPr>
        <w:t xml:space="preserve"> (</w:t>
      </w:r>
      <w:r w:rsidRPr="006C2916">
        <w:rPr>
          <w:rFonts w:ascii="Arial" w:hAnsi="Arial" w:cs="Arial"/>
          <w:b/>
          <w:sz w:val="24"/>
          <w:szCs w:val="24"/>
        </w:rPr>
        <w:t>63 %</w:t>
      </w:r>
      <w:r w:rsidRPr="006C2916">
        <w:rPr>
          <w:rFonts w:ascii="Arial" w:hAnsi="Arial" w:cs="Arial"/>
          <w:sz w:val="24"/>
          <w:szCs w:val="24"/>
        </w:rPr>
        <w:t>)</w:t>
      </w:r>
      <w:r w:rsidRPr="006C2916">
        <w:rPr>
          <w:rFonts w:ascii="Arial" w:hAnsi="Arial" w:cs="Arial"/>
          <w:b/>
          <w:sz w:val="24"/>
          <w:szCs w:val="24"/>
        </w:rPr>
        <w:t xml:space="preserve">, </w:t>
      </w:r>
      <w:r w:rsidRPr="006C2916">
        <w:rPr>
          <w:rFonts w:ascii="Arial" w:hAnsi="Arial" w:cs="Arial"/>
          <w:sz w:val="24"/>
          <w:szCs w:val="24"/>
        </w:rPr>
        <w:t xml:space="preserve">respektive závěrečných zpráv RIA, bylo Komisí RIA vráceno k dopracování nebo přepracování. Z tohoto počtu necelých </w:t>
      </w:r>
      <w:r w:rsidRPr="006C2916">
        <w:rPr>
          <w:rFonts w:ascii="Arial" w:hAnsi="Arial" w:cs="Arial"/>
          <w:b/>
          <w:sz w:val="24"/>
          <w:szCs w:val="24"/>
        </w:rPr>
        <w:t>12 % návrhů právních předpisů (konkrétně 8 z 65)</w:t>
      </w:r>
      <w:r w:rsidRPr="006C2916">
        <w:rPr>
          <w:rFonts w:ascii="Arial" w:hAnsi="Arial" w:cs="Arial"/>
          <w:sz w:val="24"/>
          <w:szCs w:val="24"/>
        </w:rPr>
        <w:t xml:space="preserve"> </w:t>
      </w:r>
      <w:r w:rsidRPr="006C2916">
        <w:rPr>
          <w:rFonts w:ascii="Arial" w:hAnsi="Arial" w:cs="Arial"/>
          <w:b/>
          <w:sz w:val="24"/>
          <w:szCs w:val="24"/>
        </w:rPr>
        <w:t>nebylo na základě finálního stanoviska nebo po případném dopracování či přepracování závěrečné zprávy RIA doporučeno vládě ke schválení</w:t>
      </w:r>
      <w:r w:rsidRPr="006C2916">
        <w:rPr>
          <w:rFonts w:ascii="Arial" w:hAnsi="Arial" w:cs="Arial"/>
          <w:sz w:val="24"/>
          <w:szCs w:val="24"/>
        </w:rPr>
        <w:t xml:space="preserve">. </w:t>
      </w: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>Analogicky poměr závěrečných zpráv RIA vrácených Komisí RIA k </w:t>
      </w:r>
      <w:r w:rsidRPr="006C2916">
        <w:rPr>
          <w:rFonts w:ascii="Arial" w:hAnsi="Arial" w:cs="Arial"/>
          <w:b/>
          <w:sz w:val="24"/>
          <w:szCs w:val="24"/>
        </w:rPr>
        <w:t xml:space="preserve">dopracování či přepracování </w:t>
      </w:r>
      <w:r w:rsidRPr="006C2916">
        <w:rPr>
          <w:rFonts w:ascii="Arial" w:hAnsi="Arial" w:cs="Arial"/>
          <w:sz w:val="24"/>
          <w:szCs w:val="24"/>
        </w:rPr>
        <w:t>se také snížil, kdy především klesl počet návrhů vrácených k zásadnímu přepracování. Zatímco v předchozích letech tento počet narůstal, počet závěrečných zpráv RIA vrácených k </w:t>
      </w:r>
      <w:r w:rsidRPr="006C2916">
        <w:rPr>
          <w:rFonts w:ascii="Arial" w:hAnsi="Arial" w:cs="Arial"/>
          <w:b/>
          <w:sz w:val="24"/>
          <w:szCs w:val="24"/>
        </w:rPr>
        <w:t>dopracování</w:t>
      </w:r>
      <w:r w:rsidRPr="006C2916">
        <w:rPr>
          <w:rStyle w:val="Znakapoznpodarou"/>
          <w:rFonts w:ascii="Arial" w:hAnsi="Arial" w:cs="Arial"/>
          <w:b/>
          <w:sz w:val="24"/>
          <w:szCs w:val="24"/>
        </w:rPr>
        <w:footnoteReference w:id="1"/>
      </w:r>
      <w:r w:rsidRPr="006C2916">
        <w:rPr>
          <w:rFonts w:ascii="Arial" w:hAnsi="Arial" w:cs="Arial"/>
          <w:b/>
          <w:sz w:val="24"/>
          <w:szCs w:val="24"/>
        </w:rPr>
        <w:t xml:space="preserve"> poklesl </w:t>
      </w:r>
      <w:r w:rsidR="00636660" w:rsidRPr="006C2916">
        <w:rPr>
          <w:rFonts w:ascii="Arial" w:hAnsi="Arial" w:cs="Arial"/>
          <w:sz w:val="24"/>
          <w:szCs w:val="24"/>
        </w:rPr>
        <w:t>z 52% v r. 2013 na 46%,</w:t>
      </w:r>
      <w:r w:rsidRPr="006C2916">
        <w:rPr>
          <w:rFonts w:ascii="Arial" w:hAnsi="Arial" w:cs="Arial"/>
          <w:sz w:val="24"/>
          <w:szCs w:val="24"/>
        </w:rPr>
        <w:t xml:space="preserve"> stejně tak jako počet zásadnějších </w:t>
      </w:r>
      <w:r w:rsidRPr="006C2916">
        <w:rPr>
          <w:rFonts w:ascii="Arial" w:hAnsi="Arial" w:cs="Arial"/>
          <w:b/>
          <w:sz w:val="24"/>
          <w:szCs w:val="24"/>
        </w:rPr>
        <w:t xml:space="preserve">přepracování </w:t>
      </w:r>
      <w:r w:rsidRPr="006C2916">
        <w:rPr>
          <w:rFonts w:ascii="Arial" w:hAnsi="Arial" w:cs="Arial"/>
          <w:sz w:val="24"/>
          <w:szCs w:val="24"/>
        </w:rPr>
        <w:t>závěrečných zpráv RIA předkladateli (</w:t>
      </w:r>
      <w:r w:rsidR="00636660" w:rsidRPr="006C2916">
        <w:rPr>
          <w:rFonts w:ascii="Arial" w:hAnsi="Arial" w:cs="Arial"/>
          <w:sz w:val="24"/>
          <w:szCs w:val="24"/>
        </w:rPr>
        <w:t xml:space="preserve">z 13% v r. 2013) na pouhých 5 % v r. </w:t>
      </w:r>
      <w:r w:rsidRPr="006C2916">
        <w:rPr>
          <w:rFonts w:ascii="Arial" w:hAnsi="Arial" w:cs="Arial"/>
          <w:sz w:val="24"/>
          <w:szCs w:val="24"/>
        </w:rPr>
        <w:t xml:space="preserve">2014. </w:t>
      </w:r>
      <w:r w:rsidRPr="006C2916">
        <w:rPr>
          <w:rFonts w:ascii="Arial" w:hAnsi="Arial" w:cs="Arial"/>
          <w:b/>
          <w:sz w:val="24"/>
          <w:szCs w:val="24"/>
        </w:rPr>
        <w:t xml:space="preserve">To signalizuje </w:t>
      </w:r>
      <w:r w:rsidR="00D558A3" w:rsidRPr="006C2916">
        <w:rPr>
          <w:rFonts w:ascii="Arial" w:hAnsi="Arial" w:cs="Arial"/>
          <w:b/>
          <w:sz w:val="24"/>
          <w:szCs w:val="24"/>
        </w:rPr>
        <w:t xml:space="preserve">mj. </w:t>
      </w:r>
      <w:r w:rsidRPr="006C2916">
        <w:rPr>
          <w:rFonts w:ascii="Arial" w:hAnsi="Arial" w:cs="Arial"/>
          <w:b/>
          <w:sz w:val="24"/>
          <w:szCs w:val="24"/>
        </w:rPr>
        <w:t>pokles zásadních metodických pochybení při zpracování RIA ze strany resortů</w:t>
      </w:r>
      <w:r w:rsidRPr="006C2916">
        <w:rPr>
          <w:rFonts w:ascii="Arial" w:hAnsi="Arial" w:cs="Arial"/>
          <w:sz w:val="24"/>
          <w:szCs w:val="24"/>
        </w:rPr>
        <w:t>, kdy klesá počet návrhů RIA k dopracování se zásadními připomínkami.</w:t>
      </w: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>Na druhou stranu je nutné okomentovat i nárůst počtu stanovisek s </w:t>
      </w:r>
      <w:r w:rsidRPr="006C2916">
        <w:rPr>
          <w:rFonts w:ascii="Arial" w:hAnsi="Arial" w:cs="Arial"/>
          <w:b/>
          <w:bCs/>
          <w:sz w:val="24"/>
          <w:szCs w:val="24"/>
        </w:rPr>
        <w:t xml:space="preserve">nedoporučujícím stanoviskem </w:t>
      </w:r>
      <w:r w:rsidRPr="006C2916">
        <w:rPr>
          <w:rFonts w:ascii="Arial" w:hAnsi="Arial" w:cs="Arial"/>
          <w:sz w:val="24"/>
          <w:szCs w:val="24"/>
        </w:rPr>
        <w:t xml:space="preserve">oproti r. 2013, to je však i částečně způsobeno </w:t>
      </w:r>
      <w:r w:rsidRPr="006C2916">
        <w:rPr>
          <w:rFonts w:ascii="Arial" w:hAnsi="Arial" w:cs="Arial"/>
          <w:sz w:val="24"/>
          <w:szCs w:val="24"/>
        </w:rPr>
        <w:lastRenderedPageBreak/>
        <w:t xml:space="preserve">tím, že do tohoto počtu spadají čtyři návrhy, u nichž nebylo předloženo dopracování závěrečné zprávy RIA (1x MPO, 2x MPSV, 1x MV). Z metodického hlediska se tedy nejedná o faktický nárůst špatně metodicky zpracovaných RIA, ale v polovině případů připadá tento stav na vrub politickému rozhodnutí předkladatele nepředložit k opětovnému projednání dopracování závěrečné zprávy RIA před jednáním vládou. </w:t>
      </w:r>
    </w:p>
    <w:p w:rsidR="007229DD" w:rsidRDefault="007229DD" w:rsidP="00636660">
      <w:pPr>
        <w:spacing w:before="240" w:line="240" w:lineRule="auto"/>
        <w:jc w:val="both"/>
        <w:rPr>
          <w:rFonts w:cs="Calibri"/>
          <w:b/>
          <w:i/>
        </w:rPr>
      </w:pPr>
      <w:r w:rsidRPr="00EB3D4E">
        <w:rPr>
          <w:rFonts w:cs="Calibri"/>
          <w:b/>
          <w:i/>
        </w:rPr>
        <w:t xml:space="preserve">Tabulka: </w:t>
      </w:r>
      <w:r>
        <w:rPr>
          <w:rFonts w:cs="Calibri"/>
          <w:b/>
          <w:i/>
        </w:rPr>
        <w:t>Počty návrhů právních předpisů s RIA, žádostí o výjimky a stanoviska Komise RIA dle výsledku, včetně procentuálního vyjádření</w:t>
      </w:r>
    </w:p>
    <w:tbl>
      <w:tblPr>
        <w:tblW w:w="8657" w:type="dxa"/>
        <w:jc w:val="center"/>
        <w:tblInd w:w="65" w:type="dxa"/>
        <w:tblBorders>
          <w:top w:val="single" w:sz="4" w:space="0" w:color="B2A1C7"/>
          <w:left w:val="single" w:sz="4" w:space="0" w:color="B2A1C7"/>
          <w:bottom w:val="single" w:sz="4" w:space="0" w:color="B2A1C7"/>
          <w:right w:val="single" w:sz="4" w:space="0" w:color="B2A1C7"/>
          <w:insideH w:val="single" w:sz="4" w:space="0" w:color="B2A1C7"/>
          <w:insideV w:val="single" w:sz="4" w:space="0" w:color="B2A1C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1301"/>
        <w:gridCol w:w="1321"/>
        <w:gridCol w:w="299"/>
        <w:gridCol w:w="932"/>
        <w:gridCol w:w="16"/>
        <w:gridCol w:w="1095"/>
        <w:gridCol w:w="17"/>
        <w:gridCol w:w="1194"/>
        <w:gridCol w:w="15"/>
        <w:gridCol w:w="1256"/>
      </w:tblGrid>
      <w:tr w:rsidR="007229DD" w:rsidRPr="006947AC" w:rsidTr="00636660">
        <w:trPr>
          <w:trHeight w:val="675"/>
          <w:jc w:val="center"/>
        </w:trPr>
        <w:tc>
          <w:tcPr>
            <w:tcW w:w="121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Předkladatel</w:t>
            </w:r>
          </w:p>
        </w:tc>
        <w:tc>
          <w:tcPr>
            <w:tcW w:w="130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Počty návrhů předložených s RIA </w:t>
            </w:r>
          </w:p>
        </w:tc>
        <w:tc>
          <w:tcPr>
            <w:tcW w:w="132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toho projednaných v Komisi RIA 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 negativním stanoviskem </w:t>
            </w:r>
          </w:p>
        </w:tc>
        <w:tc>
          <w:tcPr>
            <w:tcW w:w="3593" w:type="dxa"/>
            <w:gridSpan w:val="6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 kladným stanoviskem </w:t>
            </w:r>
          </w:p>
        </w:tc>
      </w:tr>
      <w:tr w:rsidR="007229DD" w:rsidRPr="006947AC" w:rsidTr="00636660">
        <w:trPr>
          <w:trHeight w:val="675"/>
          <w:jc w:val="center"/>
        </w:trPr>
        <w:tc>
          <w:tcPr>
            <w:tcW w:w="121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bez připomínek</w:t>
            </w:r>
          </w:p>
        </w:tc>
        <w:tc>
          <w:tcPr>
            <w:tcW w:w="121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po dopracování</w:t>
            </w:r>
          </w:p>
        </w:tc>
        <w:tc>
          <w:tcPr>
            <w:tcW w:w="127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po přepracování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MD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gridSpan w:val="2"/>
            <w:tcBorders>
              <w:right w:val="single" w:sz="4" w:space="0" w:color="5F497A"/>
            </w:tcBorders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5F497A"/>
            </w:tcBorders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MF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1" w:type="dxa"/>
            <w:gridSpan w:val="2"/>
            <w:tcBorders>
              <w:right w:val="single" w:sz="4" w:space="0" w:color="5F497A"/>
            </w:tcBorders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5F497A"/>
            </w:tcBorders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MK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MLR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MMR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MPO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MPSV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MSp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MŠMT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MV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MZd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MZe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shd w:val="clear" w:color="000000" w:fill="E5DFEC"/>
            <w:vAlign w:val="center"/>
          </w:tcPr>
          <w:p w:rsidR="007229DD" w:rsidRPr="005642BA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2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9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6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MZV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MŽP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PV - ÚOHS 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MVVI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tcBorders>
              <w:bottom w:val="single" w:sz="4" w:space="0" w:color="5F497A"/>
            </w:tcBorders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PV - SÚJB</w:t>
            </w:r>
          </w:p>
        </w:tc>
        <w:tc>
          <w:tcPr>
            <w:tcW w:w="1301" w:type="dxa"/>
            <w:tcBorders>
              <w:bottom w:val="single" w:sz="4" w:space="0" w:color="5F497A"/>
            </w:tcBorders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30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2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3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1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</w:tbl>
    <w:p w:rsidR="00A946FF" w:rsidRDefault="00A946FF" w:rsidP="00636660">
      <w:pPr>
        <w:spacing w:after="0" w:line="240" w:lineRule="auto"/>
        <w:rPr>
          <w:rFonts w:cs="Calibri"/>
          <w:b/>
          <w:sz w:val="24"/>
          <w:szCs w:val="24"/>
        </w:rPr>
      </w:pPr>
    </w:p>
    <w:p w:rsidR="00D558A3" w:rsidRDefault="00D558A3" w:rsidP="00636660">
      <w:pPr>
        <w:spacing w:after="0" w:line="240" w:lineRule="auto"/>
        <w:rPr>
          <w:rFonts w:cs="Calibri"/>
          <w:b/>
          <w:sz w:val="24"/>
          <w:szCs w:val="24"/>
        </w:rPr>
      </w:pPr>
    </w:p>
    <w:p w:rsidR="007229DD" w:rsidRPr="006C2916" w:rsidRDefault="007825D2" w:rsidP="00D558A3">
      <w:pPr>
        <w:jc w:val="both"/>
        <w:rPr>
          <w:rFonts w:ascii="Arial" w:hAnsi="Arial" w:cs="Arial"/>
          <w:b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U některých rezortů byla i v r. 2014 patrná vyšší tendence nadále žádat v průběhu roku o ad hoc výjimky z přezkumu hodnocení dopadů, především v případě deklarovaných politických priorit vlády. I v případě těchto legislativních návrhů, které jsou prezentovány s jednoznačným definovaným politický zadáním, může mít však RIA smysl. V těchto případech nemá RIA ani tak plnit roli nástroje hledání výsledného řešení, ale má jít především o dostatečně podrobné a průkazné zdokumentování dopadů navrhovaných změn a úplnou identifikaci a konzultaci dotčených subjektů, které budou navrženým řešením dotčeny. Poctivě zpracovaná analýza dopadů může navíc právě v těchto případech upozornit na nevyslovené předpoklady nebo nezamýšlené dopady, které původní politicky definované zadání vůbec nezohlednilo. Závěrečná zpráva RIA zde pak obdobně plní důležitou roli informace pro veřejnost i pro politické aktéry, a stává se prakticky jediným analytickým zdrojem a zevrubným zdůvodněním návrhu při jeho projednávání v Parlamentu ČR. </w:t>
      </w:r>
    </w:p>
    <w:sectPr w:rsidR="007229DD" w:rsidRPr="006C2916" w:rsidSect="008B69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600" w:rsidRDefault="00D34600" w:rsidP="00EF5E06">
      <w:pPr>
        <w:spacing w:after="0" w:line="240" w:lineRule="auto"/>
      </w:pPr>
      <w:r>
        <w:separator/>
      </w:r>
    </w:p>
  </w:endnote>
  <w:endnote w:type="continuationSeparator" w:id="0">
    <w:p w:rsidR="00D34600" w:rsidRDefault="00D34600" w:rsidP="00EF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99" w:rsidRDefault="00F32C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B55BA">
      <w:rPr>
        <w:noProof/>
      </w:rPr>
      <w:t>4</w:t>
    </w:r>
    <w:r>
      <w:fldChar w:fldCharType="end"/>
    </w:r>
  </w:p>
  <w:p w:rsidR="00F32C99" w:rsidRDefault="00F32C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600" w:rsidRDefault="00D34600" w:rsidP="00EF5E06">
      <w:pPr>
        <w:spacing w:after="0" w:line="240" w:lineRule="auto"/>
      </w:pPr>
      <w:r>
        <w:separator/>
      </w:r>
    </w:p>
  </w:footnote>
  <w:footnote w:type="continuationSeparator" w:id="0">
    <w:p w:rsidR="00D34600" w:rsidRDefault="00D34600" w:rsidP="00EF5E06">
      <w:pPr>
        <w:spacing w:after="0" w:line="240" w:lineRule="auto"/>
      </w:pPr>
      <w:r>
        <w:continuationSeparator/>
      </w:r>
    </w:p>
  </w:footnote>
  <w:footnote w:id="1">
    <w:p w:rsidR="007229DD" w:rsidRDefault="007229DD" w:rsidP="007229DD">
      <w:pPr>
        <w:pStyle w:val="Textpoznpodarou"/>
      </w:pPr>
      <w:r>
        <w:rPr>
          <w:rStyle w:val="Znakapoznpodarou"/>
        </w:rPr>
        <w:footnoteRef/>
      </w:r>
      <w:r>
        <w:t xml:space="preserve"> Vysvětlení rozdílu viz Tabulka č. 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99" w:rsidRDefault="00F32C99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1AB"/>
    <w:multiLevelType w:val="multilevel"/>
    <w:tmpl w:val="2A42ACD6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5B57570"/>
    <w:multiLevelType w:val="hybridMultilevel"/>
    <w:tmpl w:val="71E03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F1B7E"/>
    <w:multiLevelType w:val="hybridMultilevel"/>
    <w:tmpl w:val="DB700C3A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55151B3"/>
    <w:multiLevelType w:val="multilevel"/>
    <w:tmpl w:val="27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65A4B"/>
    <w:multiLevelType w:val="hybridMultilevel"/>
    <w:tmpl w:val="C43814FE"/>
    <w:lvl w:ilvl="0" w:tplc="DF6E1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56691"/>
    <w:multiLevelType w:val="hybridMultilevel"/>
    <w:tmpl w:val="F3CA284E"/>
    <w:lvl w:ilvl="0" w:tplc="D26E3E64">
      <w:numFmt w:val="bullet"/>
      <w:lvlText w:val="-"/>
      <w:lvlJc w:val="left"/>
      <w:pPr>
        <w:ind w:left="432" w:hanging="360"/>
      </w:pPr>
      <w:rPr>
        <w:rFonts w:ascii="Arial" w:eastAsiaTheme="majorEastAsia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3E8E2187"/>
    <w:multiLevelType w:val="hybridMultilevel"/>
    <w:tmpl w:val="56489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55889"/>
    <w:multiLevelType w:val="hybridMultilevel"/>
    <w:tmpl w:val="70A623A0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214DE"/>
    <w:multiLevelType w:val="hybridMultilevel"/>
    <w:tmpl w:val="80AE1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B4EE7"/>
    <w:multiLevelType w:val="multilevel"/>
    <w:tmpl w:val="8FEA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40"/>
    <w:rsid w:val="00005D42"/>
    <w:rsid w:val="00007E1B"/>
    <w:rsid w:val="00021369"/>
    <w:rsid w:val="00031627"/>
    <w:rsid w:val="000324A9"/>
    <w:rsid w:val="00065329"/>
    <w:rsid w:val="000703CC"/>
    <w:rsid w:val="00086B70"/>
    <w:rsid w:val="000A417C"/>
    <w:rsid w:val="000A7975"/>
    <w:rsid w:val="000C14EB"/>
    <w:rsid w:val="000C2242"/>
    <w:rsid w:val="000C7C25"/>
    <w:rsid w:val="000D700D"/>
    <w:rsid w:val="000E6A18"/>
    <w:rsid w:val="00117D0B"/>
    <w:rsid w:val="001212FF"/>
    <w:rsid w:val="001268BF"/>
    <w:rsid w:val="00135E53"/>
    <w:rsid w:val="00143905"/>
    <w:rsid w:val="001501E9"/>
    <w:rsid w:val="00153195"/>
    <w:rsid w:val="00154789"/>
    <w:rsid w:val="001664A9"/>
    <w:rsid w:val="001772F5"/>
    <w:rsid w:val="0018632C"/>
    <w:rsid w:val="00187755"/>
    <w:rsid w:val="001D2D6C"/>
    <w:rsid w:val="001D4702"/>
    <w:rsid w:val="001D7288"/>
    <w:rsid w:val="001E1060"/>
    <w:rsid w:val="001E5E30"/>
    <w:rsid w:val="001F5DBC"/>
    <w:rsid w:val="002002F8"/>
    <w:rsid w:val="00203F0C"/>
    <w:rsid w:val="0020775A"/>
    <w:rsid w:val="00213D15"/>
    <w:rsid w:val="00226A78"/>
    <w:rsid w:val="0023024D"/>
    <w:rsid w:val="00245ADE"/>
    <w:rsid w:val="002541AF"/>
    <w:rsid w:val="0025709C"/>
    <w:rsid w:val="00257AD7"/>
    <w:rsid w:val="00277DD7"/>
    <w:rsid w:val="002A3A9A"/>
    <w:rsid w:val="002A73C6"/>
    <w:rsid w:val="002C2DDE"/>
    <w:rsid w:val="002E1D08"/>
    <w:rsid w:val="002E2502"/>
    <w:rsid w:val="002E27FA"/>
    <w:rsid w:val="002F2057"/>
    <w:rsid w:val="003023F4"/>
    <w:rsid w:val="00302F85"/>
    <w:rsid w:val="00312DD5"/>
    <w:rsid w:val="003252AA"/>
    <w:rsid w:val="00342995"/>
    <w:rsid w:val="0034429C"/>
    <w:rsid w:val="00362EE3"/>
    <w:rsid w:val="00363E82"/>
    <w:rsid w:val="003746E5"/>
    <w:rsid w:val="00380386"/>
    <w:rsid w:val="00386503"/>
    <w:rsid w:val="003B55BA"/>
    <w:rsid w:val="003C4671"/>
    <w:rsid w:val="003D227B"/>
    <w:rsid w:val="003D771F"/>
    <w:rsid w:val="003E02E8"/>
    <w:rsid w:val="003E7E2F"/>
    <w:rsid w:val="003F7490"/>
    <w:rsid w:val="00400157"/>
    <w:rsid w:val="00406054"/>
    <w:rsid w:val="00441324"/>
    <w:rsid w:val="0045276F"/>
    <w:rsid w:val="004737B6"/>
    <w:rsid w:val="00475E0A"/>
    <w:rsid w:val="00481F8D"/>
    <w:rsid w:val="004A3A1B"/>
    <w:rsid w:val="004A5006"/>
    <w:rsid w:val="004A5EB4"/>
    <w:rsid w:val="004A7EFC"/>
    <w:rsid w:val="004B5D29"/>
    <w:rsid w:val="004B7131"/>
    <w:rsid w:val="004C300A"/>
    <w:rsid w:val="004E184A"/>
    <w:rsid w:val="004F5BB6"/>
    <w:rsid w:val="00515910"/>
    <w:rsid w:val="00524006"/>
    <w:rsid w:val="00533E02"/>
    <w:rsid w:val="00546403"/>
    <w:rsid w:val="00552697"/>
    <w:rsid w:val="0057247D"/>
    <w:rsid w:val="00572BF7"/>
    <w:rsid w:val="005808E9"/>
    <w:rsid w:val="00581DEF"/>
    <w:rsid w:val="0058283B"/>
    <w:rsid w:val="00582EF5"/>
    <w:rsid w:val="0058362E"/>
    <w:rsid w:val="00587D46"/>
    <w:rsid w:val="00596F97"/>
    <w:rsid w:val="005B400A"/>
    <w:rsid w:val="005C2F02"/>
    <w:rsid w:val="005D2CB7"/>
    <w:rsid w:val="005D5722"/>
    <w:rsid w:val="005F4348"/>
    <w:rsid w:val="0060133E"/>
    <w:rsid w:val="00607CC0"/>
    <w:rsid w:val="00625986"/>
    <w:rsid w:val="00632659"/>
    <w:rsid w:val="00636660"/>
    <w:rsid w:val="00640304"/>
    <w:rsid w:val="00642CA9"/>
    <w:rsid w:val="00647EE8"/>
    <w:rsid w:val="00665D1B"/>
    <w:rsid w:val="00672E84"/>
    <w:rsid w:val="00683E3B"/>
    <w:rsid w:val="006846BB"/>
    <w:rsid w:val="006A12F1"/>
    <w:rsid w:val="006A20CF"/>
    <w:rsid w:val="006C2916"/>
    <w:rsid w:val="006C46C3"/>
    <w:rsid w:val="006D31FD"/>
    <w:rsid w:val="006D6A59"/>
    <w:rsid w:val="006D71D4"/>
    <w:rsid w:val="006D7D8A"/>
    <w:rsid w:val="006E3BEB"/>
    <w:rsid w:val="006F6307"/>
    <w:rsid w:val="00706A2D"/>
    <w:rsid w:val="007102B5"/>
    <w:rsid w:val="0072070D"/>
    <w:rsid w:val="007229DD"/>
    <w:rsid w:val="00735A67"/>
    <w:rsid w:val="007442C0"/>
    <w:rsid w:val="007511D7"/>
    <w:rsid w:val="0075750B"/>
    <w:rsid w:val="00760148"/>
    <w:rsid w:val="00773A71"/>
    <w:rsid w:val="007825D2"/>
    <w:rsid w:val="00796638"/>
    <w:rsid w:val="007A1C4D"/>
    <w:rsid w:val="007A7966"/>
    <w:rsid w:val="007B2556"/>
    <w:rsid w:val="007B545E"/>
    <w:rsid w:val="007B5C7C"/>
    <w:rsid w:val="007C109C"/>
    <w:rsid w:val="007D194D"/>
    <w:rsid w:val="00803D5F"/>
    <w:rsid w:val="00806257"/>
    <w:rsid w:val="00860D19"/>
    <w:rsid w:val="00861671"/>
    <w:rsid w:val="00865F13"/>
    <w:rsid w:val="008752CA"/>
    <w:rsid w:val="008757F9"/>
    <w:rsid w:val="00885609"/>
    <w:rsid w:val="00885743"/>
    <w:rsid w:val="00886C3B"/>
    <w:rsid w:val="008870E9"/>
    <w:rsid w:val="008A0BCE"/>
    <w:rsid w:val="008B250D"/>
    <w:rsid w:val="008B5394"/>
    <w:rsid w:val="008B6961"/>
    <w:rsid w:val="008C36A7"/>
    <w:rsid w:val="008D06BC"/>
    <w:rsid w:val="008D2236"/>
    <w:rsid w:val="008D46E2"/>
    <w:rsid w:val="008F04BE"/>
    <w:rsid w:val="008F49C9"/>
    <w:rsid w:val="0090255B"/>
    <w:rsid w:val="00923410"/>
    <w:rsid w:val="009268C5"/>
    <w:rsid w:val="00930DD6"/>
    <w:rsid w:val="00930F5F"/>
    <w:rsid w:val="009323BB"/>
    <w:rsid w:val="009421A5"/>
    <w:rsid w:val="00967B45"/>
    <w:rsid w:val="00972E26"/>
    <w:rsid w:val="00981E5C"/>
    <w:rsid w:val="009A69A9"/>
    <w:rsid w:val="009A7057"/>
    <w:rsid w:val="009B1E79"/>
    <w:rsid w:val="00A02A3D"/>
    <w:rsid w:val="00A17D2B"/>
    <w:rsid w:val="00A21A8A"/>
    <w:rsid w:val="00A26021"/>
    <w:rsid w:val="00A2768F"/>
    <w:rsid w:val="00A3006C"/>
    <w:rsid w:val="00A30255"/>
    <w:rsid w:val="00A3420D"/>
    <w:rsid w:val="00A917E2"/>
    <w:rsid w:val="00A92107"/>
    <w:rsid w:val="00A946FF"/>
    <w:rsid w:val="00A94F10"/>
    <w:rsid w:val="00AA4E7E"/>
    <w:rsid w:val="00AA563B"/>
    <w:rsid w:val="00AC0F8A"/>
    <w:rsid w:val="00AC3456"/>
    <w:rsid w:val="00AC38A2"/>
    <w:rsid w:val="00AC51CA"/>
    <w:rsid w:val="00AC62E3"/>
    <w:rsid w:val="00AD1039"/>
    <w:rsid w:val="00B048DE"/>
    <w:rsid w:val="00B14048"/>
    <w:rsid w:val="00B15C07"/>
    <w:rsid w:val="00B163B8"/>
    <w:rsid w:val="00B24F27"/>
    <w:rsid w:val="00B40753"/>
    <w:rsid w:val="00B4216F"/>
    <w:rsid w:val="00B619DB"/>
    <w:rsid w:val="00B64676"/>
    <w:rsid w:val="00B74958"/>
    <w:rsid w:val="00BB62AC"/>
    <w:rsid w:val="00BB6416"/>
    <w:rsid w:val="00BB77B6"/>
    <w:rsid w:val="00BC28C1"/>
    <w:rsid w:val="00BE030C"/>
    <w:rsid w:val="00BE4C60"/>
    <w:rsid w:val="00BF14F1"/>
    <w:rsid w:val="00BF3A20"/>
    <w:rsid w:val="00BF60EE"/>
    <w:rsid w:val="00C0743E"/>
    <w:rsid w:val="00C205D4"/>
    <w:rsid w:val="00C30009"/>
    <w:rsid w:val="00C47613"/>
    <w:rsid w:val="00C512E4"/>
    <w:rsid w:val="00C56DE8"/>
    <w:rsid w:val="00C573CB"/>
    <w:rsid w:val="00C61A86"/>
    <w:rsid w:val="00C70B09"/>
    <w:rsid w:val="00C73F69"/>
    <w:rsid w:val="00C74000"/>
    <w:rsid w:val="00C75E4B"/>
    <w:rsid w:val="00C866BB"/>
    <w:rsid w:val="00CA0929"/>
    <w:rsid w:val="00CC0221"/>
    <w:rsid w:val="00CC1284"/>
    <w:rsid w:val="00CC5771"/>
    <w:rsid w:val="00CE118A"/>
    <w:rsid w:val="00CE3F38"/>
    <w:rsid w:val="00D06C40"/>
    <w:rsid w:val="00D106B2"/>
    <w:rsid w:val="00D2187F"/>
    <w:rsid w:val="00D22352"/>
    <w:rsid w:val="00D24581"/>
    <w:rsid w:val="00D2478F"/>
    <w:rsid w:val="00D32943"/>
    <w:rsid w:val="00D34600"/>
    <w:rsid w:val="00D34F04"/>
    <w:rsid w:val="00D558A3"/>
    <w:rsid w:val="00D56EB0"/>
    <w:rsid w:val="00D74F36"/>
    <w:rsid w:val="00D97726"/>
    <w:rsid w:val="00DA3DCC"/>
    <w:rsid w:val="00DB617C"/>
    <w:rsid w:val="00DB7695"/>
    <w:rsid w:val="00DD2D9A"/>
    <w:rsid w:val="00DD2DE8"/>
    <w:rsid w:val="00DE5D69"/>
    <w:rsid w:val="00DF0A4F"/>
    <w:rsid w:val="00E07479"/>
    <w:rsid w:val="00E1236E"/>
    <w:rsid w:val="00E13105"/>
    <w:rsid w:val="00E3183D"/>
    <w:rsid w:val="00E3594C"/>
    <w:rsid w:val="00E43914"/>
    <w:rsid w:val="00E4495D"/>
    <w:rsid w:val="00E57A71"/>
    <w:rsid w:val="00E6022C"/>
    <w:rsid w:val="00E70652"/>
    <w:rsid w:val="00EC61BE"/>
    <w:rsid w:val="00ED4544"/>
    <w:rsid w:val="00ED665E"/>
    <w:rsid w:val="00EF2534"/>
    <w:rsid w:val="00EF5E06"/>
    <w:rsid w:val="00F100F8"/>
    <w:rsid w:val="00F10126"/>
    <w:rsid w:val="00F17EED"/>
    <w:rsid w:val="00F21CE8"/>
    <w:rsid w:val="00F27B67"/>
    <w:rsid w:val="00F30F55"/>
    <w:rsid w:val="00F32C99"/>
    <w:rsid w:val="00F36B50"/>
    <w:rsid w:val="00F42566"/>
    <w:rsid w:val="00F42ECE"/>
    <w:rsid w:val="00F46523"/>
    <w:rsid w:val="00F556A5"/>
    <w:rsid w:val="00F56529"/>
    <w:rsid w:val="00F56CC9"/>
    <w:rsid w:val="00F573D1"/>
    <w:rsid w:val="00F81434"/>
    <w:rsid w:val="00F93849"/>
    <w:rsid w:val="00FB2179"/>
    <w:rsid w:val="00FC4F4C"/>
    <w:rsid w:val="00FC7B2D"/>
    <w:rsid w:val="00FD75ED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929"/>
  </w:style>
  <w:style w:type="paragraph" w:styleId="Nadpis1">
    <w:name w:val="heading 1"/>
    <w:basedOn w:val="Normln"/>
    <w:next w:val="Normln"/>
    <w:link w:val="Nadpis1Char"/>
    <w:uiPriority w:val="9"/>
    <w:qFormat/>
    <w:rsid w:val="00CA09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A09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A09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A09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A09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09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A09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CA09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A09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929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CA0929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CA0929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CA0929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A0929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CA09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rsid w:val="00CA09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CA0929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CA0929"/>
    <w:rPr>
      <w:b/>
      <w:bCs/>
      <w:i/>
      <w:iCs/>
      <w:color w:val="7F7F7F" w:themeColor="text1" w:themeTint="80"/>
      <w:sz w:val="18"/>
      <w:szCs w:val="18"/>
    </w:rPr>
  </w:style>
  <w:style w:type="character" w:styleId="Hypertextovodkaz">
    <w:name w:val="Hyperlink"/>
    <w:uiPriority w:val="99"/>
    <w:unhideWhenUsed/>
    <w:rsid w:val="00D06C4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74958"/>
    <w:pPr>
      <w:tabs>
        <w:tab w:val="left" w:pos="440"/>
        <w:tab w:val="right" w:leader="dot" w:pos="9062"/>
      </w:tabs>
      <w:spacing w:before="360" w:after="0"/>
    </w:pPr>
    <w:rPr>
      <w:rFonts w:ascii="Arial" w:hAnsi="Arial" w:cs="Arial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D06C40"/>
    <w:pPr>
      <w:spacing w:before="240" w:after="0"/>
    </w:pPr>
    <w:rPr>
      <w:rFonts w:cs="Calibri"/>
      <w:b/>
      <w:bCs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CA0929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D06C40"/>
  </w:style>
  <w:style w:type="paragraph" w:styleId="Nadpisobsahu">
    <w:name w:val="TOC Heading"/>
    <w:basedOn w:val="Nadpis1"/>
    <w:next w:val="Normln"/>
    <w:uiPriority w:val="39"/>
    <w:unhideWhenUsed/>
    <w:qFormat/>
    <w:rsid w:val="00CA0929"/>
    <w:pPr>
      <w:outlineLvl w:val="9"/>
    </w:pPr>
    <w:rPr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C40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F5E06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F5E06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CA0929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F5E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F5E06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rsid w:val="00EF5E06"/>
    <w:rPr>
      <w:vertAlign w:val="superscript"/>
    </w:rPr>
  </w:style>
  <w:style w:type="character" w:styleId="Odkaznakoment">
    <w:name w:val="annotation reference"/>
    <w:uiPriority w:val="99"/>
    <w:semiHidden/>
    <w:unhideWhenUsed/>
    <w:rsid w:val="008D06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6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D06BC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06BC"/>
    <w:rPr>
      <w:rFonts w:ascii="Calibri" w:eastAsia="Times New Roman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1E1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CharChar">
    <w:name w:val="Char Char Char Char"/>
    <w:basedOn w:val="Normln"/>
    <w:rsid w:val="000E6A18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CharChar0">
    <w:name w:val="Char Char Char Char"/>
    <w:basedOn w:val="Normln"/>
    <w:rsid w:val="003746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76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A0929"/>
    <w:rPr>
      <w:b/>
      <w:bCs/>
    </w:rPr>
  </w:style>
  <w:style w:type="character" w:customStyle="1" w:styleId="apple-converted-space">
    <w:name w:val="apple-converted-space"/>
    <w:basedOn w:val="Standardnpsmoodstavce"/>
    <w:rsid w:val="008752CA"/>
  </w:style>
  <w:style w:type="paragraph" w:styleId="Revize">
    <w:name w:val="Revision"/>
    <w:hidden/>
    <w:uiPriority w:val="99"/>
    <w:semiHidden/>
    <w:rsid w:val="008870E9"/>
    <w:rPr>
      <w:rFonts w:eastAsia="Times New Roman"/>
      <w:lang w:eastAsia="en-US"/>
    </w:rPr>
  </w:style>
  <w:style w:type="character" w:styleId="Zvraznn">
    <w:name w:val="Emphasis"/>
    <w:uiPriority w:val="20"/>
    <w:qFormat/>
    <w:rsid w:val="00CA0929"/>
    <w:rPr>
      <w:b/>
      <w:bCs/>
      <w:i/>
      <w:iCs/>
      <w:spacing w:val="10"/>
    </w:rPr>
  </w:style>
  <w:style w:type="paragraph" w:styleId="Nzev">
    <w:name w:val="Title"/>
    <w:basedOn w:val="Normln"/>
    <w:next w:val="Normln"/>
    <w:link w:val="NzevChar"/>
    <w:uiPriority w:val="10"/>
    <w:qFormat/>
    <w:rsid w:val="00CA09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A0929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A0929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CA0929"/>
    <w:rPr>
      <w:i/>
      <w:iCs/>
      <w:smallCaps/>
      <w:spacing w:val="1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0929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CA092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09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0929"/>
    <w:rPr>
      <w:i/>
      <w:iCs/>
    </w:rPr>
  </w:style>
  <w:style w:type="character" w:styleId="Zdraznnjemn">
    <w:name w:val="Subtle Emphasis"/>
    <w:uiPriority w:val="19"/>
    <w:qFormat/>
    <w:rsid w:val="00CA0929"/>
    <w:rPr>
      <w:i/>
      <w:iCs/>
    </w:rPr>
  </w:style>
  <w:style w:type="character" w:styleId="Zdraznnintenzivn">
    <w:name w:val="Intense Emphasis"/>
    <w:uiPriority w:val="21"/>
    <w:qFormat/>
    <w:rsid w:val="00CA0929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CA0929"/>
    <w:rPr>
      <w:smallCaps/>
    </w:rPr>
  </w:style>
  <w:style w:type="character" w:styleId="Odkazintenzivn">
    <w:name w:val="Intense Reference"/>
    <w:uiPriority w:val="32"/>
    <w:qFormat/>
    <w:rsid w:val="00CA0929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CA0929"/>
    <w:rPr>
      <w:i/>
      <w:i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929"/>
  </w:style>
  <w:style w:type="paragraph" w:styleId="Nadpis1">
    <w:name w:val="heading 1"/>
    <w:basedOn w:val="Normln"/>
    <w:next w:val="Normln"/>
    <w:link w:val="Nadpis1Char"/>
    <w:uiPriority w:val="9"/>
    <w:qFormat/>
    <w:rsid w:val="00CA09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A09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A09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A09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A09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09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A09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CA09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A09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929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CA0929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CA0929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CA0929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A0929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CA09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rsid w:val="00CA09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CA0929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CA0929"/>
    <w:rPr>
      <w:b/>
      <w:bCs/>
      <w:i/>
      <w:iCs/>
      <w:color w:val="7F7F7F" w:themeColor="text1" w:themeTint="80"/>
      <w:sz w:val="18"/>
      <w:szCs w:val="18"/>
    </w:rPr>
  </w:style>
  <w:style w:type="character" w:styleId="Hypertextovodkaz">
    <w:name w:val="Hyperlink"/>
    <w:uiPriority w:val="99"/>
    <w:unhideWhenUsed/>
    <w:rsid w:val="00D06C4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74958"/>
    <w:pPr>
      <w:tabs>
        <w:tab w:val="left" w:pos="440"/>
        <w:tab w:val="right" w:leader="dot" w:pos="9062"/>
      </w:tabs>
      <w:spacing w:before="360" w:after="0"/>
    </w:pPr>
    <w:rPr>
      <w:rFonts w:ascii="Arial" w:hAnsi="Arial" w:cs="Arial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D06C40"/>
    <w:pPr>
      <w:spacing w:before="240" w:after="0"/>
    </w:pPr>
    <w:rPr>
      <w:rFonts w:cs="Calibri"/>
      <w:b/>
      <w:bCs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CA0929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D06C40"/>
  </w:style>
  <w:style w:type="paragraph" w:styleId="Nadpisobsahu">
    <w:name w:val="TOC Heading"/>
    <w:basedOn w:val="Nadpis1"/>
    <w:next w:val="Normln"/>
    <w:uiPriority w:val="39"/>
    <w:unhideWhenUsed/>
    <w:qFormat/>
    <w:rsid w:val="00CA0929"/>
    <w:pPr>
      <w:outlineLvl w:val="9"/>
    </w:pPr>
    <w:rPr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C40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F5E06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F5E06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CA0929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F5E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F5E06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rsid w:val="00EF5E06"/>
    <w:rPr>
      <w:vertAlign w:val="superscript"/>
    </w:rPr>
  </w:style>
  <w:style w:type="character" w:styleId="Odkaznakoment">
    <w:name w:val="annotation reference"/>
    <w:uiPriority w:val="99"/>
    <w:semiHidden/>
    <w:unhideWhenUsed/>
    <w:rsid w:val="008D06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6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D06BC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06BC"/>
    <w:rPr>
      <w:rFonts w:ascii="Calibri" w:eastAsia="Times New Roman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1E1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CharChar">
    <w:name w:val="Char Char Char Char"/>
    <w:basedOn w:val="Normln"/>
    <w:rsid w:val="000E6A18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CharChar0">
    <w:name w:val="Char Char Char Char"/>
    <w:basedOn w:val="Normln"/>
    <w:rsid w:val="003746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76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A0929"/>
    <w:rPr>
      <w:b/>
      <w:bCs/>
    </w:rPr>
  </w:style>
  <w:style w:type="character" w:customStyle="1" w:styleId="apple-converted-space">
    <w:name w:val="apple-converted-space"/>
    <w:basedOn w:val="Standardnpsmoodstavce"/>
    <w:rsid w:val="008752CA"/>
  </w:style>
  <w:style w:type="paragraph" w:styleId="Revize">
    <w:name w:val="Revision"/>
    <w:hidden/>
    <w:uiPriority w:val="99"/>
    <w:semiHidden/>
    <w:rsid w:val="008870E9"/>
    <w:rPr>
      <w:rFonts w:eastAsia="Times New Roman"/>
      <w:lang w:eastAsia="en-US"/>
    </w:rPr>
  </w:style>
  <w:style w:type="character" w:styleId="Zvraznn">
    <w:name w:val="Emphasis"/>
    <w:uiPriority w:val="20"/>
    <w:qFormat/>
    <w:rsid w:val="00CA0929"/>
    <w:rPr>
      <w:b/>
      <w:bCs/>
      <w:i/>
      <w:iCs/>
      <w:spacing w:val="10"/>
    </w:rPr>
  </w:style>
  <w:style w:type="paragraph" w:styleId="Nzev">
    <w:name w:val="Title"/>
    <w:basedOn w:val="Normln"/>
    <w:next w:val="Normln"/>
    <w:link w:val="NzevChar"/>
    <w:uiPriority w:val="10"/>
    <w:qFormat/>
    <w:rsid w:val="00CA09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A0929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A0929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CA0929"/>
    <w:rPr>
      <w:i/>
      <w:iCs/>
      <w:smallCaps/>
      <w:spacing w:val="1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0929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CA092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09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0929"/>
    <w:rPr>
      <w:i/>
      <w:iCs/>
    </w:rPr>
  </w:style>
  <w:style w:type="character" w:styleId="Zdraznnjemn">
    <w:name w:val="Subtle Emphasis"/>
    <w:uiPriority w:val="19"/>
    <w:qFormat/>
    <w:rsid w:val="00CA0929"/>
    <w:rPr>
      <w:i/>
      <w:iCs/>
    </w:rPr>
  </w:style>
  <w:style w:type="character" w:styleId="Zdraznnintenzivn">
    <w:name w:val="Intense Emphasis"/>
    <w:uiPriority w:val="21"/>
    <w:qFormat/>
    <w:rsid w:val="00CA0929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CA0929"/>
    <w:rPr>
      <w:smallCaps/>
    </w:rPr>
  </w:style>
  <w:style w:type="character" w:styleId="Odkazintenzivn">
    <w:name w:val="Intense Reference"/>
    <w:uiPriority w:val="32"/>
    <w:qFormat/>
    <w:rsid w:val="00CA0929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CA0929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C303-7C99-4D8A-B316-64B1DB05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1268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8736</CharactersWithSpaces>
  <SharedDoc>false</SharedDoc>
  <HLinks>
    <vt:vector size="54" baseType="variant"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_Toc346879300</vt:lpwstr>
      </vt:variant>
      <vt:variant>
        <vt:i4>1703984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_Toc346879283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_Toc346879282</vt:lpwstr>
      </vt:variant>
      <vt:variant>
        <vt:i4>1703984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_Toc346879281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_Toc346879268</vt:lpwstr>
      </vt:variant>
      <vt:variant>
        <vt:i4>1310768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_Toc346879267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_Toc346879266</vt:lpwstr>
      </vt:variant>
      <vt:variant>
        <vt:i4>1310768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_Toc346879265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_Toc346879264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Pecka Aleš</dc:creator>
  <cp:lastModifiedBy>Soukupová Eva</cp:lastModifiedBy>
  <cp:revision>2</cp:revision>
  <cp:lastPrinted>2015-04-20T13:51:00Z</cp:lastPrinted>
  <dcterms:created xsi:type="dcterms:W3CDTF">2015-05-29T07:39:00Z</dcterms:created>
  <dcterms:modified xsi:type="dcterms:W3CDTF">2015-05-29T07:39:00Z</dcterms:modified>
</cp:coreProperties>
</file>