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5D4" w:rsidRPr="00C205D4" w:rsidRDefault="00C205D4" w:rsidP="00D06C40">
      <w:pPr>
        <w:jc w:val="both"/>
        <w:rPr>
          <w:rFonts w:ascii="Arial" w:hAnsi="Arial" w:cs="Arial"/>
          <w:sz w:val="24"/>
          <w:szCs w:val="24"/>
        </w:rPr>
      </w:pP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r>
      <w:r w:rsidRPr="00C205D4">
        <w:rPr>
          <w:rFonts w:ascii="Arial" w:hAnsi="Arial" w:cs="Arial"/>
          <w:sz w:val="24"/>
          <w:szCs w:val="24"/>
        </w:rPr>
        <w:tab/>
        <w:t>Příloha č. 6</w:t>
      </w:r>
    </w:p>
    <w:p w:rsidR="00D06C40" w:rsidRDefault="00D06C40" w:rsidP="00D06C40">
      <w:pPr>
        <w:jc w:val="both"/>
      </w:pPr>
    </w:p>
    <w:p w:rsidR="00C205D4" w:rsidRDefault="00C205D4" w:rsidP="00C205D4">
      <w:pPr>
        <w:jc w:val="center"/>
        <w:rPr>
          <w:rFonts w:cs="Calibri"/>
          <w:b/>
          <w:sz w:val="36"/>
          <w:szCs w:val="36"/>
        </w:rPr>
      </w:pPr>
    </w:p>
    <w:p w:rsidR="00C205D4" w:rsidRDefault="00C205D4" w:rsidP="00C205D4">
      <w:pPr>
        <w:jc w:val="center"/>
        <w:rPr>
          <w:rFonts w:cs="Calibri"/>
          <w:b/>
          <w:sz w:val="36"/>
          <w:szCs w:val="36"/>
        </w:rPr>
      </w:pPr>
    </w:p>
    <w:p w:rsidR="00C205D4" w:rsidRDefault="00C205D4" w:rsidP="00C205D4">
      <w:pPr>
        <w:jc w:val="center"/>
        <w:rPr>
          <w:rFonts w:cs="Calibri"/>
          <w:b/>
          <w:sz w:val="36"/>
          <w:szCs w:val="36"/>
        </w:rPr>
      </w:pPr>
    </w:p>
    <w:p w:rsidR="00C205D4" w:rsidRDefault="00C205D4" w:rsidP="00C205D4">
      <w:pPr>
        <w:jc w:val="center"/>
        <w:rPr>
          <w:rFonts w:cs="Calibri"/>
          <w:b/>
          <w:sz w:val="36"/>
          <w:szCs w:val="36"/>
        </w:rPr>
      </w:pPr>
    </w:p>
    <w:p w:rsidR="00C205D4" w:rsidRDefault="00C205D4" w:rsidP="00C205D4">
      <w:pPr>
        <w:jc w:val="center"/>
        <w:rPr>
          <w:rFonts w:cs="Calibri"/>
          <w:b/>
          <w:sz w:val="36"/>
          <w:szCs w:val="36"/>
        </w:rPr>
      </w:pPr>
    </w:p>
    <w:p w:rsidR="00BE030C" w:rsidRDefault="00BE030C" w:rsidP="00C205D4">
      <w:pPr>
        <w:jc w:val="center"/>
        <w:rPr>
          <w:rFonts w:cs="Calibri"/>
          <w:b/>
          <w:sz w:val="36"/>
          <w:szCs w:val="36"/>
        </w:rPr>
      </w:pPr>
    </w:p>
    <w:p w:rsidR="00C205D4" w:rsidRPr="009323BB" w:rsidRDefault="009323BB" w:rsidP="00C205D4">
      <w:pPr>
        <w:jc w:val="center"/>
        <w:rPr>
          <w:rFonts w:cs="Calibri"/>
          <w:b/>
          <w:sz w:val="36"/>
          <w:szCs w:val="36"/>
        </w:rPr>
      </w:pPr>
      <w:r w:rsidRPr="009323BB">
        <w:rPr>
          <w:rFonts w:cs="Calibri"/>
          <w:b/>
          <w:sz w:val="36"/>
          <w:szCs w:val="36"/>
        </w:rPr>
        <w:t>Výroční zpráva</w:t>
      </w:r>
    </w:p>
    <w:p w:rsidR="00C205D4" w:rsidRPr="009323BB" w:rsidRDefault="009323BB" w:rsidP="00C205D4">
      <w:pPr>
        <w:jc w:val="center"/>
        <w:rPr>
          <w:rFonts w:cs="Calibri"/>
          <w:b/>
          <w:sz w:val="32"/>
          <w:szCs w:val="32"/>
        </w:rPr>
      </w:pPr>
      <w:r w:rsidRPr="009323BB">
        <w:rPr>
          <w:rFonts w:cs="Calibri"/>
          <w:b/>
          <w:sz w:val="32"/>
          <w:szCs w:val="32"/>
        </w:rPr>
        <w:t>pracovní komise</w:t>
      </w:r>
      <w:bookmarkStart w:id="0" w:name="_GoBack"/>
      <w:bookmarkEnd w:id="0"/>
      <w:r w:rsidRPr="009323BB">
        <w:rPr>
          <w:rFonts w:cs="Calibri"/>
          <w:b/>
          <w:sz w:val="32"/>
          <w:szCs w:val="32"/>
        </w:rPr>
        <w:t xml:space="preserve"> Legislativní rady vlády pro h</w:t>
      </w:r>
      <w:r w:rsidR="00C205D4" w:rsidRPr="009323BB">
        <w:rPr>
          <w:rFonts w:cs="Calibri"/>
          <w:b/>
          <w:sz w:val="32"/>
          <w:szCs w:val="32"/>
        </w:rPr>
        <w:t xml:space="preserve">odnocení dopadů regulace </w:t>
      </w:r>
      <w:r w:rsidRPr="009323BB">
        <w:rPr>
          <w:rFonts w:cs="Calibri"/>
          <w:b/>
          <w:sz w:val="32"/>
          <w:szCs w:val="32"/>
        </w:rPr>
        <w:t>(</w:t>
      </w:r>
      <w:r w:rsidR="00C205D4" w:rsidRPr="009323BB">
        <w:rPr>
          <w:rFonts w:cs="Calibri"/>
          <w:b/>
          <w:sz w:val="32"/>
          <w:szCs w:val="32"/>
        </w:rPr>
        <w:t>RIA</w:t>
      </w:r>
      <w:r w:rsidRPr="009323BB">
        <w:rPr>
          <w:rFonts w:cs="Calibri"/>
          <w:b/>
          <w:sz w:val="32"/>
          <w:szCs w:val="32"/>
        </w:rPr>
        <w:t xml:space="preserve">) </w:t>
      </w:r>
      <w:r w:rsidR="00C205D4" w:rsidRPr="009323BB">
        <w:rPr>
          <w:rFonts w:cs="Calibri"/>
          <w:b/>
          <w:sz w:val="32"/>
          <w:szCs w:val="32"/>
        </w:rPr>
        <w:t>za rok 2013</w:t>
      </w:r>
    </w:p>
    <w:p w:rsidR="00C205D4" w:rsidRDefault="00C205D4" w:rsidP="00C205D4">
      <w:pPr>
        <w:jc w:val="both"/>
        <w:rPr>
          <w:rFonts w:cs="Calibri"/>
          <w:b/>
          <w:i/>
          <w:sz w:val="24"/>
          <w:szCs w:val="24"/>
        </w:rPr>
      </w:pPr>
    </w:p>
    <w:p w:rsidR="00D06C40" w:rsidRDefault="00D06C40" w:rsidP="00D06C40">
      <w:pPr>
        <w:jc w:val="both"/>
      </w:pPr>
    </w:p>
    <w:p w:rsidR="0060133E" w:rsidRDefault="0060133E" w:rsidP="0060133E">
      <w:pPr>
        <w:jc w:val="both"/>
      </w:pPr>
      <w:r>
        <w:br w:type="page"/>
      </w:r>
    </w:p>
    <w:p w:rsidR="0060133E" w:rsidRDefault="0060133E" w:rsidP="0060133E">
      <w:pPr>
        <w:pStyle w:val="Nadpisobsahu"/>
        <w:jc w:val="both"/>
        <w:rPr>
          <w:rFonts w:ascii="Calibri" w:hAnsi="Calibri" w:cs="Calibri"/>
          <w:color w:val="5F497A"/>
        </w:rPr>
      </w:pPr>
      <w:r w:rsidRPr="00F51FA3">
        <w:rPr>
          <w:rFonts w:ascii="Calibri" w:hAnsi="Calibri" w:cs="Calibri"/>
          <w:color w:val="5F497A"/>
        </w:rPr>
        <w:lastRenderedPageBreak/>
        <w:t>Obsah</w:t>
      </w:r>
    </w:p>
    <w:p w:rsidR="00BE030C" w:rsidRPr="00BE030C" w:rsidRDefault="00BE030C" w:rsidP="00BE030C">
      <w:pPr>
        <w:rPr>
          <w:lang w:bidi="en-US"/>
        </w:rPr>
      </w:pPr>
    </w:p>
    <w:p w:rsidR="0060133E" w:rsidRPr="00F17EED" w:rsidRDefault="00B048DE" w:rsidP="00CA0929">
      <w:pPr>
        <w:rPr>
          <w:rStyle w:val="Hypertextovodkaz"/>
          <w:rFonts w:cs="Arial"/>
          <w:b/>
          <w:sz w:val="24"/>
          <w:szCs w:val="24"/>
        </w:rPr>
      </w:pPr>
      <w:proofErr w:type="gramStart"/>
      <w:r w:rsidRPr="00F17EED">
        <w:rPr>
          <w:b/>
          <w:bCs/>
        </w:rPr>
        <w:t>1</w:t>
      </w:r>
      <w:r w:rsidR="00B74958" w:rsidRPr="00F17EED">
        <w:rPr>
          <w:b/>
          <w:bCs/>
        </w:rPr>
        <w:t xml:space="preserve">           Shrnutí</w:t>
      </w:r>
      <w:proofErr w:type="gramEnd"/>
      <w:r w:rsidR="00B74958" w:rsidRPr="00F17EED">
        <w:rPr>
          <w:b/>
          <w:bCs/>
        </w:rPr>
        <w:t xml:space="preserve">            </w:t>
      </w:r>
      <w:r w:rsidR="0060133E" w:rsidRPr="00F17EED">
        <w:rPr>
          <w:b/>
          <w:bCs/>
        </w:rPr>
        <w:fldChar w:fldCharType="begin"/>
      </w:r>
      <w:r w:rsidR="0060133E" w:rsidRPr="00F17EED">
        <w:rPr>
          <w:b/>
        </w:rPr>
        <w:instrText xml:space="preserve"> TOC \o "1-2" \h \z \u </w:instrText>
      </w:r>
      <w:r w:rsidR="0060133E" w:rsidRPr="00F17EED">
        <w:rPr>
          <w:b/>
          <w:bCs/>
        </w:rPr>
        <w:fldChar w:fldCharType="separate"/>
      </w:r>
      <w:r w:rsidR="00F17EED" w:rsidRPr="00F17EED">
        <w:rPr>
          <w:b/>
          <w:bCs/>
        </w:rPr>
        <w:t xml:space="preserve">                                                                                                                                        </w:t>
      </w:r>
      <w:r w:rsidR="00F17EED">
        <w:rPr>
          <w:b/>
          <w:bCs/>
        </w:rPr>
        <w:t xml:space="preserve">    </w:t>
      </w:r>
      <w:r w:rsidR="00F17EED" w:rsidRPr="00F17EED">
        <w:rPr>
          <w:b/>
          <w:bCs/>
        </w:rPr>
        <w:t xml:space="preserve">  3</w:t>
      </w:r>
    </w:p>
    <w:p w:rsidR="0060133E" w:rsidRPr="00F17EED" w:rsidRDefault="002C2DDE" w:rsidP="00CA0929">
      <w:pPr>
        <w:rPr>
          <w:rFonts w:eastAsiaTheme="minorEastAsia" w:cstheme="minorBidi"/>
          <w:b/>
          <w:bCs/>
          <w:caps/>
          <w:noProof/>
        </w:rPr>
      </w:pPr>
      <w:hyperlink w:anchor="_Toc381286097" w:history="1">
        <w:r w:rsidR="00B74958" w:rsidRPr="00F17EED">
          <w:rPr>
            <w:rStyle w:val="Hypertextovodkaz"/>
            <w:rFonts w:cs="Arial"/>
            <w:b/>
            <w:noProof/>
            <w:sz w:val="24"/>
            <w:szCs w:val="24"/>
          </w:rPr>
          <w:t xml:space="preserve">2          </w:t>
        </w:r>
        <w:r w:rsidR="0060133E" w:rsidRPr="00F17EED">
          <w:rPr>
            <w:rStyle w:val="Hypertextovodkaz"/>
            <w:rFonts w:cs="Calibri"/>
            <w:b/>
            <w:noProof/>
            <w:sz w:val="24"/>
            <w:szCs w:val="24"/>
          </w:rPr>
          <w:t>Role Komise RIA</w:t>
        </w:r>
        <w:r w:rsidR="00B048DE" w:rsidRPr="00F17EED">
          <w:rPr>
            <w:rStyle w:val="Hypertextovodkaz"/>
            <w:rFonts w:cs="Calibri"/>
            <w:b/>
            <w:noProof/>
            <w:sz w:val="24"/>
            <w:szCs w:val="24"/>
          </w:rPr>
          <w:t xml:space="preserve">      </w:t>
        </w:r>
        <w:r w:rsidR="00CA0929" w:rsidRPr="00F17EED">
          <w:rPr>
            <w:rStyle w:val="Hypertextovodkaz"/>
            <w:rFonts w:cs="Calibri"/>
            <w:b/>
            <w:noProof/>
            <w:sz w:val="24"/>
            <w:szCs w:val="24"/>
          </w:rPr>
          <w:t xml:space="preserve">                                                                                                              </w:t>
        </w:r>
        <w:r w:rsidR="00923410" w:rsidRPr="00F17EED">
          <w:rPr>
            <w:rStyle w:val="Hypertextovodkaz"/>
            <w:rFonts w:cs="Calibri"/>
            <w:b/>
            <w:noProof/>
            <w:sz w:val="24"/>
            <w:szCs w:val="24"/>
          </w:rPr>
          <w:t xml:space="preserve">  </w:t>
        </w:r>
        <w:r w:rsidR="00CA0929" w:rsidRPr="00F17EED">
          <w:rPr>
            <w:rStyle w:val="Hypertextovodkaz"/>
            <w:rFonts w:cs="Calibri"/>
            <w:b/>
            <w:noProof/>
            <w:sz w:val="24"/>
            <w:szCs w:val="24"/>
          </w:rPr>
          <w:t xml:space="preserve"> </w:t>
        </w:r>
        <w:r w:rsidR="00F17EED">
          <w:rPr>
            <w:rStyle w:val="Hypertextovodkaz"/>
            <w:rFonts w:cs="Calibri"/>
            <w:b/>
            <w:noProof/>
            <w:sz w:val="24"/>
            <w:szCs w:val="24"/>
          </w:rPr>
          <w:t xml:space="preserve"> </w:t>
        </w:r>
        <w:r w:rsidR="00CA0929" w:rsidRPr="00F17EED">
          <w:rPr>
            <w:rStyle w:val="Hypertextovodkaz"/>
            <w:rFonts w:cs="Calibri"/>
            <w:b/>
            <w:noProof/>
            <w:sz w:val="24"/>
            <w:szCs w:val="24"/>
          </w:rPr>
          <w:t xml:space="preserve"> </w:t>
        </w:r>
        <w:r w:rsidR="0060133E" w:rsidRPr="00F17EED">
          <w:rPr>
            <w:b/>
            <w:noProof/>
            <w:webHidden/>
          </w:rPr>
          <w:fldChar w:fldCharType="begin"/>
        </w:r>
        <w:r w:rsidR="0060133E" w:rsidRPr="00F17EED">
          <w:rPr>
            <w:b/>
            <w:noProof/>
            <w:webHidden/>
          </w:rPr>
          <w:instrText xml:space="preserve"> PAGEREF _Toc381286097 \h </w:instrText>
        </w:r>
        <w:r w:rsidR="0060133E" w:rsidRPr="00F17EED">
          <w:rPr>
            <w:b/>
            <w:noProof/>
            <w:webHidden/>
          </w:rPr>
        </w:r>
        <w:r w:rsidR="0060133E" w:rsidRPr="00F17EED">
          <w:rPr>
            <w:b/>
            <w:noProof/>
            <w:webHidden/>
          </w:rPr>
          <w:fldChar w:fldCharType="separate"/>
        </w:r>
        <w:r>
          <w:rPr>
            <w:b/>
            <w:noProof/>
            <w:webHidden/>
          </w:rPr>
          <w:t>5</w:t>
        </w:r>
        <w:r w:rsidR="0060133E" w:rsidRPr="00F17EED">
          <w:rPr>
            <w:b/>
            <w:noProof/>
            <w:webHidden/>
          </w:rPr>
          <w:fldChar w:fldCharType="end"/>
        </w:r>
      </w:hyperlink>
    </w:p>
    <w:p w:rsidR="0060133E" w:rsidRPr="00F17EED" w:rsidRDefault="002C2DDE" w:rsidP="00CA0929">
      <w:pPr>
        <w:rPr>
          <w:rFonts w:eastAsiaTheme="minorEastAsia" w:cstheme="minorBidi"/>
          <w:b/>
          <w:bCs/>
          <w:caps/>
          <w:noProof/>
        </w:rPr>
      </w:pPr>
      <w:hyperlink w:anchor="_Toc381286098" w:history="1">
        <w:r w:rsidR="00B048DE" w:rsidRPr="00F17EED">
          <w:rPr>
            <w:rStyle w:val="Hypertextovodkaz"/>
            <w:rFonts w:cs="Arial"/>
            <w:b/>
            <w:noProof/>
            <w:sz w:val="24"/>
            <w:szCs w:val="24"/>
          </w:rPr>
          <w:t>3</w:t>
        </w:r>
        <w:r w:rsidR="0060133E" w:rsidRPr="00F17EED">
          <w:rPr>
            <w:rFonts w:eastAsiaTheme="minorEastAsia" w:cstheme="minorBidi"/>
            <w:b/>
            <w:noProof/>
          </w:rPr>
          <w:tab/>
        </w:r>
        <w:r w:rsidR="0060133E" w:rsidRPr="00F17EED">
          <w:rPr>
            <w:rStyle w:val="Hypertextovodkaz"/>
            <w:rFonts w:cs="Calibri"/>
            <w:b/>
            <w:noProof/>
            <w:sz w:val="24"/>
            <w:szCs w:val="24"/>
          </w:rPr>
          <w:t>Přehled posuzovaných návrhů</w:t>
        </w:r>
        <w:r w:rsidR="0060133E" w:rsidRPr="00F17EED">
          <w:rPr>
            <w:b/>
            <w:noProof/>
            <w:webHidden/>
          </w:rPr>
          <w:tab/>
        </w:r>
        <w:r w:rsidR="00923410" w:rsidRPr="00F17EED">
          <w:rPr>
            <w:b/>
            <w:noProof/>
            <w:webHidden/>
          </w:rPr>
          <w:t xml:space="preserve">                                                                                         </w:t>
        </w:r>
        <w:r w:rsidR="00F17EED">
          <w:rPr>
            <w:b/>
            <w:noProof/>
            <w:webHidden/>
          </w:rPr>
          <w:t xml:space="preserve">   </w:t>
        </w:r>
        <w:r w:rsidR="00923410" w:rsidRPr="00F17EED">
          <w:rPr>
            <w:b/>
            <w:noProof/>
            <w:webHidden/>
          </w:rPr>
          <w:t xml:space="preserve"> </w:t>
        </w:r>
        <w:r w:rsidR="00F17EED">
          <w:rPr>
            <w:b/>
            <w:noProof/>
            <w:webHidden/>
          </w:rPr>
          <w:t xml:space="preserve"> </w:t>
        </w:r>
        <w:r w:rsidR="00923410" w:rsidRPr="00F17EED">
          <w:rPr>
            <w:b/>
            <w:noProof/>
            <w:webHidden/>
          </w:rPr>
          <w:t xml:space="preserve">  </w:t>
        </w:r>
        <w:r w:rsidR="0060133E" w:rsidRPr="00F17EED">
          <w:rPr>
            <w:b/>
            <w:noProof/>
            <w:webHidden/>
          </w:rPr>
          <w:fldChar w:fldCharType="begin"/>
        </w:r>
        <w:r w:rsidR="0060133E" w:rsidRPr="00F17EED">
          <w:rPr>
            <w:b/>
            <w:noProof/>
            <w:webHidden/>
          </w:rPr>
          <w:instrText xml:space="preserve"> PAGEREF _Toc381286098 \h </w:instrText>
        </w:r>
        <w:r w:rsidR="0060133E" w:rsidRPr="00F17EED">
          <w:rPr>
            <w:b/>
            <w:noProof/>
            <w:webHidden/>
          </w:rPr>
        </w:r>
        <w:r w:rsidR="0060133E" w:rsidRPr="00F17EED">
          <w:rPr>
            <w:b/>
            <w:noProof/>
            <w:webHidden/>
          </w:rPr>
          <w:fldChar w:fldCharType="separate"/>
        </w:r>
        <w:r>
          <w:rPr>
            <w:b/>
            <w:noProof/>
            <w:webHidden/>
          </w:rPr>
          <w:t>8</w:t>
        </w:r>
        <w:r w:rsidR="0060133E" w:rsidRPr="00F17EED">
          <w:rPr>
            <w:b/>
            <w:noProof/>
            <w:webHidden/>
          </w:rPr>
          <w:fldChar w:fldCharType="end"/>
        </w:r>
      </w:hyperlink>
    </w:p>
    <w:p w:rsidR="0060133E" w:rsidRPr="00F17EED" w:rsidRDefault="002C2DDE" w:rsidP="00CA0929">
      <w:pPr>
        <w:rPr>
          <w:rFonts w:eastAsiaTheme="minorEastAsia" w:cstheme="minorBidi"/>
          <w:b/>
          <w:bCs/>
          <w:caps/>
          <w:noProof/>
        </w:rPr>
      </w:pPr>
      <w:hyperlink w:anchor="_Toc381286099" w:history="1">
        <w:r w:rsidR="00B048DE" w:rsidRPr="00F17EED">
          <w:rPr>
            <w:rStyle w:val="Hypertextovodkaz"/>
            <w:rFonts w:cs="Arial"/>
            <w:b/>
            <w:noProof/>
            <w:sz w:val="24"/>
            <w:szCs w:val="24"/>
          </w:rPr>
          <w:t>4</w:t>
        </w:r>
        <w:r w:rsidR="0060133E" w:rsidRPr="00F17EED">
          <w:rPr>
            <w:rFonts w:eastAsiaTheme="minorEastAsia" w:cstheme="minorBidi"/>
            <w:b/>
            <w:noProof/>
          </w:rPr>
          <w:tab/>
        </w:r>
        <w:r w:rsidR="0060133E" w:rsidRPr="00F17EED">
          <w:rPr>
            <w:rStyle w:val="Hypertextovodkaz"/>
            <w:rFonts w:cs="Calibri"/>
            <w:b/>
            <w:noProof/>
            <w:sz w:val="24"/>
            <w:szCs w:val="24"/>
          </w:rPr>
          <w:t>Obecné závěry z vyhodnocení závěrečných zpráv RIA</w:t>
        </w:r>
        <w:r w:rsidR="00923410" w:rsidRPr="00F17EED">
          <w:rPr>
            <w:b/>
            <w:noProof/>
            <w:webHidden/>
          </w:rPr>
          <w:t xml:space="preserve">                                            </w:t>
        </w:r>
        <w:r w:rsidR="00F17EED">
          <w:rPr>
            <w:b/>
            <w:noProof/>
            <w:webHidden/>
          </w:rPr>
          <w:t xml:space="preserve">  </w:t>
        </w:r>
        <w:r w:rsidR="00923410" w:rsidRPr="00F17EED">
          <w:rPr>
            <w:b/>
            <w:noProof/>
            <w:webHidden/>
          </w:rPr>
          <w:t xml:space="preserve"> </w:t>
        </w:r>
        <w:r w:rsidR="0060133E" w:rsidRPr="00F17EED">
          <w:rPr>
            <w:b/>
            <w:noProof/>
            <w:webHidden/>
          </w:rPr>
          <w:fldChar w:fldCharType="begin"/>
        </w:r>
        <w:r w:rsidR="0060133E" w:rsidRPr="00F17EED">
          <w:rPr>
            <w:b/>
            <w:noProof/>
            <w:webHidden/>
          </w:rPr>
          <w:instrText xml:space="preserve"> PAGEREF _Toc381286099 \h </w:instrText>
        </w:r>
        <w:r w:rsidR="0060133E" w:rsidRPr="00F17EED">
          <w:rPr>
            <w:b/>
            <w:noProof/>
            <w:webHidden/>
          </w:rPr>
        </w:r>
        <w:r w:rsidR="0060133E" w:rsidRPr="00F17EED">
          <w:rPr>
            <w:b/>
            <w:noProof/>
            <w:webHidden/>
          </w:rPr>
          <w:fldChar w:fldCharType="separate"/>
        </w:r>
        <w:r>
          <w:rPr>
            <w:b/>
            <w:noProof/>
            <w:webHidden/>
          </w:rPr>
          <w:t>16</w:t>
        </w:r>
        <w:r w:rsidR="0060133E" w:rsidRPr="00F17EED">
          <w:rPr>
            <w:b/>
            <w:noProof/>
            <w:webHidden/>
          </w:rPr>
          <w:fldChar w:fldCharType="end"/>
        </w:r>
      </w:hyperlink>
    </w:p>
    <w:p w:rsidR="0060133E" w:rsidRPr="00F17EED" w:rsidRDefault="002C2DDE" w:rsidP="00CA0929">
      <w:pPr>
        <w:rPr>
          <w:rFonts w:eastAsiaTheme="minorEastAsia" w:cstheme="minorBidi"/>
          <w:b/>
          <w:bCs/>
          <w:caps/>
          <w:noProof/>
        </w:rPr>
      </w:pPr>
      <w:hyperlink w:anchor="_Toc381286100" w:history="1">
        <w:r w:rsidR="00B048DE" w:rsidRPr="00F17EED">
          <w:rPr>
            <w:rStyle w:val="Hypertextovodkaz"/>
            <w:rFonts w:cs="Arial"/>
            <w:b/>
            <w:noProof/>
            <w:sz w:val="24"/>
            <w:szCs w:val="24"/>
          </w:rPr>
          <w:t>5</w:t>
        </w:r>
        <w:r w:rsidR="0060133E" w:rsidRPr="00F17EED">
          <w:rPr>
            <w:rFonts w:eastAsiaTheme="minorEastAsia" w:cstheme="minorBidi"/>
            <w:b/>
            <w:noProof/>
          </w:rPr>
          <w:tab/>
        </w:r>
        <w:r w:rsidR="0060133E" w:rsidRPr="00F17EED">
          <w:rPr>
            <w:rStyle w:val="Hypertextovodkaz"/>
            <w:rFonts w:cs="Calibri"/>
            <w:b/>
            <w:noProof/>
            <w:sz w:val="24"/>
            <w:szCs w:val="24"/>
          </w:rPr>
          <w:t>Doporučení Komise RIA</w:t>
        </w:r>
        <w:r w:rsidR="0060133E" w:rsidRPr="00F17EED">
          <w:rPr>
            <w:b/>
            <w:noProof/>
            <w:webHidden/>
          </w:rPr>
          <w:tab/>
        </w:r>
        <w:r w:rsidR="00923410" w:rsidRPr="00F17EED">
          <w:rPr>
            <w:b/>
            <w:noProof/>
            <w:webHidden/>
          </w:rPr>
          <w:t xml:space="preserve">                                                                                                    </w:t>
        </w:r>
        <w:r w:rsidR="00F17EED">
          <w:rPr>
            <w:b/>
            <w:noProof/>
            <w:webHidden/>
          </w:rPr>
          <w:t xml:space="preserve">  </w:t>
        </w:r>
        <w:r w:rsidR="00923410" w:rsidRPr="00F17EED">
          <w:rPr>
            <w:b/>
            <w:noProof/>
            <w:webHidden/>
          </w:rPr>
          <w:t xml:space="preserve">    </w:t>
        </w:r>
        <w:r w:rsidR="00F17EED">
          <w:rPr>
            <w:b/>
            <w:noProof/>
            <w:webHidden/>
          </w:rPr>
          <w:t xml:space="preserve"> </w:t>
        </w:r>
        <w:r w:rsidR="00923410" w:rsidRPr="00F17EED">
          <w:rPr>
            <w:b/>
            <w:noProof/>
            <w:webHidden/>
          </w:rPr>
          <w:t xml:space="preserve"> </w:t>
        </w:r>
        <w:r w:rsidR="0060133E" w:rsidRPr="00F17EED">
          <w:rPr>
            <w:b/>
            <w:noProof/>
            <w:webHidden/>
          </w:rPr>
          <w:fldChar w:fldCharType="begin"/>
        </w:r>
        <w:r w:rsidR="0060133E" w:rsidRPr="00F17EED">
          <w:rPr>
            <w:b/>
            <w:noProof/>
            <w:webHidden/>
          </w:rPr>
          <w:instrText xml:space="preserve"> PAGEREF _Toc381286100 \h </w:instrText>
        </w:r>
        <w:r w:rsidR="0060133E" w:rsidRPr="00F17EED">
          <w:rPr>
            <w:b/>
            <w:noProof/>
            <w:webHidden/>
          </w:rPr>
        </w:r>
        <w:r w:rsidR="0060133E" w:rsidRPr="00F17EED">
          <w:rPr>
            <w:b/>
            <w:noProof/>
            <w:webHidden/>
          </w:rPr>
          <w:fldChar w:fldCharType="separate"/>
        </w:r>
        <w:r>
          <w:rPr>
            <w:b/>
            <w:noProof/>
            <w:webHidden/>
          </w:rPr>
          <w:t>17</w:t>
        </w:r>
        <w:r w:rsidR="0060133E" w:rsidRPr="00F17EED">
          <w:rPr>
            <w:b/>
            <w:noProof/>
            <w:webHidden/>
          </w:rPr>
          <w:fldChar w:fldCharType="end"/>
        </w:r>
      </w:hyperlink>
    </w:p>
    <w:p w:rsidR="0060133E" w:rsidRPr="00F17EED" w:rsidRDefault="002C2DDE" w:rsidP="00CA0929">
      <w:pPr>
        <w:rPr>
          <w:rFonts w:eastAsiaTheme="minorEastAsia" w:cstheme="minorBidi"/>
          <w:b/>
          <w:bCs/>
          <w:caps/>
          <w:noProof/>
        </w:rPr>
      </w:pPr>
      <w:hyperlink w:anchor="_Toc381286113" w:history="1">
        <w:r w:rsidR="00B048DE" w:rsidRPr="00F17EED">
          <w:rPr>
            <w:rStyle w:val="Hypertextovodkaz"/>
            <w:rFonts w:cs="Arial"/>
            <w:b/>
            <w:noProof/>
            <w:sz w:val="24"/>
            <w:szCs w:val="24"/>
          </w:rPr>
          <w:t>6</w:t>
        </w:r>
        <w:r w:rsidR="0060133E" w:rsidRPr="00F17EED">
          <w:rPr>
            <w:rFonts w:eastAsiaTheme="minorEastAsia" w:cstheme="minorBidi"/>
            <w:b/>
            <w:noProof/>
          </w:rPr>
          <w:tab/>
        </w:r>
        <w:r w:rsidR="0060133E" w:rsidRPr="00F17EED">
          <w:rPr>
            <w:rStyle w:val="Hypertextovodkaz"/>
            <w:rFonts w:cs="Calibri"/>
            <w:b/>
            <w:noProof/>
            <w:sz w:val="24"/>
            <w:szCs w:val="24"/>
          </w:rPr>
          <w:t>PŘÍLOHA - SEZNAM PROJEDNÁVANÝCH NÁVRHŮ PRÁVNÍCH PŘEDPISŮ DLE PŘEDKLADATELE A VÝSLEDKU</w:t>
        </w:r>
        <w:r w:rsidR="0060133E" w:rsidRPr="00F17EED">
          <w:rPr>
            <w:b/>
            <w:noProof/>
            <w:webHidden/>
          </w:rPr>
          <w:tab/>
        </w:r>
        <w:r w:rsidR="00923410" w:rsidRPr="00F17EED">
          <w:rPr>
            <w:b/>
            <w:noProof/>
            <w:webHidden/>
          </w:rPr>
          <w:t xml:space="preserve">                                                                                                     </w:t>
        </w:r>
        <w:r w:rsidR="00F17EED">
          <w:rPr>
            <w:b/>
            <w:noProof/>
            <w:webHidden/>
          </w:rPr>
          <w:t xml:space="preserve">    </w:t>
        </w:r>
        <w:r w:rsidR="00923410" w:rsidRPr="00F17EED">
          <w:rPr>
            <w:b/>
            <w:noProof/>
            <w:webHidden/>
          </w:rPr>
          <w:t xml:space="preserve">   </w:t>
        </w:r>
        <w:r w:rsidR="0060133E" w:rsidRPr="00F17EED">
          <w:rPr>
            <w:b/>
            <w:noProof/>
            <w:webHidden/>
          </w:rPr>
          <w:fldChar w:fldCharType="begin"/>
        </w:r>
        <w:r w:rsidR="0060133E" w:rsidRPr="00F17EED">
          <w:rPr>
            <w:b/>
            <w:noProof/>
            <w:webHidden/>
          </w:rPr>
          <w:instrText xml:space="preserve"> PAGEREF _Toc381286113 \h </w:instrText>
        </w:r>
        <w:r w:rsidR="0060133E" w:rsidRPr="00F17EED">
          <w:rPr>
            <w:b/>
            <w:noProof/>
            <w:webHidden/>
          </w:rPr>
        </w:r>
        <w:r w:rsidR="0060133E" w:rsidRPr="00F17EED">
          <w:rPr>
            <w:b/>
            <w:noProof/>
            <w:webHidden/>
          </w:rPr>
          <w:fldChar w:fldCharType="separate"/>
        </w:r>
        <w:r>
          <w:rPr>
            <w:b/>
            <w:noProof/>
            <w:webHidden/>
          </w:rPr>
          <w:t>25</w:t>
        </w:r>
        <w:r w:rsidR="0060133E" w:rsidRPr="00F17EED">
          <w:rPr>
            <w:b/>
            <w:noProof/>
            <w:webHidden/>
          </w:rPr>
          <w:fldChar w:fldCharType="end"/>
        </w:r>
      </w:hyperlink>
    </w:p>
    <w:p w:rsidR="00B15C07" w:rsidRDefault="0060133E" w:rsidP="00CA0929">
      <w:pPr>
        <w:rPr>
          <w:rFonts w:cs="Calibri"/>
          <w:caps/>
          <w:sz w:val="20"/>
          <w:szCs w:val="20"/>
        </w:rPr>
      </w:pPr>
      <w:r w:rsidRPr="00F17EED">
        <w:rPr>
          <w:rFonts w:cs="Calibri"/>
          <w:b/>
          <w:caps/>
          <w:sz w:val="20"/>
          <w:szCs w:val="20"/>
        </w:rPr>
        <w:fldChar w:fldCharType="end"/>
      </w:r>
    </w:p>
    <w:p w:rsidR="00B15C07" w:rsidRDefault="00B15C07" w:rsidP="00B15C07">
      <w:pPr>
        <w:jc w:val="both"/>
        <w:rPr>
          <w:rFonts w:cs="Calibri"/>
          <w:color w:val="5F497A"/>
          <w:sz w:val="18"/>
          <w:szCs w:val="18"/>
        </w:rPr>
      </w:pPr>
    </w:p>
    <w:p w:rsidR="0060133E" w:rsidRPr="00B15C07" w:rsidRDefault="0060133E" w:rsidP="00B15C07">
      <w:pPr>
        <w:jc w:val="both"/>
        <w:rPr>
          <w:rFonts w:cs="Calibri"/>
          <w:b/>
          <w:caps/>
          <w:sz w:val="18"/>
          <w:szCs w:val="18"/>
        </w:rPr>
      </w:pPr>
      <w:r w:rsidRPr="00B15C07">
        <w:rPr>
          <w:rFonts w:cs="Calibri"/>
          <w:color w:val="5F497A"/>
          <w:sz w:val="18"/>
          <w:szCs w:val="18"/>
        </w:rPr>
        <w:t>Seznam grafů</w:t>
      </w:r>
    </w:p>
    <w:p w:rsidR="0060133E" w:rsidRPr="00B15C07" w:rsidRDefault="0060133E" w:rsidP="0060133E">
      <w:pPr>
        <w:ind w:left="993" w:hanging="993"/>
        <w:jc w:val="both"/>
        <w:rPr>
          <w:rFonts w:cs="Calibri"/>
          <w:b/>
          <w:sz w:val="18"/>
          <w:szCs w:val="18"/>
        </w:rPr>
      </w:pPr>
      <w:r w:rsidRPr="00B15C07">
        <w:rPr>
          <w:rFonts w:cs="Calibri"/>
          <w:b/>
          <w:sz w:val="18"/>
          <w:szCs w:val="18"/>
        </w:rPr>
        <w:t>Graf č. 1:</w:t>
      </w:r>
      <w:r w:rsidRPr="00B15C07">
        <w:rPr>
          <w:rFonts w:cs="Calibri"/>
          <w:b/>
          <w:sz w:val="18"/>
          <w:szCs w:val="18"/>
        </w:rPr>
        <w:tab/>
        <w:t>Podíl jednotlivých resortů na celkovém počtu předložených vládních návrhů právních předpisů v r. 2013 (celkově návrhy s RIA i bez RIA)</w:t>
      </w:r>
    </w:p>
    <w:p w:rsidR="0060133E" w:rsidRPr="00B15C07" w:rsidRDefault="0060133E" w:rsidP="0060133E">
      <w:pPr>
        <w:ind w:left="993" w:hanging="993"/>
        <w:jc w:val="both"/>
        <w:rPr>
          <w:rFonts w:cs="Calibri"/>
          <w:b/>
          <w:sz w:val="18"/>
          <w:szCs w:val="18"/>
        </w:rPr>
      </w:pPr>
      <w:r w:rsidRPr="00B15C07">
        <w:rPr>
          <w:rFonts w:cs="Calibri"/>
          <w:b/>
          <w:sz w:val="18"/>
          <w:szCs w:val="18"/>
        </w:rPr>
        <w:t>Graf č. 2:</w:t>
      </w:r>
      <w:r w:rsidRPr="00B15C07">
        <w:rPr>
          <w:rFonts w:cs="Calibri"/>
          <w:b/>
          <w:sz w:val="18"/>
          <w:szCs w:val="18"/>
        </w:rPr>
        <w:tab/>
        <w:t>Počet zákonů za jednotlivé předkladatele celkově a v poměru s návrhy se zpracovanou RIA a z toho následně posuzovaných Komisí RIA v r. 2013</w:t>
      </w:r>
    </w:p>
    <w:p w:rsidR="0060133E" w:rsidRPr="00B15C07" w:rsidRDefault="0060133E" w:rsidP="0060133E">
      <w:pPr>
        <w:ind w:left="993" w:hanging="993"/>
        <w:jc w:val="both"/>
        <w:rPr>
          <w:rFonts w:cs="Calibri"/>
          <w:b/>
          <w:sz w:val="18"/>
          <w:szCs w:val="18"/>
        </w:rPr>
      </w:pPr>
      <w:r w:rsidRPr="00B15C07">
        <w:rPr>
          <w:rFonts w:cs="Calibri"/>
          <w:b/>
          <w:sz w:val="18"/>
          <w:szCs w:val="18"/>
        </w:rPr>
        <w:t>Graf č. 3:</w:t>
      </w:r>
      <w:r w:rsidRPr="00B15C07">
        <w:rPr>
          <w:rFonts w:cs="Calibri"/>
          <w:b/>
          <w:sz w:val="18"/>
          <w:szCs w:val="18"/>
        </w:rPr>
        <w:tab/>
        <w:t>Podíl jednotlivých stanovisek Komise RIA za rok 2013 dle závěrečných doporučení</w:t>
      </w:r>
    </w:p>
    <w:p w:rsidR="0060133E" w:rsidRPr="00B15C07" w:rsidRDefault="0060133E" w:rsidP="0060133E">
      <w:pPr>
        <w:ind w:left="993" w:hanging="993"/>
        <w:jc w:val="both"/>
        <w:rPr>
          <w:rFonts w:cs="Calibri"/>
          <w:b/>
          <w:sz w:val="18"/>
          <w:szCs w:val="18"/>
        </w:rPr>
      </w:pPr>
      <w:r w:rsidRPr="00B15C07">
        <w:rPr>
          <w:rFonts w:cs="Calibri"/>
          <w:b/>
          <w:sz w:val="18"/>
          <w:szCs w:val="18"/>
        </w:rPr>
        <w:t>Graf č. 4:</w:t>
      </w:r>
      <w:r w:rsidRPr="00B15C07">
        <w:rPr>
          <w:rFonts w:cs="Calibri"/>
          <w:b/>
          <w:sz w:val="18"/>
          <w:szCs w:val="18"/>
        </w:rPr>
        <w:tab/>
        <w:t>Podíl jednotlivých stanovisek Komise RIA za rok 2012 dle závěrečných doporučení</w:t>
      </w:r>
    </w:p>
    <w:p w:rsidR="0060133E" w:rsidRDefault="0060133E" w:rsidP="0060133E">
      <w:pPr>
        <w:pStyle w:val="Nadpisobsahu"/>
        <w:jc w:val="both"/>
        <w:rPr>
          <w:rFonts w:ascii="Calibri" w:hAnsi="Calibri" w:cs="Calibri"/>
          <w:color w:val="5F497A"/>
          <w:sz w:val="18"/>
          <w:szCs w:val="18"/>
        </w:rPr>
      </w:pPr>
      <w:r w:rsidRPr="00B15C07">
        <w:rPr>
          <w:rFonts w:ascii="Calibri" w:hAnsi="Calibri" w:cs="Calibri"/>
          <w:color w:val="5F497A"/>
          <w:sz w:val="18"/>
          <w:szCs w:val="18"/>
        </w:rPr>
        <w:t>Seznam tabulek</w:t>
      </w:r>
    </w:p>
    <w:p w:rsidR="002C2DDE" w:rsidRPr="002C2DDE" w:rsidRDefault="002C2DDE" w:rsidP="002C2DDE">
      <w:pPr>
        <w:rPr>
          <w:lang w:bidi="en-US"/>
        </w:rPr>
      </w:pPr>
    </w:p>
    <w:p w:rsidR="0060133E" w:rsidRPr="00B15C07" w:rsidRDefault="0060133E" w:rsidP="0060133E">
      <w:pPr>
        <w:ind w:left="1276" w:hanging="1276"/>
        <w:jc w:val="both"/>
        <w:rPr>
          <w:rFonts w:cs="Calibri"/>
          <w:b/>
          <w:sz w:val="18"/>
          <w:szCs w:val="18"/>
        </w:rPr>
      </w:pPr>
      <w:r w:rsidRPr="00B15C07">
        <w:rPr>
          <w:rFonts w:cs="Calibri"/>
          <w:b/>
          <w:sz w:val="18"/>
          <w:szCs w:val="18"/>
        </w:rPr>
        <w:t>Tabulka č. 1:</w:t>
      </w:r>
      <w:r w:rsidRPr="00B15C07">
        <w:rPr>
          <w:rFonts w:cs="Calibri"/>
          <w:b/>
          <w:sz w:val="18"/>
          <w:szCs w:val="18"/>
        </w:rPr>
        <w:tab/>
        <w:t>Důvody pro nezpracování RIA u vládních návrhů právních předpisů předložených v r. 2013</w:t>
      </w:r>
    </w:p>
    <w:p w:rsidR="0060133E" w:rsidRPr="00B15C07" w:rsidRDefault="0060133E" w:rsidP="0060133E">
      <w:pPr>
        <w:ind w:left="1276" w:hanging="1276"/>
        <w:jc w:val="both"/>
        <w:rPr>
          <w:rFonts w:cs="Calibri"/>
          <w:b/>
          <w:sz w:val="18"/>
          <w:szCs w:val="18"/>
        </w:rPr>
      </w:pPr>
      <w:r w:rsidRPr="00B15C07">
        <w:rPr>
          <w:rFonts w:cs="Calibri"/>
          <w:b/>
          <w:sz w:val="18"/>
          <w:szCs w:val="18"/>
        </w:rPr>
        <w:t>Tabulka č. 2:</w:t>
      </w:r>
      <w:r w:rsidRPr="00B15C07">
        <w:rPr>
          <w:rFonts w:cs="Calibri"/>
          <w:b/>
          <w:sz w:val="18"/>
          <w:szCs w:val="18"/>
        </w:rPr>
        <w:tab/>
        <w:t>Celkový přehled projednávaných návrhů právních předpisů v ČR v r. 2013</w:t>
      </w:r>
    </w:p>
    <w:p w:rsidR="0060133E" w:rsidRPr="00B15C07" w:rsidRDefault="0060133E" w:rsidP="0060133E">
      <w:pPr>
        <w:spacing w:before="240"/>
        <w:ind w:left="1276" w:hanging="1276"/>
        <w:jc w:val="both"/>
        <w:rPr>
          <w:rFonts w:cs="Calibri"/>
          <w:b/>
          <w:sz w:val="18"/>
          <w:szCs w:val="18"/>
        </w:rPr>
      </w:pPr>
      <w:r w:rsidRPr="00B15C07">
        <w:rPr>
          <w:rFonts w:cs="Calibri"/>
          <w:b/>
          <w:sz w:val="18"/>
          <w:szCs w:val="18"/>
        </w:rPr>
        <w:t>Tabulka č. 3:</w:t>
      </w:r>
      <w:r w:rsidRPr="00B15C07">
        <w:rPr>
          <w:rFonts w:cs="Calibri"/>
          <w:b/>
          <w:sz w:val="18"/>
          <w:szCs w:val="18"/>
        </w:rPr>
        <w:tab/>
        <w:t>Stanoviska Komise RIA v r. 2013 podle výsledku</w:t>
      </w:r>
    </w:p>
    <w:p w:rsidR="0060133E" w:rsidRPr="00B15C07" w:rsidRDefault="0060133E" w:rsidP="0060133E">
      <w:pPr>
        <w:spacing w:before="240"/>
        <w:ind w:left="1276" w:hanging="1276"/>
        <w:jc w:val="both"/>
        <w:rPr>
          <w:rFonts w:cs="Calibri"/>
          <w:b/>
          <w:sz w:val="18"/>
          <w:szCs w:val="18"/>
        </w:rPr>
      </w:pPr>
      <w:r w:rsidRPr="00B15C07">
        <w:rPr>
          <w:rFonts w:cs="Calibri"/>
          <w:b/>
          <w:sz w:val="18"/>
          <w:szCs w:val="18"/>
        </w:rPr>
        <w:t>Tabulka č. 4:</w:t>
      </w:r>
      <w:r w:rsidRPr="00B15C07">
        <w:rPr>
          <w:rFonts w:cs="Calibri"/>
          <w:b/>
          <w:sz w:val="18"/>
          <w:szCs w:val="18"/>
        </w:rPr>
        <w:tab/>
        <w:t>Klasifikace stanovisek Komise RIA</w:t>
      </w:r>
    </w:p>
    <w:p w:rsidR="0060133E" w:rsidRPr="00B15C07" w:rsidRDefault="0060133E" w:rsidP="0060133E">
      <w:pPr>
        <w:spacing w:before="240"/>
        <w:ind w:left="1276" w:hanging="1276"/>
        <w:jc w:val="both"/>
        <w:rPr>
          <w:rFonts w:cs="Calibri"/>
          <w:b/>
          <w:sz w:val="18"/>
          <w:szCs w:val="18"/>
        </w:rPr>
      </w:pPr>
      <w:r w:rsidRPr="00B15C07">
        <w:rPr>
          <w:rFonts w:cs="Calibri"/>
          <w:b/>
          <w:sz w:val="18"/>
          <w:szCs w:val="18"/>
        </w:rPr>
        <w:t>Tabulka č. 5:</w:t>
      </w:r>
      <w:r w:rsidRPr="00B15C07">
        <w:rPr>
          <w:rFonts w:cs="Calibri"/>
          <w:b/>
          <w:sz w:val="18"/>
          <w:szCs w:val="18"/>
        </w:rPr>
        <w:tab/>
        <w:t xml:space="preserve"> Počty návrhů právních předpisů s RIA, žádostí o výjimky a stanoviska Komise RIA dle výsledku, včetně procentuálního vyjádření</w:t>
      </w:r>
    </w:p>
    <w:p w:rsidR="00B048DE" w:rsidRDefault="0060133E" w:rsidP="00B048DE">
      <w:pPr>
        <w:spacing w:before="240"/>
        <w:ind w:left="1276" w:hanging="1276"/>
        <w:jc w:val="both"/>
        <w:rPr>
          <w:rFonts w:cs="Calibri"/>
          <w:b/>
          <w:sz w:val="18"/>
          <w:szCs w:val="18"/>
        </w:rPr>
      </w:pPr>
      <w:r w:rsidRPr="00B15C07">
        <w:rPr>
          <w:rFonts w:cs="Calibri"/>
          <w:b/>
          <w:sz w:val="18"/>
          <w:szCs w:val="18"/>
        </w:rPr>
        <w:t>Tabulka č. 6:</w:t>
      </w:r>
      <w:r w:rsidRPr="00B15C07">
        <w:rPr>
          <w:rFonts w:cs="Calibri"/>
          <w:b/>
          <w:sz w:val="18"/>
          <w:szCs w:val="18"/>
        </w:rPr>
        <w:tab/>
        <w:t>Počty návrhů právních předpisů s RIA a projednaných Komisí RIA dle výsledku – srovnání za rok 2012 a 2013</w:t>
      </w:r>
      <w:bookmarkStart w:id="1" w:name="_Toc381286095"/>
    </w:p>
    <w:p w:rsidR="00B048DE" w:rsidRDefault="00B048DE" w:rsidP="00B048DE">
      <w:pPr>
        <w:spacing w:before="240"/>
        <w:ind w:left="1276" w:hanging="1276"/>
        <w:jc w:val="both"/>
        <w:rPr>
          <w:rFonts w:cs="Calibri"/>
          <w:color w:val="5F497A"/>
          <w:sz w:val="24"/>
          <w:szCs w:val="24"/>
        </w:rPr>
      </w:pPr>
    </w:p>
    <w:p w:rsidR="00B048DE" w:rsidRDefault="00B048DE" w:rsidP="00B048DE">
      <w:pPr>
        <w:spacing w:before="240"/>
        <w:ind w:left="1276" w:hanging="1276"/>
        <w:jc w:val="both"/>
        <w:rPr>
          <w:rFonts w:cs="Calibri"/>
          <w:color w:val="5F497A"/>
          <w:sz w:val="24"/>
          <w:szCs w:val="24"/>
        </w:rPr>
      </w:pPr>
    </w:p>
    <w:p w:rsidR="00B048DE" w:rsidRDefault="00B048DE" w:rsidP="00B048DE">
      <w:pPr>
        <w:spacing w:before="240"/>
        <w:ind w:left="1276" w:hanging="1276"/>
        <w:jc w:val="both"/>
        <w:rPr>
          <w:rFonts w:cs="Calibri"/>
          <w:color w:val="5F497A"/>
          <w:sz w:val="24"/>
          <w:szCs w:val="24"/>
        </w:rPr>
      </w:pPr>
    </w:p>
    <w:p w:rsidR="00B048DE" w:rsidRDefault="00B048DE" w:rsidP="00B048DE">
      <w:pPr>
        <w:spacing w:before="240"/>
        <w:ind w:left="1276" w:hanging="1276"/>
        <w:jc w:val="both"/>
        <w:rPr>
          <w:rFonts w:cs="Calibri"/>
          <w:color w:val="5F497A"/>
          <w:sz w:val="24"/>
          <w:szCs w:val="24"/>
        </w:rPr>
      </w:pPr>
    </w:p>
    <w:p w:rsidR="001E1060" w:rsidRPr="0057247D" w:rsidRDefault="00B048DE" w:rsidP="00B048DE">
      <w:pPr>
        <w:spacing w:before="240"/>
        <w:ind w:left="1276" w:hanging="1276"/>
        <w:jc w:val="both"/>
        <w:rPr>
          <w:rFonts w:ascii="Calibri" w:hAnsi="Calibri" w:cs="Calibri"/>
          <w:color w:val="5F497A"/>
          <w:sz w:val="28"/>
          <w:szCs w:val="28"/>
        </w:rPr>
      </w:pPr>
      <w:r w:rsidRPr="0057247D">
        <w:rPr>
          <w:rFonts w:cs="Calibri"/>
          <w:color w:val="5F497A"/>
          <w:sz w:val="28"/>
          <w:szCs w:val="28"/>
        </w:rPr>
        <w:t xml:space="preserve">1 </w:t>
      </w:r>
      <w:r w:rsidR="00F30F55" w:rsidRPr="0057247D">
        <w:rPr>
          <w:rFonts w:ascii="Calibri" w:hAnsi="Calibri" w:cs="Calibri"/>
          <w:color w:val="5F497A"/>
          <w:sz w:val="28"/>
          <w:szCs w:val="28"/>
        </w:rPr>
        <w:t>Shrnutí</w:t>
      </w:r>
      <w:bookmarkEnd w:id="1"/>
    </w:p>
    <w:p w:rsidR="001E1060" w:rsidRPr="00B35166" w:rsidRDefault="001E1060" w:rsidP="001E1060">
      <w:pPr>
        <w:jc w:val="both"/>
        <w:rPr>
          <w:rFonts w:cs="Calibri"/>
          <w:sz w:val="24"/>
          <w:szCs w:val="24"/>
        </w:rPr>
      </w:pPr>
      <w:r w:rsidRPr="00B35166">
        <w:rPr>
          <w:rFonts w:cs="Calibri"/>
          <w:sz w:val="24"/>
          <w:szCs w:val="24"/>
        </w:rPr>
        <w:t>Komise pro hodnocení dopadů regulace (dále jen „Komise RIA“) byla ustavena v listopadu 2011. Jejím posláním je institucionální zajištění procesu přezkumu kvality předkládaných RIA k návrhům právních předpisů na úrovni Vlády ČR, tj. návrhů zákonů a nařízení vlády (dále jen „právní předpisy“). Komise RIA je jednou z nejnovějších institucí tohoto typu v zemích OECD</w:t>
      </w:r>
      <w:r w:rsidR="005D2CB7">
        <w:rPr>
          <w:rFonts w:cs="Calibri"/>
          <w:sz w:val="24"/>
          <w:szCs w:val="24"/>
        </w:rPr>
        <w:t>. OECD</w:t>
      </w:r>
      <w:r w:rsidRPr="00B35166">
        <w:rPr>
          <w:rFonts w:cs="Calibri"/>
          <w:sz w:val="24"/>
          <w:szCs w:val="24"/>
        </w:rPr>
        <w:t xml:space="preserve"> ve svých doporučeních členským </w:t>
      </w:r>
      <w:r w:rsidR="005D2CB7" w:rsidRPr="00B35166">
        <w:rPr>
          <w:rFonts w:cs="Calibri"/>
          <w:sz w:val="24"/>
          <w:szCs w:val="24"/>
        </w:rPr>
        <w:t>státům</w:t>
      </w:r>
      <w:r w:rsidR="005D5722">
        <w:rPr>
          <w:rFonts w:cs="Calibri"/>
          <w:sz w:val="24"/>
          <w:szCs w:val="24"/>
        </w:rPr>
        <w:t xml:space="preserve"> </w:t>
      </w:r>
      <w:r w:rsidR="005D2CB7">
        <w:rPr>
          <w:rFonts w:cs="Calibri"/>
          <w:sz w:val="24"/>
          <w:szCs w:val="24"/>
        </w:rPr>
        <w:t xml:space="preserve">pravidelně </w:t>
      </w:r>
      <w:r w:rsidRPr="00B35166">
        <w:rPr>
          <w:rFonts w:cs="Calibri"/>
          <w:sz w:val="24"/>
          <w:szCs w:val="24"/>
        </w:rPr>
        <w:t xml:space="preserve">podporuje ustavení mechanismů a institucí pro aktivní provádění </w:t>
      </w:r>
      <w:r w:rsidR="0034429C">
        <w:rPr>
          <w:rFonts w:cs="Calibri"/>
          <w:sz w:val="24"/>
          <w:szCs w:val="24"/>
        </w:rPr>
        <w:t xml:space="preserve">nezávislé </w:t>
      </w:r>
      <w:r w:rsidRPr="00B35166">
        <w:rPr>
          <w:rFonts w:cs="Calibri"/>
          <w:sz w:val="24"/>
          <w:szCs w:val="24"/>
        </w:rPr>
        <w:t xml:space="preserve">kontroly předkládaných právních předpisů z hlediska kvality hodnocení jejich dopadů a identifikaci případných nedostatků. </w:t>
      </w:r>
    </w:p>
    <w:p w:rsidR="001E1060" w:rsidRPr="00B35166" w:rsidRDefault="001E1060" w:rsidP="001E1060">
      <w:pPr>
        <w:jc w:val="both"/>
        <w:rPr>
          <w:rFonts w:cs="Calibri"/>
          <w:sz w:val="24"/>
          <w:szCs w:val="24"/>
        </w:rPr>
      </w:pPr>
      <w:r w:rsidRPr="00B35166">
        <w:rPr>
          <w:rFonts w:cs="Calibri"/>
          <w:sz w:val="24"/>
          <w:szCs w:val="24"/>
        </w:rPr>
        <w:t xml:space="preserve">Komise RIA měla </w:t>
      </w:r>
      <w:r w:rsidR="00D106B2">
        <w:rPr>
          <w:rFonts w:cs="Calibri"/>
          <w:sz w:val="24"/>
          <w:szCs w:val="24"/>
        </w:rPr>
        <w:t xml:space="preserve">v uplynulých 2 letech </w:t>
      </w:r>
      <w:r w:rsidRPr="00B35166">
        <w:rPr>
          <w:rFonts w:cs="Calibri"/>
          <w:sz w:val="24"/>
          <w:szCs w:val="24"/>
        </w:rPr>
        <w:t xml:space="preserve">svého působení ambici </w:t>
      </w:r>
      <w:r w:rsidR="0034429C" w:rsidRPr="00B35166">
        <w:rPr>
          <w:rFonts w:cs="Calibri"/>
          <w:sz w:val="24"/>
          <w:szCs w:val="24"/>
        </w:rPr>
        <w:t xml:space="preserve">přispět </w:t>
      </w:r>
      <w:r w:rsidRPr="00B35166">
        <w:rPr>
          <w:rFonts w:cs="Calibri"/>
          <w:sz w:val="24"/>
          <w:szCs w:val="24"/>
        </w:rPr>
        <w:t>především ke změně kultury legislativního procesu založeného na transparentnosti směrem k „příjemcům“ regulace a kvalitní analýze řešeného problému, nikoliv k přesné evidenci a</w:t>
      </w:r>
      <w:r w:rsidR="005D2CB7">
        <w:rPr>
          <w:rFonts w:cs="Calibri"/>
          <w:sz w:val="24"/>
          <w:szCs w:val="24"/>
        </w:rPr>
        <w:t> </w:t>
      </w:r>
      <w:r w:rsidRPr="00B35166">
        <w:rPr>
          <w:rFonts w:cs="Calibri"/>
          <w:sz w:val="24"/>
          <w:szCs w:val="24"/>
        </w:rPr>
        <w:t xml:space="preserve">kvantifikaci dopadů. </w:t>
      </w:r>
      <w:r w:rsidR="00D106B2">
        <w:rPr>
          <w:rFonts w:cs="Calibri"/>
          <w:sz w:val="24"/>
          <w:szCs w:val="24"/>
        </w:rPr>
        <w:t xml:space="preserve"> V </w:t>
      </w:r>
      <w:r w:rsidRPr="00B35166">
        <w:rPr>
          <w:rFonts w:cs="Calibri"/>
          <w:sz w:val="24"/>
          <w:szCs w:val="24"/>
        </w:rPr>
        <w:t>průběhu roku 2012 bylo znatelné zlepšení přístupu k procesu RIA –</w:t>
      </w:r>
      <w:r w:rsidR="006A20CF">
        <w:rPr>
          <w:rFonts w:cs="Calibri"/>
          <w:sz w:val="24"/>
          <w:szCs w:val="24"/>
        </w:rPr>
        <w:t xml:space="preserve"> </w:t>
      </w:r>
      <w:r w:rsidRPr="00B35166">
        <w:rPr>
          <w:rFonts w:cs="Calibri"/>
          <w:sz w:val="24"/>
          <w:szCs w:val="24"/>
        </w:rPr>
        <w:t>v 1. polovině roku vracela Komise RIA více než 90% Závěrečných zpráv RIA k dopracování, na konci roku to bylo průměrně již necelých 70%</w:t>
      </w:r>
      <w:r w:rsidR="00D106B2">
        <w:rPr>
          <w:rFonts w:cs="Calibri"/>
          <w:sz w:val="24"/>
          <w:szCs w:val="24"/>
        </w:rPr>
        <w:t xml:space="preserve">, v průběhu roku 2013 se však nepodařilo dosáhnout dalšího zlepšení - </w:t>
      </w:r>
      <w:r w:rsidR="00021369">
        <w:rPr>
          <w:rFonts w:cs="Calibri"/>
          <w:sz w:val="24"/>
          <w:szCs w:val="24"/>
        </w:rPr>
        <w:t xml:space="preserve">Komise RIA doporučila k dopracování 74% </w:t>
      </w:r>
      <w:r w:rsidR="00D106B2">
        <w:rPr>
          <w:rFonts w:cs="Calibri"/>
          <w:sz w:val="24"/>
          <w:szCs w:val="24"/>
        </w:rPr>
        <w:t xml:space="preserve">z projednaných </w:t>
      </w:r>
      <w:r w:rsidR="005D5722">
        <w:rPr>
          <w:rFonts w:cs="Calibri"/>
          <w:sz w:val="24"/>
          <w:szCs w:val="24"/>
        </w:rPr>
        <w:t>z</w:t>
      </w:r>
      <w:r w:rsidR="00021369">
        <w:rPr>
          <w:rFonts w:cs="Calibri"/>
          <w:sz w:val="24"/>
          <w:szCs w:val="24"/>
        </w:rPr>
        <w:t>ávěrečných zpráv RIA</w:t>
      </w:r>
      <w:r w:rsidR="00D106B2">
        <w:rPr>
          <w:rFonts w:cs="Calibri"/>
          <w:sz w:val="24"/>
          <w:szCs w:val="24"/>
        </w:rPr>
        <w:t>, a</w:t>
      </w:r>
      <w:r w:rsidR="0072070D">
        <w:rPr>
          <w:rFonts w:cs="Calibri"/>
          <w:sz w:val="24"/>
          <w:szCs w:val="24"/>
        </w:rPr>
        <w:t> </w:t>
      </w:r>
      <w:r w:rsidR="00D106B2">
        <w:rPr>
          <w:rFonts w:cs="Calibri"/>
          <w:sz w:val="24"/>
          <w:szCs w:val="24"/>
        </w:rPr>
        <w:t xml:space="preserve">to s různou mírou závažnosti připomínek. </w:t>
      </w:r>
      <w:r w:rsidR="005D2CB7">
        <w:rPr>
          <w:rFonts w:cs="Calibri"/>
          <w:sz w:val="24"/>
          <w:szCs w:val="24"/>
        </w:rPr>
        <w:t xml:space="preserve">S ohledem na negativní </w:t>
      </w:r>
      <w:r w:rsidRPr="00B35166">
        <w:rPr>
          <w:rFonts w:cs="Calibri"/>
          <w:sz w:val="24"/>
          <w:szCs w:val="24"/>
        </w:rPr>
        <w:t>stanovisk</w:t>
      </w:r>
      <w:r w:rsidR="005D2CB7">
        <w:rPr>
          <w:rFonts w:cs="Calibri"/>
          <w:sz w:val="24"/>
          <w:szCs w:val="24"/>
        </w:rPr>
        <w:t>a</w:t>
      </w:r>
      <w:r w:rsidRPr="00B35166">
        <w:rPr>
          <w:rFonts w:cs="Calibri"/>
          <w:sz w:val="24"/>
          <w:szCs w:val="24"/>
        </w:rPr>
        <w:t xml:space="preserve"> Komise RIA byl </w:t>
      </w:r>
      <w:r w:rsidR="005D2CB7">
        <w:rPr>
          <w:rFonts w:cs="Calibri"/>
          <w:sz w:val="24"/>
          <w:szCs w:val="24"/>
        </w:rPr>
        <w:t xml:space="preserve">v roce 2013 </w:t>
      </w:r>
      <w:r w:rsidRPr="00B35166">
        <w:rPr>
          <w:rFonts w:cs="Calibri"/>
          <w:sz w:val="24"/>
          <w:szCs w:val="24"/>
        </w:rPr>
        <w:t>z legislativního procesu stažen 1 návrh zákona</w:t>
      </w:r>
      <w:r w:rsidR="00021369">
        <w:rPr>
          <w:rFonts w:cs="Calibri"/>
          <w:sz w:val="24"/>
          <w:szCs w:val="24"/>
        </w:rPr>
        <w:t>, 3 návrhy zákonů nebyly vládě předloženy k výslednému schválení</w:t>
      </w:r>
      <w:r w:rsidR="005D2CB7">
        <w:rPr>
          <w:rFonts w:cs="Calibri"/>
          <w:sz w:val="24"/>
          <w:szCs w:val="24"/>
        </w:rPr>
        <w:t>, nicméně</w:t>
      </w:r>
      <w:r w:rsidR="00021369">
        <w:rPr>
          <w:rFonts w:cs="Calibri"/>
          <w:sz w:val="24"/>
          <w:szCs w:val="24"/>
        </w:rPr>
        <w:t xml:space="preserve"> ve 2 případech byl návrh vládou schválen navzdory nedoporučujícímu stanovisku Komise RIA</w:t>
      </w:r>
      <w:r w:rsidRPr="00B35166">
        <w:rPr>
          <w:rFonts w:cs="Calibri"/>
          <w:sz w:val="24"/>
          <w:szCs w:val="24"/>
        </w:rPr>
        <w:t>.</w:t>
      </w:r>
    </w:p>
    <w:p w:rsidR="001E1060" w:rsidRPr="00B35166" w:rsidRDefault="001E1060" w:rsidP="001E1060">
      <w:pPr>
        <w:jc w:val="both"/>
        <w:rPr>
          <w:rFonts w:cs="Calibri"/>
          <w:sz w:val="24"/>
          <w:szCs w:val="24"/>
        </w:rPr>
      </w:pPr>
      <w:r w:rsidRPr="00B35166">
        <w:rPr>
          <w:rFonts w:cs="Calibri"/>
          <w:sz w:val="24"/>
          <w:szCs w:val="24"/>
        </w:rPr>
        <w:t>Ministerstva a ústřední správní úřady (dále jen „ministerstva“) mají nadále tendenci v některých případech zpracovávat RIA formálně jako dodatečné zdůvodnění navrhované varianty právního předpisu, respektive obcházet Komisi RIA v její kontrolní funkci</w:t>
      </w:r>
      <w:r w:rsidR="002541AF">
        <w:rPr>
          <w:rFonts w:cs="Calibri"/>
          <w:sz w:val="24"/>
          <w:szCs w:val="24"/>
        </w:rPr>
        <w:t xml:space="preserve">. Děje se tak </w:t>
      </w:r>
      <w:r w:rsidR="00D106B2">
        <w:rPr>
          <w:rFonts w:cs="Calibri"/>
          <w:sz w:val="24"/>
          <w:szCs w:val="24"/>
        </w:rPr>
        <w:t xml:space="preserve">zejména </w:t>
      </w:r>
      <w:r w:rsidR="002541AF">
        <w:rPr>
          <w:rFonts w:cs="Calibri"/>
          <w:sz w:val="24"/>
          <w:szCs w:val="24"/>
        </w:rPr>
        <w:t xml:space="preserve">prostřednictvím </w:t>
      </w:r>
      <w:r w:rsidR="00021369">
        <w:rPr>
          <w:rFonts w:cs="Calibri"/>
          <w:sz w:val="24"/>
          <w:szCs w:val="24"/>
        </w:rPr>
        <w:t xml:space="preserve">udělování výjimek </w:t>
      </w:r>
      <w:r w:rsidR="00D106B2">
        <w:rPr>
          <w:rFonts w:cs="Calibri"/>
          <w:sz w:val="24"/>
          <w:szCs w:val="24"/>
        </w:rPr>
        <w:t xml:space="preserve">z provedení RIA </w:t>
      </w:r>
      <w:r w:rsidR="005D2CB7">
        <w:rPr>
          <w:rFonts w:cs="Calibri"/>
          <w:sz w:val="24"/>
          <w:szCs w:val="24"/>
        </w:rPr>
        <w:t>formou</w:t>
      </w:r>
      <w:r w:rsidR="00D106B2">
        <w:rPr>
          <w:rFonts w:cs="Calibri"/>
          <w:sz w:val="24"/>
          <w:szCs w:val="24"/>
        </w:rPr>
        <w:t xml:space="preserve"> usnesení vlády v rámci projednávání souvisejících </w:t>
      </w:r>
      <w:r w:rsidR="00021369">
        <w:rPr>
          <w:rFonts w:cs="Calibri"/>
          <w:sz w:val="24"/>
          <w:szCs w:val="24"/>
        </w:rPr>
        <w:t xml:space="preserve">strategických </w:t>
      </w:r>
      <w:r w:rsidR="00D106B2">
        <w:rPr>
          <w:rFonts w:cs="Calibri"/>
          <w:sz w:val="24"/>
          <w:szCs w:val="24"/>
        </w:rPr>
        <w:t>dokumentů</w:t>
      </w:r>
      <w:r w:rsidR="00BE4C60">
        <w:rPr>
          <w:rFonts w:cs="Calibri"/>
          <w:sz w:val="24"/>
          <w:szCs w:val="24"/>
        </w:rPr>
        <w:t>,</w:t>
      </w:r>
      <w:r w:rsidR="00D106B2">
        <w:rPr>
          <w:rFonts w:cs="Calibri"/>
          <w:sz w:val="24"/>
          <w:szCs w:val="24"/>
        </w:rPr>
        <w:t xml:space="preserve"> na základě jejichž schválení jsou následně zpracovávány návrhy právních předpisů.</w:t>
      </w:r>
      <w:r w:rsidRPr="00B35166">
        <w:rPr>
          <w:rFonts w:cs="Calibri"/>
          <w:sz w:val="24"/>
          <w:szCs w:val="24"/>
        </w:rPr>
        <w:t xml:space="preserve"> K tomuto nešvaru</w:t>
      </w:r>
      <w:r w:rsidR="00021369">
        <w:rPr>
          <w:rFonts w:cs="Calibri"/>
          <w:sz w:val="24"/>
          <w:szCs w:val="24"/>
        </w:rPr>
        <w:t xml:space="preserve"> dále</w:t>
      </w:r>
      <w:r w:rsidRPr="00B35166">
        <w:rPr>
          <w:rFonts w:cs="Calibri"/>
          <w:sz w:val="24"/>
          <w:szCs w:val="24"/>
        </w:rPr>
        <w:t xml:space="preserve"> přispívá i absence mechanismu hodnocení dopadů regulace u mimovládních zákonodárných iniciativ. </w:t>
      </w:r>
    </w:p>
    <w:p w:rsidR="001E1060" w:rsidRPr="00B35166" w:rsidRDefault="001E1060" w:rsidP="001E1060">
      <w:pPr>
        <w:jc w:val="both"/>
        <w:rPr>
          <w:rFonts w:cs="Calibri"/>
          <w:sz w:val="24"/>
          <w:szCs w:val="24"/>
        </w:rPr>
      </w:pPr>
      <w:r w:rsidRPr="00B35166">
        <w:rPr>
          <w:rFonts w:cs="Calibri"/>
          <w:sz w:val="24"/>
          <w:szCs w:val="24"/>
        </w:rPr>
        <w:t xml:space="preserve">Vláda předložila v roce </w:t>
      </w:r>
      <w:r w:rsidR="00021369" w:rsidRPr="00B35166">
        <w:rPr>
          <w:rFonts w:cs="Calibri"/>
          <w:sz w:val="24"/>
          <w:szCs w:val="24"/>
        </w:rPr>
        <w:t>201</w:t>
      </w:r>
      <w:r w:rsidR="00021369">
        <w:rPr>
          <w:rFonts w:cs="Calibri"/>
          <w:sz w:val="24"/>
          <w:szCs w:val="24"/>
        </w:rPr>
        <w:t>3</w:t>
      </w:r>
      <w:r w:rsidR="00021369" w:rsidRPr="00B35166">
        <w:rPr>
          <w:rFonts w:cs="Calibri"/>
          <w:sz w:val="24"/>
          <w:szCs w:val="24"/>
        </w:rPr>
        <w:t xml:space="preserve"> </w:t>
      </w:r>
      <w:r w:rsidRPr="00B35166">
        <w:rPr>
          <w:rFonts w:cs="Calibri"/>
          <w:sz w:val="24"/>
          <w:szCs w:val="24"/>
        </w:rPr>
        <w:t xml:space="preserve">stanovisko k </w:t>
      </w:r>
      <w:r w:rsidR="00021369" w:rsidRPr="00B35166">
        <w:rPr>
          <w:rFonts w:cs="Calibri"/>
          <w:sz w:val="24"/>
          <w:szCs w:val="24"/>
        </w:rPr>
        <w:t>9</w:t>
      </w:r>
      <w:r w:rsidR="00021369">
        <w:rPr>
          <w:rFonts w:cs="Calibri"/>
          <w:sz w:val="24"/>
          <w:szCs w:val="24"/>
        </w:rPr>
        <w:t>1</w:t>
      </w:r>
      <w:r w:rsidR="00021369" w:rsidRPr="00B35166">
        <w:rPr>
          <w:rFonts w:cs="Calibri"/>
          <w:sz w:val="24"/>
          <w:szCs w:val="24"/>
        </w:rPr>
        <w:t xml:space="preserve"> </w:t>
      </w:r>
      <w:r w:rsidRPr="00B35166">
        <w:rPr>
          <w:rFonts w:cs="Calibri"/>
          <w:sz w:val="24"/>
          <w:szCs w:val="24"/>
        </w:rPr>
        <w:t xml:space="preserve">návrhům, které jí byly zaslány z Parlamentu ČR, na něž se povinnost zpracování RIA nevztahuje. V těchto případech </w:t>
      </w:r>
      <w:r w:rsidR="0034429C">
        <w:rPr>
          <w:rFonts w:cs="Calibri"/>
          <w:sz w:val="24"/>
          <w:szCs w:val="24"/>
        </w:rPr>
        <w:t>se setkáváme s </w:t>
      </w:r>
      <w:r w:rsidRPr="00B35166">
        <w:rPr>
          <w:rFonts w:cs="Calibri"/>
          <w:sz w:val="24"/>
          <w:szCs w:val="24"/>
        </w:rPr>
        <w:t xml:space="preserve"> nevyváženost</w:t>
      </w:r>
      <w:r w:rsidR="0034429C">
        <w:rPr>
          <w:rFonts w:cs="Calibri"/>
          <w:sz w:val="24"/>
          <w:szCs w:val="24"/>
        </w:rPr>
        <w:t>í</w:t>
      </w:r>
      <w:r w:rsidRPr="00B35166">
        <w:rPr>
          <w:rFonts w:cs="Calibri"/>
          <w:sz w:val="24"/>
          <w:szCs w:val="24"/>
        </w:rPr>
        <w:t xml:space="preserve"> legislativního procesu, kdy jsou na úrovni vlády na </w:t>
      </w:r>
      <w:r w:rsidR="002541AF">
        <w:rPr>
          <w:rFonts w:cs="Calibri"/>
          <w:sz w:val="24"/>
          <w:szCs w:val="24"/>
        </w:rPr>
        <w:t xml:space="preserve">návrhy právních </w:t>
      </w:r>
      <w:r w:rsidRPr="00B35166">
        <w:rPr>
          <w:rFonts w:cs="Calibri"/>
          <w:sz w:val="24"/>
          <w:szCs w:val="24"/>
        </w:rPr>
        <w:t>předpis</w:t>
      </w:r>
      <w:r w:rsidR="002541AF">
        <w:rPr>
          <w:rFonts w:cs="Calibri"/>
          <w:sz w:val="24"/>
          <w:szCs w:val="24"/>
        </w:rPr>
        <w:t>ů</w:t>
      </w:r>
      <w:r w:rsidRPr="00B35166">
        <w:rPr>
          <w:rFonts w:cs="Calibri"/>
          <w:sz w:val="24"/>
          <w:szCs w:val="24"/>
        </w:rPr>
        <w:t xml:space="preserve"> kladeny vyšší nároky na kvalitu, než </w:t>
      </w:r>
      <w:r w:rsidR="002541AF">
        <w:rPr>
          <w:rFonts w:cs="Calibri"/>
          <w:sz w:val="24"/>
          <w:szCs w:val="24"/>
        </w:rPr>
        <w:t xml:space="preserve">je tomu </w:t>
      </w:r>
      <w:r w:rsidRPr="00B35166">
        <w:rPr>
          <w:rFonts w:cs="Calibri"/>
          <w:sz w:val="24"/>
          <w:szCs w:val="24"/>
        </w:rPr>
        <w:t>u dalších zákonodárných iniciativ.</w:t>
      </w:r>
      <w:r w:rsidRPr="00B35166">
        <w:rPr>
          <w:rFonts w:cs="Calibri"/>
        </w:rPr>
        <w:t xml:space="preserve"> </w:t>
      </w:r>
      <w:r w:rsidRPr="00B35166">
        <w:rPr>
          <w:rFonts w:cs="Calibri"/>
          <w:sz w:val="24"/>
          <w:szCs w:val="24"/>
        </w:rPr>
        <w:t>Neexistence mechanismu hodnocení dopadů u </w:t>
      </w:r>
      <w:r w:rsidR="002541AF">
        <w:rPr>
          <w:rFonts w:cs="Calibri"/>
          <w:sz w:val="24"/>
          <w:szCs w:val="24"/>
        </w:rPr>
        <w:t xml:space="preserve">mimovládních </w:t>
      </w:r>
      <w:r w:rsidRPr="00B35166">
        <w:rPr>
          <w:rFonts w:cs="Calibri"/>
          <w:sz w:val="24"/>
          <w:szCs w:val="24"/>
        </w:rPr>
        <w:t>zákonodárných iniciativ může v některých případech dokonce motivovat ministerstva, aby obcházela standardní legislativní proces, a</w:t>
      </w:r>
      <w:r w:rsidR="006A20CF">
        <w:rPr>
          <w:rFonts w:cs="Calibri"/>
          <w:sz w:val="24"/>
          <w:szCs w:val="24"/>
        </w:rPr>
        <w:t> </w:t>
      </w:r>
      <w:r w:rsidRPr="00B35166">
        <w:rPr>
          <w:rFonts w:cs="Calibri"/>
          <w:sz w:val="24"/>
          <w:szCs w:val="24"/>
        </w:rPr>
        <w:t xml:space="preserve">předkládala návrhy jako poslanecké iniciativy. Takový přístup vede kromě absence hodnocení dopadů i k věcným chybám takových návrhů, </w:t>
      </w:r>
      <w:r w:rsidRPr="00B35166">
        <w:rPr>
          <w:rFonts w:cs="Calibri"/>
          <w:sz w:val="24"/>
          <w:szCs w:val="24"/>
        </w:rPr>
        <w:lastRenderedPageBreak/>
        <w:t>respektive absenci vyhodnocení na první pohled ne zcela zřejmých dopadů s možnými fatálními důsledky.</w:t>
      </w:r>
    </w:p>
    <w:p w:rsidR="001E1060" w:rsidRPr="00B35166" w:rsidRDefault="001E1060" w:rsidP="001E1060">
      <w:pPr>
        <w:jc w:val="both"/>
        <w:rPr>
          <w:rFonts w:cs="Calibri"/>
          <w:sz w:val="24"/>
          <w:szCs w:val="24"/>
        </w:rPr>
      </w:pPr>
      <w:r w:rsidRPr="00B35166">
        <w:rPr>
          <w:rFonts w:cs="Calibri"/>
          <w:sz w:val="24"/>
          <w:szCs w:val="24"/>
        </w:rPr>
        <w:t>Vláda má v procesu přijímání regulace klíčovou roli garanta dodržování pravidel a stanovování závazných politických cílů a ukazatelů jejich naplnění. Velice důležité je proto lépe zdůraznit význam a roli legislativy jako jednoho z nástrojů naplňování politických cílů a</w:t>
      </w:r>
      <w:r w:rsidR="006A20CF">
        <w:rPr>
          <w:rFonts w:cs="Calibri"/>
          <w:sz w:val="24"/>
          <w:szCs w:val="24"/>
        </w:rPr>
        <w:t> </w:t>
      </w:r>
      <w:r w:rsidRPr="00B35166">
        <w:rPr>
          <w:rFonts w:cs="Calibri"/>
          <w:sz w:val="24"/>
          <w:szCs w:val="24"/>
        </w:rPr>
        <w:t xml:space="preserve">politik vlády, k nimž ale musí být zpracováno průkazné, srozumitelné a objektivně prezentované vyhodnocení dopadů. Je tedy potřeba, aby ministři, kteří každoročně schvalují Plán legislativních prací vlády s vyznačením návrhů s povinným zpracováním RIA, dohlíželi </w:t>
      </w:r>
      <w:r w:rsidR="0034429C">
        <w:rPr>
          <w:rFonts w:cs="Calibri"/>
          <w:sz w:val="24"/>
          <w:szCs w:val="24"/>
        </w:rPr>
        <w:t xml:space="preserve">následně </w:t>
      </w:r>
      <w:r w:rsidRPr="00B35166">
        <w:rPr>
          <w:rFonts w:cs="Calibri"/>
          <w:sz w:val="24"/>
          <w:szCs w:val="24"/>
        </w:rPr>
        <w:t>i</w:t>
      </w:r>
      <w:r w:rsidR="005D2CB7">
        <w:rPr>
          <w:rFonts w:cs="Calibri"/>
          <w:sz w:val="24"/>
          <w:szCs w:val="24"/>
        </w:rPr>
        <w:t> </w:t>
      </w:r>
      <w:r w:rsidRPr="00B35166">
        <w:rPr>
          <w:rFonts w:cs="Calibri"/>
          <w:sz w:val="24"/>
          <w:szCs w:val="24"/>
        </w:rPr>
        <w:t xml:space="preserve">v  průběhu roku nad kvalitou hodnocení dopadů u návrhů právních předpisů ve své kompetenci. Pro zlepšení kvality procesu RIA Komise RIA </w:t>
      </w:r>
      <w:r w:rsidR="00C30009">
        <w:rPr>
          <w:rFonts w:cs="Calibri"/>
          <w:sz w:val="24"/>
          <w:szCs w:val="24"/>
        </w:rPr>
        <w:t>již v mi</w:t>
      </w:r>
      <w:r w:rsidR="00930DD6">
        <w:rPr>
          <w:rFonts w:cs="Calibri"/>
          <w:sz w:val="24"/>
          <w:szCs w:val="24"/>
        </w:rPr>
        <w:t>nulém roce formulovala</w:t>
      </w:r>
      <w:r w:rsidR="00930DD6" w:rsidRPr="00B35166">
        <w:rPr>
          <w:rFonts w:cs="Calibri"/>
          <w:sz w:val="24"/>
          <w:szCs w:val="24"/>
        </w:rPr>
        <w:t xml:space="preserve"> </w:t>
      </w:r>
      <w:r w:rsidRPr="00B35166">
        <w:rPr>
          <w:rFonts w:cs="Calibri"/>
          <w:sz w:val="24"/>
          <w:szCs w:val="24"/>
        </w:rPr>
        <w:t>několik doporučení uvedených dále v</w:t>
      </w:r>
      <w:r w:rsidR="0034429C">
        <w:rPr>
          <w:rFonts w:cs="Calibri"/>
          <w:sz w:val="24"/>
          <w:szCs w:val="24"/>
        </w:rPr>
        <w:t> </w:t>
      </w:r>
      <w:r w:rsidRPr="00B35166">
        <w:rPr>
          <w:rFonts w:cs="Calibri"/>
          <w:sz w:val="24"/>
          <w:szCs w:val="24"/>
        </w:rPr>
        <w:t>textu</w:t>
      </w:r>
      <w:r w:rsidR="0034429C">
        <w:rPr>
          <w:rFonts w:cs="Calibri"/>
          <w:sz w:val="24"/>
          <w:szCs w:val="24"/>
        </w:rPr>
        <w:t xml:space="preserve"> (viz část </w:t>
      </w:r>
      <w:r w:rsidR="007B545E">
        <w:rPr>
          <w:rFonts w:cs="Calibri"/>
          <w:sz w:val="24"/>
          <w:szCs w:val="24"/>
        </w:rPr>
        <w:t>4</w:t>
      </w:r>
      <w:r w:rsidR="0034429C">
        <w:rPr>
          <w:rFonts w:cs="Calibri"/>
          <w:sz w:val="24"/>
          <w:szCs w:val="24"/>
        </w:rPr>
        <w:t>)</w:t>
      </w:r>
      <w:r w:rsidR="00930DD6">
        <w:rPr>
          <w:rFonts w:cs="Calibri"/>
          <w:sz w:val="24"/>
          <w:szCs w:val="24"/>
        </w:rPr>
        <w:t>, která se však z velké části zatím nepodařilo naplnit</w:t>
      </w:r>
      <w:r w:rsidRPr="00B35166">
        <w:rPr>
          <w:rFonts w:cs="Calibri"/>
          <w:sz w:val="24"/>
          <w:szCs w:val="24"/>
        </w:rPr>
        <w:t>.</w:t>
      </w:r>
    </w:p>
    <w:p w:rsidR="001E1060" w:rsidRPr="00B35166" w:rsidRDefault="001E1060" w:rsidP="001E1060">
      <w:pPr>
        <w:jc w:val="both"/>
        <w:rPr>
          <w:rFonts w:cs="Calibri"/>
          <w:sz w:val="24"/>
          <w:szCs w:val="24"/>
        </w:rPr>
      </w:pPr>
      <w:r w:rsidRPr="00B35166">
        <w:rPr>
          <w:rFonts w:cs="Calibri"/>
          <w:sz w:val="24"/>
          <w:szCs w:val="24"/>
        </w:rPr>
        <w:t xml:space="preserve">V mezinárodním měřítku se Komise RIA záhy po svém ustavení zapojila do skupiny dohledových orgánů partnerských členských zemí EU tzv. </w:t>
      </w:r>
      <w:proofErr w:type="spellStart"/>
      <w:r w:rsidRPr="00B35166">
        <w:rPr>
          <w:rFonts w:cs="Calibri"/>
          <w:i/>
          <w:sz w:val="24"/>
          <w:szCs w:val="24"/>
        </w:rPr>
        <w:t>watchdogs</w:t>
      </w:r>
      <w:proofErr w:type="spellEnd"/>
      <w:r w:rsidRPr="00B35166">
        <w:rPr>
          <w:rFonts w:cs="Calibri"/>
          <w:sz w:val="24"/>
          <w:szCs w:val="24"/>
        </w:rPr>
        <w:t xml:space="preserve"> (Nizozemska, SRN, Švédska a Velké Británie)</w:t>
      </w:r>
      <w:r w:rsidR="005D5722">
        <w:rPr>
          <w:rFonts w:cs="Calibri"/>
          <w:sz w:val="24"/>
          <w:szCs w:val="24"/>
        </w:rPr>
        <w:t xml:space="preserve"> vystupujících nově pod </w:t>
      </w:r>
      <w:r w:rsidR="0034429C">
        <w:rPr>
          <w:rFonts w:cs="Calibri"/>
          <w:sz w:val="24"/>
          <w:szCs w:val="24"/>
        </w:rPr>
        <w:t xml:space="preserve">společným </w:t>
      </w:r>
      <w:r w:rsidR="005D5722">
        <w:rPr>
          <w:rFonts w:cs="Calibri"/>
          <w:sz w:val="24"/>
          <w:szCs w:val="24"/>
        </w:rPr>
        <w:t>označením „</w:t>
      </w:r>
      <w:proofErr w:type="spellStart"/>
      <w:r w:rsidR="005D5722" w:rsidRPr="00312DD5">
        <w:rPr>
          <w:rFonts w:cs="Calibri"/>
          <w:i/>
          <w:sz w:val="24"/>
          <w:szCs w:val="24"/>
        </w:rPr>
        <w:t>RegWatchEurope</w:t>
      </w:r>
      <w:proofErr w:type="spellEnd"/>
      <w:r w:rsidR="005D5722">
        <w:rPr>
          <w:rFonts w:cs="Calibri"/>
          <w:sz w:val="24"/>
          <w:szCs w:val="24"/>
        </w:rPr>
        <w:t>“</w:t>
      </w:r>
      <w:r w:rsidRPr="00B35166">
        <w:rPr>
          <w:rFonts w:cs="Calibri"/>
          <w:sz w:val="24"/>
          <w:szCs w:val="24"/>
        </w:rPr>
        <w:t>. V rámci spolupráce předkládají společné návrhy na zlepšení procesu přípravy a schvalování návrhů na úrovni EU</w:t>
      </w:r>
      <w:r w:rsidR="005D5722">
        <w:rPr>
          <w:rFonts w:cs="Calibri"/>
          <w:sz w:val="24"/>
          <w:szCs w:val="24"/>
        </w:rPr>
        <w:t xml:space="preserve"> a </w:t>
      </w:r>
      <w:r w:rsidR="0034429C">
        <w:rPr>
          <w:rFonts w:cs="Calibri"/>
          <w:sz w:val="24"/>
          <w:szCs w:val="24"/>
        </w:rPr>
        <w:t xml:space="preserve">k </w:t>
      </w:r>
      <w:r w:rsidR="005D5722">
        <w:rPr>
          <w:rFonts w:cs="Calibri"/>
          <w:sz w:val="24"/>
          <w:szCs w:val="24"/>
        </w:rPr>
        <w:t>podobě návrhů politik formulovaných Evropskou kom</w:t>
      </w:r>
      <w:r w:rsidR="00582EF5">
        <w:rPr>
          <w:rFonts w:cs="Calibri"/>
          <w:sz w:val="24"/>
          <w:szCs w:val="24"/>
        </w:rPr>
        <w:t>i</w:t>
      </w:r>
      <w:r w:rsidR="005D5722">
        <w:rPr>
          <w:rFonts w:cs="Calibri"/>
          <w:sz w:val="24"/>
          <w:szCs w:val="24"/>
        </w:rPr>
        <w:t>sí,</w:t>
      </w:r>
      <w:r w:rsidRPr="00B35166">
        <w:rPr>
          <w:rFonts w:cs="Calibri"/>
          <w:sz w:val="24"/>
          <w:szCs w:val="24"/>
        </w:rPr>
        <w:t xml:space="preserve"> zejména z hlediska hodnocení dopadů. I</w:t>
      </w:r>
      <w:r w:rsidR="006A20CF">
        <w:rPr>
          <w:rFonts w:cs="Calibri"/>
          <w:sz w:val="24"/>
          <w:szCs w:val="24"/>
        </w:rPr>
        <w:t> </w:t>
      </w:r>
      <w:r w:rsidRPr="00B35166">
        <w:rPr>
          <w:rFonts w:cs="Calibri"/>
          <w:sz w:val="24"/>
          <w:szCs w:val="24"/>
        </w:rPr>
        <w:t>tímto způsobem se</w:t>
      </w:r>
      <w:r w:rsidR="000D700D">
        <w:rPr>
          <w:rFonts w:cs="Calibri"/>
          <w:sz w:val="24"/>
          <w:szCs w:val="24"/>
        </w:rPr>
        <w:t xml:space="preserve"> Komise RIA</w:t>
      </w:r>
      <w:r w:rsidRPr="00B35166">
        <w:rPr>
          <w:rFonts w:cs="Calibri"/>
          <w:sz w:val="24"/>
          <w:szCs w:val="24"/>
        </w:rPr>
        <w:t xml:space="preserve"> snaží vzhledem k velkému množství transponovaných předpisů EU do národního právního řádu přispívat k</w:t>
      </w:r>
      <w:r w:rsidR="000D700D">
        <w:rPr>
          <w:rFonts w:cs="Calibri"/>
          <w:sz w:val="24"/>
          <w:szCs w:val="24"/>
        </w:rPr>
        <w:t>e</w:t>
      </w:r>
      <w:r w:rsidRPr="00B35166">
        <w:rPr>
          <w:rFonts w:cs="Calibri"/>
          <w:sz w:val="24"/>
          <w:szCs w:val="24"/>
        </w:rPr>
        <w:t> zlepšení legislativního procesu v ČR.</w:t>
      </w:r>
    </w:p>
    <w:p w:rsidR="00A946FF" w:rsidRPr="00A946FF" w:rsidRDefault="00213D15" w:rsidP="00A946FF">
      <w:pPr>
        <w:spacing w:after="0" w:line="240" w:lineRule="auto"/>
        <w:rPr>
          <w:rFonts w:cs="Calibri"/>
          <w:b/>
          <w:sz w:val="24"/>
          <w:szCs w:val="24"/>
        </w:rPr>
      </w:pPr>
      <w:r>
        <w:rPr>
          <w:rFonts w:cs="Calibri"/>
          <w:b/>
          <w:sz w:val="24"/>
          <w:szCs w:val="24"/>
        </w:rPr>
        <w:br w:type="page"/>
      </w:r>
      <w:bookmarkStart w:id="2" w:name="_Toc381286063"/>
      <w:bookmarkStart w:id="3" w:name="_Toc381286096"/>
      <w:bookmarkEnd w:id="2"/>
      <w:bookmarkEnd w:id="3"/>
    </w:p>
    <w:p w:rsidR="001E1060" w:rsidRPr="008E042D" w:rsidRDefault="0057247D" w:rsidP="0057247D">
      <w:pPr>
        <w:pStyle w:val="Nadpis1"/>
        <w:jc w:val="both"/>
        <w:rPr>
          <w:rFonts w:ascii="Calibri" w:hAnsi="Calibri" w:cs="Calibri"/>
          <w:color w:val="5F497A"/>
        </w:rPr>
      </w:pPr>
      <w:bookmarkStart w:id="4" w:name="_Toc381286097"/>
      <w:proofErr w:type="gramStart"/>
      <w:r>
        <w:rPr>
          <w:rFonts w:ascii="Calibri" w:hAnsi="Calibri" w:cs="Calibri"/>
          <w:color w:val="5F497A"/>
        </w:rPr>
        <w:lastRenderedPageBreak/>
        <w:t xml:space="preserve">2   </w:t>
      </w:r>
      <w:r w:rsidR="001E1060" w:rsidRPr="008E042D">
        <w:rPr>
          <w:rFonts w:ascii="Calibri" w:hAnsi="Calibri" w:cs="Calibri"/>
          <w:color w:val="5F497A"/>
        </w:rPr>
        <w:t>Role</w:t>
      </w:r>
      <w:proofErr w:type="gramEnd"/>
      <w:r w:rsidR="001E1060" w:rsidRPr="008E042D">
        <w:rPr>
          <w:rFonts w:ascii="Calibri" w:hAnsi="Calibri" w:cs="Calibri"/>
          <w:color w:val="5F497A"/>
        </w:rPr>
        <w:t xml:space="preserve"> Komise RIA </w:t>
      </w:r>
      <w:bookmarkEnd w:id="4"/>
    </w:p>
    <w:p w:rsidR="001E1060" w:rsidRPr="00C35D56" w:rsidRDefault="001E1060" w:rsidP="001E1060">
      <w:pPr>
        <w:ind w:left="720"/>
        <w:jc w:val="both"/>
        <w:rPr>
          <w:rFonts w:cs="Calibri"/>
        </w:rPr>
      </w:pPr>
    </w:p>
    <w:p w:rsidR="00F93849" w:rsidRDefault="001E1060" w:rsidP="008870E9">
      <w:pPr>
        <w:jc w:val="both"/>
        <w:rPr>
          <w:rFonts w:cs="Calibri"/>
          <w:sz w:val="24"/>
          <w:szCs w:val="24"/>
        </w:rPr>
      </w:pPr>
      <w:r w:rsidRPr="00312DD5">
        <w:rPr>
          <w:rFonts w:cs="Calibri"/>
          <w:sz w:val="24"/>
          <w:szCs w:val="24"/>
        </w:rPr>
        <w:t xml:space="preserve">Komise RIA je jednou z pracovních </w:t>
      </w:r>
      <w:r w:rsidR="00F93849">
        <w:rPr>
          <w:rFonts w:cs="Calibri"/>
          <w:sz w:val="24"/>
          <w:szCs w:val="24"/>
        </w:rPr>
        <w:t xml:space="preserve">komisí Legislativní rady vlády ve složení: </w:t>
      </w:r>
    </w:p>
    <w:p w:rsidR="00F93849" w:rsidRPr="00F93849" w:rsidRDefault="00F93849" w:rsidP="00F93849">
      <w:pPr>
        <w:spacing w:after="0" w:line="360" w:lineRule="auto"/>
        <w:jc w:val="both"/>
        <w:rPr>
          <w:rFonts w:cs="Calibri"/>
          <w:i/>
          <w:sz w:val="24"/>
          <w:szCs w:val="24"/>
        </w:rPr>
      </w:pPr>
      <w:r w:rsidRPr="00F93849">
        <w:rPr>
          <w:rFonts w:cs="Calibri"/>
          <w:i/>
          <w:sz w:val="24"/>
          <w:szCs w:val="24"/>
        </w:rPr>
        <w:t>Prof. Ing. Michal Mejstřík, CSc. - předseda</w:t>
      </w:r>
    </w:p>
    <w:p w:rsidR="00F93849" w:rsidRPr="00F93849" w:rsidRDefault="00F93849" w:rsidP="00F93849">
      <w:pPr>
        <w:spacing w:after="0" w:line="360" w:lineRule="auto"/>
        <w:jc w:val="both"/>
        <w:rPr>
          <w:rFonts w:cs="Calibri"/>
          <w:i/>
          <w:sz w:val="24"/>
          <w:szCs w:val="24"/>
        </w:rPr>
      </w:pPr>
      <w:r w:rsidRPr="00F93849">
        <w:rPr>
          <w:rFonts w:cs="Calibri"/>
          <w:i/>
          <w:sz w:val="24"/>
          <w:szCs w:val="24"/>
        </w:rPr>
        <w:t>Prof. Ing. Jiřina Jílková, CSc. - místopředsedkyně</w:t>
      </w:r>
    </w:p>
    <w:p w:rsidR="00F93849" w:rsidRPr="00F93849" w:rsidRDefault="00F93849" w:rsidP="00F93849">
      <w:pPr>
        <w:spacing w:after="0" w:line="360" w:lineRule="auto"/>
        <w:jc w:val="both"/>
        <w:rPr>
          <w:rFonts w:cs="Calibri"/>
          <w:i/>
          <w:sz w:val="24"/>
          <w:szCs w:val="24"/>
        </w:rPr>
      </w:pPr>
      <w:r w:rsidRPr="00F93849">
        <w:rPr>
          <w:rFonts w:cs="Calibri"/>
          <w:i/>
          <w:sz w:val="24"/>
          <w:szCs w:val="24"/>
        </w:rPr>
        <w:t>Mgr. Libor Dušek, Ph.D.</w:t>
      </w:r>
    </w:p>
    <w:p w:rsidR="00F93849" w:rsidRPr="00F93849" w:rsidRDefault="00F93849" w:rsidP="00F93849">
      <w:pPr>
        <w:spacing w:after="0" w:line="360" w:lineRule="auto"/>
        <w:jc w:val="both"/>
        <w:rPr>
          <w:rFonts w:cs="Calibri"/>
          <w:i/>
          <w:sz w:val="24"/>
          <w:szCs w:val="24"/>
        </w:rPr>
      </w:pPr>
      <w:r w:rsidRPr="00F93849">
        <w:rPr>
          <w:rFonts w:cs="Calibri"/>
          <w:i/>
          <w:sz w:val="24"/>
          <w:szCs w:val="24"/>
        </w:rPr>
        <w:t>PhDr. Zdeněk Kudrna, Ph.D.</w:t>
      </w:r>
    </w:p>
    <w:p w:rsidR="00F93849" w:rsidRPr="00F93849" w:rsidRDefault="00F93849" w:rsidP="00F93849">
      <w:pPr>
        <w:spacing w:after="0" w:line="360" w:lineRule="auto"/>
        <w:jc w:val="both"/>
        <w:rPr>
          <w:rFonts w:cs="Calibri"/>
          <w:i/>
          <w:sz w:val="24"/>
          <w:szCs w:val="24"/>
        </w:rPr>
      </w:pPr>
      <w:r w:rsidRPr="00F93849">
        <w:rPr>
          <w:rFonts w:cs="Calibri"/>
          <w:i/>
          <w:sz w:val="24"/>
          <w:szCs w:val="24"/>
        </w:rPr>
        <w:t>Mgr. Jan Matoušek</w:t>
      </w:r>
    </w:p>
    <w:p w:rsidR="00F93849" w:rsidRPr="00F93849" w:rsidRDefault="00F93849" w:rsidP="00F93849">
      <w:pPr>
        <w:spacing w:after="0" w:line="360" w:lineRule="auto"/>
        <w:jc w:val="both"/>
        <w:rPr>
          <w:rFonts w:cs="Calibri"/>
          <w:i/>
          <w:sz w:val="24"/>
          <w:szCs w:val="24"/>
        </w:rPr>
      </w:pPr>
      <w:r w:rsidRPr="00F93849">
        <w:rPr>
          <w:rFonts w:cs="Calibri"/>
          <w:i/>
          <w:sz w:val="24"/>
          <w:szCs w:val="24"/>
        </w:rPr>
        <w:t xml:space="preserve">Prof. Ing. Petr </w:t>
      </w:r>
      <w:proofErr w:type="spellStart"/>
      <w:r w:rsidRPr="00F93849">
        <w:rPr>
          <w:rFonts w:cs="Calibri"/>
          <w:i/>
          <w:sz w:val="24"/>
          <w:szCs w:val="24"/>
        </w:rPr>
        <w:t>Moos</w:t>
      </w:r>
      <w:proofErr w:type="spellEnd"/>
      <w:r w:rsidRPr="00F93849">
        <w:rPr>
          <w:rFonts w:cs="Calibri"/>
          <w:i/>
          <w:sz w:val="24"/>
          <w:szCs w:val="24"/>
        </w:rPr>
        <w:t>, CSc.</w:t>
      </w:r>
    </w:p>
    <w:p w:rsidR="00F93849" w:rsidRPr="00F93849" w:rsidRDefault="00F93849" w:rsidP="00F93849">
      <w:pPr>
        <w:spacing w:after="0" w:line="360" w:lineRule="auto"/>
        <w:jc w:val="both"/>
        <w:rPr>
          <w:rFonts w:cs="Calibri"/>
          <w:i/>
          <w:sz w:val="24"/>
          <w:szCs w:val="24"/>
        </w:rPr>
      </w:pPr>
      <w:r w:rsidRPr="00F93849">
        <w:rPr>
          <w:rFonts w:cs="Calibri"/>
          <w:i/>
          <w:sz w:val="24"/>
          <w:szCs w:val="24"/>
        </w:rPr>
        <w:t xml:space="preserve">Doc. Ing. Daniel </w:t>
      </w:r>
      <w:proofErr w:type="spellStart"/>
      <w:r w:rsidRPr="00F93849">
        <w:rPr>
          <w:rFonts w:cs="Calibri"/>
          <w:i/>
          <w:sz w:val="24"/>
          <w:szCs w:val="24"/>
        </w:rPr>
        <w:t>Münich</w:t>
      </w:r>
      <w:proofErr w:type="spellEnd"/>
      <w:r w:rsidRPr="00F93849">
        <w:rPr>
          <w:rFonts w:cs="Calibri"/>
          <w:i/>
          <w:sz w:val="24"/>
          <w:szCs w:val="24"/>
        </w:rPr>
        <w:t>, Ph.D.</w:t>
      </w:r>
    </w:p>
    <w:p w:rsidR="00F93849" w:rsidRPr="00F93849" w:rsidRDefault="00F93849" w:rsidP="00F93849">
      <w:pPr>
        <w:spacing w:after="0" w:line="360" w:lineRule="auto"/>
        <w:jc w:val="both"/>
        <w:rPr>
          <w:rFonts w:cs="Calibri"/>
          <w:i/>
          <w:sz w:val="24"/>
          <w:szCs w:val="24"/>
        </w:rPr>
      </w:pPr>
      <w:r w:rsidRPr="00F93849">
        <w:rPr>
          <w:rFonts w:cs="Calibri"/>
          <w:i/>
          <w:sz w:val="24"/>
          <w:szCs w:val="24"/>
        </w:rPr>
        <w:t>Ing. Jiří Nekovář</w:t>
      </w:r>
    </w:p>
    <w:p w:rsidR="00F93849" w:rsidRPr="00F93849" w:rsidRDefault="00F93849" w:rsidP="00F93849">
      <w:pPr>
        <w:spacing w:after="0" w:line="360" w:lineRule="auto"/>
        <w:jc w:val="both"/>
        <w:rPr>
          <w:rFonts w:cs="Calibri"/>
          <w:i/>
          <w:sz w:val="24"/>
          <w:szCs w:val="24"/>
        </w:rPr>
      </w:pPr>
      <w:r w:rsidRPr="00F93849">
        <w:rPr>
          <w:rFonts w:cs="Calibri"/>
          <w:i/>
          <w:sz w:val="24"/>
          <w:szCs w:val="24"/>
        </w:rPr>
        <w:t xml:space="preserve">RNDr. Luděk </w:t>
      </w:r>
      <w:proofErr w:type="spellStart"/>
      <w:r w:rsidRPr="00F93849">
        <w:rPr>
          <w:rFonts w:cs="Calibri"/>
          <w:i/>
          <w:sz w:val="24"/>
          <w:szCs w:val="24"/>
        </w:rPr>
        <w:t>Niedermayer</w:t>
      </w:r>
      <w:proofErr w:type="spellEnd"/>
    </w:p>
    <w:p w:rsidR="00F93849" w:rsidRPr="00F93849" w:rsidRDefault="00F93849" w:rsidP="00F93849">
      <w:pPr>
        <w:spacing w:after="0" w:line="360" w:lineRule="auto"/>
        <w:jc w:val="both"/>
        <w:rPr>
          <w:rFonts w:cs="Calibri"/>
          <w:i/>
          <w:sz w:val="24"/>
          <w:szCs w:val="24"/>
        </w:rPr>
      </w:pPr>
      <w:r w:rsidRPr="00F93849">
        <w:rPr>
          <w:rFonts w:cs="Calibri"/>
          <w:i/>
          <w:sz w:val="24"/>
          <w:szCs w:val="24"/>
        </w:rPr>
        <w:t xml:space="preserve">JUDr. Tomáš Richter </w:t>
      </w:r>
      <w:proofErr w:type="gramStart"/>
      <w:r w:rsidRPr="00F93849">
        <w:rPr>
          <w:rFonts w:cs="Calibri"/>
          <w:i/>
          <w:sz w:val="24"/>
          <w:szCs w:val="24"/>
        </w:rPr>
        <w:t>LL.M.</w:t>
      </w:r>
      <w:proofErr w:type="gramEnd"/>
      <w:r w:rsidRPr="00F93849">
        <w:rPr>
          <w:rFonts w:cs="Calibri"/>
          <w:i/>
          <w:sz w:val="24"/>
          <w:szCs w:val="24"/>
        </w:rPr>
        <w:t>, Ph.D.</w:t>
      </w:r>
    </w:p>
    <w:p w:rsidR="00F93849" w:rsidRPr="00F93849" w:rsidRDefault="00F93849" w:rsidP="00F93849">
      <w:pPr>
        <w:spacing w:after="0" w:line="360" w:lineRule="auto"/>
        <w:jc w:val="both"/>
        <w:rPr>
          <w:rFonts w:cs="Calibri"/>
          <w:i/>
          <w:sz w:val="24"/>
          <w:szCs w:val="24"/>
        </w:rPr>
      </w:pPr>
      <w:r w:rsidRPr="00F93849">
        <w:rPr>
          <w:rFonts w:cs="Calibri"/>
          <w:i/>
          <w:sz w:val="24"/>
          <w:szCs w:val="24"/>
        </w:rPr>
        <w:t xml:space="preserve">JUDr. Petr </w:t>
      </w:r>
      <w:proofErr w:type="spellStart"/>
      <w:r w:rsidRPr="00F93849">
        <w:rPr>
          <w:rFonts w:cs="Calibri"/>
          <w:i/>
          <w:sz w:val="24"/>
          <w:szCs w:val="24"/>
        </w:rPr>
        <w:t>Solský</w:t>
      </w:r>
      <w:proofErr w:type="spellEnd"/>
    </w:p>
    <w:p w:rsidR="00F93849" w:rsidRPr="00F93849" w:rsidRDefault="00F93849" w:rsidP="00F93849">
      <w:pPr>
        <w:spacing w:after="0" w:line="360" w:lineRule="auto"/>
        <w:jc w:val="both"/>
        <w:rPr>
          <w:rFonts w:cs="Calibri"/>
          <w:i/>
          <w:sz w:val="24"/>
          <w:szCs w:val="24"/>
        </w:rPr>
      </w:pPr>
      <w:r w:rsidRPr="00F93849">
        <w:rPr>
          <w:rFonts w:cs="Calibri"/>
          <w:i/>
          <w:sz w:val="24"/>
          <w:szCs w:val="24"/>
        </w:rPr>
        <w:t xml:space="preserve">Radek Špicar, </w:t>
      </w:r>
      <w:proofErr w:type="spellStart"/>
      <w:proofErr w:type="gramStart"/>
      <w:r w:rsidRPr="00F93849">
        <w:rPr>
          <w:rFonts w:cs="Calibri"/>
          <w:i/>
          <w:sz w:val="24"/>
          <w:szCs w:val="24"/>
        </w:rPr>
        <w:t>M.Phil</w:t>
      </w:r>
      <w:proofErr w:type="spellEnd"/>
      <w:proofErr w:type="gramEnd"/>
      <w:r w:rsidRPr="00F93849">
        <w:rPr>
          <w:rFonts w:cs="Calibri"/>
          <w:i/>
          <w:sz w:val="24"/>
          <w:szCs w:val="24"/>
        </w:rPr>
        <w:t>.</w:t>
      </w:r>
    </w:p>
    <w:p w:rsidR="00F93849" w:rsidRPr="00F93849" w:rsidRDefault="00F93849" w:rsidP="00F93849">
      <w:pPr>
        <w:spacing w:after="0" w:line="360" w:lineRule="auto"/>
        <w:jc w:val="both"/>
        <w:rPr>
          <w:rFonts w:cs="Calibri"/>
          <w:i/>
          <w:sz w:val="24"/>
          <w:szCs w:val="24"/>
        </w:rPr>
      </w:pPr>
      <w:r w:rsidRPr="00F93849">
        <w:rPr>
          <w:rFonts w:cs="Calibri"/>
          <w:i/>
          <w:sz w:val="24"/>
          <w:szCs w:val="24"/>
        </w:rPr>
        <w:t>Ing. Daniel Trnka</w:t>
      </w:r>
    </w:p>
    <w:p w:rsidR="00F93849" w:rsidRPr="00F93849" w:rsidRDefault="00F93849" w:rsidP="00F93849">
      <w:pPr>
        <w:spacing w:after="0" w:line="360" w:lineRule="auto"/>
        <w:jc w:val="both"/>
        <w:rPr>
          <w:rFonts w:cs="Calibri"/>
          <w:i/>
          <w:sz w:val="24"/>
          <w:szCs w:val="24"/>
        </w:rPr>
      </w:pPr>
      <w:r w:rsidRPr="00F93849">
        <w:rPr>
          <w:rFonts w:cs="Calibri"/>
          <w:i/>
          <w:sz w:val="24"/>
          <w:szCs w:val="24"/>
        </w:rPr>
        <w:t xml:space="preserve">RNDr. Jan </w:t>
      </w:r>
      <w:proofErr w:type="spellStart"/>
      <w:r w:rsidRPr="00F93849">
        <w:rPr>
          <w:rFonts w:cs="Calibri"/>
          <w:i/>
          <w:sz w:val="24"/>
          <w:szCs w:val="24"/>
        </w:rPr>
        <w:t>Vozáb</w:t>
      </w:r>
      <w:proofErr w:type="spellEnd"/>
      <w:r w:rsidRPr="00F93849">
        <w:rPr>
          <w:rFonts w:cs="Calibri"/>
          <w:i/>
          <w:sz w:val="24"/>
          <w:szCs w:val="24"/>
        </w:rPr>
        <w:t>, Ph.D.</w:t>
      </w:r>
    </w:p>
    <w:p w:rsidR="00F93849" w:rsidRPr="00F93849" w:rsidRDefault="00F93849" w:rsidP="00F93849">
      <w:pPr>
        <w:spacing w:after="0" w:line="360" w:lineRule="auto"/>
        <w:jc w:val="both"/>
        <w:rPr>
          <w:rFonts w:cs="Calibri"/>
          <w:i/>
          <w:sz w:val="24"/>
          <w:szCs w:val="24"/>
        </w:rPr>
      </w:pPr>
      <w:r w:rsidRPr="00F93849">
        <w:rPr>
          <w:rFonts w:cs="Calibri"/>
          <w:i/>
          <w:sz w:val="24"/>
          <w:szCs w:val="24"/>
        </w:rPr>
        <w:t>Ing. Petr Zahradník</w:t>
      </w:r>
    </w:p>
    <w:p w:rsidR="00F93849" w:rsidRDefault="00F93849" w:rsidP="008870E9">
      <w:pPr>
        <w:jc w:val="both"/>
        <w:rPr>
          <w:rFonts w:cs="Calibri"/>
          <w:sz w:val="24"/>
          <w:szCs w:val="24"/>
        </w:rPr>
      </w:pPr>
    </w:p>
    <w:p w:rsidR="001E1060" w:rsidRPr="00312DD5" w:rsidRDefault="001E1060" w:rsidP="008870E9">
      <w:pPr>
        <w:jc w:val="both"/>
        <w:rPr>
          <w:rFonts w:cs="Calibri"/>
          <w:sz w:val="24"/>
          <w:szCs w:val="24"/>
        </w:rPr>
      </w:pPr>
      <w:r w:rsidRPr="00312DD5">
        <w:rPr>
          <w:rFonts w:cs="Calibri"/>
          <w:sz w:val="24"/>
          <w:szCs w:val="24"/>
        </w:rPr>
        <w:t>Tato pracovní komise</w:t>
      </w:r>
      <w:r w:rsidR="00BB6416">
        <w:rPr>
          <w:rFonts w:cs="Calibri"/>
          <w:sz w:val="24"/>
          <w:szCs w:val="24"/>
        </w:rPr>
        <w:t xml:space="preserve"> v souladu se Statutem Legislativní rady vlády</w:t>
      </w:r>
      <w:r w:rsidRPr="00312DD5">
        <w:rPr>
          <w:rFonts w:cs="Calibri"/>
          <w:sz w:val="24"/>
          <w:szCs w:val="24"/>
        </w:rPr>
        <w:t>:</w:t>
      </w:r>
    </w:p>
    <w:p w:rsidR="001E1060" w:rsidRPr="00A946FF" w:rsidRDefault="001E1060" w:rsidP="00A946FF">
      <w:pPr>
        <w:pStyle w:val="Odstavecseseznamem"/>
        <w:numPr>
          <w:ilvl w:val="0"/>
          <w:numId w:val="8"/>
        </w:numPr>
        <w:jc w:val="both"/>
        <w:rPr>
          <w:rFonts w:cs="Calibri"/>
          <w:sz w:val="24"/>
          <w:szCs w:val="24"/>
        </w:rPr>
      </w:pPr>
      <w:r w:rsidRPr="00A946FF">
        <w:rPr>
          <w:rFonts w:cs="Calibri"/>
          <w:sz w:val="24"/>
          <w:szCs w:val="24"/>
        </w:rPr>
        <w:t xml:space="preserve"> </w:t>
      </w:r>
      <w:r w:rsidR="006D31FD" w:rsidRPr="00A946FF">
        <w:rPr>
          <w:rFonts w:cs="Arial"/>
          <w:b/>
          <w:sz w:val="24"/>
          <w:szCs w:val="24"/>
        </w:rPr>
        <w:t xml:space="preserve">je oprávněna posuzovat kvalitu provedených </w:t>
      </w:r>
      <w:r w:rsidR="006D31FD" w:rsidRPr="00A946FF">
        <w:rPr>
          <w:rFonts w:cs="Calibri"/>
          <w:b/>
          <w:sz w:val="24"/>
          <w:szCs w:val="24"/>
        </w:rPr>
        <w:t>vyhodnocení dopadů navrhované regulace</w:t>
      </w:r>
      <w:r w:rsidR="006D31FD" w:rsidRPr="00A946FF">
        <w:rPr>
          <w:rFonts w:cs="Arial"/>
          <w:b/>
          <w:sz w:val="24"/>
          <w:szCs w:val="24"/>
        </w:rPr>
        <w:t xml:space="preserve"> (RIA) </w:t>
      </w:r>
      <w:r w:rsidR="006D31FD" w:rsidRPr="00A946FF">
        <w:rPr>
          <w:rFonts w:cs="Calibri"/>
          <w:sz w:val="24"/>
          <w:szCs w:val="24"/>
        </w:rPr>
        <w:t xml:space="preserve">zpracovávaných do podoby </w:t>
      </w:r>
      <w:r w:rsidR="006A20CF" w:rsidRPr="00A946FF">
        <w:rPr>
          <w:rFonts w:cs="Calibri"/>
          <w:sz w:val="24"/>
          <w:szCs w:val="24"/>
        </w:rPr>
        <w:t xml:space="preserve">závěrečných </w:t>
      </w:r>
      <w:r w:rsidR="006D31FD" w:rsidRPr="00A946FF">
        <w:rPr>
          <w:rFonts w:cs="Calibri"/>
          <w:sz w:val="24"/>
          <w:szCs w:val="24"/>
        </w:rPr>
        <w:t>zpráv RIA v souladu s Obecnými zásadami pro hodnocení dopadů regulace (</w:t>
      </w:r>
      <w:proofErr w:type="gramStart"/>
      <w:r w:rsidR="006D31FD" w:rsidRPr="00A946FF">
        <w:rPr>
          <w:rFonts w:cs="Calibri"/>
          <w:sz w:val="24"/>
          <w:szCs w:val="24"/>
        </w:rPr>
        <w:t>RIA) (dále</w:t>
      </w:r>
      <w:proofErr w:type="gramEnd"/>
      <w:r w:rsidR="006D31FD" w:rsidRPr="00A946FF">
        <w:rPr>
          <w:rFonts w:cs="Calibri"/>
          <w:sz w:val="24"/>
          <w:szCs w:val="24"/>
        </w:rPr>
        <w:t xml:space="preserve"> jen „Obecné zásady“) schválenými usnesením vlády ze dne 14. prosince 2011 č. 922</w:t>
      </w:r>
      <w:r w:rsidR="00930DD6" w:rsidRPr="00A946FF">
        <w:rPr>
          <w:rFonts w:cs="Calibri"/>
          <w:sz w:val="24"/>
          <w:szCs w:val="24"/>
        </w:rPr>
        <w:t>,</w:t>
      </w:r>
      <w:r w:rsidR="005D2CB7" w:rsidRPr="00A946FF">
        <w:rPr>
          <w:rFonts w:cs="Calibri"/>
          <w:sz w:val="24"/>
          <w:szCs w:val="24"/>
        </w:rPr>
        <w:t xml:space="preserve"> </w:t>
      </w:r>
      <w:r w:rsidR="006D31FD" w:rsidRPr="00A946FF">
        <w:rPr>
          <w:rFonts w:cs="Calibri"/>
          <w:sz w:val="24"/>
          <w:szCs w:val="24"/>
        </w:rPr>
        <w:t xml:space="preserve">novelizovanými usnesením </w:t>
      </w:r>
      <w:r w:rsidR="00930DD6" w:rsidRPr="00A946FF">
        <w:rPr>
          <w:rFonts w:cs="Calibri"/>
          <w:sz w:val="24"/>
          <w:szCs w:val="24"/>
        </w:rPr>
        <w:t xml:space="preserve">vlády </w:t>
      </w:r>
      <w:r w:rsidR="006D31FD" w:rsidRPr="00A946FF">
        <w:rPr>
          <w:rFonts w:cs="Calibri"/>
          <w:sz w:val="24"/>
          <w:szCs w:val="24"/>
        </w:rPr>
        <w:t>ze dne 8. ledna 2014 č.</w:t>
      </w:r>
      <w:r w:rsidR="005D5722" w:rsidRPr="00A946FF">
        <w:rPr>
          <w:rFonts w:cs="Calibri"/>
          <w:sz w:val="24"/>
          <w:szCs w:val="24"/>
        </w:rPr>
        <w:t> </w:t>
      </w:r>
      <w:r w:rsidR="006D31FD" w:rsidRPr="00A946FF">
        <w:rPr>
          <w:rFonts w:cs="Calibri"/>
          <w:sz w:val="24"/>
          <w:szCs w:val="24"/>
        </w:rPr>
        <w:t>26</w:t>
      </w:r>
      <w:r w:rsidR="006D31FD" w:rsidRPr="00312DD5">
        <w:rPr>
          <w:rStyle w:val="Znakapoznpodarou"/>
          <w:rFonts w:cs="Calibri"/>
          <w:sz w:val="24"/>
          <w:szCs w:val="24"/>
        </w:rPr>
        <w:footnoteReference w:id="1"/>
      </w:r>
      <w:r w:rsidR="006D31FD" w:rsidRPr="00A946FF">
        <w:rPr>
          <w:rFonts w:cs="Arial"/>
          <w:sz w:val="24"/>
          <w:szCs w:val="24"/>
        </w:rPr>
        <w:t>, ke kterým zpracovává stanovisko</w:t>
      </w:r>
      <w:r w:rsidRPr="00A946FF">
        <w:rPr>
          <w:rFonts w:cs="Calibri"/>
          <w:sz w:val="24"/>
          <w:szCs w:val="24"/>
        </w:rPr>
        <w:t xml:space="preserve">; </w:t>
      </w:r>
    </w:p>
    <w:p w:rsidR="001E1060" w:rsidRPr="00A946FF" w:rsidRDefault="001E1060" w:rsidP="00A946FF">
      <w:pPr>
        <w:pStyle w:val="Odstavecseseznamem"/>
        <w:numPr>
          <w:ilvl w:val="0"/>
          <w:numId w:val="8"/>
        </w:numPr>
        <w:jc w:val="both"/>
        <w:rPr>
          <w:rFonts w:cs="Calibri"/>
          <w:sz w:val="24"/>
          <w:szCs w:val="24"/>
        </w:rPr>
      </w:pPr>
      <w:r w:rsidRPr="00A946FF">
        <w:rPr>
          <w:rFonts w:cs="Calibri"/>
          <w:b/>
          <w:sz w:val="24"/>
          <w:szCs w:val="24"/>
        </w:rPr>
        <w:t xml:space="preserve">v rámci posuzování návrhu Plánu legislativních prací </w:t>
      </w:r>
      <w:r w:rsidR="002541AF">
        <w:rPr>
          <w:rFonts w:cs="Calibri"/>
          <w:b/>
          <w:sz w:val="24"/>
          <w:szCs w:val="24"/>
        </w:rPr>
        <w:t xml:space="preserve">vlády </w:t>
      </w:r>
      <w:r w:rsidR="0034429C" w:rsidRPr="00A946FF">
        <w:rPr>
          <w:rFonts w:cs="Calibri"/>
          <w:b/>
          <w:sz w:val="24"/>
          <w:szCs w:val="24"/>
        </w:rPr>
        <w:t xml:space="preserve">a u Plánu vyhlášek </w:t>
      </w:r>
      <w:r w:rsidR="006D31FD" w:rsidRPr="00A946FF">
        <w:rPr>
          <w:rFonts w:cs="Arial"/>
          <w:b/>
          <w:sz w:val="24"/>
          <w:szCs w:val="24"/>
        </w:rPr>
        <w:t>na základě zpracovaného přehledu dopadů doporučuje zpracování, nebo nezpracování RIA</w:t>
      </w:r>
      <w:r w:rsidR="0034429C" w:rsidRPr="00A946FF">
        <w:rPr>
          <w:rFonts w:cs="Arial"/>
          <w:b/>
          <w:sz w:val="24"/>
          <w:szCs w:val="24"/>
        </w:rPr>
        <w:t xml:space="preserve"> u návrhů právních předpisů</w:t>
      </w:r>
      <w:r w:rsidRPr="00A946FF">
        <w:rPr>
          <w:rFonts w:cs="Calibri"/>
          <w:sz w:val="24"/>
          <w:szCs w:val="24"/>
        </w:rPr>
        <w:t>;</w:t>
      </w:r>
    </w:p>
    <w:p w:rsidR="001E1060" w:rsidRPr="00A946FF" w:rsidRDefault="006D31FD" w:rsidP="00A946FF">
      <w:pPr>
        <w:pStyle w:val="Odstavecseseznamem"/>
        <w:numPr>
          <w:ilvl w:val="0"/>
          <w:numId w:val="8"/>
        </w:numPr>
        <w:jc w:val="both"/>
        <w:rPr>
          <w:rFonts w:cs="Calibri"/>
          <w:sz w:val="24"/>
          <w:szCs w:val="24"/>
        </w:rPr>
      </w:pPr>
      <w:r w:rsidRPr="00A946FF">
        <w:rPr>
          <w:rFonts w:cs="Arial"/>
          <w:b/>
          <w:sz w:val="24"/>
          <w:szCs w:val="24"/>
        </w:rPr>
        <w:t>je oprávněna provádět konzultace k </w:t>
      </w:r>
      <w:proofErr w:type="gramStart"/>
      <w:r w:rsidRPr="00A946FF">
        <w:rPr>
          <w:rFonts w:cs="Arial"/>
          <w:b/>
          <w:sz w:val="24"/>
          <w:szCs w:val="24"/>
        </w:rPr>
        <w:t>RIA</w:t>
      </w:r>
      <w:proofErr w:type="gramEnd"/>
      <w:r w:rsidRPr="00A946FF">
        <w:rPr>
          <w:rFonts w:cs="Arial"/>
          <w:b/>
          <w:sz w:val="24"/>
          <w:szCs w:val="24"/>
        </w:rPr>
        <w:t xml:space="preserve"> </w:t>
      </w:r>
      <w:r w:rsidR="0034429C" w:rsidRPr="00A946FF">
        <w:rPr>
          <w:rFonts w:cs="Arial"/>
          <w:b/>
          <w:sz w:val="24"/>
          <w:szCs w:val="24"/>
        </w:rPr>
        <w:t xml:space="preserve">s předkladateli </w:t>
      </w:r>
      <w:r w:rsidRPr="00A946FF">
        <w:rPr>
          <w:rFonts w:cs="Arial"/>
          <w:b/>
          <w:sz w:val="24"/>
          <w:szCs w:val="24"/>
        </w:rPr>
        <w:t>v průběhu jejího zpracování</w:t>
      </w:r>
      <w:r w:rsidR="001E1060" w:rsidRPr="00A946FF">
        <w:rPr>
          <w:rFonts w:cs="Calibri"/>
          <w:sz w:val="24"/>
          <w:szCs w:val="24"/>
        </w:rPr>
        <w:t>.</w:t>
      </w:r>
    </w:p>
    <w:p w:rsidR="001E1060" w:rsidRPr="00312DD5" w:rsidRDefault="001E1060" w:rsidP="008870E9">
      <w:pPr>
        <w:jc w:val="both"/>
        <w:rPr>
          <w:rFonts w:cs="Calibri"/>
          <w:sz w:val="24"/>
          <w:szCs w:val="24"/>
        </w:rPr>
      </w:pPr>
      <w:r w:rsidRPr="00312DD5">
        <w:rPr>
          <w:rFonts w:cs="Calibri"/>
          <w:sz w:val="24"/>
          <w:szCs w:val="24"/>
        </w:rPr>
        <w:t xml:space="preserve">Zapojení Komise RIA do legislativního procesu je znázorněno v níže uvedeném </w:t>
      </w:r>
      <w:r w:rsidR="006A20CF">
        <w:rPr>
          <w:rFonts w:cs="Calibri"/>
          <w:sz w:val="24"/>
          <w:szCs w:val="24"/>
        </w:rPr>
        <w:t>schématu</w:t>
      </w:r>
      <w:r w:rsidRPr="00312DD5">
        <w:rPr>
          <w:rFonts w:cs="Calibri"/>
          <w:sz w:val="24"/>
          <w:szCs w:val="24"/>
        </w:rPr>
        <w:t>.</w:t>
      </w:r>
    </w:p>
    <w:p w:rsidR="001E1060" w:rsidRPr="00312DD5" w:rsidRDefault="00642CA9" w:rsidP="008870E9">
      <w:pPr>
        <w:jc w:val="both"/>
        <w:rPr>
          <w:rFonts w:cs="Calibri"/>
          <w:b/>
          <w:i/>
          <w:sz w:val="24"/>
          <w:szCs w:val="24"/>
        </w:rPr>
      </w:pPr>
      <w:r>
        <w:rPr>
          <w:rFonts w:cs="Calibri"/>
          <w:b/>
          <w:i/>
          <w:sz w:val="24"/>
          <w:szCs w:val="24"/>
        </w:rPr>
        <w:lastRenderedPageBreak/>
        <w:t>Schéma</w:t>
      </w:r>
      <w:r w:rsidR="006A20CF" w:rsidRPr="00312DD5">
        <w:rPr>
          <w:rFonts w:cs="Calibri"/>
          <w:b/>
          <w:i/>
          <w:sz w:val="24"/>
          <w:szCs w:val="24"/>
        </w:rPr>
        <w:t xml:space="preserve">: </w:t>
      </w:r>
      <w:r w:rsidR="005D5722">
        <w:rPr>
          <w:rFonts w:cs="Calibri"/>
          <w:b/>
          <w:i/>
          <w:sz w:val="24"/>
          <w:szCs w:val="24"/>
        </w:rPr>
        <w:t>Z</w:t>
      </w:r>
      <w:r w:rsidR="001E1060" w:rsidRPr="00312DD5">
        <w:rPr>
          <w:rFonts w:cs="Calibri"/>
          <w:b/>
          <w:i/>
          <w:sz w:val="24"/>
          <w:szCs w:val="24"/>
        </w:rPr>
        <w:t xml:space="preserve">apojení Komise RIA do legislativního procesu v ČR </w:t>
      </w:r>
    </w:p>
    <w:p w:rsidR="001E1060" w:rsidRDefault="00D32943" w:rsidP="001E1060">
      <w:pPr>
        <w:jc w:val="both"/>
        <w:rPr>
          <w:noProof/>
        </w:rPr>
      </w:pPr>
      <w:r>
        <w:rPr>
          <w:noProof/>
        </w:rPr>
        <mc:AlternateContent>
          <mc:Choice Requires="wps">
            <w:drawing>
              <wp:anchor distT="0" distB="0" distL="114300" distR="114300" simplePos="0" relativeHeight="251656704" behindDoc="0" locked="0" layoutInCell="1" allowOverlap="1" wp14:anchorId="68C47B6D" wp14:editId="54BFF703">
                <wp:simplePos x="0" y="0"/>
                <wp:positionH relativeFrom="column">
                  <wp:posOffset>2141220</wp:posOffset>
                </wp:positionH>
                <wp:positionV relativeFrom="paragraph">
                  <wp:posOffset>1263650</wp:posOffset>
                </wp:positionV>
                <wp:extent cx="1679575" cy="733425"/>
                <wp:effectExtent l="0" t="552450" r="15875" b="28575"/>
                <wp:wrapNone/>
                <wp:docPr id="16" name="Obdélníkový popis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733425"/>
                        </a:xfrm>
                        <a:prstGeom prst="wedgeRectCallout">
                          <a:avLst>
                            <a:gd name="adj1" fmla="val 13819"/>
                            <a:gd name="adj2" fmla="val -122468"/>
                          </a:avLst>
                        </a:prstGeom>
                        <a:noFill/>
                        <a:ln w="9525">
                          <a:solidFill>
                            <a:srgbClr val="7030A0"/>
                          </a:solidFill>
                          <a:round/>
                          <a:headEnd/>
                          <a:tailEnd/>
                        </a:ln>
                        <a:extLst>
                          <a:ext uri="{909E8E84-426E-40DD-AFC4-6F175D3DCCD1}">
                            <a14:hiddenFill xmlns:a14="http://schemas.microsoft.com/office/drawing/2010/main">
                              <a:solidFill>
                                <a:srgbClr val="FFFFFF"/>
                              </a:solidFill>
                            </a14:hiddenFill>
                          </a:ext>
                        </a:extLst>
                      </wps:spPr>
                      <wps:txbx>
                        <w:txbxContent>
                          <w:p w:rsidR="002C2DDE" w:rsidRPr="00F51FA3" w:rsidRDefault="002C2DDE" w:rsidP="001E1060">
                            <w:pPr>
                              <w:pStyle w:val="Normlnweb"/>
                              <w:kinsoku w:val="0"/>
                              <w:overflowPunct w:val="0"/>
                              <w:spacing w:before="0" w:beforeAutospacing="0" w:after="0" w:afterAutospacing="0"/>
                              <w:textAlignment w:val="baseline"/>
                              <w:rPr>
                                <w:rFonts w:ascii="Calibri" w:hAnsi="Calibri" w:cs="Calibri"/>
                                <w:b/>
                                <w:color w:val="5F497A"/>
                                <w:sz w:val="18"/>
                                <w:szCs w:val="18"/>
                              </w:rPr>
                            </w:pPr>
                            <w:r w:rsidRPr="00F51FA3">
                              <w:rPr>
                                <w:rFonts w:ascii="Calibri" w:eastAsia="MS PGothic" w:hAnsi="Calibri" w:cs="Calibri"/>
                                <w:b/>
                                <w:color w:val="5F497A"/>
                                <w:kern w:val="24"/>
                                <w:sz w:val="18"/>
                                <w:szCs w:val="18"/>
                              </w:rPr>
                              <w:t>Komise navrhuje, u kterých legislativních návrhů má být provedeno hodnocení dopadů regulace (viz bod</w:t>
                            </w:r>
                            <w:r>
                              <w:rPr>
                                <w:rFonts w:ascii="Calibri" w:eastAsia="MS PGothic" w:hAnsi="Calibri" w:cs="Calibri"/>
                                <w:b/>
                                <w:color w:val="5F497A"/>
                                <w:kern w:val="24"/>
                                <w:sz w:val="18"/>
                                <w:szCs w:val="18"/>
                              </w:rPr>
                              <w:t xml:space="preserve"> č.</w:t>
                            </w:r>
                            <w:r w:rsidRPr="00F51FA3">
                              <w:rPr>
                                <w:rFonts w:ascii="Calibri" w:eastAsia="MS PGothic" w:hAnsi="Calibri" w:cs="Calibri"/>
                                <w:b/>
                                <w:color w:val="5F497A"/>
                                <w:kern w:val="24"/>
                                <w:sz w:val="18"/>
                                <w:szCs w:val="18"/>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Obdélníkový popisek 13" o:spid="_x0000_s1026" type="#_x0000_t61" style="position:absolute;left:0;text-align:left;margin-left:168.6pt;margin-top:99.5pt;width:132.25pt;height:5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" adj="13785,-15653" filled="f" strokecolor="#7030a0">
                <v:stroke joinstyle="round"/>
                <v:textbox>
                  <w:txbxContent>
                    <w:p w:rsidR="002C2DDE" w:rsidRPr="00F51FA3" w:rsidRDefault="002C2DDE" w:rsidP="001E1060">
                      <w:pPr>
                        <w:pStyle w:val="Normlnweb"/>
                        <w:kinsoku w:val="0"/>
                        <w:overflowPunct w:val="0"/>
                        <w:spacing w:before="0" w:beforeAutospacing="0" w:after="0" w:afterAutospacing="0"/>
                        <w:textAlignment w:val="baseline"/>
                        <w:rPr>
                          <w:rFonts w:ascii="Calibri" w:hAnsi="Calibri" w:cs="Calibri"/>
                          <w:b/>
                          <w:color w:val="5F497A"/>
                          <w:sz w:val="18"/>
                          <w:szCs w:val="18"/>
                        </w:rPr>
                      </w:pPr>
                      <w:r w:rsidRPr="00F51FA3">
                        <w:rPr>
                          <w:rFonts w:ascii="Calibri" w:eastAsia="MS PGothic" w:hAnsi="Calibri" w:cs="Calibri"/>
                          <w:b/>
                          <w:color w:val="5F497A"/>
                          <w:kern w:val="24"/>
                          <w:sz w:val="18"/>
                          <w:szCs w:val="18"/>
                        </w:rPr>
                        <w:t>Komise navrhuje, u kterých legislativních návrhů má být provedeno hodnocení dopadů regulace (viz bod</w:t>
                      </w:r>
                      <w:r>
                        <w:rPr>
                          <w:rFonts w:ascii="Calibri" w:eastAsia="MS PGothic" w:hAnsi="Calibri" w:cs="Calibri"/>
                          <w:b/>
                          <w:color w:val="5F497A"/>
                          <w:kern w:val="24"/>
                          <w:sz w:val="18"/>
                          <w:szCs w:val="18"/>
                        </w:rPr>
                        <w:t xml:space="preserve"> č.</w:t>
                      </w:r>
                      <w:r w:rsidRPr="00F51FA3">
                        <w:rPr>
                          <w:rFonts w:ascii="Calibri" w:eastAsia="MS PGothic" w:hAnsi="Calibri" w:cs="Calibri"/>
                          <w:b/>
                          <w:color w:val="5F497A"/>
                          <w:kern w:val="24"/>
                          <w:sz w:val="18"/>
                          <w:szCs w:val="18"/>
                        </w:rPr>
                        <w:t xml:space="preserve"> 2)</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637415F0" wp14:editId="777A8EF2">
                <wp:simplePos x="0" y="0"/>
                <wp:positionH relativeFrom="column">
                  <wp:posOffset>2141220</wp:posOffset>
                </wp:positionH>
                <wp:positionV relativeFrom="paragraph">
                  <wp:posOffset>2060575</wp:posOffset>
                </wp:positionV>
                <wp:extent cx="1679575" cy="914400"/>
                <wp:effectExtent l="0" t="0" r="701675" b="19050"/>
                <wp:wrapNone/>
                <wp:docPr id="15" name="Obdélníkový popis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914400"/>
                        </a:xfrm>
                        <a:prstGeom prst="wedgeRectCallout">
                          <a:avLst>
                            <a:gd name="adj1" fmla="val 90528"/>
                            <a:gd name="adj2" fmla="val -8889"/>
                          </a:avLst>
                        </a:prstGeom>
                        <a:noFill/>
                        <a:ln w="9525">
                          <a:solidFill>
                            <a:srgbClr val="7030A0"/>
                          </a:solidFill>
                          <a:round/>
                          <a:headEnd/>
                          <a:tailEnd/>
                        </a:ln>
                        <a:extLst>
                          <a:ext uri="{909E8E84-426E-40DD-AFC4-6F175D3DCCD1}">
                            <a14:hiddenFill xmlns:a14="http://schemas.microsoft.com/office/drawing/2010/main">
                              <a:solidFill>
                                <a:srgbClr val="FFFFFF"/>
                              </a:solidFill>
                            </a14:hiddenFill>
                          </a:ext>
                        </a:extLst>
                      </wps:spPr>
                      <wps:txbx>
                        <w:txbxContent>
                          <w:p w:rsidR="002C2DDE" w:rsidRPr="00F51FA3" w:rsidRDefault="002C2DDE" w:rsidP="001E1060">
                            <w:pPr>
                              <w:pStyle w:val="Normlnweb"/>
                              <w:kinsoku w:val="0"/>
                              <w:overflowPunct w:val="0"/>
                              <w:spacing w:before="0" w:beforeAutospacing="0" w:after="0" w:afterAutospacing="0"/>
                              <w:textAlignment w:val="baseline"/>
                              <w:rPr>
                                <w:rFonts w:ascii="Calibri" w:eastAsia="MS PGothic" w:hAnsi="Calibri" w:cs="Calibri"/>
                                <w:b/>
                                <w:color w:val="5F497A"/>
                                <w:kern w:val="24"/>
                                <w:sz w:val="20"/>
                                <w:szCs w:val="20"/>
                              </w:rPr>
                            </w:pPr>
                            <w:r w:rsidRPr="00F51FA3">
                              <w:rPr>
                                <w:rFonts w:ascii="Calibri" w:eastAsia="MS PGothic" w:hAnsi="Calibri" w:cs="Calibri"/>
                                <w:b/>
                                <w:color w:val="5F497A"/>
                                <w:kern w:val="24"/>
                                <w:sz w:val="18"/>
                                <w:szCs w:val="18"/>
                              </w:rPr>
                              <w:t>Komise poskytuje konzultace zpracovatelům RIA k metodickým otázkám ve spolupráci s oddělením koordinace procesu RIA (viz bod</w:t>
                            </w:r>
                            <w:r>
                              <w:rPr>
                                <w:rFonts w:ascii="Calibri" w:eastAsia="MS PGothic" w:hAnsi="Calibri" w:cs="Calibri"/>
                                <w:b/>
                                <w:color w:val="5F497A"/>
                                <w:kern w:val="24"/>
                                <w:sz w:val="18"/>
                                <w:szCs w:val="18"/>
                              </w:rPr>
                              <w:t xml:space="preserve"> </w:t>
                            </w:r>
                            <w:r w:rsidRPr="00F51FA3">
                              <w:rPr>
                                <w:rFonts w:ascii="Calibri" w:eastAsia="MS PGothic" w:hAnsi="Calibri" w:cs="Calibri"/>
                                <w:b/>
                                <w:color w:val="5F497A"/>
                                <w:kern w:val="24"/>
                                <w:sz w:val="18"/>
                                <w:szCs w:val="18"/>
                              </w:rPr>
                              <w:t>č.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bdélníkový popisek 12" o:spid="_x0000_s1027" type="#_x0000_t61" style="position:absolute;left:0;text-align:left;margin-left:168.6pt;margin-top:162.25pt;width:132.2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" adj="30354,8880" filled="f" strokecolor="#7030a0">
                <v:stroke joinstyle="round"/>
                <v:textbox>
                  <w:txbxContent>
                    <w:p w:rsidR="002C2DDE" w:rsidRPr="00F51FA3" w:rsidRDefault="002C2DDE" w:rsidP="001E1060">
                      <w:pPr>
                        <w:pStyle w:val="Normlnweb"/>
                        <w:kinsoku w:val="0"/>
                        <w:overflowPunct w:val="0"/>
                        <w:spacing w:before="0" w:beforeAutospacing="0" w:after="0" w:afterAutospacing="0"/>
                        <w:textAlignment w:val="baseline"/>
                        <w:rPr>
                          <w:rFonts w:ascii="Calibri" w:eastAsia="MS PGothic" w:hAnsi="Calibri" w:cs="Calibri"/>
                          <w:b/>
                          <w:color w:val="5F497A"/>
                          <w:kern w:val="24"/>
                          <w:sz w:val="20"/>
                          <w:szCs w:val="20"/>
                        </w:rPr>
                      </w:pPr>
                      <w:r w:rsidRPr="00F51FA3">
                        <w:rPr>
                          <w:rFonts w:ascii="Calibri" w:eastAsia="MS PGothic" w:hAnsi="Calibri" w:cs="Calibri"/>
                          <w:b/>
                          <w:color w:val="5F497A"/>
                          <w:kern w:val="24"/>
                          <w:sz w:val="18"/>
                          <w:szCs w:val="18"/>
                        </w:rPr>
                        <w:t>Komise poskytuje konzultace zpracovatelům RIA k metodickým otázkám ve spolupráci s oddělením koordinace procesu RIA (viz bod</w:t>
                      </w:r>
                      <w:r>
                        <w:rPr>
                          <w:rFonts w:ascii="Calibri" w:eastAsia="MS PGothic" w:hAnsi="Calibri" w:cs="Calibri"/>
                          <w:b/>
                          <w:color w:val="5F497A"/>
                          <w:kern w:val="24"/>
                          <w:sz w:val="18"/>
                          <w:szCs w:val="18"/>
                        </w:rPr>
                        <w:t xml:space="preserve"> </w:t>
                      </w:r>
                      <w:r w:rsidRPr="00F51FA3">
                        <w:rPr>
                          <w:rFonts w:ascii="Calibri" w:eastAsia="MS PGothic" w:hAnsi="Calibri" w:cs="Calibri"/>
                          <w:b/>
                          <w:color w:val="5F497A"/>
                          <w:kern w:val="24"/>
                          <w:sz w:val="18"/>
                          <w:szCs w:val="18"/>
                        </w:rPr>
                        <w:t>č. 3)</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33CAD64C" wp14:editId="078BE92B">
                <wp:simplePos x="0" y="0"/>
                <wp:positionH relativeFrom="column">
                  <wp:posOffset>2141220</wp:posOffset>
                </wp:positionH>
                <wp:positionV relativeFrom="paragraph">
                  <wp:posOffset>3049905</wp:posOffset>
                </wp:positionV>
                <wp:extent cx="1679575" cy="914400"/>
                <wp:effectExtent l="0" t="0" r="15875" b="533400"/>
                <wp:wrapNone/>
                <wp:docPr id="14" name="Obdélníkový popise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914400"/>
                        </a:xfrm>
                        <a:prstGeom prst="wedgeRectCallout">
                          <a:avLst>
                            <a:gd name="adj1" fmla="val 19412"/>
                            <a:gd name="adj2" fmla="val 105833"/>
                          </a:avLst>
                        </a:prstGeom>
                        <a:noFill/>
                        <a:ln w="9525">
                          <a:solidFill>
                            <a:srgbClr val="7030A0"/>
                          </a:solidFill>
                          <a:round/>
                          <a:headEnd/>
                          <a:tailEnd/>
                        </a:ln>
                        <a:extLst>
                          <a:ext uri="{909E8E84-426E-40DD-AFC4-6F175D3DCCD1}">
                            <a14:hiddenFill xmlns:a14="http://schemas.microsoft.com/office/drawing/2010/main">
                              <a:solidFill>
                                <a:srgbClr val="FFFFFF"/>
                              </a:solidFill>
                            </a14:hiddenFill>
                          </a:ext>
                        </a:extLst>
                      </wps:spPr>
                      <wps:txbx>
                        <w:txbxContent>
                          <w:p w:rsidR="002C2DDE" w:rsidRPr="00F51FA3" w:rsidRDefault="002C2DDE" w:rsidP="001E1060">
                            <w:pPr>
                              <w:pStyle w:val="Normlnweb"/>
                              <w:kinsoku w:val="0"/>
                              <w:overflowPunct w:val="0"/>
                              <w:spacing w:before="0" w:beforeAutospacing="0" w:after="0" w:afterAutospacing="0"/>
                              <w:textAlignment w:val="baseline"/>
                              <w:rPr>
                                <w:rFonts w:ascii="Calibri" w:eastAsia="MS PGothic" w:hAnsi="Calibri" w:cs="Calibri"/>
                                <w:b/>
                                <w:color w:val="5F497A"/>
                                <w:kern w:val="24"/>
                                <w:sz w:val="18"/>
                                <w:szCs w:val="18"/>
                              </w:rPr>
                            </w:pPr>
                            <w:r w:rsidRPr="00F51FA3">
                              <w:rPr>
                                <w:rFonts w:ascii="Calibri" w:eastAsia="MS PGothic" w:hAnsi="Calibri" w:cs="Calibri"/>
                                <w:b/>
                                <w:color w:val="5F497A"/>
                                <w:kern w:val="24"/>
                                <w:sz w:val="18"/>
                                <w:szCs w:val="18"/>
                              </w:rPr>
                              <w:t>Komise přezkoumává kvalitu RIA po v</w:t>
                            </w:r>
                            <w:r>
                              <w:rPr>
                                <w:rFonts w:ascii="Calibri" w:eastAsia="MS PGothic" w:hAnsi="Calibri" w:cs="Calibri"/>
                                <w:b/>
                                <w:color w:val="5F497A"/>
                                <w:kern w:val="24"/>
                                <w:sz w:val="18"/>
                                <w:szCs w:val="18"/>
                              </w:rPr>
                              <w:t>ěcné stránce; pokud předložená Z</w:t>
                            </w:r>
                            <w:r w:rsidRPr="00F51FA3">
                              <w:rPr>
                                <w:rFonts w:ascii="Calibri" w:eastAsia="MS PGothic" w:hAnsi="Calibri" w:cs="Calibri"/>
                                <w:b/>
                                <w:color w:val="5F497A"/>
                                <w:kern w:val="24"/>
                                <w:sz w:val="18"/>
                                <w:szCs w:val="18"/>
                              </w:rPr>
                              <w:t xml:space="preserve">ávěrečná zpráva RIA není akceptovatelná, je vyžadováno její dopracování (viz bod č. 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bdélníkový popisek 11" o:spid="_x0000_s1028" type="#_x0000_t61" style="position:absolute;left:0;text-align:left;margin-left:168.6pt;margin-top:240.15pt;width:132.25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" adj="14993,33660" filled="f" strokecolor="#7030a0">
                <v:stroke joinstyle="round"/>
                <v:textbox>
                  <w:txbxContent>
                    <w:p w:rsidR="002C2DDE" w:rsidRPr="00F51FA3" w:rsidRDefault="002C2DDE" w:rsidP="001E1060">
                      <w:pPr>
                        <w:pStyle w:val="Normlnweb"/>
                        <w:kinsoku w:val="0"/>
                        <w:overflowPunct w:val="0"/>
                        <w:spacing w:before="0" w:beforeAutospacing="0" w:after="0" w:afterAutospacing="0"/>
                        <w:textAlignment w:val="baseline"/>
                        <w:rPr>
                          <w:rFonts w:ascii="Calibri" w:eastAsia="MS PGothic" w:hAnsi="Calibri" w:cs="Calibri"/>
                          <w:b/>
                          <w:color w:val="5F497A"/>
                          <w:kern w:val="24"/>
                          <w:sz w:val="18"/>
                          <w:szCs w:val="18"/>
                        </w:rPr>
                      </w:pPr>
                      <w:r w:rsidRPr="00F51FA3">
                        <w:rPr>
                          <w:rFonts w:ascii="Calibri" w:eastAsia="MS PGothic" w:hAnsi="Calibri" w:cs="Calibri"/>
                          <w:b/>
                          <w:color w:val="5F497A"/>
                          <w:kern w:val="24"/>
                          <w:sz w:val="18"/>
                          <w:szCs w:val="18"/>
                        </w:rPr>
                        <w:t>Komise přezkoumává kvalitu RIA po v</w:t>
                      </w:r>
                      <w:r>
                        <w:rPr>
                          <w:rFonts w:ascii="Calibri" w:eastAsia="MS PGothic" w:hAnsi="Calibri" w:cs="Calibri"/>
                          <w:b/>
                          <w:color w:val="5F497A"/>
                          <w:kern w:val="24"/>
                          <w:sz w:val="18"/>
                          <w:szCs w:val="18"/>
                        </w:rPr>
                        <w:t>ěcné stránce; pokud předložená Z</w:t>
                      </w:r>
                      <w:r w:rsidRPr="00F51FA3">
                        <w:rPr>
                          <w:rFonts w:ascii="Calibri" w:eastAsia="MS PGothic" w:hAnsi="Calibri" w:cs="Calibri"/>
                          <w:b/>
                          <w:color w:val="5F497A"/>
                          <w:kern w:val="24"/>
                          <w:sz w:val="18"/>
                          <w:szCs w:val="18"/>
                        </w:rPr>
                        <w:t xml:space="preserve">ávěrečná zpráva RIA není akceptovatelná, je vyžadováno její dopracování (viz bod č. 1) </w:t>
                      </w:r>
                    </w:p>
                  </w:txbxContent>
                </v:textbox>
              </v:shape>
            </w:pict>
          </mc:Fallback>
        </mc:AlternateContent>
      </w:r>
      <w:r w:rsidR="001E1060" w:rsidRPr="00850A36">
        <w:rPr>
          <w:noProof/>
        </w:rPr>
        <w:t xml:space="preserve"> </w:t>
      </w:r>
      <w:r>
        <w:rPr>
          <w:rFonts w:cs="Calibri"/>
          <w:noProof/>
          <w:sz w:val="20"/>
          <w:szCs w:val="20"/>
        </w:rPr>
        <w:drawing>
          <wp:inline distT="0" distB="0" distL="0" distR="0" wp14:anchorId="1D7CDC02" wp14:editId="5A10F3D8">
            <wp:extent cx="5885815" cy="4733290"/>
            <wp:effectExtent l="0" t="57150" r="0" b="124460"/>
            <wp:docPr id="9" name="Diagram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E1060" w:rsidRPr="00312DD5" w:rsidRDefault="006A20CF" w:rsidP="001E1060">
      <w:pPr>
        <w:jc w:val="both"/>
        <w:rPr>
          <w:rFonts w:cs="Calibri"/>
          <w:sz w:val="24"/>
          <w:szCs w:val="24"/>
        </w:rPr>
      </w:pPr>
      <w:r>
        <w:rPr>
          <w:rFonts w:cs="Calibri"/>
          <w:sz w:val="24"/>
          <w:szCs w:val="24"/>
        </w:rPr>
        <w:t>S</w:t>
      </w:r>
      <w:r w:rsidR="001E1060" w:rsidRPr="00312DD5">
        <w:rPr>
          <w:rFonts w:cs="Calibri"/>
          <w:sz w:val="24"/>
          <w:szCs w:val="24"/>
        </w:rPr>
        <w:t xml:space="preserve">oučasně je potřeba podotknout, že Komise RIA se nezabývá všemi návrhy právních předpisů předkládaných vládě, ale posuzuje pouze ty návrhy, u kterých bylo zpracováno hodnocení dopadů regulace v souladu s Plánem legislativních prací </w:t>
      </w:r>
      <w:r w:rsidR="002541AF">
        <w:rPr>
          <w:rFonts w:cs="Calibri"/>
          <w:sz w:val="24"/>
          <w:szCs w:val="24"/>
        </w:rPr>
        <w:t xml:space="preserve">vlády </w:t>
      </w:r>
      <w:r w:rsidR="001E1060" w:rsidRPr="00312DD5">
        <w:rPr>
          <w:rFonts w:cs="Calibri"/>
          <w:sz w:val="24"/>
          <w:szCs w:val="24"/>
        </w:rPr>
        <w:t>na rok 201</w:t>
      </w:r>
      <w:r w:rsidR="001772F5" w:rsidRPr="00312DD5">
        <w:rPr>
          <w:rFonts w:cs="Calibri"/>
          <w:sz w:val="24"/>
          <w:szCs w:val="24"/>
        </w:rPr>
        <w:t>3</w:t>
      </w:r>
      <w:r w:rsidR="005D2CB7">
        <w:rPr>
          <w:rFonts w:cs="Calibri"/>
          <w:sz w:val="24"/>
          <w:szCs w:val="24"/>
        </w:rPr>
        <w:t xml:space="preserve"> (dále jen „Plán“)</w:t>
      </w:r>
      <w:r w:rsidR="001E1060" w:rsidRPr="00312DD5">
        <w:rPr>
          <w:rFonts w:cs="Calibri"/>
          <w:sz w:val="24"/>
          <w:szCs w:val="24"/>
        </w:rPr>
        <w:t xml:space="preserve">, popřípadě byla zpracována RIA u návrhů předkládaných mimo tento plán. Některé návrhy právních předpisů obsahujících </w:t>
      </w:r>
      <w:r>
        <w:rPr>
          <w:rFonts w:cs="Calibri"/>
          <w:sz w:val="24"/>
          <w:szCs w:val="24"/>
        </w:rPr>
        <w:t>z</w:t>
      </w:r>
      <w:r w:rsidRPr="00312DD5">
        <w:rPr>
          <w:rFonts w:cs="Calibri"/>
          <w:sz w:val="24"/>
          <w:szCs w:val="24"/>
        </w:rPr>
        <w:t xml:space="preserve">ávěrečnou </w:t>
      </w:r>
      <w:r w:rsidR="001E1060" w:rsidRPr="00312DD5">
        <w:rPr>
          <w:rFonts w:cs="Calibri"/>
          <w:sz w:val="24"/>
          <w:szCs w:val="24"/>
        </w:rPr>
        <w:t>zprávu RIA nebyly</w:t>
      </w:r>
      <w:r w:rsidR="0034429C">
        <w:rPr>
          <w:rFonts w:cs="Calibri"/>
          <w:sz w:val="24"/>
          <w:szCs w:val="24"/>
        </w:rPr>
        <w:t xml:space="preserve"> v r. 2013</w:t>
      </w:r>
      <w:r w:rsidR="001E1060" w:rsidRPr="00312DD5">
        <w:rPr>
          <w:rFonts w:cs="Calibri"/>
          <w:sz w:val="24"/>
          <w:szCs w:val="24"/>
        </w:rPr>
        <w:t xml:space="preserve"> projednány z důvodu časové tísně</w:t>
      </w:r>
      <w:r w:rsidR="00C30009" w:rsidRPr="00312DD5">
        <w:rPr>
          <w:rFonts w:cs="Calibri"/>
          <w:sz w:val="24"/>
          <w:szCs w:val="24"/>
        </w:rPr>
        <w:t xml:space="preserve">, kdy Komise RIA neměla odpovídající časový prostor se k návrhům kompetentně vyjádřit, </w:t>
      </w:r>
      <w:r w:rsidR="0034429C">
        <w:rPr>
          <w:rFonts w:cs="Calibri"/>
          <w:sz w:val="24"/>
          <w:szCs w:val="24"/>
        </w:rPr>
        <w:t>případně z důvodu</w:t>
      </w:r>
      <w:r w:rsidR="0034429C" w:rsidRPr="00312DD5">
        <w:rPr>
          <w:rFonts w:cs="Calibri"/>
          <w:sz w:val="24"/>
          <w:szCs w:val="24"/>
        </w:rPr>
        <w:t xml:space="preserve"> </w:t>
      </w:r>
      <w:r w:rsidR="00C30009" w:rsidRPr="00312DD5">
        <w:rPr>
          <w:rFonts w:cs="Calibri"/>
          <w:sz w:val="24"/>
          <w:szCs w:val="24"/>
        </w:rPr>
        <w:t xml:space="preserve">zanedbatelných dopadů. Jednalo se jednak o návrhy </w:t>
      </w:r>
      <w:r w:rsidR="00930DD6" w:rsidRPr="00312DD5">
        <w:rPr>
          <w:rFonts w:cs="Calibri"/>
          <w:sz w:val="24"/>
          <w:szCs w:val="24"/>
        </w:rPr>
        <w:t>právních předpisů</w:t>
      </w:r>
      <w:r w:rsidR="001E1060" w:rsidRPr="00312DD5">
        <w:rPr>
          <w:rFonts w:cs="Calibri"/>
          <w:sz w:val="24"/>
          <w:szCs w:val="24"/>
        </w:rPr>
        <w:t xml:space="preserve"> implementující</w:t>
      </w:r>
      <w:r w:rsidR="0034429C">
        <w:rPr>
          <w:rFonts w:cs="Calibri"/>
          <w:sz w:val="24"/>
          <w:szCs w:val="24"/>
        </w:rPr>
        <w:t>ch</w:t>
      </w:r>
      <w:r w:rsidR="001E1060" w:rsidRPr="00312DD5">
        <w:rPr>
          <w:rFonts w:cs="Calibri"/>
          <w:sz w:val="24"/>
          <w:szCs w:val="24"/>
        </w:rPr>
        <w:t xml:space="preserve"> právo EU </w:t>
      </w:r>
      <w:r w:rsidR="00C30009" w:rsidRPr="00312DD5">
        <w:rPr>
          <w:rFonts w:cs="Calibri"/>
          <w:sz w:val="24"/>
          <w:szCs w:val="24"/>
        </w:rPr>
        <w:t xml:space="preserve">(zejména nařízení vlády), ale také o </w:t>
      </w:r>
      <w:r w:rsidR="00930DD6" w:rsidRPr="00312DD5">
        <w:rPr>
          <w:rFonts w:cs="Calibri"/>
          <w:sz w:val="24"/>
          <w:szCs w:val="24"/>
        </w:rPr>
        <w:t xml:space="preserve">návrhy právních předpisů, </w:t>
      </w:r>
      <w:r w:rsidR="00C30009" w:rsidRPr="00312DD5">
        <w:rPr>
          <w:rFonts w:cs="Calibri"/>
          <w:sz w:val="24"/>
          <w:szCs w:val="24"/>
        </w:rPr>
        <w:t>jejichž cílem bylo</w:t>
      </w:r>
      <w:r w:rsidR="00930DD6" w:rsidRPr="00312DD5">
        <w:rPr>
          <w:rFonts w:cs="Calibri"/>
          <w:sz w:val="24"/>
          <w:szCs w:val="24"/>
        </w:rPr>
        <w:t xml:space="preserve"> rychle </w:t>
      </w:r>
      <w:r w:rsidR="0034429C">
        <w:rPr>
          <w:rFonts w:cs="Calibri"/>
          <w:sz w:val="24"/>
          <w:szCs w:val="24"/>
        </w:rPr>
        <w:t>realizovat</w:t>
      </w:r>
      <w:r w:rsidR="0034429C" w:rsidRPr="00312DD5">
        <w:rPr>
          <w:rFonts w:cs="Calibri"/>
          <w:sz w:val="24"/>
          <w:szCs w:val="24"/>
        </w:rPr>
        <w:t xml:space="preserve"> </w:t>
      </w:r>
      <w:r w:rsidR="00930DD6" w:rsidRPr="00312DD5">
        <w:rPr>
          <w:rFonts w:cs="Calibri"/>
          <w:sz w:val="24"/>
          <w:szCs w:val="24"/>
        </w:rPr>
        <w:t>„politická rozhodnutí“</w:t>
      </w:r>
      <w:r w:rsidR="00C30009" w:rsidRPr="00312DD5">
        <w:rPr>
          <w:rFonts w:cs="Calibri"/>
          <w:sz w:val="24"/>
          <w:szCs w:val="24"/>
        </w:rPr>
        <w:t>.</w:t>
      </w:r>
      <w:r w:rsidR="001E1060" w:rsidRPr="00312DD5">
        <w:rPr>
          <w:rFonts w:cs="Calibri"/>
          <w:sz w:val="24"/>
          <w:szCs w:val="24"/>
        </w:rPr>
        <w:t xml:space="preserve"> </w:t>
      </w:r>
    </w:p>
    <w:p w:rsidR="001E1060" w:rsidRPr="00C35D56" w:rsidRDefault="0034429C" w:rsidP="00312DD5">
      <w:pPr>
        <w:jc w:val="both"/>
        <w:rPr>
          <w:rFonts w:cs="Calibri"/>
          <w:highlight w:val="yellow"/>
        </w:rPr>
      </w:pPr>
      <w:r w:rsidRPr="00312DD5">
        <w:rPr>
          <w:rFonts w:cs="Calibri"/>
          <w:sz w:val="24"/>
          <w:szCs w:val="24"/>
        </w:rPr>
        <w:t>Role Komise RIA v širším pohledu směřuje</w:t>
      </w:r>
      <w:r>
        <w:rPr>
          <w:rFonts w:cs="Calibri"/>
          <w:sz w:val="24"/>
          <w:szCs w:val="24"/>
        </w:rPr>
        <w:t xml:space="preserve"> </w:t>
      </w:r>
      <w:r w:rsidRPr="00312DD5">
        <w:rPr>
          <w:rFonts w:cs="Calibri"/>
          <w:sz w:val="24"/>
          <w:szCs w:val="24"/>
        </w:rPr>
        <w:t>k omezení a prevenci nárůstů byrokracie a nákladů regulace pro regulované subjekty a celkovému zlepšení kvality zdůvodnění návrhů právních předpisů podložených robustní a zdokumentovanou analýzou problémů a dopadů navrhovaných řešení.</w:t>
      </w:r>
      <w:r>
        <w:rPr>
          <w:rFonts w:cs="Calibri"/>
          <w:sz w:val="24"/>
          <w:szCs w:val="24"/>
        </w:rPr>
        <w:t xml:space="preserve"> </w:t>
      </w:r>
      <w:r w:rsidR="001E1060" w:rsidRPr="00312DD5">
        <w:rPr>
          <w:rFonts w:cs="Calibri"/>
          <w:sz w:val="24"/>
          <w:szCs w:val="24"/>
        </w:rPr>
        <w:t xml:space="preserve">V případech, kdy předložená </w:t>
      </w:r>
      <w:r w:rsidR="005D5722">
        <w:rPr>
          <w:rFonts w:cs="Calibri"/>
          <w:sz w:val="24"/>
          <w:szCs w:val="24"/>
        </w:rPr>
        <w:t>z</w:t>
      </w:r>
      <w:r w:rsidR="005D5722" w:rsidRPr="00312DD5">
        <w:rPr>
          <w:rFonts w:cs="Calibri"/>
          <w:sz w:val="24"/>
          <w:szCs w:val="24"/>
        </w:rPr>
        <w:t xml:space="preserve">ávěrečná </w:t>
      </w:r>
      <w:r w:rsidR="001E1060" w:rsidRPr="00312DD5">
        <w:rPr>
          <w:rFonts w:cs="Calibri"/>
          <w:sz w:val="24"/>
          <w:szCs w:val="24"/>
        </w:rPr>
        <w:t xml:space="preserve">zpráva RIA není z pohledu vyhodnocení dopadů pro Komisi RIA akceptovatelná, je </w:t>
      </w:r>
      <w:r w:rsidR="001E1060" w:rsidRPr="00312DD5">
        <w:rPr>
          <w:rFonts w:cs="Calibri"/>
          <w:sz w:val="24"/>
          <w:szCs w:val="24"/>
        </w:rPr>
        <w:lastRenderedPageBreak/>
        <w:t xml:space="preserve">vyžadováno její dopracování předkladatelem ještě před předložením vládě, aby vláda měla komplexní podklad pro své rozhodnutí. </w:t>
      </w:r>
      <w:r w:rsidR="001E1060" w:rsidRPr="00C35D56">
        <w:rPr>
          <w:rFonts w:cs="Calibri"/>
          <w:highlight w:val="yellow"/>
        </w:rPr>
        <w:br w:type="page"/>
      </w:r>
    </w:p>
    <w:p w:rsidR="001E1060" w:rsidRPr="008E042D" w:rsidRDefault="0057247D" w:rsidP="0057247D">
      <w:pPr>
        <w:pStyle w:val="Nadpis1"/>
        <w:jc w:val="both"/>
        <w:rPr>
          <w:rFonts w:ascii="Calibri" w:hAnsi="Calibri" w:cs="Calibri"/>
          <w:color w:val="5F497A"/>
        </w:rPr>
      </w:pPr>
      <w:bookmarkStart w:id="5" w:name="_Toc381286098"/>
      <w:proofErr w:type="gramStart"/>
      <w:r>
        <w:rPr>
          <w:rFonts w:ascii="Calibri" w:hAnsi="Calibri" w:cs="Calibri"/>
          <w:color w:val="5F497A"/>
        </w:rPr>
        <w:lastRenderedPageBreak/>
        <w:t xml:space="preserve">3      </w:t>
      </w:r>
      <w:r w:rsidR="001E1060" w:rsidRPr="008E042D">
        <w:rPr>
          <w:rFonts w:ascii="Calibri" w:hAnsi="Calibri" w:cs="Calibri"/>
          <w:color w:val="5F497A"/>
        </w:rPr>
        <w:t>Přehled</w:t>
      </w:r>
      <w:proofErr w:type="gramEnd"/>
      <w:r w:rsidR="001E1060" w:rsidRPr="008E042D">
        <w:rPr>
          <w:rFonts w:ascii="Calibri" w:hAnsi="Calibri" w:cs="Calibri"/>
          <w:color w:val="5F497A"/>
        </w:rPr>
        <w:t xml:space="preserve"> posuzovaných návrhů</w:t>
      </w:r>
      <w:bookmarkEnd w:id="5"/>
      <w:r w:rsidR="001E1060" w:rsidRPr="008E042D">
        <w:rPr>
          <w:rFonts w:ascii="Calibri" w:hAnsi="Calibri" w:cs="Calibri"/>
          <w:color w:val="5F497A"/>
        </w:rPr>
        <w:t xml:space="preserve"> </w:t>
      </w:r>
    </w:p>
    <w:p w:rsidR="001E1060" w:rsidRPr="00C35D56" w:rsidRDefault="001E1060" w:rsidP="001E1060">
      <w:pPr>
        <w:jc w:val="both"/>
        <w:rPr>
          <w:rFonts w:cs="Calibri"/>
        </w:rPr>
      </w:pPr>
    </w:p>
    <w:p w:rsidR="00302F85" w:rsidRDefault="001E1060" w:rsidP="001E1060">
      <w:pPr>
        <w:jc w:val="both"/>
        <w:rPr>
          <w:rFonts w:cs="Calibri"/>
          <w:sz w:val="24"/>
          <w:szCs w:val="24"/>
        </w:rPr>
      </w:pPr>
      <w:r w:rsidRPr="00312DD5">
        <w:rPr>
          <w:rFonts w:cs="Calibri"/>
          <w:sz w:val="24"/>
          <w:szCs w:val="24"/>
        </w:rPr>
        <w:t xml:space="preserve">V roce </w:t>
      </w:r>
      <w:r w:rsidR="00257AD7" w:rsidRPr="00312DD5">
        <w:rPr>
          <w:rFonts w:cs="Calibri"/>
          <w:sz w:val="24"/>
          <w:szCs w:val="24"/>
        </w:rPr>
        <w:t xml:space="preserve">2013 </w:t>
      </w:r>
      <w:r w:rsidRPr="00312DD5">
        <w:rPr>
          <w:rFonts w:cs="Calibri"/>
          <w:sz w:val="24"/>
          <w:szCs w:val="24"/>
        </w:rPr>
        <w:t xml:space="preserve">bylo vládě předloženo ke schválení celkem </w:t>
      </w:r>
      <w:r w:rsidR="00257AD7" w:rsidRPr="00312DD5">
        <w:rPr>
          <w:rFonts w:cs="Calibri"/>
          <w:b/>
          <w:sz w:val="24"/>
          <w:szCs w:val="24"/>
        </w:rPr>
        <w:t xml:space="preserve">176 </w:t>
      </w:r>
      <w:r w:rsidRPr="00312DD5">
        <w:rPr>
          <w:rFonts w:cs="Calibri"/>
          <w:b/>
          <w:sz w:val="24"/>
          <w:szCs w:val="24"/>
        </w:rPr>
        <w:t>návrhů právních předpisů</w:t>
      </w:r>
      <w:r w:rsidR="0034429C">
        <w:rPr>
          <w:rFonts w:cs="Calibri"/>
          <w:b/>
          <w:sz w:val="24"/>
          <w:szCs w:val="24"/>
        </w:rPr>
        <w:t xml:space="preserve">, </w:t>
      </w:r>
      <w:r w:rsidR="00D34F04">
        <w:rPr>
          <w:rFonts w:cs="Calibri"/>
          <w:b/>
          <w:sz w:val="24"/>
          <w:szCs w:val="24"/>
        </w:rPr>
        <w:t xml:space="preserve">přičemž nelze opominout skutečnost, že </w:t>
      </w:r>
      <w:r w:rsidR="0034429C">
        <w:rPr>
          <w:rFonts w:cs="Calibri"/>
          <w:b/>
          <w:sz w:val="24"/>
          <w:szCs w:val="24"/>
        </w:rPr>
        <w:t>z</w:t>
      </w:r>
      <w:r w:rsidR="00D34F04">
        <w:rPr>
          <w:rFonts w:cs="Calibri"/>
          <w:b/>
          <w:sz w:val="24"/>
          <w:szCs w:val="24"/>
        </w:rPr>
        <w:t> </w:t>
      </w:r>
      <w:r w:rsidR="0034429C">
        <w:rPr>
          <w:rFonts w:cs="Calibri"/>
          <w:b/>
          <w:sz w:val="24"/>
          <w:szCs w:val="24"/>
        </w:rPr>
        <w:t>toho</w:t>
      </w:r>
      <w:r w:rsidR="0034429C" w:rsidRPr="0034429C">
        <w:rPr>
          <w:rFonts w:asciiTheme="minorHAnsi" w:eastAsia="Calibri" w:hAnsiTheme="minorHAnsi" w:cs="Helv"/>
          <w:color w:val="000000"/>
          <w:sz w:val="24"/>
          <w:szCs w:val="24"/>
        </w:rPr>
        <w:t xml:space="preserve"> </w:t>
      </w:r>
      <w:r w:rsidR="00D34F04">
        <w:rPr>
          <w:rFonts w:asciiTheme="minorHAnsi" w:eastAsia="Calibri" w:hAnsiTheme="minorHAnsi" w:cs="Helv"/>
          <w:color w:val="000000"/>
          <w:sz w:val="24"/>
          <w:szCs w:val="24"/>
        </w:rPr>
        <w:t xml:space="preserve">počtu </w:t>
      </w:r>
      <w:r w:rsidR="0034429C">
        <w:rPr>
          <w:rFonts w:asciiTheme="minorHAnsi" w:eastAsia="Calibri" w:hAnsiTheme="minorHAnsi" w:cs="Helv"/>
          <w:b/>
          <w:color w:val="000000"/>
          <w:sz w:val="24"/>
          <w:szCs w:val="24"/>
        </w:rPr>
        <w:t>98</w:t>
      </w:r>
      <w:r w:rsidR="0034429C" w:rsidRPr="00312DD5">
        <w:rPr>
          <w:rFonts w:asciiTheme="minorHAnsi" w:eastAsia="Calibri" w:hAnsiTheme="minorHAnsi" w:cs="Helv"/>
          <w:b/>
          <w:color w:val="000000"/>
          <w:sz w:val="24"/>
          <w:szCs w:val="24"/>
        </w:rPr>
        <w:t> návrhů</w:t>
      </w:r>
      <w:r w:rsidR="0034429C" w:rsidRPr="00312DD5">
        <w:rPr>
          <w:rFonts w:asciiTheme="minorHAnsi" w:eastAsia="Calibri" w:hAnsiTheme="minorHAnsi" w:cs="Helv"/>
          <w:color w:val="000000"/>
          <w:sz w:val="24"/>
          <w:szCs w:val="24"/>
        </w:rPr>
        <w:t xml:space="preserve"> </w:t>
      </w:r>
      <w:r w:rsidR="00A946FF">
        <w:rPr>
          <w:rFonts w:asciiTheme="minorHAnsi" w:eastAsia="Calibri" w:hAnsiTheme="minorHAnsi" w:cs="Helv"/>
          <w:color w:val="000000"/>
          <w:sz w:val="24"/>
          <w:szCs w:val="24"/>
        </w:rPr>
        <w:t>právních předp</w:t>
      </w:r>
      <w:r w:rsidR="002541AF">
        <w:rPr>
          <w:rFonts w:asciiTheme="minorHAnsi" w:eastAsia="Calibri" w:hAnsiTheme="minorHAnsi" w:cs="Helv"/>
          <w:color w:val="000000"/>
          <w:sz w:val="24"/>
          <w:szCs w:val="24"/>
        </w:rPr>
        <w:t>i</w:t>
      </w:r>
      <w:r w:rsidR="00A946FF">
        <w:rPr>
          <w:rFonts w:asciiTheme="minorHAnsi" w:eastAsia="Calibri" w:hAnsiTheme="minorHAnsi" w:cs="Helv"/>
          <w:color w:val="000000"/>
          <w:sz w:val="24"/>
          <w:szCs w:val="24"/>
        </w:rPr>
        <w:t>s</w:t>
      </w:r>
      <w:r w:rsidR="002541AF">
        <w:rPr>
          <w:rFonts w:asciiTheme="minorHAnsi" w:eastAsia="Calibri" w:hAnsiTheme="minorHAnsi" w:cs="Helv"/>
          <w:color w:val="000000"/>
          <w:sz w:val="24"/>
          <w:szCs w:val="24"/>
        </w:rPr>
        <w:t xml:space="preserve">ů </w:t>
      </w:r>
      <w:r w:rsidR="0034429C">
        <w:rPr>
          <w:rFonts w:asciiTheme="minorHAnsi" w:eastAsia="Calibri" w:hAnsiTheme="minorHAnsi" w:cs="Helv"/>
          <w:color w:val="000000"/>
          <w:sz w:val="24"/>
          <w:szCs w:val="24"/>
        </w:rPr>
        <w:t>bylo</w:t>
      </w:r>
      <w:r w:rsidR="00D34F04">
        <w:rPr>
          <w:rFonts w:asciiTheme="minorHAnsi" w:eastAsia="Calibri" w:hAnsiTheme="minorHAnsi" w:cs="Helv"/>
          <w:color w:val="000000"/>
          <w:sz w:val="24"/>
          <w:szCs w:val="24"/>
        </w:rPr>
        <w:t xml:space="preserve"> </w:t>
      </w:r>
      <w:r w:rsidR="0034429C" w:rsidRPr="00312DD5">
        <w:rPr>
          <w:rFonts w:asciiTheme="minorHAnsi" w:eastAsia="Calibri" w:hAnsiTheme="minorHAnsi" w:cs="Helv"/>
          <w:color w:val="000000"/>
          <w:sz w:val="24"/>
          <w:szCs w:val="24"/>
        </w:rPr>
        <w:t xml:space="preserve">předloženo </w:t>
      </w:r>
      <w:r w:rsidR="0034429C">
        <w:rPr>
          <w:rFonts w:asciiTheme="minorHAnsi" w:eastAsia="Calibri" w:hAnsiTheme="minorHAnsi" w:cs="Helv"/>
          <w:color w:val="000000"/>
          <w:sz w:val="24"/>
          <w:szCs w:val="24"/>
        </w:rPr>
        <w:t xml:space="preserve">mimo schválený </w:t>
      </w:r>
      <w:r w:rsidR="0034429C" w:rsidRPr="00312DD5">
        <w:rPr>
          <w:rFonts w:asciiTheme="minorHAnsi" w:eastAsia="Calibri" w:hAnsiTheme="minorHAnsi" w:cs="Helv"/>
          <w:color w:val="000000"/>
          <w:sz w:val="24"/>
          <w:szCs w:val="24"/>
        </w:rPr>
        <w:t xml:space="preserve">Plán, tj. více jak v polovině případů </w:t>
      </w:r>
      <w:r w:rsidR="0034429C" w:rsidRPr="00312DD5">
        <w:rPr>
          <w:rFonts w:asciiTheme="minorHAnsi" w:eastAsia="Calibri" w:hAnsiTheme="minorHAnsi" w:cs="Helv"/>
          <w:b/>
          <w:color w:val="000000"/>
          <w:sz w:val="24"/>
          <w:szCs w:val="24"/>
        </w:rPr>
        <w:t>(</w:t>
      </w:r>
      <w:r w:rsidR="0034429C">
        <w:rPr>
          <w:rFonts w:asciiTheme="minorHAnsi" w:eastAsia="Calibri" w:hAnsiTheme="minorHAnsi" w:cs="Helv"/>
          <w:b/>
          <w:color w:val="000000"/>
          <w:sz w:val="24"/>
          <w:szCs w:val="24"/>
        </w:rPr>
        <w:t xml:space="preserve">cca </w:t>
      </w:r>
      <w:r w:rsidR="0034429C" w:rsidRPr="00312DD5">
        <w:rPr>
          <w:rFonts w:asciiTheme="minorHAnsi" w:eastAsia="Calibri" w:hAnsiTheme="minorHAnsi" w:cs="Helv"/>
          <w:b/>
          <w:bCs/>
          <w:color w:val="000000"/>
          <w:sz w:val="24"/>
          <w:szCs w:val="24"/>
        </w:rPr>
        <w:t>5</w:t>
      </w:r>
      <w:r w:rsidR="0034429C">
        <w:rPr>
          <w:rFonts w:asciiTheme="minorHAnsi" w:eastAsia="Calibri" w:hAnsiTheme="minorHAnsi" w:cs="Helv"/>
          <w:b/>
          <w:bCs/>
          <w:color w:val="000000"/>
          <w:sz w:val="24"/>
          <w:szCs w:val="24"/>
        </w:rPr>
        <w:t>6%</w:t>
      </w:r>
      <w:r w:rsidR="0034429C" w:rsidRPr="00312DD5">
        <w:rPr>
          <w:rFonts w:asciiTheme="minorHAnsi" w:eastAsia="Calibri" w:hAnsiTheme="minorHAnsi" w:cs="Helv"/>
          <w:b/>
          <w:bCs/>
          <w:color w:val="000000"/>
          <w:sz w:val="24"/>
          <w:szCs w:val="24"/>
        </w:rPr>
        <w:t>)</w:t>
      </w:r>
      <w:r w:rsidRPr="00312DD5">
        <w:rPr>
          <w:rFonts w:cs="Calibri"/>
          <w:sz w:val="24"/>
          <w:szCs w:val="24"/>
        </w:rPr>
        <w:t xml:space="preserve">. Z tohoto celkového počtu byla u </w:t>
      </w:r>
      <w:r w:rsidR="005D2CB7">
        <w:rPr>
          <w:rFonts w:cs="Calibri"/>
          <w:b/>
          <w:sz w:val="24"/>
          <w:szCs w:val="24"/>
        </w:rPr>
        <w:t>102</w:t>
      </w:r>
      <w:r w:rsidR="00D34F04">
        <w:rPr>
          <w:rFonts w:cs="Calibri"/>
          <w:b/>
          <w:sz w:val="24"/>
          <w:szCs w:val="24"/>
        </w:rPr>
        <w:t xml:space="preserve"> vládních návrhů </w:t>
      </w:r>
      <w:r w:rsidR="002541AF">
        <w:rPr>
          <w:rFonts w:cs="Calibri"/>
          <w:b/>
          <w:sz w:val="24"/>
          <w:szCs w:val="24"/>
        </w:rPr>
        <w:t xml:space="preserve">právních </w:t>
      </w:r>
      <w:r w:rsidR="00D34F04">
        <w:rPr>
          <w:rFonts w:cs="Calibri"/>
          <w:b/>
          <w:sz w:val="24"/>
          <w:szCs w:val="24"/>
        </w:rPr>
        <w:t>předpisů</w:t>
      </w:r>
      <w:r w:rsidR="005D2CB7" w:rsidRPr="00312DD5">
        <w:rPr>
          <w:rFonts w:cs="Calibri"/>
          <w:b/>
          <w:sz w:val="24"/>
          <w:szCs w:val="24"/>
        </w:rPr>
        <w:t xml:space="preserve"> </w:t>
      </w:r>
      <w:r w:rsidRPr="00312DD5">
        <w:rPr>
          <w:rFonts w:cs="Calibri"/>
          <w:b/>
          <w:sz w:val="24"/>
          <w:szCs w:val="24"/>
        </w:rPr>
        <w:t>zpracována RIA</w:t>
      </w:r>
      <w:r w:rsidRPr="00312DD5">
        <w:rPr>
          <w:rFonts w:cs="Calibri"/>
          <w:sz w:val="24"/>
          <w:szCs w:val="24"/>
        </w:rPr>
        <w:t>.</w:t>
      </w:r>
      <w:r w:rsidR="007442C0" w:rsidRPr="00312DD5">
        <w:rPr>
          <w:rFonts w:cs="Calibri"/>
          <w:sz w:val="24"/>
          <w:szCs w:val="24"/>
        </w:rPr>
        <w:t xml:space="preserve"> </w:t>
      </w:r>
      <w:r w:rsidR="007442C0" w:rsidRPr="00312DD5">
        <w:rPr>
          <w:rFonts w:cs="Calibri"/>
          <w:b/>
          <w:sz w:val="24"/>
          <w:szCs w:val="24"/>
        </w:rPr>
        <w:t>Na půdě Parlamentu</w:t>
      </w:r>
      <w:r w:rsidR="007442C0" w:rsidRPr="00312DD5">
        <w:rPr>
          <w:rFonts w:cs="Calibri"/>
          <w:sz w:val="24"/>
          <w:szCs w:val="24"/>
        </w:rPr>
        <w:t xml:space="preserve"> pak bylo </w:t>
      </w:r>
      <w:r w:rsidR="007442C0" w:rsidRPr="00312DD5">
        <w:rPr>
          <w:rFonts w:asciiTheme="minorHAnsi" w:hAnsiTheme="minorHAnsi" w:cs="Calibri"/>
          <w:sz w:val="24"/>
          <w:szCs w:val="24"/>
        </w:rPr>
        <w:t>předloženo</w:t>
      </w:r>
      <w:r w:rsidR="00D34F04">
        <w:rPr>
          <w:rFonts w:asciiTheme="minorHAnsi" w:hAnsiTheme="minorHAnsi" w:cs="Calibri"/>
          <w:sz w:val="24"/>
          <w:szCs w:val="24"/>
        </w:rPr>
        <w:t xml:space="preserve"> </w:t>
      </w:r>
      <w:r w:rsidR="00302F85" w:rsidRPr="00312DD5">
        <w:rPr>
          <w:rFonts w:asciiTheme="minorHAnsi" w:hAnsiTheme="minorHAnsi" w:cs="Calibri"/>
          <w:sz w:val="24"/>
          <w:szCs w:val="24"/>
        </w:rPr>
        <w:t>za rok 2013</w:t>
      </w:r>
      <w:r w:rsidR="00302F85">
        <w:rPr>
          <w:rFonts w:asciiTheme="minorHAnsi" w:hAnsiTheme="minorHAnsi" w:cs="Calibri"/>
          <w:sz w:val="24"/>
          <w:szCs w:val="24"/>
        </w:rPr>
        <w:t xml:space="preserve"> </w:t>
      </w:r>
      <w:r w:rsidR="007442C0" w:rsidRPr="00312DD5">
        <w:rPr>
          <w:rFonts w:asciiTheme="minorHAnsi" w:hAnsiTheme="minorHAnsi" w:cs="Calibri"/>
          <w:sz w:val="24"/>
          <w:szCs w:val="24"/>
        </w:rPr>
        <w:t xml:space="preserve">celkově </w:t>
      </w:r>
      <w:r w:rsidR="007442C0" w:rsidRPr="00312DD5">
        <w:rPr>
          <w:rFonts w:asciiTheme="minorHAnsi" w:hAnsiTheme="minorHAnsi" w:cs="Calibri"/>
          <w:b/>
          <w:sz w:val="24"/>
          <w:szCs w:val="24"/>
        </w:rPr>
        <w:t>91 návrhů právních předpisů</w:t>
      </w:r>
      <w:r w:rsidR="007442C0" w:rsidRPr="00312DD5">
        <w:rPr>
          <w:rFonts w:asciiTheme="minorHAnsi" w:hAnsiTheme="minorHAnsi" w:cs="Calibri"/>
          <w:sz w:val="24"/>
          <w:szCs w:val="24"/>
        </w:rPr>
        <w:t>.</w:t>
      </w:r>
      <w:r w:rsidRPr="00312DD5">
        <w:rPr>
          <w:rFonts w:asciiTheme="minorHAnsi" w:hAnsiTheme="minorHAnsi" w:cs="Calibri"/>
          <w:sz w:val="24"/>
          <w:szCs w:val="24"/>
        </w:rPr>
        <w:t xml:space="preserve"> </w:t>
      </w:r>
      <w:r w:rsidRPr="00312DD5">
        <w:rPr>
          <w:rFonts w:cs="Calibri"/>
          <w:sz w:val="24"/>
          <w:szCs w:val="24"/>
        </w:rPr>
        <w:t xml:space="preserve">S přihlédnutím k celkovému počtu </w:t>
      </w:r>
      <w:r w:rsidR="00885743" w:rsidRPr="00312DD5">
        <w:rPr>
          <w:rFonts w:cs="Calibri"/>
          <w:sz w:val="24"/>
          <w:szCs w:val="24"/>
        </w:rPr>
        <w:t xml:space="preserve">všech </w:t>
      </w:r>
      <w:r w:rsidRPr="00312DD5">
        <w:rPr>
          <w:rFonts w:cs="Calibri"/>
          <w:sz w:val="24"/>
          <w:szCs w:val="24"/>
        </w:rPr>
        <w:t>předložených návrhů právních předpisů (</w:t>
      </w:r>
      <w:r w:rsidR="004B5D29" w:rsidRPr="00312DD5">
        <w:rPr>
          <w:rFonts w:cs="Calibri"/>
          <w:sz w:val="24"/>
          <w:szCs w:val="24"/>
        </w:rPr>
        <w:t>dohromady</w:t>
      </w:r>
      <w:r w:rsidRPr="00312DD5">
        <w:rPr>
          <w:rFonts w:cs="Calibri"/>
          <w:sz w:val="24"/>
          <w:szCs w:val="24"/>
        </w:rPr>
        <w:t xml:space="preserve"> </w:t>
      </w:r>
      <w:r w:rsidR="00CE3F38" w:rsidRPr="00312DD5">
        <w:rPr>
          <w:rFonts w:cs="Calibri"/>
          <w:sz w:val="24"/>
          <w:szCs w:val="24"/>
        </w:rPr>
        <w:t>267</w:t>
      </w:r>
      <w:r w:rsidRPr="00312DD5">
        <w:rPr>
          <w:rFonts w:cs="Calibri"/>
          <w:sz w:val="24"/>
          <w:szCs w:val="24"/>
        </w:rPr>
        <w:t>)</w:t>
      </w:r>
      <w:r w:rsidR="004B5D29" w:rsidRPr="00312DD5">
        <w:rPr>
          <w:rFonts w:cs="Calibri"/>
          <w:sz w:val="24"/>
          <w:szCs w:val="24"/>
        </w:rPr>
        <w:t xml:space="preserve"> </w:t>
      </w:r>
      <w:r w:rsidR="00885743" w:rsidRPr="00312DD5">
        <w:rPr>
          <w:rFonts w:cs="Calibri"/>
          <w:sz w:val="24"/>
          <w:szCs w:val="24"/>
        </w:rPr>
        <w:t>tak</w:t>
      </w:r>
      <w:r w:rsidRPr="00312DD5">
        <w:rPr>
          <w:rFonts w:cs="Calibri"/>
          <w:sz w:val="24"/>
          <w:szCs w:val="24"/>
        </w:rPr>
        <w:t xml:space="preserve"> </w:t>
      </w:r>
      <w:r w:rsidRPr="00312DD5">
        <w:rPr>
          <w:rFonts w:cs="Calibri"/>
          <w:b/>
          <w:sz w:val="24"/>
          <w:szCs w:val="24"/>
        </w:rPr>
        <w:t>byla pouze u</w:t>
      </w:r>
      <w:r w:rsidR="00CE3F38" w:rsidRPr="00312DD5">
        <w:rPr>
          <w:rFonts w:cs="Calibri"/>
          <w:b/>
          <w:sz w:val="24"/>
          <w:szCs w:val="24"/>
        </w:rPr>
        <w:t xml:space="preserve"> </w:t>
      </w:r>
      <w:r w:rsidR="00885743" w:rsidRPr="00312DD5">
        <w:rPr>
          <w:rFonts w:cs="Calibri"/>
          <w:b/>
          <w:sz w:val="24"/>
          <w:szCs w:val="24"/>
        </w:rPr>
        <w:t xml:space="preserve">cca </w:t>
      </w:r>
      <w:r w:rsidRPr="00312DD5">
        <w:rPr>
          <w:rFonts w:cs="Calibri"/>
          <w:b/>
          <w:sz w:val="24"/>
          <w:szCs w:val="24"/>
        </w:rPr>
        <w:t xml:space="preserve">1/3 </w:t>
      </w:r>
      <w:r w:rsidR="00CE3F38" w:rsidRPr="00312DD5">
        <w:rPr>
          <w:rFonts w:cs="Calibri"/>
          <w:b/>
          <w:sz w:val="24"/>
          <w:szCs w:val="24"/>
        </w:rPr>
        <w:t>(37</w:t>
      </w:r>
      <w:r w:rsidR="00885743" w:rsidRPr="00312DD5">
        <w:rPr>
          <w:rFonts w:cs="Calibri"/>
          <w:b/>
          <w:sz w:val="24"/>
          <w:szCs w:val="24"/>
        </w:rPr>
        <w:t>%</w:t>
      </w:r>
      <w:r w:rsidR="00CE3F38" w:rsidRPr="00312DD5">
        <w:rPr>
          <w:rFonts w:cs="Calibri"/>
          <w:b/>
          <w:sz w:val="24"/>
          <w:szCs w:val="24"/>
        </w:rPr>
        <w:t>)</w:t>
      </w:r>
      <w:r w:rsidR="00885743" w:rsidRPr="00312DD5">
        <w:rPr>
          <w:rFonts w:cs="Calibri"/>
          <w:b/>
          <w:sz w:val="24"/>
          <w:szCs w:val="24"/>
        </w:rPr>
        <w:t xml:space="preserve"> všech návrhů právních předpisů předložených v r. 2013 </w:t>
      </w:r>
      <w:r w:rsidRPr="00312DD5">
        <w:rPr>
          <w:rFonts w:cs="Calibri"/>
          <w:b/>
          <w:sz w:val="24"/>
          <w:szCs w:val="24"/>
        </w:rPr>
        <w:t>zpracována RIA</w:t>
      </w:r>
      <w:r w:rsidRPr="00312DD5">
        <w:rPr>
          <w:rFonts w:cs="Calibri"/>
          <w:sz w:val="24"/>
          <w:szCs w:val="24"/>
        </w:rPr>
        <w:t xml:space="preserve">. </w:t>
      </w:r>
    </w:p>
    <w:p w:rsidR="001E1060" w:rsidRPr="00312DD5" w:rsidRDefault="001E1060" w:rsidP="001E1060">
      <w:pPr>
        <w:jc w:val="both"/>
        <w:rPr>
          <w:rFonts w:cs="Calibri"/>
          <w:sz w:val="24"/>
          <w:szCs w:val="24"/>
        </w:rPr>
      </w:pPr>
      <w:r w:rsidRPr="00312DD5">
        <w:rPr>
          <w:rFonts w:cs="Calibri"/>
          <w:b/>
          <w:sz w:val="24"/>
          <w:szCs w:val="24"/>
        </w:rPr>
        <w:t>Komise RIA</w:t>
      </w:r>
      <w:r w:rsidRPr="00312DD5">
        <w:rPr>
          <w:rFonts w:cs="Calibri"/>
          <w:sz w:val="24"/>
          <w:szCs w:val="24"/>
        </w:rPr>
        <w:t xml:space="preserve"> z tohoto počtu</w:t>
      </w:r>
      <w:r w:rsidR="00CE3F38" w:rsidRPr="00312DD5">
        <w:rPr>
          <w:rFonts w:cs="Calibri"/>
          <w:sz w:val="24"/>
          <w:szCs w:val="24"/>
        </w:rPr>
        <w:t xml:space="preserve"> vládních návrhů právních předpisů </w:t>
      </w:r>
      <w:r w:rsidRPr="00312DD5">
        <w:rPr>
          <w:rFonts w:cs="Calibri"/>
          <w:b/>
          <w:sz w:val="24"/>
          <w:szCs w:val="24"/>
        </w:rPr>
        <w:t>projednala celkem</w:t>
      </w:r>
      <w:r w:rsidR="00885743" w:rsidRPr="00312DD5">
        <w:rPr>
          <w:rFonts w:cs="Calibri"/>
          <w:b/>
          <w:sz w:val="24"/>
          <w:szCs w:val="24"/>
        </w:rPr>
        <w:t xml:space="preserve"> </w:t>
      </w:r>
      <w:r w:rsidR="00CE3F38" w:rsidRPr="00312DD5">
        <w:rPr>
          <w:rFonts w:cs="Calibri"/>
          <w:b/>
          <w:sz w:val="24"/>
          <w:szCs w:val="24"/>
        </w:rPr>
        <w:t xml:space="preserve">69 </w:t>
      </w:r>
      <w:r w:rsidR="00DA3DCC">
        <w:rPr>
          <w:rFonts w:cs="Calibri"/>
          <w:b/>
          <w:sz w:val="24"/>
          <w:szCs w:val="24"/>
        </w:rPr>
        <w:t> z</w:t>
      </w:r>
      <w:r w:rsidRPr="00312DD5">
        <w:rPr>
          <w:rFonts w:cs="Calibri"/>
          <w:b/>
          <w:sz w:val="24"/>
          <w:szCs w:val="24"/>
        </w:rPr>
        <w:t>ávěrečných zpráv RIA</w:t>
      </w:r>
      <w:r w:rsidR="00CE3F38" w:rsidRPr="00312DD5">
        <w:rPr>
          <w:rStyle w:val="Znakapoznpodarou"/>
          <w:rFonts w:cs="Calibri"/>
          <w:sz w:val="24"/>
          <w:szCs w:val="24"/>
        </w:rPr>
        <w:footnoteReference w:id="2"/>
      </w:r>
      <w:r w:rsidR="00DA3DCC">
        <w:rPr>
          <w:rFonts w:cs="Calibri"/>
          <w:b/>
          <w:sz w:val="24"/>
          <w:szCs w:val="24"/>
        </w:rPr>
        <w:t xml:space="preserve">. </w:t>
      </w:r>
      <w:r w:rsidR="00885743" w:rsidRPr="00312DD5">
        <w:rPr>
          <w:rFonts w:cs="Calibri"/>
          <w:sz w:val="24"/>
          <w:szCs w:val="24"/>
        </w:rPr>
        <w:t xml:space="preserve">Výsledek tohoto přezkumu je uveden dále. </w:t>
      </w:r>
    </w:p>
    <w:p w:rsidR="00DA3DCC" w:rsidRDefault="00143905" w:rsidP="003023F4">
      <w:pPr>
        <w:jc w:val="both"/>
        <w:rPr>
          <w:rFonts w:cs="Calibri"/>
          <w:sz w:val="24"/>
          <w:szCs w:val="24"/>
        </w:rPr>
      </w:pPr>
      <w:r w:rsidRPr="00312DD5">
        <w:rPr>
          <w:rFonts w:cs="Calibri"/>
          <w:sz w:val="24"/>
          <w:szCs w:val="24"/>
        </w:rPr>
        <w:t xml:space="preserve">Z výše uvedeného </w:t>
      </w:r>
      <w:r w:rsidR="004A5EB4">
        <w:rPr>
          <w:rFonts w:cs="Calibri"/>
          <w:sz w:val="24"/>
          <w:szCs w:val="24"/>
        </w:rPr>
        <w:t xml:space="preserve">dále </w:t>
      </w:r>
      <w:r w:rsidRPr="00312DD5">
        <w:rPr>
          <w:rFonts w:cs="Calibri"/>
          <w:sz w:val="24"/>
          <w:szCs w:val="24"/>
        </w:rPr>
        <w:t xml:space="preserve">vyplývá, že u </w:t>
      </w:r>
      <w:r w:rsidR="005D2CB7" w:rsidRPr="00312DD5">
        <w:rPr>
          <w:rFonts w:cs="Calibri"/>
          <w:b/>
          <w:sz w:val="24"/>
          <w:szCs w:val="24"/>
        </w:rPr>
        <w:t>7</w:t>
      </w:r>
      <w:r w:rsidR="00F46523">
        <w:rPr>
          <w:rFonts w:cs="Calibri"/>
          <w:b/>
          <w:sz w:val="24"/>
          <w:szCs w:val="24"/>
        </w:rPr>
        <w:t>4</w:t>
      </w:r>
      <w:r w:rsidR="005D2CB7" w:rsidRPr="00312DD5">
        <w:rPr>
          <w:rFonts w:cs="Calibri"/>
          <w:b/>
          <w:sz w:val="24"/>
          <w:szCs w:val="24"/>
        </w:rPr>
        <w:t xml:space="preserve"> </w:t>
      </w:r>
      <w:r w:rsidRPr="00312DD5">
        <w:rPr>
          <w:rFonts w:cs="Calibri"/>
          <w:b/>
          <w:sz w:val="24"/>
          <w:szCs w:val="24"/>
        </w:rPr>
        <w:t>vládních návrhů právních předpisů nebyla zpracována RIA</w:t>
      </w:r>
      <w:r w:rsidR="00DA3DCC">
        <w:rPr>
          <w:rFonts w:cs="Calibri"/>
          <w:sz w:val="24"/>
          <w:szCs w:val="24"/>
        </w:rPr>
        <w:t>. U</w:t>
      </w:r>
      <w:r w:rsidR="00DA3DCC" w:rsidRPr="00DA3DCC">
        <w:rPr>
          <w:rFonts w:cs="Calibri"/>
          <w:sz w:val="24"/>
          <w:szCs w:val="24"/>
        </w:rPr>
        <w:t xml:space="preserve"> 24 návrhů právních předpisů předložených bez </w:t>
      </w:r>
      <w:proofErr w:type="gramStart"/>
      <w:r w:rsidR="00DA3DCC" w:rsidRPr="00DA3DCC">
        <w:rPr>
          <w:rFonts w:cs="Calibri"/>
          <w:sz w:val="24"/>
          <w:szCs w:val="24"/>
        </w:rPr>
        <w:t>zpracované</w:t>
      </w:r>
      <w:proofErr w:type="gramEnd"/>
      <w:r w:rsidR="00DA3DCC" w:rsidRPr="00DA3DCC">
        <w:rPr>
          <w:rFonts w:cs="Calibri"/>
          <w:sz w:val="24"/>
          <w:szCs w:val="24"/>
        </w:rPr>
        <w:t xml:space="preserve"> RIA byla výjimka udělena na základě usnesení vlády v rámci schvalování Plánu.</w:t>
      </w:r>
      <w:r w:rsidR="00007E1B">
        <w:rPr>
          <w:rFonts w:cs="Calibri"/>
          <w:sz w:val="24"/>
          <w:szCs w:val="24"/>
        </w:rPr>
        <w:t xml:space="preserve"> </w:t>
      </w:r>
    </w:p>
    <w:p w:rsidR="00F46523" w:rsidRDefault="00524006" w:rsidP="003023F4">
      <w:pPr>
        <w:jc w:val="both"/>
        <w:rPr>
          <w:rFonts w:cs="Calibri"/>
          <w:sz w:val="24"/>
          <w:szCs w:val="24"/>
        </w:rPr>
      </w:pPr>
      <w:r>
        <w:rPr>
          <w:rFonts w:cs="Calibri"/>
          <w:b/>
          <w:sz w:val="24"/>
          <w:szCs w:val="24"/>
        </w:rPr>
        <w:t xml:space="preserve">Vedle toho </w:t>
      </w:r>
      <w:r w:rsidR="00007E1B" w:rsidRPr="00312DD5">
        <w:rPr>
          <w:rFonts w:cs="Calibri"/>
          <w:b/>
          <w:sz w:val="24"/>
          <w:szCs w:val="24"/>
        </w:rPr>
        <w:t>5</w:t>
      </w:r>
      <w:r w:rsidR="00F46523">
        <w:rPr>
          <w:rFonts w:cs="Calibri"/>
          <w:b/>
          <w:sz w:val="24"/>
          <w:szCs w:val="24"/>
        </w:rPr>
        <w:t>0</w:t>
      </w:r>
      <w:r>
        <w:rPr>
          <w:rFonts w:cs="Calibri"/>
          <w:b/>
          <w:sz w:val="24"/>
          <w:szCs w:val="24"/>
        </w:rPr>
        <w:t xml:space="preserve"> </w:t>
      </w:r>
      <w:r w:rsidRPr="00DA3DCC">
        <w:rPr>
          <w:rFonts w:cs="Calibri"/>
          <w:sz w:val="24"/>
          <w:szCs w:val="24"/>
        </w:rPr>
        <w:t xml:space="preserve">návrhů právních předpisů předložených bez zpracované RIA </w:t>
      </w:r>
      <w:r>
        <w:rPr>
          <w:rFonts w:cs="Calibri"/>
          <w:b/>
          <w:sz w:val="24"/>
          <w:szCs w:val="24"/>
        </w:rPr>
        <w:t xml:space="preserve">bylo předloženo </w:t>
      </w:r>
      <w:r w:rsidR="00007E1B" w:rsidRPr="00312DD5">
        <w:rPr>
          <w:rFonts w:cs="Calibri"/>
          <w:b/>
          <w:sz w:val="24"/>
          <w:szCs w:val="24"/>
        </w:rPr>
        <w:t>mimo Plán</w:t>
      </w:r>
      <w:r w:rsidR="00007E1B">
        <w:rPr>
          <w:rFonts w:cs="Calibri"/>
          <w:sz w:val="24"/>
          <w:szCs w:val="24"/>
        </w:rPr>
        <w:t xml:space="preserve">, což </w:t>
      </w:r>
      <w:r w:rsidR="001501E9">
        <w:rPr>
          <w:rFonts w:cs="Calibri"/>
          <w:sz w:val="24"/>
          <w:szCs w:val="24"/>
        </w:rPr>
        <w:t>tvoří plné</w:t>
      </w:r>
      <w:r w:rsidR="00007E1B">
        <w:rPr>
          <w:rFonts w:cs="Calibri"/>
          <w:sz w:val="24"/>
          <w:szCs w:val="24"/>
        </w:rPr>
        <w:t xml:space="preserve"> </w:t>
      </w:r>
      <w:r w:rsidR="004A5EB4">
        <w:rPr>
          <w:rFonts w:cs="Calibri"/>
          <w:sz w:val="24"/>
          <w:szCs w:val="24"/>
        </w:rPr>
        <w:t>2/3 (</w:t>
      </w:r>
      <w:r w:rsidR="00007E1B">
        <w:rPr>
          <w:rFonts w:cs="Calibri"/>
          <w:sz w:val="24"/>
          <w:szCs w:val="24"/>
        </w:rPr>
        <w:t xml:space="preserve">téměř </w:t>
      </w:r>
      <w:r w:rsidR="00007E1B" w:rsidRPr="00524006">
        <w:rPr>
          <w:rFonts w:cs="Calibri"/>
          <w:sz w:val="24"/>
          <w:szCs w:val="24"/>
        </w:rPr>
        <w:t>68%</w:t>
      </w:r>
      <w:r w:rsidR="004A5EB4" w:rsidRPr="00524006">
        <w:rPr>
          <w:rFonts w:cs="Calibri"/>
          <w:sz w:val="24"/>
          <w:szCs w:val="24"/>
        </w:rPr>
        <w:t>)</w:t>
      </w:r>
      <w:r>
        <w:rPr>
          <w:rFonts w:cs="Calibri"/>
          <w:sz w:val="24"/>
          <w:szCs w:val="24"/>
        </w:rPr>
        <w:t xml:space="preserve"> návrhů právních předpisů bez </w:t>
      </w:r>
      <w:proofErr w:type="gramStart"/>
      <w:r>
        <w:rPr>
          <w:rFonts w:cs="Calibri"/>
          <w:sz w:val="24"/>
          <w:szCs w:val="24"/>
        </w:rPr>
        <w:t>zpracované</w:t>
      </w:r>
      <w:proofErr w:type="gramEnd"/>
      <w:r>
        <w:rPr>
          <w:rFonts w:cs="Calibri"/>
          <w:sz w:val="24"/>
          <w:szCs w:val="24"/>
        </w:rPr>
        <w:t xml:space="preserve"> RIA</w:t>
      </w:r>
      <w:r w:rsidR="00007E1B">
        <w:rPr>
          <w:rFonts w:cs="Calibri"/>
          <w:sz w:val="24"/>
          <w:szCs w:val="24"/>
        </w:rPr>
        <w:t xml:space="preserve">. </w:t>
      </w:r>
      <w:r w:rsidR="0034429C">
        <w:rPr>
          <w:rFonts w:cs="Calibri"/>
          <w:sz w:val="24"/>
          <w:szCs w:val="24"/>
        </w:rPr>
        <w:t>Z tohoto počtu:</w:t>
      </w:r>
    </w:p>
    <w:p w:rsidR="003023F4" w:rsidRPr="00312DD5" w:rsidRDefault="00143905" w:rsidP="00312DD5">
      <w:pPr>
        <w:pStyle w:val="Odstavecseseznamem"/>
        <w:numPr>
          <w:ilvl w:val="0"/>
          <w:numId w:val="4"/>
        </w:numPr>
        <w:jc w:val="both"/>
        <w:rPr>
          <w:rFonts w:cs="Calibri"/>
          <w:sz w:val="24"/>
          <w:szCs w:val="24"/>
        </w:rPr>
      </w:pPr>
      <w:r w:rsidRPr="00312DD5">
        <w:rPr>
          <w:rFonts w:cs="Calibri"/>
          <w:sz w:val="24"/>
          <w:szCs w:val="24"/>
        </w:rPr>
        <w:t>byl</w:t>
      </w:r>
      <w:r w:rsidR="00007E1B" w:rsidRPr="00312DD5">
        <w:rPr>
          <w:rFonts w:cs="Calibri"/>
          <w:sz w:val="24"/>
          <w:szCs w:val="24"/>
        </w:rPr>
        <w:t> </w:t>
      </w:r>
      <w:r w:rsidR="00D34F04" w:rsidRPr="00312DD5">
        <w:rPr>
          <w:rFonts w:cs="Calibri"/>
          <w:sz w:val="24"/>
          <w:szCs w:val="24"/>
        </w:rPr>
        <w:t xml:space="preserve">Úřad vlády </w:t>
      </w:r>
      <w:r w:rsidR="002541AF">
        <w:rPr>
          <w:rFonts w:cs="Calibri"/>
          <w:sz w:val="24"/>
          <w:szCs w:val="24"/>
        </w:rPr>
        <w:t xml:space="preserve"> v </w:t>
      </w:r>
      <w:r w:rsidR="00007E1B" w:rsidRPr="00312DD5">
        <w:rPr>
          <w:rFonts w:cs="Calibri"/>
          <w:sz w:val="24"/>
          <w:szCs w:val="24"/>
        </w:rPr>
        <w:t>r.</w:t>
      </w:r>
      <w:r w:rsidR="004A5EB4" w:rsidRPr="00312DD5">
        <w:rPr>
          <w:rFonts w:cs="Calibri"/>
          <w:sz w:val="24"/>
          <w:szCs w:val="24"/>
        </w:rPr>
        <w:t xml:space="preserve"> </w:t>
      </w:r>
      <w:r w:rsidR="00007E1B" w:rsidRPr="00312DD5">
        <w:rPr>
          <w:rFonts w:cs="Calibri"/>
          <w:sz w:val="24"/>
          <w:szCs w:val="24"/>
        </w:rPr>
        <w:t>2013 p</w:t>
      </w:r>
      <w:r w:rsidRPr="00312DD5">
        <w:rPr>
          <w:rFonts w:cs="Calibri"/>
          <w:sz w:val="24"/>
          <w:szCs w:val="24"/>
        </w:rPr>
        <w:t xml:space="preserve">ožádán </w:t>
      </w:r>
      <w:r w:rsidRPr="00312DD5">
        <w:rPr>
          <w:rFonts w:cs="Calibri"/>
          <w:b/>
          <w:sz w:val="24"/>
          <w:szCs w:val="24"/>
        </w:rPr>
        <w:t>o</w:t>
      </w:r>
      <w:r w:rsidR="00007E1B" w:rsidRPr="00312DD5">
        <w:rPr>
          <w:rFonts w:cs="Calibri"/>
          <w:b/>
          <w:sz w:val="24"/>
          <w:szCs w:val="24"/>
        </w:rPr>
        <w:t> </w:t>
      </w:r>
      <w:r w:rsidRPr="00312DD5">
        <w:rPr>
          <w:rFonts w:cs="Calibri"/>
          <w:b/>
          <w:sz w:val="24"/>
          <w:szCs w:val="24"/>
        </w:rPr>
        <w:t xml:space="preserve">udělení výjimky z povinnosti vypracovat hodnocení dopadů regulace </w:t>
      </w:r>
      <w:r w:rsidRPr="00312DD5">
        <w:rPr>
          <w:rFonts w:cs="Calibri"/>
          <w:sz w:val="24"/>
          <w:szCs w:val="24"/>
        </w:rPr>
        <w:t xml:space="preserve">celkem </w:t>
      </w:r>
      <w:r w:rsidR="003023F4" w:rsidRPr="00312DD5">
        <w:rPr>
          <w:rFonts w:cs="Calibri"/>
          <w:b/>
          <w:sz w:val="24"/>
          <w:szCs w:val="24"/>
        </w:rPr>
        <w:t>ve</w:t>
      </w:r>
      <w:r w:rsidR="004A5EB4" w:rsidRPr="00312DD5">
        <w:rPr>
          <w:rFonts w:cs="Calibri"/>
          <w:b/>
          <w:sz w:val="24"/>
          <w:szCs w:val="24"/>
        </w:rPr>
        <w:t> </w:t>
      </w:r>
      <w:r w:rsidR="00086B70">
        <w:rPr>
          <w:rFonts w:cs="Calibri"/>
          <w:b/>
          <w:sz w:val="24"/>
          <w:szCs w:val="24"/>
        </w:rPr>
        <w:t>4</w:t>
      </w:r>
      <w:r w:rsidR="00031627" w:rsidRPr="00312DD5">
        <w:rPr>
          <w:rFonts w:cs="Calibri"/>
          <w:b/>
          <w:sz w:val="24"/>
          <w:szCs w:val="24"/>
        </w:rPr>
        <w:t>1</w:t>
      </w:r>
      <w:r w:rsidR="004A5EB4" w:rsidRPr="00312DD5">
        <w:rPr>
          <w:rFonts w:cs="Calibri"/>
          <w:b/>
          <w:sz w:val="24"/>
          <w:szCs w:val="24"/>
        </w:rPr>
        <w:t> </w:t>
      </w:r>
      <w:r w:rsidR="003023F4" w:rsidRPr="00312DD5">
        <w:rPr>
          <w:rFonts w:cs="Calibri"/>
          <w:b/>
          <w:sz w:val="24"/>
          <w:szCs w:val="24"/>
        </w:rPr>
        <w:t>případech</w:t>
      </w:r>
      <w:r w:rsidR="004A5EB4" w:rsidRPr="00312DD5">
        <w:rPr>
          <w:rFonts w:cs="Calibri"/>
          <w:sz w:val="24"/>
          <w:szCs w:val="24"/>
        </w:rPr>
        <w:t>.</w:t>
      </w:r>
      <w:r w:rsidR="00154789" w:rsidRPr="00312DD5">
        <w:rPr>
          <w:rFonts w:cs="Calibri"/>
          <w:b/>
          <w:sz w:val="24"/>
          <w:szCs w:val="24"/>
        </w:rPr>
        <w:t xml:space="preserve"> </w:t>
      </w:r>
      <w:r w:rsidR="00154789" w:rsidRPr="00312DD5">
        <w:rPr>
          <w:rFonts w:cs="Calibri"/>
          <w:sz w:val="24"/>
          <w:szCs w:val="24"/>
        </w:rPr>
        <w:t>Z</w:t>
      </w:r>
      <w:r w:rsidR="008F04BE" w:rsidRPr="00312DD5">
        <w:rPr>
          <w:rFonts w:cs="Calibri"/>
          <w:sz w:val="24"/>
          <w:szCs w:val="24"/>
        </w:rPr>
        <w:t xml:space="preserve"> </w:t>
      </w:r>
      <w:r w:rsidR="003023F4" w:rsidRPr="00312DD5">
        <w:rPr>
          <w:rFonts w:cs="Calibri"/>
          <w:sz w:val="24"/>
          <w:szCs w:val="24"/>
        </w:rPr>
        <w:t xml:space="preserve">toho </w:t>
      </w:r>
      <w:r w:rsidR="00086B70">
        <w:rPr>
          <w:rFonts w:cs="Calibri"/>
          <w:b/>
          <w:sz w:val="24"/>
          <w:szCs w:val="24"/>
        </w:rPr>
        <w:t>3</w:t>
      </w:r>
      <w:r w:rsidR="003023F4" w:rsidRPr="00312DD5">
        <w:rPr>
          <w:rFonts w:cs="Calibri"/>
          <w:b/>
          <w:sz w:val="24"/>
          <w:szCs w:val="24"/>
        </w:rPr>
        <w:t xml:space="preserve">7 žádostí </w:t>
      </w:r>
      <w:r w:rsidRPr="00312DD5">
        <w:rPr>
          <w:rFonts w:cs="Calibri"/>
          <w:b/>
          <w:sz w:val="24"/>
          <w:szCs w:val="24"/>
        </w:rPr>
        <w:t>bylo vyřízeno kladně</w:t>
      </w:r>
      <w:r w:rsidR="00A946FF">
        <w:rPr>
          <w:rFonts w:cs="Calibri"/>
          <w:b/>
          <w:sz w:val="24"/>
          <w:szCs w:val="24"/>
        </w:rPr>
        <w:t>,</w:t>
      </w:r>
      <w:r w:rsidR="00154789" w:rsidRPr="00312DD5">
        <w:rPr>
          <w:rFonts w:cs="Calibri"/>
          <w:sz w:val="24"/>
          <w:szCs w:val="24"/>
        </w:rPr>
        <w:t xml:space="preserve"> v</w:t>
      </w:r>
      <w:r w:rsidRPr="00312DD5">
        <w:rPr>
          <w:rFonts w:cs="Calibri"/>
          <w:sz w:val="24"/>
          <w:szCs w:val="24"/>
        </w:rPr>
        <w:t xml:space="preserve">e </w:t>
      </w:r>
      <w:r w:rsidR="00632659" w:rsidRPr="00312DD5">
        <w:rPr>
          <w:rFonts w:cs="Calibri"/>
          <w:sz w:val="24"/>
          <w:szCs w:val="24"/>
        </w:rPr>
        <w:t xml:space="preserve">4 </w:t>
      </w:r>
      <w:r w:rsidR="003023F4" w:rsidRPr="00312DD5">
        <w:rPr>
          <w:rFonts w:cs="Calibri"/>
          <w:sz w:val="24"/>
          <w:szCs w:val="24"/>
        </w:rPr>
        <w:t xml:space="preserve">případech byla výjimka udělena pouze z variantního řešení, nikoliv z celkového provedení RIA, tzn., </w:t>
      </w:r>
      <w:r w:rsidRPr="00312DD5">
        <w:rPr>
          <w:rFonts w:cs="Calibri"/>
          <w:sz w:val="24"/>
          <w:szCs w:val="24"/>
        </w:rPr>
        <w:t xml:space="preserve">že zpracovatel </w:t>
      </w:r>
      <w:r w:rsidR="003023F4" w:rsidRPr="00312DD5">
        <w:rPr>
          <w:rFonts w:cs="Calibri"/>
          <w:sz w:val="24"/>
          <w:szCs w:val="24"/>
        </w:rPr>
        <w:t xml:space="preserve">měl provést minimálně </w:t>
      </w:r>
      <w:r w:rsidRPr="00312DD5">
        <w:rPr>
          <w:rFonts w:cs="Calibri"/>
          <w:sz w:val="24"/>
          <w:szCs w:val="24"/>
        </w:rPr>
        <w:t xml:space="preserve">alespoň konzultace </w:t>
      </w:r>
      <w:r w:rsidR="003023F4" w:rsidRPr="00312DD5">
        <w:rPr>
          <w:rFonts w:cs="Calibri"/>
          <w:sz w:val="24"/>
          <w:szCs w:val="24"/>
        </w:rPr>
        <w:t>s dotčenými subjekty a vyhodnotit</w:t>
      </w:r>
      <w:r w:rsidRPr="00312DD5">
        <w:rPr>
          <w:rFonts w:cs="Calibri"/>
          <w:sz w:val="24"/>
          <w:szCs w:val="24"/>
        </w:rPr>
        <w:t xml:space="preserve"> náklady a přínosy u</w:t>
      </w:r>
      <w:r w:rsidR="001501E9">
        <w:rPr>
          <w:rFonts w:cs="Calibri"/>
          <w:sz w:val="24"/>
          <w:szCs w:val="24"/>
        </w:rPr>
        <w:t> </w:t>
      </w:r>
      <w:r w:rsidRPr="00312DD5">
        <w:rPr>
          <w:rFonts w:cs="Calibri"/>
          <w:sz w:val="24"/>
          <w:szCs w:val="24"/>
        </w:rPr>
        <w:t>realizované varianty</w:t>
      </w:r>
      <w:r w:rsidR="00F573D1">
        <w:rPr>
          <w:rFonts w:cs="Calibri"/>
          <w:sz w:val="24"/>
          <w:szCs w:val="24"/>
        </w:rPr>
        <w:t>.</w:t>
      </w:r>
      <w:r w:rsidR="008F04BE" w:rsidRPr="00312DD5">
        <w:rPr>
          <w:rFonts w:cs="Calibri"/>
          <w:sz w:val="24"/>
          <w:szCs w:val="24"/>
        </w:rPr>
        <w:t xml:space="preserve"> </w:t>
      </w:r>
      <w:r w:rsidRPr="00312DD5">
        <w:rPr>
          <w:rFonts w:cs="Calibri"/>
          <w:sz w:val="24"/>
          <w:szCs w:val="24"/>
        </w:rPr>
        <w:t>V</w:t>
      </w:r>
      <w:r w:rsidR="003023F4" w:rsidRPr="00312DD5">
        <w:rPr>
          <w:rFonts w:cs="Calibri"/>
          <w:sz w:val="24"/>
          <w:szCs w:val="24"/>
        </w:rPr>
        <w:t xml:space="preserve"> 18</w:t>
      </w:r>
      <w:r w:rsidRPr="00312DD5">
        <w:rPr>
          <w:rFonts w:cs="Calibri"/>
          <w:sz w:val="24"/>
          <w:szCs w:val="24"/>
        </w:rPr>
        <w:t xml:space="preserve"> případech byly důvodem pro udělení výjimky změny technického charakteru, ve </w:t>
      </w:r>
      <w:r w:rsidR="003023F4" w:rsidRPr="00312DD5">
        <w:rPr>
          <w:rFonts w:cs="Calibri"/>
          <w:sz w:val="24"/>
          <w:szCs w:val="24"/>
        </w:rPr>
        <w:t>2</w:t>
      </w:r>
      <w:r w:rsidRPr="00312DD5">
        <w:rPr>
          <w:rFonts w:cs="Calibri"/>
          <w:sz w:val="24"/>
          <w:szCs w:val="24"/>
        </w:rPr>
        <w:t xml:space="preserve"> případech se jednalo o předpisy představující legislativně technické úpravy navazují</w:t>
      </w:r>
      <w:r w:rsidR="00BB77B6" w:rsidRPr="00312DD5">
        <w:rPr>
          <w:rFonts w:cs="Calibri"/>
          <w:sz w:val="24"/>
          <w:szCs w:val="24"/>
        </w:rPr>
        <w:t>cí</w:t>
      </w:r>
      <w:r w:rsidRPr="00312DD5">
        <w:rPr>
          <w:rFonts w:cs="Calibri"/>
          <w:sz w:val="24"/>
          <w:szCs w:val="24"/>
        </w:rPr>
        <w:t xml:space="preserve"> na zákony obsahující hlavní věcnou úpravu, ke které již byl</w:t>
      </w:r>
      <w:r w:rsidR="003023F4" w:rsidRPr="00312DD5">
        <w:rPr>
          <w:rFonts w:cs="Calibri"/>
          <w:sz w:val="24"/>
          <w:szCs w:val="24"/>
        </w:rPr>
        <w:t>a</w:t>
      </w:r>
      <w:r w:rsidRPr="00312DD5">
        <w:rPr>
          <w:rFonts w:cs="Calibri"/>
          <w:sz w:val="24"/>
          <w:szCs w:val="24"/>
        </w:rPr>
        <w:t xml:space="preserve"> provedena RIA</w:t>
      </w:r>
      <w:r w:rsidR="00BB77B6" w:rsidRPr="00312DD5">
        <w:rPr>
          <w:rFonts w:cs="Calibri"/>
          <w:sz w:val="24"/>
          <w:szCs w:val="24"/>
        </w:rPr>
        <w:t>,</w:t>
      </w:r>
      <w:r w:rsidRPr="00312DD5">
        <w:rPr>
          <w:rFonts w:cs="Calibri"/>
          <w:sz w:val="24"/>
          <w:szCs w:val="24"/>
        </w:rPr>
        <w:t xml:space="preserve"> a ve </w:t>
      </w:r>
      <w:r w:rsidR="00632659" w:rsidRPr="00312DD5">
        <w:rPr>
          <w:rFonts w:cs="Calibri"/>
          <w:sz w:val="24"/>
          <w:szCs w:val="24"/>
        </w:rPr>
        <w:t xml:space="preserve">3 </w:t>
      </w:r>
      <w:r w:rsidRPr="00312DD5">
        <w:rPr>
          <w:rFonts w:cs="Calibri"/>
          <w:sz w:val="24"/>
          <w:szCs w:val="24"/>
        </w:rPr>
        <w:t>případech se jednalo o</w:t>
      </w:r>
      <w:r w:rsidR="00632659" w:rsidRPr="00312DD5">
        <w:rPr>
          <w:rFonts w:cs="Calibri"/>
          <w:sz w:val="24"/>
          <w:szCs w:val="24"/>
        </w:rPr>
        <w:t> </w:t>
      </w:r>
      <w:r w:rsidR="003023F4" w:rsidRPr="00312DD5">
        <w:rPr>
          <w:rFonts w:cs="Calibri"/>
          <w:sz w:val="24"/>
          <w:szCs w:val="24"/>
        </w:rPr>
        <w:t xml:space="preserve">čistou implementaci </w:t>
      </w:r>
      <w:r w:rsidRPr="00312DD5">
        <w:rPr>
          <w:rFonts w:cs="Calibri"/>
          <w:sz w:val="24"/>
          <w:szCs w:val="24"/>
        </w:rPr>
        <w:t>práva EU</w:t>
      </w:r>
      <w:r w:rsidR="003023F4" w:rsidRPr="00312DD5">
        <w:rPr>
          <w:rFonts w:cs="Calibri"/>
          <w:sz w:val="24"/>
          <w:szCs w:val="24"/>
        </w:rPr>
        <w:t>, kde není dána možnost diskrece a současně návrh implementačního předpisu nejde nad rámec požadavků práva EU</w:t>
      </w:r>
      <w:r w:rsidRPr="00312DD5">
        <w:rPr>
          <w:rFonts w:cs="Calibri"/>
          <w:sz w:val="24"/>
          <w:szCs w:val="24"/>
        </w:rPr>
        <w:t>.</w:t>
      </w:r>
      <w:r w:rsidR="008F04BE" w:rsidRPr="00312DD5">
        <w:rPr>
          <w:rFonts w:cs="Calibri"/>
          <w:sz w:val="24"/>
          <w:szCs w:val="24"/>
        </w:rPr>
        <w:t xml:space="preserve"> Ve </w:t>
      </w:r>
      <w:r w:rsidR="008F04BE" w:rsidRPr="00312DD5">
        <w:rPr>
          <w:rFonts w:cs="Calibri"/>
          <w:b/>
          <w:sz w:val="24"/>
          <w:szCs w:val="24"/>
        </w:rPr>
        <w:t>4 případech byla výjimka zcela zamítnuta jako neodůvodněná</w:t>
      </w:r>
      <w:r w:rsidR="008F04BE" w:rsidRPr="00312DD5">
        <w:rPr>
          <w:rFonts w:cs="Calibri"/>
          <w:sz w:val="24"/>
          <w:szCs w:val="24"/>
        </w:rPr>
        <w:t>.</w:t>
      </w:r>
    </w:p>
    <w:p w:rsidR="001501E9" w:rsidRPr="00F81434" w:rsidRDefault="002541AF" w:rsidP="00A946FF">
      <w:pPr>
        <w:pStyle w:val="Odstavecseseznamem"/>
        <w:numPr>
          <w:ilvl w:val="0"/>
          <w:numId w:val="4"/>
        </w:numPr>
        <w:spacing w:after="0" w:line="240" w:lineRule="auto"/>
        <w:jc w:val="both"/>
        <w:rPr>
          <w:rFonts w:cs="Calibri"/>
          <w:sz w:val="24"/>
          <w:szCs w:val="24"/>
        </w:rPr>
      </w:pPr>
      <w:r>
        <w:rPr>
          <w:rFonts w:cs="Calibri"/>
          <w:sz w:val="24"/>
          <w:szCs w:val="24"/>
        </w:rPr>
        <w:t>u</w:t>
      </w:r>
      <w:r w:rsidR="00F46523" w:rsidRPr="00F81434">
        <w:rPr>
          <w:rFonts w:cs="Calibri"/>
          <w:sz w:val="24"/>
          <w:szCs w:val="24"/>
        </w:rPr>
        <w:t xml:space="preserve"> zbývajících </w:t>
      </w:r>
      <w:r w:rsidR="00F46523" w:rsidRPr="00F81434">
        <w:rPr>
          <w:rFonts w:cs="Calibri"/>
          <w:b/>
          <w:sz w:val="24"/>
          <w:szCs w:val="24"/>
        </w:rPr>
        <w:t>1</w:t>
      </w:r>
      <w:r w:rsidR="00BC28C1" w:rsidRPr="00F81434">
        <w:rPr>
          <w:rFonts w:cs="Calibri"/>
          <w:b/>
          <w:sz w:val="24"/>
          <w:szCs w:val="24"/>
        </w:rPr>
        <w:t>3</w:t>
      </w:r>
      <w:r w:rsidR="006F6307" w:rsidRPr="00F81434">
        <w:rPr>
          <w:rFonts w:cs="Calibri"/>
          <w:sz w:val="24"/>
          <w:szCs w:val="24"/>
        </w:rPr>
        <w:t xml:space="preserve"> návrhů právních předpisů </w:t>
      </w:r>
      <w:r w:rsidR="006F6307" w:rsidRPr="00F81434">
        <w:rPr>
          <w:rFonts w:cs="Calibri"/>
          <w:b/>
          <w:sz w:val="24"/>
          <w:szCs w:val="24"/>
        </w:rPr>
        <w:t>nebyla zpracována RIA v rozporu s Obecnými zásadami</w:t>
      </w:r>
      <w:r w:rsidR="006F6307" w:rsidRPr="00F81434">
        <w:rPr>
          <w:rFonts w:cs="Calibri"/>
          <w:sz w:val="24"/>
          <w:szCs w:val="24"/>
        </w:rPr>
        <w:t xml:space="preserve">, jelikož předkladateli nebyla udělena žádná výjimka. </w:t>
      </w:r>
      <w:r w:rsidR="001501E9" w:rsidRPr="00F81434">
        <w:rPr>
          <w:rFonts w:cs="Calibri"/>
          <w:sz w:val="24"/>
          <w:szCs w:val="24"/>
        </w:rPr>
        <w:br w:type="page"/>
      </w:r>
    </w:p>
    <w:p w:rsidR="001501E9" w:rsidRPr="00EB3D4E" w:rsidRDefault="001501E9" w:rsidP="001501E9">
      <w:pPr>
        <w:spacing w:after="600"/>
        <w:jc w:val="both"/>
        <w:rPr>
          <w:rFonts w:cs="Calibri"/>
          <w:b/>
          <w:i/>
        </w:rPr>
      </w:pPr>
      <w:r w:rsidRPr="00EB3D4E">
        <w:rPr>
          <w:rFonts w:cs="Calibri"/>
          <w:b/>
          <w:i/>
        </w:rPr>
        <w:lastRenderedPageBreak/>
        <w:t xml:space="preserve">Tabulka č. 1: </w:t>
      </w:r>
      <w:r>
        <w:rPr>
          <w:rFonts w:cs="Calibri"/>
          <w:b/>
          <w:i/>
        </w:rPr>
        <w:t>Důvody pro nezpracování RIA u vládních návrhů právních předpisů předložených v r.</w:t>
      </w:r>
      <w:r w:rsidR="00886C3B">
        <w:rPr>
          <w:rFonts w:cs="Calibri"/>
          <w:b/>
          <w:i/>
        </w:rPr>
        <w:t> </w:t>
      </w:r>
      <w:r>
        <w:rPr>
          <w:rFonts w:cs="Calibri"/>
          <w:b/>
          <w:i/>
        </w:rPr>
        <w:t>2013</w:t>
      </w:r>
    </w:p>
    <w:tbl>
      <w:tblPr>
        <w:tblW w:w="5200" w:type="dxa"/>
        <w:jc w:val="center"/>
        <w:tblInd w:w="55" w:type="dxa"/>
        <w:tblCellMar>
          <w:left w:w="70" w:type="dxa"/>
          <w:right w:w="70" w:type="dxa"/>
        </w:tblCellMar>
        <w:tblLook w:val="04A0" w:firstRow="1" w:lastRow="0" w:firstColumn="1" w:lastColumn="0" w:noHBand="0" w:noVBand="1"/>
      </w:tblPr>
      <w:tblGrid>
        <w:gridCol w:w="3480"/>
        <w:gridCol w:w="1720"/>
      </w:tblGrid>
      <w:tr w:rsidR="001501E9" w:rsidRPr="00570703" w:rsidTr="0072070D">
        <w:trPr>
          <w:trHeight w:val="780"/>
          <w:jc w:val="center"/>
        </w:trPr>
        <w:tc>
          <w:tcPr>
            <w:tcW w:w="3480" w:type="dxa"/>
            <w:tcBorders>
              <w:top w:val="single" w:sz="4" w:space="0" w:color="auto"/>
              <w:left w:val="single" w:sz="4" w:space="0" w:color="auto"/>
              <w:bottom w:val="double" w:sz="6" w:space="0" w:color="auto"/>
              <w:right w:val="single" w:sz="4" w:space="0" w:color="auto"/>
            </w:tcBorders>
            <w:shd w:val="clear" w:color="000000" w:fill="B2A1C7"/>
            <w:vAlign w:val="center"/>
          </w:tcPr>
          <w:p w:rsidR="001501E9" w:rsidRPr="00447B49" w:rsidRDefault="001501E9" w:rsidP="0072070D">
            <w:pPr>
              <w:spacing w:after="0" w:line="240" w:lineRule="auto"/>
              <w:jc w:val="both"/>
              <w:rPr>
                <w:rFonts w:ascii="Arial" w:hAnsi="Arial" w:cs="Arial"/>
                <w:b/>
                <w:color w:val="000000"/>
                <w:sz w:val="20"/>
                <w:szCs w:val="20"/>
              </w:rPr>
            </w:pPr>
            <w:r>
              <w:rPr>
                <w:rFonts w:ascii="Arial" w:hAnsi="Arial" w:cs="Arial"/>
                <w:b/>
                <w:color w:val="000000"/>
                <w:sz w:val="20"/>
                <w:szCs w:val="20"/>
              </w:rPr>
              <w:t>Vládní předpisy zpracované bez RIA</w:t>
            </w:r>
          </w:p>
        </w:tc>
        <w:tc>
          <w:tcPr>
            <w:tcW w:w="1720" w:type="dxa"/>
            <w:tcBorders>
              <w:top w:val="single" w:sz="4" w:space="0" w:color="auto"/>
              <w:left w:val="nil"/>
              <w:bottom w:val="double" w:sz="6" w:space="0" w:color="auto"/>
              <w:right w:val="single" w:sz="4" w:space="0" w:color="auto"/>
            </w:tcBorders>
            <w:shd w:val="clear" w:color="000000" w:fill="B2A1C7"/>
            <w:vAlign w:val="center"/>
          </w:tcPr>
          <w:p w:rsidR="001501E9" w:rsidRPr="00447B49" w:rsidRDefault="001501E9" w:rsidP="0072070D">
            <w:pPr>
              <w:spacing w:after="0" w:line="240" w:lineRule="auto"/>
              <w:jc w:val="both"/>
              <w:rPr>
                <w:rFonts w:ascii="Arial" w:hAnsi="Arial" w:cs="Arial"/>
                <w:b/>
                <w:color w:val="000000"/>
                <w:sz w:val="20"/>
                <w:szCs w:val="20"/>
              </w:rPr>
            </w:pPr>
            <w:r w:rsidRPr="00447B49">
              <w:rPr>
                <w:rFonts w:ascii="Arial" w:hAnsi="Arial" w:cs="Arial"/>
                <w:b/>
                <w:color w:val="000000"/>
                <w:sz w:val="20"/>
                <w:szCs w:val="20"/>
              </w:rPr>
              <w:t xml:space="preserve">Počet </w:t>
            </w:r>
          </w:p>
        </w:tc>
      </w:tr>
      <w:tr w:rsidR="001501E9" w:rsidRPr="00570703" w:rsidTr="0072070D">
        <w:trPr>
          <w:trHeight w:val="570"/>
          <w:jc w:val="center"/>
        </w:trPr>
        <w:tc>
          <w:tcPr>
            <w:tcW w:w="3480" w:type="dxa"/>
            <w:tcBorders>
              <w:top w:val="double" w:sz="6" w:space="0" w:color="auto"/>
              <w:left w:val="single" w:sz="4" w:space="0" w:color="auto"/>
              <w:bottom w:val="single" w:sz="4" w:space="0" w:color="auto"/>
              <w:right w:val="single" w:sz="4" w:space="0" w:color="auto"/>
            </w:tcBorders>
            <w:shd w:val="clear" w:color="DCE6F1" w:fill="E5DFEC"/>
            <w:vAlign w:val="center"/>
          </w:tcPr>
          <w:p w:rsidR="001501E9" w:rsidRPr="00570703" w:rsidRDefault="001501E9" w:rsidP="0072070D">
            <w:pPr>
              <w:spacing w:after="0" w:line="240" w:lineRule="auto"/>
              <w:jc w:val="both"/>
              <w:rPr>
                <w:rFonts w:ascii="Arial" w:hAnsi="Arial" w:cs="Arial"/>
                <w:color w:val="000000"/>
                <w:sz w:val="20"/>
                <w:szCs w:val="20"/>
              </w:rPr>
            </w:pPr>
            <w:r>
              <w:rPr>
                <w:rFonts w:ascii="Arial" w:hAnsi="Arial" w:cs="Arial"/>
                <w:color w:val="000000"/>
                <w:sz w:val="20"/>
                <w:szCs w:val="20"/>
              </w:rPr>
              <w:t>Na základě řádné výjimky</w:t>
            </w:r>
          </w:p>
        </w:tc>
        <w:tc>
          <w:tcPr>
            <w:tcW w:w="1720" w:type="dxa"/>
            <w:tcBorders>
              <w:top w:val="double" w:sz="6" w:space="0" w:color="auto"/>
              <w:left w:val="single" w:sz="4" w:space="0" w:color="auto"/>
              <w:bottom w:val="single" w:sz="4" w:space="0" w:color="auto"/>
              <w:right w:val="single" w:sz="4" w:space="0" w:color="auto"/>
            </w:tcBorders>
            <w:shd w:val="clear" w:color="DCE6F1" w:fill="E5DFEC"/>
            <w:vAlign w:val="center"/>
          </w:tcPr>
          <w:p w:rsidR="001501E9" w:rsidRPr="00570703" w:rsidRDefault="001501E9" w:rsidP="0072070D">
            <w:pPr>
              <w:spacing w:after="0" w:line="240" w:lineRule="auto"/>
              <w:jc w:val="both"/>
              <w:rPr>
                <w:rFonts w:ascii="Arial" w:hAnsi="Arial" w:cs="Arial"/>
                <w:color w:val="000000"/>
                <w:sz w:val="20"/>
                <w:szCs w:val="20"/>
              </w:rPr>
            </w:pPr>
            <w:r>
              <w:rPr>
                <w:rFonts w:ascii="Arial" w:hAnsi="Arial" w:cs="Arial"/>
                <w:color w:val="000000"/>
                <w:sz w:val="20"/>
                <w:szCs w:val="20"/>
              </w:rPr>
              <w:t>37</w:t>
            </w:r>
          </w:p>
        </w:tc>
      </w:tr>
      <w:tr w:rsidR="001501E9" w:rsidRPr="00570703" w:rsidTr="0072070D">
        <w:trPr>
          <w:trHeight w:val="751"/>
          <w:jc w:val="center"/>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tcPr>
          <w:p w:rsidR="001501E9" w:rsidRPr="00312DD5" w:rsidRDefault="001501E9" w:rsidP="00A946FF">
            <w:pPr>
              <w:spacing w:after="0" w:line="240" w:lineRule="auto"/>
              <w:jc w:val="both"/>
              <w:rPr>
                <w:rFonts w:ascii="Arial" w:hAnsi="Arial" w:cs="Arial"/>
                <w:color w:val="000000"/>
                <w:sz w:val="20"/>
                <w:szCs w:val="20"/>
              </w:rPr>
            </w:pPr>
            <w:r w:rsidRPr="00312DD5">
              <w:rPr>
                <w:rFonts w:ascii="Arial" w:hAnsi="Arial" w:cs="Arial"/>
                <w:color w:val="000000"/>
                <w:sz w:val="20"/>
                <w:szCs w:val="20"/>
              </w:rPr>
              <w:t xml:space="preserve">Na základě usnesení vlády v rámci schvalování </w:t>
            </w:r>
            <w:r w:rsidR="009A7057">
              <w:rPr>
                <w:rFonts w:ascii="Arial" w:hAnsi="Arial" w:cs="Arial"/>
                <w:color w:val="000000"/>
                <w:sz w:val="20"/>
                <w:szCs w:val="20"/>
              </w:rPr>
              <w:t>P</w:t>
            </w:r>
            <w:r w:rsidRPr="00312DD5">
              <w:rPr>
                <w:rFonts w:ascii="Arial" w:hAnsi="Arial" w:cs="Arial"/>
                <w:color w:val="000000"/>
                <w:sz w:val="20"/>
                <w:szCs w:val="20"/>
              </w:rPr>
              <w:t xml:space="preserve">lánu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1501E9" w:rsidRPr="00312DD5" w:rsidRDefault="001501E9" w:rsidP="0072070D">
            <w:pPr>
              <w:spacing w:after="0" w:line="240" w:lineRule="auto"/>
              <w:jc w:val="both"/>
              <w:rPr>
                <w:rFonts w:ascii="Arial" w:hAnsi="Arial" w:cs="Arial"/>
                <w:color w:val="000000"/>
                <w:sz w:val="20"/>
                <w:szCs w:val="20"/>
              </w:rPr>
            </w:pPr>
            <w:r w:rsidRPr="00312DD5">
              <w:rPr>
                <w:rFonts w:ascii="Arial" w:hAnsi="Arial" w:cs="Arial"/>
                <w:color w:val="000000"/>
                <w:sz w:val="20"/>
                <w:szCs w:val="20"/>
              </w:rPr>
              <w:t>24</w:t>
            </w:r>
          </w:p>
        </w:tc>
      </w:tr>
      <w:tr w:rsidR="001501E9" w:rsidRPr="00570703" w:rsidTr="0072070D">
        <w:trPr>
          <w:trHeight w:val="570"/>
          <w:jc w:val="center"/>
        </w:trPr>
        <w:tc>
          <w:tcPr>
            <w:tcW w:w="3480" w:type="dxa"/>
            <w:tcBorders>
              <w:top w:val="single" w:sz="4" w:space="0" w:color="auto"/>
              <w:left w:val="single" w:sz="4" w:space="0" w:color="auto"/>
              <w:bottom w:val="single" w:sz="4" w:space="0" w:color="auto"/>
              <w:right w:val="single" w:sz="4" w:space="0" w:color="auto"/>
            </w:tcBorders>
            <w:shd w:val="clear" w:color="DCE6F1" w:fill="E5DFEC"/>
            <w:vAlign w:val="center"/>
          </w:tcPr>
          <w:p w:rsidR="001501E9" w:rsidRPr="00312DD5" w:rsidRDefault="001501E9" w:rsidP="00FF477F">
            <w:pPr>
              <w:spacing w:after="0" w:line="240" w:lineRule="auto"/>
              <w:jc w:val="both"/>
              <w:rPr>
                <w:rFonts w:ascii="Arial" w:hAnsi="Arial" w:cs="Arial"/>
                <w:color w:val="000000"/>
                <w:sz w:val="20"/>
                <w:szCs w:val="20"/>
              </w:rPr>
            </w:pPr>
            <w:r>
              <w:rPr>
                <w:rFonts w:ascii="Arial" w:hAnsi="Arial" w:cs="Arial"/>
                <w:color w:val="000000"/>
                <w:sz w:val="20"/>
                <w:szCs w:val="20"/>
              </w:rPr>
              <w:t>B</w:t>
            </w:r>
            <w:r w:rsidRPr="00312DD5">
              <w:rPr>
                <w:rFonts w:ascii="Arial" w:hAnsi="Arial" w:cs="Arial"/>
                <w:color w:val="000000"/>
                <w:sz w:val="20"/>
                <w:szCs w:val="20"/>
              </w:rPr>
              <w:t>ez řádné výjimky</w:t>
            </w:r>
          </w:p>
        </w:tc>
        <w:tc>
          <w:tcPr>
            <w:tcW w:w="1720" w:type="dxa"/>
            <w:tcBorders>
              <w:top w:val="single" w:sz="4" w:space="0" w:color="auto"/>
              <w:left w:val="single" w:sz="4" w:space="0" w:color="auto"/>
              <w:bottom w:val="single" w:sz="4" w:space="0" w:color="auto"/>
              <w:right w:val="single" w:sz="4" w:space="0" w:color="auto"/>
            </w:tcBorders>
            <w:shd w:val="clear" w:color="DCE6F1" w:fill="E5DFEC"/>
            <w:vAlign w:val="center"/>
          </w:tcPr>
          <w:p w:rsidR="001501E9" w:rsidRPr="00312DD5" w:rsidRDefault="001501E9" w:rsidP="00FF477F">
            <w:pPr>
              <w:spacing w:after="0" w:line="240" w:lineRule="auto"/>
              <w:jc w:val="both"/>
              <w:rPr>
                <w:rFonts w:ascii="Arial" w:hAnsi="Arial" w:cs="Arial"/>
                <w:color w:val="000000"/>
                <w:sz w:val="20"/>
                <w:szCs w:val="20"/>
              </w:rPr>
            </w:pPr>
            <w:r w:rsidRPr="00312DD5">
              <w:rPr>
                <w:rFonts w:ascii="Arial" w:hAnsi="Arial" w:cs="Arial"/>
                <w:color w:val="000000"/>
                <w:sz w:val="20"/>
                <w:szCs w:val="20"/>
              </w:rPr>
              <w:t>13</w:t>
            </w:r>
          </w:p>
        </w:tc>
      </w:tr>
      <w:tr w:rsidR="001501E9" w:rsidRPr="00570703" w:rsidTr="0072070D">
        <w:trPr>
          <w:trHeight w:val="570"/>
          <w:jc w:val="center"/>
        </w:trPr>
        <w:tc>
          <w:tcPr>
            <w:tcW w:w="3480" w:type="dxa"/>
            <w:tcBorders>
              <w:top w:val="single" w:sz="4" w:space="0" w:color="auto"/>
              <w:left w:val="single" w:sz="4" w:space="0" w:color="auto"/>
              <w:bottom w:val="single" w:sz="4" w:space="0" w:color="auto"/>
              <w:right w:val="single" w:sz="4" w:space="0" w:color="auto"/>
            </w:tcBorders>
            <w:shd w:val="clear" w:color="auto" w:fill="B2A1C7"/>
            <w:vAlign w:val="center"/>
          </w:tcPr>
          <w:p w:rsidR="001501E9" w:rsidRPr="00886C3B" w:rsidRDefault="001501E9" w:rsidP="0072070D">
            <w:pPr>
              <w:spacing w:after="0" w:line="240" w:lineRule="auto"/>
              <w:jc w:val="both"/>
              <w:rPr>
                <w:rFonts w:ascii="Arial" w:hAnsi="Arial" w:cs="Arial"/>
                <w:b/>
                <w:bCs/>
                <w:iCs/>
                <w:color w:val="000000"/>
                <w:sz w:val="20"/>
                <w:szCs w:val="20"/>
              </w:rPr>
            </w:pPr>
            <w:r w:rsidRPr="00886C3B">
              <w:rPr>
                <w:rFonts w:ascii="Arial" w:hAnsi="Arial" w:cs="Arial"/>
                <w:b/>
                <w:bCs/>
                <w:iCs/>
                <w:color w:val="000000"/>
                <w:sz w:val="20"/>
                <w:szCs w:val="20"/>
              </w:rPr>
              <w:t>Celkem</w:t>
            </w:r>
          </w:p>
        </w:tc>
        <w:tc>
          <w:tcPr>
            <w:tcW w:w="1720" w:type="dxa"/>
            <w:tcBorders>
              <w:top w:val="single" w:sz="4" w:space="0" w:color="auto"/>
              <w:left w:val="single" w:sz="4" w:space="0" w:color="auto"/>
              <w:bottom w:val="single" w:sz="4" w:space="0" w:color="auto"/>
              <w:right w:val="single" w:sz="4" w:space="0" w:color="auto"/>
            </w:tcBorders>
            <w:shd w:val="clear" w:color="auto" w:fill="B2A1C7"/>
            <w:vAlign w:val="center"/>
          </w:tcPr>
          <w:p w:rsidR="001501E9" w:rsidRPr="00886C3B" w:rsidRDefault="001501E9" w:rsidP="0072070D">
            <w:pPr>
              <w:spacing w:after="0" w:line="240" w:lineRule="auto"/>
              <w:jc w:val="both"/>
              <w:rPr>
                <w:rFonts w:ascii="Arial" w:hAnsi="Arial" w:cs="Arial"/>
                <w:b/>
                <w:bCs/>
                <w:iCs/>
                <w:color w:val="000000"/>
                <w:sz w:val="20"/>
                <w:szCs w:val="20"/>
              </w:rPr>
            </w:pPr>
            <w:r w:rsidRPr="00886C3B">
              <w:rPr>
                <w:rFonts w:ascii="Arial" w:hAnsi="Arial" w:cs="Arial"/>
                <w:b/>
                <w:bCs/>
                <w:iCs/>
                <w:color w:val="000000"/>
                <w:sz w:val="20"/>
                <w:szCs w:val="20"/>
              </w:rPr>
              <w:t>74</w:t>
            </w:r>
          </w:p>
        </w:tc>
      </w:tr>
    </w:tbl>
    <w:p w:rsidR="001501E9" w:rsidRPr="00312DD5" w:rsidRDefault="001501E9" w:rsidP="00312DD5">
      <w:pPr>
        <w:jc w:val="both"/>
        <w:rPr>
          <w:rFonts w:cs="Calibri"/>
          <w:sz w:val="24"/>
          <w:szCs w:val="24"/>
        </w:rPr>
      </w:pPr>
    </w:p>
    <w:p w:rsidR="006A20CF" w:rsidRDefault="006A20CF">
      <w:pPr>
        <w:spacing w:after="0" w:line="240" w:lineRule="auto"/>
        <w:rPr>
          <w:rFonts w:cs="Calibri"/>
          <w:i/>
        </w:rPr>
      </w:pPr>
    </w:p>
    <w:p w:rsidR="001E1060" w:rsidRPr="00312DD5" w:rsidRDefault="001E1060" w:rsidP="001E1060">
      <w:pPr>
        <w:spacing w:after="600"/>
        <w:jc w:val="both"/>
        <w:rPr>
          <w:rFonts w:cs="Calibri"/>
          <w:b/>
          <w:i/>
        </w:rPr>
      </w:pPr>
      <w:r w:rsidRPr="00312DD5">
        <w:rPr>
          <w:rFonts w:cs="Calibri"/>
          <w:b/>
          <w:i/>
        </w:rPr>
        <w:t>Tabulka</w:t>
      </w:r>
      <w:r w:rsidR="006A20CF" w:rsidRPr="00312DD5">
        <w:rPr>
          <w:rFonts w:cs="Calibri"/>
          <w:b/>
          <w:i/>
        </w:rPr>
        <w:t xml:space="preserve"> č. </w:t>
      </w:r>
      <w:r w:rsidR="001501E9">
        <w:rPr>
          <w:rFonts w:cs="Calibri"/>
          <w:b/>
          <w:i/>
        </w:rPr>
        <w:t>2</w:t>
      </w:r>
      <w:r w:rsidR="00642CA9">
        <w:rPr>
          <w:rFonts w:cs="Calibri"/>
          <w:b/>
          <w:i/>
        </w:rPr>
        <w:t xml:space="preserve">: Celkový přehled </w:t>
      </w:r>
      <w:r w:rsidRPr="00312DD5">
        <w:rPr>
          <w:rFonts w:cs="Calibri"/>
          <w:b/>
          <w:i/>
        </w:rPr>
        <w:t xml:space="preserve">projednávaných návrhů právních předpisů </w:t>
      </w:r>
      <w:r w:rsidR="009A7057">
        <w:rPr>
          <w:rFonts w:cs="Calibri"/>
          <w:b/>
          <w:i/>
        </w:rPr>
        <w:t xml:space="preserve">v ČR </w:t>
      </w:r>
      <w:r w:rsidRPr="00312DD5">
        <w:rPr>
          <w:rFonts w:cs="Calibri"/>
          <w:b/>
          <w:i/>
        </w:rPr>
        <w:t xml:space="preserve">v r. </w:t>
      </w:r>
      <w:r w:rsidR="00CE3F38" w:rsidRPr="00312DD5">
        <w:rPr>
          <w:rFonts w:cs="Calibri"/>
          <w:b/>
          <w:i/>
        </w:rPr>
        <w:t>2013</w:t>
      </w:r>
    </w:p>
    <w:tbl>
      <w:tblPr>
        <w:tblW w:w="5200" w:type="dxa"/>
        <w:jc w:val="center"/>
        <w:tblInd w:w="55" w:type="dxa"/>
        <w:tblCellMar>
          <w:left w:w="70" w:type="dxa"/>
          <w:right w:w="70" w:type="dxa"/>
        </w:tblCellMar>
        <w:tblLook w:val="04A0" w:firstRow="1" w:lastRow="0" w:firstColumn="1" w:lastColumn="0" w:noHBand="0" w:noVBand="1"/>
      </w:tblPr>
      <w:tblGrid>
        <w:gridCol w:w="3480"/>
        <w:gridCol w:w="1720"/>
      </w:tblGrid>
      <w:tr w:rsidR="001E1060" w:rsidRPr="00570703" w:rsidTr="00143905">
        <w:trPr>
          <w:trHeight w:val="780"/>
          <w:jc w:val="center"/>
        </w:trPr>
        <w:tc>
          <w:tcPr>
            <w:tcW w:w="3480" w:type="dxa"/>
            <w:tcBorders>
              <w:top w:val="single" w:sz="4" w:space="0" w:color="auto"/>
              <w:left w:val="single" w:sz="4" w:space="0" w:color="auto"/>
              <w:bottom w:val="double" w:sz="6" w:space="0" w:color="auto"/>
              <w:right w:val="single" w:sz="4" w:space="0" w:color="auto"/>
            </w:tcBorders>
            <w:shd w:val="clear" w:color="000000" w:fill="B2A1C7"/>
            <w:vAlign w:val="center"/>
          </w:tcPr>
          <w:p w:rsidR="001E1060" w:rsidRPr="00447B49" w:rsidRDefault="001E1060" w:rsidP="00143905">
            <w:pPr>
              <w:spacing w:after="0" w:line="240" w:lineRule="auto"/>
              <w:jc w:val="both"/>
              <w:rPr>
                <w:rFonts w:ascii="Arial" w:hAnsi="Arial" w:cs="Arial"/>
                <w:b/>
                <w:color w:val="000000"/>
                <w:sz w:val="20"/>
                <w:szCs w:val="20"/>
              </w:rPr>
            </w:pPr>
            <w:r w:rsidRPr="00447B49">
              <w:rPr>
                <w:rFonts w:ascii="Arial" w:hAnsi="Arial" w:cs="Arial"/>
                <w:b/>
                <w:color w:val="000000"/>
                <w:sz w:val="20"/>
                <w:szCs w:val="20"/>
              </w:rPr>
              <w:t>Popis</w:t>
            </w:r>
          </w:p>
        </w:tc>
        <w:tc>
          <w:tcPr>
            <w:tcW w:w="1720" w:type="dxa"/>
            <w:tcBorders>
              <w:top w:val="single" w:sz="4" w:space="0" w:color="auto"/>
              <w:left w:val="nil"/>
              <w:bottom w:val="double" w:sz="6" w:space="0" w:color="auto"/>
              <w:right w:val="single" w:sz="4" w:space="0" w:color="auto"/>
            </w:tcBorders>
            <w:shd w:val="clear" w:color="000000" w:fill="B2A1C7"/>
            <w:vAlign w:val="center"/>
          </w:tcPr>
          <w:p w:rsidR="001E1060" w:rsidRPr="00447B49" w:rsidRDefault="001E1060" w:rsidP="00143905">
            <w:pPr>
              <w:spacing w:after="0" w:line="240" w:lineRule="auto"/>
              <w:jc w:val="both"/>
              <w:rPr>
                <w:rFonts w:ascii="Arial" w:hAnsi="Arial" w:cs="Arial"/>
                <w:b/>
                <w:color w:val="000000"/>
                <w:sz w:val="20"/>
                <w:szCs w:val="20"/>
              </w:rPr>
            </w:pPr>
            <w:r w:rsidRPr="00447B49">
              <w:rPr>
                <w:rFonts w:ascii="Arial" w:hAnsi="Arial" w:cs="Arial"/>
                <w:b/>
                <w:color w:val="000000"/>
                <w:sz w:val="20"/>
                <w:szCs w:val="20"/>
              </w:rPr>
              <w:t xml:space="preserve">Počet </w:t>
            </w:r>
          </w:p>
        </w:tc>
      </w:tr>
      <w:tr w:rsidR="001E1060" w:rsidRPr="00570703" w:rsidTr="00143905">
        <w:trPr>
          <w:trHeight w:val="570"/>
          <w:jc w:val="center"/>
        </w:trPr>
        <w:tc>
          <w:tcPr>
            <w:tcW w:w="3480" w:type="dxa"/>
            <w:tcBorders>
              <w:top w:val="double" w:sz="6" w:space="0" w:color="auto"/>
              <w:left w:val="single" w:sz="4" w:space="0" w:color="auto"/>
              <w:bottom w:val="single" w:sz="4" w:space="0" w:color="auto"/>
              <w:right w:val="single" w:sz="4" w:space="0" w:color="auto"/>
            </w:tcBorders>
            <w:shd w:val="clear" w:color="DCE6F1" w:fill="E5DFEC"/>
            <w:vAlign w:val="center"/>
          </w:tcPr>
          <w:p w:rsidR="001E1060" w:rsidRPr="00570703" w:rsidRDefault="001E1060" w:rsidP="00143905">
            <w:pPr>
              <w:spacing w:after="0" w:line="240" w:lineRule="auto"/>
              <w:jc w:val="both"/>
              <w:rPr>
                <w:rFonts w:ascii="Arial" w:hAnsi="Arial" w:cs="Arial"/>
                <w:color w:val="000000"/>
                <w:sz w:val="20"/>
                <w:szCs w:val="20"/>
              </w:rPr>
            </w:pPr>
            <w:r>
              <w:rPr>
                <w:rFonts w:ascii="Arial" w:hAnsi="Arial" w:cs="Arial"/>
                <w:color w:val="000000"/>
                <w:sz w:val="20"/>
                <w:szCs w:val="20"/>
              </w:rPr>
              <w:t>Vládní návrhy</w:t>
            </w:r>
            <w:r w:rsidRPr="00570703">
              <w:rPr>
                <w:rFonts w:ascii="Arial" w:hAnsi="Arial" w:cs="Arial"/>
                <w:color w:val="000000"/>
                <w:sz w:val="20"/>
                <w:szCs w:val="20"/>
              </w:rPr>
              <w:t xml:space="preserve"> právních předpisů se zpracovanou RIA</w:t>
            </w:r>
          </w:p>
        </w:tc>
        <w:tc>
          <w:tcPr>
            <w:tcW w:w="1720" w:type="dxa"/>
            <w:tcBorders>
              <w:top w:val="double" w:sz="6" w:space="0" w:color="auto"/>
              <w:left w:val="single" w:sz="4" w:space="0" w:color="auto"/>
              <w:bottom w:val="single" w:sz="4" w:space="0" w:color="auto"/>
              <w:right w:val="single" w:sz="4" w:space="0" w:color="auto"/>
            </w:tcBorders>
            <w:shd w:val="clear" w:color="DCE6F1" w:fill="E5DFEC"/>
            <w:vAlign w:val="center"/>
          </w:tcPr>
          <w:p w:rsidR="001E1060" w:rsidRPr="00570703" w:rsidRDefault="00DA3DCC" w:rsidP="00143905">
            <w:pPr>
              <w:spacing w:after="0" w:line="240" w:lineRule="auto"/>
              <w:jc w:val="both"/>
              <w:rPr>
                <w:rFonts w:ascii="Arial" w:hAnsi="Arial" w:cs="Arial"/>
                <w:color w:val="000000"/>
                <w:sz w:val="20"/>
                <w:szCs w:val="20"/>
              </w:rPr>
            </w:pPr>
            <w:r>
              <w:rPr>
                <w:rFonts w:ascii="Arial" w:hAnsi="Arial" w:cs="Arial"/>
                <w:color w:val="000000"/>
                <w:sz w:val="20"/>
                <w:szCs w:val="20"/>
              </w:rPr>
              <w:t>102</w:t>
            </w:r>
          </w:p>
        </w:tc>
      </w:tr>
      <w:tr w:rsidR="001E1060" w:rsidRPr="00570703" w:rsidTr="00143905">
        <w:trPr>
          <w:trHeight w:val="751"/>
          <w:jc w:val="center"/>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tcPr>
          <w:p w:rsidR="001E1060" w:rsidRPr="00885743" w:rsidRDefault="001E1060" w:rsidP="00143905">
            <w:pPr>
              <w:spacing w:after="0" w:line="240" w:lineRule="auto"/>
              <w:jc w:val="both"/>
              <w:rPr>
                <w:rFonts w:ascii="Arial" w:hAnsi="Arial" w:cs="Arial"/>
                <w:i/>
                <w:color w:val="000000"/>
                <w:sz w:val="20"/>
                <w:szCs w:val="20"/>
              </w:rPr>
            </w:pPr>
            <w:r w:rsidRPr="00885743">
              <w:rPr>
                <w:rFonts w:ascii="Arial" w:hAnsi="Arial" w:cs="Arial"/>
                <w:i/>
                <w:color w:val="000000"/>
                <w:sz w:val="20"/>
                <w:szCs w:val="20"/>
              </w:rPr>
              <w:t xml:space="preserve">Z toho vládní návrhy se zpracovanou RIA posuzované Komisí RIA </w:t>
            </w:r>
          </w:p>
          <w:p w:rsidR="001E1060" w:rsidRPr="00885743" w:rsidRDefault="001E1060" w:rsidP="00F573D1">
            <w:pPr>
              <w:spacing w:after="0" w:line="240" w:lineRule="auto"/>
              <w:jc w:val="both"/>
              <w:rPr>
                <w:rFonts w:ascii="Arial" w:hAnsi="Arial" w:cs="Arial"/>
                <w:i/>
                <w:color w:val="000000"/>
                <w:sz w:val="20"/>
                <w:szCs w:val="20"/>
              </w:rPr>
            </w:pPr>
            <w:r w:rsidRPr="00885743">
              <w:rPr>
                <w:rFonts w:ascii="Arial" w:hAnsi="Arial" w:cs="Arial"/>
                <w:i/>
                <w:color w:val="000000"/>
                <w:sz w:val="20"/>
                <w:szCs w:val="20"/>
              </w:rPr>
              <w:t>v r. 201</w:t>
            </w:r>
            <w:r w:rsidR="00F573D1">
              <w:rPr>
                <w:rFonts w:ascii="Arial" w:hAnsi="Arial" w:cs="Arial"/>
                <w:i/>
                <w:color w:val="000000"/>
                <w:sz w:val="20"/>
                <w:szCs w:val="20"/>
              </w:rPr>
              <w:t>3</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1E1060" w:rsidRPr="00885743" w:rsidRDefault="001E1060" w:rsidP="00257AD7">
            <w:pPr>
              <w:spacing w:after="0" w:line="240" w:lineRule="auto"/>
              <w:jc w:val="both"/>
              <w:rPr>
                <w:rFonts w:ascii="Arial" w:hAnsi="Arial" w:cs="Arial"/>
                <w:i/>
                <w:color w:val="000000"/>
                <w:sz w:val="20"/>
                <w:szCs w:val="20"/>
              </w:rPr>
            </w:pPr>
            <w:r w:rsidRPr="00885743">
              <w:rPr>
                <w:rFonts w:ascii="Arial" w:hAnsi="Arial" w:cs="Arial"/>
                <w:i/>
                <w:color w:val="000000"/>
                <w:sz w:val="20"/>
                <w:szCs w:val="20"/>
              </w:rPr>
              <w:t>6</w:t>
            </w:r>
            <w:r w:rsidR="00257AD7" w:rsidRPr="00885743">
              <w:rPr>
                <w:rFonts w:ascii="Arial" w:hAnsi="Arial" w:cs="Arial"/>
                <w:i/>
                <w:color w:val="000000"/>
                <w:sz w:val="20"/>
                <w:szCs w:val="20"/>
              </w:rPr>
              <w:t>9</w:t>
            </w:r>
          </w:p>
        </w:tc>
      </w:tr>
      <w:tr w:rsidR="001E1060" w:rsidRPr="00570703" w:rsidTr="00143905">
        <w:trPr>
          <w:trHeight w:val="570"/>
          <w:jc w:val="center"/>
        </w:trPr>
        <w:tc>
          <w:tcPr>
            <w:tcW w:w="3480" w:type="dxa"/>
            <w:tcBorders>
              <w:top w:val="single" w:sz="4" w:space="0" w:color="auto"/>
              <w:left w:val="single" w:sz="4" w:space="0" w:color="auto"/>
              <w:bottom w:val="single" w:sz="4" w:space="0" w:color="auto"/>
              <w:right w:val="single" w:sz="4" w:space="0" w:color="auto"/>
            </w:tcBorders>
            <w:shd w:val="clear" w:color="DCE6F1" w:fill="E5DFEC"/>
            <w:vAlign w:val="center"/>
          </w:tcPr>
          <w:p w:rsidR="001E1060" w:rsidRPr="00885743" w:rsidRDefault="00885743" w:rsidP="00885743">
            <w:pPr>
              <w:spacing w:after="0" w:line="240" w:lineRule="auto"/>
              <w:jc w:val="both"/>
              <w:rPr>
                <w:rFonts w:ascii="Arial" w:hAnsi="Arial" w:cs="Arial"/>
                <w:i/>
                <w:color w:val="000000"/>
                <w:sz w:val="20"/>
                <w:szCs w:val="20"/>
              </w:rPr>
            </w:pPr>
            <w:r>
              <w:rPr>
                <w:rFonts w:ascii="Arial" w:hAnsi="Arial" w:cs="Arial"/>
                <w:i/>
                <w:color w:val="000000"/>
                <w:sz w:val="20"/>
                <w:szCs w:val="20"/>
              </w:rPr>
              <w:t>Z toho v</w:t>
            </w:r>
            <w:r w:rsidR="001E1060" w:rsidRPr="00885743">
              <w:rPr>
                <w:rFonts w:ascii="Arial" w:hAnsi="Arial" w:cs="Arial"/>
                <w:i/>
                <w:color w:val="000000"/>
                <w:sz w:val="20"/>
                <w:szCs w:val="20"/>
              </w:rPr>
              <w:t xml:space="preserve">ládní návrhy právních předpisů bez </w:t>
            </w:r>
            <w:proofErr w:type="gramStart"/>
            <w:r w:rsidR="001E1060" w:rsidRPr="00885743">
              <w:rPr>
                <w:rFonts w:ascii="Arial" w:hAnsi="Arial" w:cs="Arial"/>
                <w:i/>
                <w:color w:val="000000"/>
                <w:sz w:val="20"/>
                <w:szCs w:val="20"/>
              </w:rPr>
              <w:t>zpracované</w:t>
            </w:r>
            <w:proofErr w:type="gramEnd"/>
            <w:r w:rsidR="001E1060" w:rsidRPr="00885743">
              <w:rPr>
                <w:rFonts w:ascii="Arial" w:hAnsi="Arial" w:cs="Arial"/>
                <w:i/>
                <w:color w:val="000000"/>
                <w:sz w:val="20"/>
                <w:szCs w:val="20"/>
              </w:rPr>
              <w:t xml:space="preserve"> RIA</w:t>
            </w:r>
          </w:p>
        </w:tc>
        <w:tc>
          <w:tcPr>
            <w:tcW w:w="1720" w:type="dxa"/>
            <w:tcBorders>
              <w:top w:val="single" w:sz="4" w:space="0" w:color="auto"/>
              <w:left w:val="single" w:sz="4" w:space="0" w:color="auto"/>
              <w:bottom w:val="single" w:sz="4" w:space="0" w:color="auto"/>
              <w:right w:val="single" w:sz="4" w:space="0" w:color="auto"/>
            </w:tcBorders>
            <w:shd w:val="clear" w:color="DCE6F1" w:fill="E5DFEC"/>
            <w:vAlign w:val="center"/>
          </w:tcPr>
          <w:p w:rsidR="001E1060" w:rsidRPr="00885743" w:rsidRDefault="000C2242" w:rsidP="00143905">
            <w:pPr>
              <w:spacing w:after="0" w:line="240" w:lineRule="auto"/>
              <w:jc w:val="both"/>
              <w:rPr>
                <w:rFonts w:ascii="Arial" w:hAnsi="Arial" w:cs="Arial"/>
                <w:i/>
                <w:color w:val="000000"/>
                <w:sz w:val="20"/>
                <w:szCs w:val="20"/>
              </w:rPr>
            </w:pPr>
            <w:r>
              <w:rPr>
                <w:rFonts w:ascii="Arial" w:hAnsi="Arial" w:cs="Arial"/>
                <w:i/>
                <w:color w:val="000000"/>
                <w:sz w:val="20"/>
                <w:szCs w:val="20"/>
              </w:rPr>
              <w:t>74</w:t>
            </w:r>
          </w:p>
        </w:tc>
      </w:tr>
      <w:tr w:rsidR="001E1060" w:rsidRPr="00570703" w:rsidTr="00E07479">
        <w:trPr>
          <w:trHeight w:val="570"/>
          <w:jc w:val="center"/>
        </w:trPr>
        <w:tc>
          <w:tcPr>
            <w:tcW w:w="3480" w:type="dxa"/>
            <w:tcBorders>
              <w:top w:val="single" w:sz="4" w:space="0" w:color="auto"/>
              <w:left w:val="single" w:sz="4" w:space="0" w:color="auto"/>
              <w:bottom w:val="single" w:sz="4" w:space="0" w:color="auto"/>
              <w:right w:val="single" w:sz="4" w:space="0" w:color="auto"/>
            </w:tcBorders>
            <w:shd w:val="clear" w:color="auto" w:fill="B2A1C7"/>
            <w:vAlign w:val="center"/>
          </w:tcPr>
          <w:p w:rsidR="001E1060" w:rsidRPr="00570703" w:rsidRDefault="001E1060" w:rsidP="00005D42">
            <w:pPr>
              <w:spacing w:after="0" w:line="240" w:lineRule="auto"/>
              <w:jc w:val="both"/>
              <w:rPr>
                <w:rFonts w:ascii="Arial" w:hAnsi="Arial" w:cs="Arial"/>
                <w:b/>
                <w:bCs/>
                <w:i/>
                <w:iCs/>
                <w:color w:val="000000"/>
                <w:sz w:val="20"/>
                <w:szCs w:val="20"/>
              </w:rPr>
            </w:pPr>
            <w:r>
              <w:rPr>
                <w:rFonts w:ascii="Arial" w:hAnsi="Arial" w:cs="Arial"/>
                <w:b/>
                <w:bCs/>
                <w:i/>
                <w:iCs/>
                <w:color w:val="000000"/>
                <w:sz w:val="20"/>
                <w:szCs w:val="20"/>
              </w:rPr>
              <w:t>Vládní návrhy</w:t>
            </w:r>
            <w:r w:rsidRPr="00570703">
              <w:rPr>
                <w:rFonts w:ascii="Arial" w:hAnsi="Arial" w:cs="Arial"/>
                <w:b/>
                <w:bCs/>
                <w:i/>
                <w:iCs/>
                <w:color w:val="000000"/>
                <w:sz w:val="20"/>
                <w:szCs w:val="20"/>
              </w:rPr>
              <w:t xml:space="preserve"> právních předpisů </w:t>
            </w:r>
            <w:r>
              <w:rPr>
                <w:rFonts w:ascii="Arial" w:hAnsi="Arial" w:cs="Arial"/>
                <w:b/>
                <w:bCs/>
                <w:i/>
                <w:iCs/>
                <w:color w:val="000000"/>
                <w:sz w:val="20"/>
                <w:szCs w:val="20"/>
              </w:rPr>
              <w:t xml:space="preserve">za rok </w:t>
            </w:r>
            <w:r w:rsidR="00005D42">
              <w:rPr>
                <w:rFonts w:ascii="Arial" w:hAnsi="Arial" w:cs="Arial"/>
                <w:b/>
                <w:bCs/>
                <w:i/>
                <w:iCs/>
                <w:color w:val="000000"/>
                <w:sz w:val="20"/>
                <w:szCs w:val="20"/>
              </w:rPr>
              <w:t xml:space="preserve">2013 </w:t>
            </w:r>
            <w:r>
              <w:rPr>
                <w:rFonts w:ascii="Arial" w:hAnsi="Arial" w:cs="Arial"/>
                <w:b/>
                <w:bCs/>
                <w:i/>
                <w:iCs/>
                <w:color w:val="000000"/>
                <w:sz w:val="20"/>
                <w:szCs w:val="20"/>
              </w:rPr>
              <w:t>celkem</w:t>
            </w:r>
          </w:p>
        </w:tc>
        <w:tc>
          <w:tcPr>
            <w:tcW w:w="1720" w:type="dxa"/>
            <w:tcBorders>
              <w:top w:val="single" w:sz="4" w:space="0" w:color="auto"/>
              <w:left w:val="single" w:sz="4" w:space="0" w:color="auto"/>
              <w:bottom w:val="single" w:sz="4" w:space="0" w:color="auto"/>
              <w:right w:val="single" w:sz="4" w:space="0" w:color="auto"/>
            </w:tcBorders>
            <w:shd w:val="clear" w:color="auto" w:fill="B2A1C7"/>
            <w:vAlign w:val="center"/>
          </w:tcPr>
          <w:p w:rsidR="001E1060" w:rsidRPr="003F29EE" w:rsidRDefault="001E1060" w:rsidP="00257AD7">
            <w:pPr>
              <w:spacing w:after="0" w:line="240" w:lineRule="auto"/>
              <w:jc w:val="both"/>
              <w:rPr>
                <w:rFonts w:ascii="Arial" w:hAnsi="Arial" w:cs="Arial"/>
                <w:b/>
                <w:bCs/>
                <w:iCs/>
                <w:color w:val="000000"/>
                <w:sz w:val="20"/>
                <w:szCs w:val="20"/>
              </w:rPr>
            </w:pPr>
            <w:r w:rsidRPr="003F29EE">
              <w:rPr>
                <w:rFonts w:ascii="Arial" w:hAnsi="Arial" w:cs="Arial"/>
                <w:b/>
                <w:bCs/>
                <w:iCs/>
                <w:color w:val="000000"/>
                <w:sz w:val="20"/>
                <w:szCs w:val="20"/>
              </w:rPr>
              <w:t>1</w:t>
            </w:r>
            <w:r w:rsidR="00257AD7">
              <w:rPr>
                <w:rFonts w:ascii="Arial" w:hAnsi="Arial" w:cs="Arial"/>
                <w:b/>
                <w:bCs/>
                <w:iCs/>
                <w:color w:val="000000"/>
                <w:sz w:val="20"/>
                <w:szCs w:val="20"/>
              </w:rPr>
              <w:t>76</w:t>
            </w:r>
          </w:p>
        </w:tc>
      </w:tr>
      <w:tr w:rsidR="001E1060" w:rsidRPr="00570703" w:rsidTr="00E07479">
        <w:trPr>
          <w:trHeight w:val="525"/>
          <w:jc w:val="center"/>
        </w:trPr>
        <w:tc>
          <w:tcPr>
            <w:tcW w:w="3480" w:type="dxa"/>
            <w:tcBorders>
              <w:top w:val="single" w:sz="4" w:space="0" w:color="auto"/>
              <w:left w:val="single" w:sz="4" w:space="0" w:color="auto"/>
              <w:bottom w:val="single" w:sz="4" w:space="0" w:color="auto"/>
              <w:right w:val="single" w:sz="4" w:space="0" w:color="auto"/>
            </w:tcBorders>
            <w:shd w:val="clear" w:color="auto" w:fill="FFFFFF"/>
            <w:vAlign w:val="center"/>
          </w:tcPr>
          <w:p w:rsidR="001E1060" w:rsidRPr="00570703" w:rsidRDefault="001E1060" w:rsidP="00143905">
            <w:pPr>
              <w:spacing w:after="0" w:line="240" w:lineRule="auto"/>
              <w:jc w:val="both"/>
              <w:rPr>
                <w:rFonts w:ascii="Arial" w:hAnsi="Arial" w:cs="Arial"/>
                <w:color w:val="000000"/>
                <w:sz w:val="20"/>
                <w:szCs w:val="20"/>
              </w:rPr>
            </w:pPr>
            <w:r w:rsidRPr="00570703">
              <w:rPr>
                <w:rFonts w:ascii="Arial" w:hAnsi="Arial" w:cs="Arial"/>
                <w:color w:val="000000"/>
                <w:sz w:val="20"/>
                <w:szCs w:val="20"/>
              </w:rPr>
              <w:t>Počet návrhů předložených na půdě Parlamentu ČR (bez RIA)</w:t>
            </w:r>
          </w:p>
        </w:tc>
        <w:tc>
          <w:tcPr>
            <w:tcW w:w="1720" w:type="dxa"/>
            <w:tcBorders>
              <w:top w:val="single" w:sz="4" w:space="0" w:color="auto"/>
              <w:left w:val="single" w:sz="4" w:space="0" w:color="auto"/>
              <w:bottom w:val="single" w:sz="4" w:space="0" w:color="auto"/>
              <w:right w:val="single" w:sz="4" w:space="0" w:color="auto"/>
            </w:tcBorders>
            <w:shd w:val="clear" w:color="auto" w:fill="FFFFFF"/>
            <w:vAlign w:val="center"/>
          </w:tcPr>
          <w:p w:rsidR="001E1060" w:rsidRPr="00CE3F38" w:rsidRDefault="001E1060" w:rsidP="00257AD7">
            <w:pPr>
              <w:spacing w:after="0" w:line="240" w:lineRule="auto"/>
              <w:jc w:val="both"/>
              <w:rPr>
                <w:rFonts w:ascii="Arial" w:hAnsi="Arial" w:cs="Arial"/>
                <w:color w:val="000000"/>
                <w:sz w:val="20"/>
                <w:szCs w:val="20"/>
              </w:rPr>
            </w:pPr>
            <w:r w:rsidRPr="00CE3F38">
              <w:rPr>
                <w:rFonts w:ascii="Arial" w:hAnsi="Arial" w:cs="Arial"/>
                <w:color w:val="000000"/>
                <w:sz w:val="20"/>
                <w:szCs w:val="20"/>
              </w:rPr>
              <w:t>9</w:t>
            </w:r>
            <w:r w:rsidR="00257AD7" w:rsidRPr="00CE3F38">
              <w:rPr>
                <w:rFonts w:ascii="Arial" w:hAnsi="Arial" w:cs="Arial"/>
                <w:color w:val="000000"/>
                <w:sz w:val="20"/>
                <w:szCs w:val="20"/>
              </w:rPr>
              <w:t>1</w:t>
            </w:r>
          </w:p>
        </w:tc>
      </w:tr>
      <w:tr w:rsidR="001E1060" w:rsidRPr="00570703" w:rsidTr="00143905">
        <w:trPr>
          <w:trHeight w:val="750"/>
          <w:jc w:val="center"/>
        </w:trPr>
        <w:tc>
          <w:tcPr>
            <w:tcW w:w="3480" w:type="dxa"/>
            <w:tcBorders>
              <w:top w:val="single" w:sz="4" w:space="0" w:color="auto"/>
              <w:left w:val="single" w:sz="4" w:space="0" w:color="auto"/>
              <w:bottom w:val="double" w:sz="6" w:space="0" w:color="auto"/>
              <w:right w:val="single" w:sz="4" w:space="0" w:color="auto"/>
            </w:tcBorders>
            <w:shd w:val="clear" w:color="000000" w:fill="B2A1C7"/>
            <w:vAlign w:val="center"/>
          </w:tcPr>
          <w:p w:rsidR="001E1060" w:rsidRPr="00447B49" w:rsidRDefault="001E1060" w:rsidP="00005D42">
            <w:pPr>
              <w:spacing w:after="0" w:line="240" w:lineRule="auto"/>
              <w:jc w:val="both"/>
              <w:rPr>
                <w:rFonts w:ascii="Arial" w:hAnsi="Arial" w:cs="Arial"/>
                <w:b/>
                <w:bCs/>
                <w:color w:val="000000"/>
                <w:sz w:val="20"/>
                <w:szCs w:val="20"/>
              </w:rPr>
            </w:pPr>
            <w:r w:rsidRPr="00447B49">
              <w:rPr>
                <w:rFonts w:ascii="Arial" w:hAnsi="Arial" w:cs="Arial"/>
                <w:b/>
                <w:color w:val="000000"/>
                <w:sz w:val="20"/>
                <w:szCs w:val="20"/>
              </w:rPr>
              <w:t xml:space="preserve">Počet návrhů právních předpisů předložených v ČR v </w:t>
            </w:r>
            <w:r w:rsidR="00005D42" w:rsidRPr="00447B49">
              <w:rPr>
                <w:rFonts w:ascii="Arial" w:hAnsi="Arial" w:cs="Arial"/>
                <w:b/>
                <w:color w:val="000000"/>
                <w:sz w:val="20"/>
                <w:szCs w:val="20"/>
              </w:rPr>
              <w:t>201</w:t>
            </w:r>
            <w:r w:rsidR="00005D42">
              <w:rPr>
                <w:rFonts w:ascii="Arial" w:hAnsi="Arial" w:cs="Arial"/>
                <w:b/>
                <w:color w:val="000000"/>
                <w:sz w:val="20"/>
                <w:szCs w:val="20"/>
              </w:rPr>
              <w:t>3</w:t>
            </w:r>
            <w:r w:rsidR="00005D42" w:rsidRPr="00447B49">
              <w:rPr>
                <w:rFonts w:ascii="Arial" w:hAnsi="Arial" w:cs="Arial"/>
                <w:b/>
                <w:color w:val="000000"/>
                <w:sz w:val="20"/>
                <w:szCs w:val="20"/>
              </w:rPr>
              <w:t xml:space="preserve"> </w:t>
            </w:r>
            <w:r w:rsidRPr="00447B49">
              <w:rPr>
                <w:rFonts w:ascii="Arial" w:hAnsi="Arial" w:cs="Arial"/>
                <w:b/>
                <w:color w:val="000000"/>
                <w:sz w:val="20"/>
                <w:szCs w:val="20"/>
              </w:rPr>
              <w:t>celkem</w:t>
            </w:r>
          </w:p>
        </w:tc>
        <w:tc>
          <w:tcPr>
            <w:tcW w:w="1720" w:type="dxa"/>
            <w:tcBorders>
              <w:top w:val="single" w:sz="4" w:space="0" w:color="auto"/>
              <w:left w:val="single" w:sz="4" w:space="0" w:color="auto"/>
              <w:bottom w:val="double" w:sz="6" w:space="0" w:color="auto"/>
              <w:right w:val="single" w:sz="4" w:space="0" w:color="auto"/>
            </w:tcBorders>
            <w:shd w:val="clear" w:color="000000" w:fill="B2A1C7"/>
            <w:vAlign w:val="center"/>
          </w:tcPr>
          <w:p w:rsidR="001E1060" w:rsidRPr="00570703" w:rsidRDefault="00257AD7" w:rsidP="00257AD7">
            <w:pPr>
              <w:spacing w:after="0" w:line="240" w:lineRule="auto"/>
              <w:jc w:val="both"/>
              <w:rPr>
                <w:rFonts w:ascii="Arial" w:hAnsi="Arial" w:cs="Arial"/>
                <w:b/>
                <w:bCs/>
                <w:color w:val="000000"/>
                <w:sz w:val="20"/>
                <w:szCs w:val="20"/>
              </w:rPr>
            </w:pPr>
            <w:r>
              <w:rPr>
                <w:rFonts w:ascii="Arial" w:hAnsi="Arial" w:cs="Arial"/>
                <w:b/>
                <w:bCs/>
                <w:color w:val="000000"/>
                <w:sz w:val="20"/>
                <w:szCs w:val="20"/>
              </w:rPr>
              <w:t>267</w:t>
            </w:r>
          </w:p>
        </w:tc>
      </w:tr>
    </w:tbl>
    <w:p w:rsidR="001E1060" w:rsidRPr="00C35D56" w:rsidRDefault="001E1060" w:rsidP="001E1060">
      <w:pPr>
        <w:jc w:val="both"/>
        <w:rPr>
          <w:rFonts w:cs="Calibri"/>
          <w:i/>
        </w:rPr>
      </w:pPr>
    </w:p>
    <w:p w:rsidR="001E1060" w:rsidRPr="0058283B" w:rsidRDefault="001E1060" w:rsidP="001E1060">
      <w:pPr>
        <w:jc w:val="both"/>
        <w:rPr>
          <w:rFonts w:cs="Calibri"/>
          <w:b/>
          <w:i/>
        </w:rPr>
      </w:pPr>
      <w:r>
        <w:rPr>
          <w:rFonts w:cs="Calibri"/>
          <w:i/>
        </w:rPr>
        <w:br w:type="page"/>
      </w:r>
      <w:r w:rsidRPr="0058283B">
        <w:rPr>
          <w:rFonts w:cs="Calibri"/>
          <w:b/>
          <w:i/>
        </w:rPr>
        <w:lastRenderedPageBreak/>
        <w:t>Graf</w:t>
      </w:r>
      <w:r w:rsidR="006A20CF">
        <w:rPr>
          <w:rFonts w:cs="Calibri"/>
          <w:b/>
          <w:i/>
        </w:rPr>
        <w:t xml:space="preserve"> č. </w:t>
      </w:r>
      <w:r w:rsidR="0058283B" w:rsidRPr="0058283B">
        <w:rPr>
          <w:rFonts w:cs="Calibri"/>
          <w:b/>
          <w:i/>
        </w:rPr>
        <w:t>1</w:t>
      </w:r>
      <w:r w:rsidRPr="0058283B">
        <w:rPr>
          <w:rFonts w:cs="Calibri"/>
          <w:b/>
          <w:i/>
        </w:rPr>
        <w:t xml:space="preserve">: Podíl jednotlivých resortů na celkovém počtu předložených </w:t>
      </w:r>
      <w:r w:rsidR="00D34F04">
        <w:rPr>
          <w:rFonts w:cs="Calibri"/>
          <w:b/>
          <w:i/>
        </w:rPr>
        <w:t xml:space="preserve">vládních </w:t>
      </w:r>
      <w:r w:rsidRPr="0058283B">
        <w:rPr>
          <w:rFonts w:cs="Calibri"/>
          <w:b/>
          <w:i/>
        </w:rPr>
        <w:t>návrhů právních</w:t>
      </w:r>
      <w:r w:rsidR="0058283B">
        <w:rPr>
          <w:rFonts w:cs="Calibri"/>
          <w:b/>
          <w:i/>
        </w:rPr>
        <w:t xml:space="preserve"> předpisů v r. 2013</w:t>
      </w:r>
      <w:r w:rsidRPr="0058283B">
        <w:rPr>
          <w:rFonts w:cs="Calibri"/>
          <w:b/>
          <w:i/>
        </w:rPr>
        <w:t xml:space="preserve"> (celkově návrhy s RIA i bez RIA)</w:t>
      </w:r>
    </w:p>
    <w:p w:rsidR="001E1060" w:rsidRPr="00C35D56" w:rsidRDefault="00D32943" w:rsidP="001E1060">
      <w:pPr>
        <w:jc w:val="both"/>
        <w:rPr>
          <w:rFonts w:cs="Calibri"/>
          <w:i/>
        </w:rPr>
      </w:pPr>
      <w:r>
        <w:rPr>
          <w:noProof/>
        </w:rPr>
        <w:drawing>
          <wp:inline distT="0" distB="0" distL="0" distR="0" wp14:anchorId="10E6B60F" wp14:editId="7DE30D8D">
            <wp:extent cx="5755640" cy="3719830"/>
            <wp:effectExtent l="57150" t="57150" r="54610" b="52070"/>
            <wp:docPr id="8" name="Graf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E1060" w:rsidRPr="00B64676" w:rsidRDefault="001E1060" w:rsidP="001E1060">
      <w:pPr>
        <w:jc w:val="both"/>
        <w:rPr>
          <w:rFonts w:cs="Calibri"/>
          <w:b/>
          <w:i/>
        </w:rPr>
      </w:pPr>
      <w:r w:rsidRPr="00B64676">
        <w:rPr>
          <w:rFonts w:cs="Calibri"/>
          <w:b/>
          <w:i/>
        </w:rPr>
        <w:t>Graf</w:t>
      </w:r>
      <w:r w:rsidR="00DD2DE8">
        <w:rPr>
          <w:rFonts w:cs="Calibri"/>
          <w:b/>
          <w:i/>
        </w:rPr>
        <w:t xml:space="preserve"> </w:t>
      </w:r>
      <w:r w:rsidR="006A20CF">
        <w:rPr>
          <w:rFonts w:cs="Calibri"/>
          <w:b/>
          <w:i/>
        </w:rPr>
        <w:t xml:space="preserve">č. </w:t>
      </w:r>
      <w:r w:rsidR="00DD2DE8">
        <w:rPr>
          <w:rFonts w:cs="Calibri"/>
          <w:b/>
          <w:i/>
        </w:rPr>
        <w:t>2</w:t>
      </w:r>
      <w:r w:rsidRPr="00B64676">
        <w:rPr>
          <w:rFonts w:cs="Calibri"/>
          <w:b/>
          <w:i/>
        </w:rPr>
        <w:t xml:space="preserve">: Počet zákonů za jednotlivé předkladatele celkově a v poměru s návrhy </w:t>
      </w:r>
      <w:r w:rsidR="00D34F04">
        <w:rPr>
          <w:rFonts w:cs="Calibri"/>
          <w:b/>
          <w:i/>
        </w:rPr>
        <w:t xml:space="preserve">se </w:t>
      </w:r>
      <w:r w:rsidRPr="00B64676">
        <w:rPr>
          <w:rFonts w:cs="Calibri"/>
          <w:b/>
          <w:i/>
        </w:rPr>
        <w:t>zpracovanou RIA</w:t>
      </w:r>
      <w:r w:rsidR="00257AD7" w:rsidRPr="00B64676">
        <w:rPr>
          <w:rFonts w:cs="Calibri"/>
          <w:b/>
          <w:i/>
        </w:rPr>
        <w:t xml:space="preserve"> a </w:t>
      </w:r>
      <w:r w:rsidR="00D34F04">
        <w:rPr>
          <w:rFonts w:cs="Calibri"/>
          <w:b/>
          <w:i/>
        </w:rPr>
        <w:t xml:space="preserve">z toho </w:t>
      </w:r>
      <w:r w:rsidR="00257AD7" w:rsidRPr="00B64676">
        <w:rPr>
          <w:rFonts w:cs="Calibri"/>
          <w:b/>
          <w:i/>
        </w:rPr>
        <w:t>následně posuzovaných Komisí RIA v r. 2013</w:t>
      </w:r>
    </w:p>
    <w:p w:rsidR="001E1060" w:rsidRPr="00C35D56" w:rsidRDefault="00886C3B" w:rsidP="001E1060">
      <w:pPr>
        <w:jc w:val="both"/>
        <w:rPr>
          <w:rFonts w:cs="Calibri"/>
          <w:i/>
        </w:rPr>
      </w:pPr>
      <w:r>
        <w:rPr>
          <w:noProof/>
        </w:rPr>
        <w:drawing>
          <wp:inline distT="0" distB="0" distL="0" distR="0" wp14:anchorId="7FDC4FCE" wp14:editId="41EE9137">
            <wp:extent cx="5760720" cy="3715132"/>
            <wp:effectExtent l="0" t="0" r="11430" b="1905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E1060" w:rsidRDefault="001E1060" w:rsidP="001E1060">
      <w:pPr>
        <w:jc w:val="both"/>
        <w:rPr>
          <w:rFonts w:cs="Calibri"/>
        </w:rPr>
      </w:pPr>
      <w:r w:rsidRPr="00C35D56">
        <w:rPr>
          <w:rFonts w:cs="Calibri"/>
        </w:rPr>
        <w:lastRenderedPageBreak/>
        <w:t xml:space="preserve">Z celkového počtu </w:t>
      </w:r>
      <w:r w:rsidR="00D34F04">
        <w:rPr>
          <w:rFonts w:cs="Calibri"/>
        </w:rPr>
        <w:t xml:space="preserve">69 </w:t>
      </w:r>
      <w:r w:rsidRPr="00C35D56">
        <w:rPr>
          <w:rFonts w:cs="Calibri"/>
        </w:rPr>
        <w:t xml:space="preserve">projednaných návrhů </w:t>
      </w:r>
      <w:r w:rsidR="002541AF">
        <w:rPr>
          <w:rFonts w:cs="Calibri"/>
        </w:rPr>
        <w:t xml:space="preserve">právních předpisů </w:t>
      </w:r>
      <w:r w:rsidRPr="00C35D56">
        <w:rPr>
          <w:rFonts w:cs="Calibri"/>
        </w:rPr>
        <w:t xml:space="preserve">Komise RIA doporučila ke schválení </w:t>
      </w:r>
      <w:r w:rsidR="00342995" w:rsidRPr="00FF477F">
        <w:rPr>
          <w:rFonts w:cs="Calibri"/>
          <w:b/>
        </w:rPr>
        <w:t>63</w:t>
      </w:r>
      <w:r w:rsidR="007442C0" w:rsidRPr="00312DD5">
        <w:rPr>
          <w:rFonts w:cs="Calibri"/>
          <w:b/>
        </w:rPr>
        <w:t xml:space="preserve"> </w:t>
      </w:r>
      <w:r w:rsidR="009A7057" w:rsidRPr="00312DD5">
        <w:rPr>
          <w:rFonts w:cs="Calibri"/>
          <w:b/>
        </w:rPr>
        <w:t>z</w:t>
      </w:r>
      <w:r w:rsidRPr="00312DD5">
        <w:rPr>
          <w:rFonts w:cs="Calibri"/>
          <w:b/>
        </w:rPr>
        <w:t>ávěrečných zpráv RIA</w:t>
      </w:r>
      <w:r w:rsidRPr="00C35D56">
        <w:rPr>
          <w:rFonts w:cs="Calibri"/>
        </w:rPr>
        <w:t xml:space="preserve">. Z tohoto počtu </w:t>
      </w:r>
      <w:r w:rsidR="007442C0">
        <w:rPr>
          <w:rFonts w:cs="Calibri"/>
          <w:b/>
        </w:rPr>
        <w:t xml:space="preserve">18 </w:t>
      </w:r>
      <w:r w:rsidRPr="00C35D56">
        <w:rPr>
          <w:rFonts w:cs="Calibri"/>
          <w:b/>
        </w:rPr>
        <w:t xml:space="preserve">návrhů </w:t>
      </w:r>
      <w:r w:rsidR="006F6307" w:rsidRPr="00C35D56">
        <w:rPr>
          <w:rFonts w:cs="Calibri"/>
          <w:b/>
        </w:rPr>
        <w:t>doporučila</w:t>
      </w:r>
      <w:r w:rsidR="006F6307">
        <w:rPr>
          <w:rFonts w:cs="Calibri"/>
          <w:b/>
        </w:rPr>
        <w:t xml:space="preserve"> při prvním projednání </w:t>
      </w:r>
      <w:r w:rsidRPr="00C35D56">
        <w:rPr>
          <w:rFonts w:cs="Calibri"/>
          <w:b/>
        </w:rPr>
        <w:t>bez dalších připomínek</w:t>
      </w:r>
      <w:r w:rsidRPr="00C35D56">
        <w:rPr>
          <w:rFonts w:cs="Calibri"/>
        </w:rPr>
        <w:t xml:space="preserve">, </w:t>
      </w:r>
      <w:r w:rsidR="007442C0">
        <w:rPr>
          <w:rFonts w:cs="Calibri"/>
          <w:b/>
        </w:rPr>
        <w:t xml:space="preserve">36 </w:t>
      </w:r>
      <w:r w:rsidRPr="00C35D56">
        <w:rPr>
          <w:rFonts w:cs="Calibri"/>
          <w:b/>
        </w:rPr>
        <w:t>návrhů do</w:t>
      </w:r>
      <w:r>
        <w:rPr>
          <w:rFonts w:cs="Calibri"/>
          <w:b/>
        </w:rPr>
        <w:t xml:space="preserve">poručila po částečném doplnění </w:t>
      </w:r>
      <w:r w:rsidR="00D34F04">
        <w:rPr>
          <w:rFonts w:cs="Calibri"/>
          <w:b/>
        </w:rPr>
        <w:t>z</w:t>
      </w:r>
      <w:r w:rsidR="00D34F04" w:rsidRPr="00C35D56">
        <w:rPr>
          <w:rFonts w:cs="Calibri"/>
          <w:b/>
        </w:rPr>
        <w:t xml:space="preserve">ávěrečných </w:t>
      </w:r>
      <w:r w:rsidRPr="00C35D56">
        <w:rPr>
          <w:rFonts w:cs="Calibri"/>
          <w:b/>
        </w:rPr>
        <w:t xml:space="preserve">zpráv RIA </w:t>
      </w:r>
      <w:r w:rsidRPr="00B64676">
        <w:rPr>
          <w:rFonts w:cs="Calibri"/>
          <w:b/>
        </w:rPr>
        <w:t>a v</w:t>
      </w:r>
      <w:r w:rsidR="007442C0">
        <w:rPr>
          <w:rFonts w:cs="Calibri"/>
        </w:rPr>
        <w:t xml:space="preserve"> </w:t>
      </w:r>
      <w:r w:rsidR="007442C0" w:rsidRPr="00B64676">
        <w:rPr>
          <w:rFonts w:cs="Calibri"/>
          <w:b/>
        </w:rPr>
        <w:t>9</w:t>
      </w:r>
      <w:r w:rsidRPr="00C35D56">
        <w:rPr>
          <w:rFonts w:cs="Calibri"/>
          <w:b/>
        </w:rPr>
        <w:t xml:space="preserve"> případech vydala Komise RIA své doporučující stanovisko na základě opětovného p</w:t>
      </w:r>
      <w:r>
        <w:rPr>
          <w:rFonts w:cs="Calibri"/>
          <w:b/>
        </w:rPr>
        <w:t xml:space="preserve">osouzení zásadně dopracovaných </w:t>
      </w:r>
      <w:r w:rsidR="00D34F04">
        <w:rPr>
          <w:rFonts w:cs="Calibri"/>
          <w:b/>
        </w:rPr>
        <w:t>z</w:t>
      </w:r>
      <w:r w:rsidR="00D34F04" w:rsidRPr="00C35D56">
        <w:rPr>
          <w:rFonts w:cs="Calibri"/>
          <w:b/>
        </w:rPr>
        <w:t xml:space="preserve">ávěrečných </w:t>
      </w:r>
      <w:r w:rsidRPr="00C35D56">
        <w:rPr>
          <w:rFonts w:cs="Calibri"/>
          <w:b/>
        </w:rPr>
        <w:t>zpráv RIA. Pouze v </w:t>
      </w:r>
      <w:r w:rsidR="007442C0">
        <w:rPr>
          <w:rFonts w:cs="Calibri"/>
          <w:b/>
        </w:rPr>
        <w:t>6</w:t>
      </w:r>
      <w:r w:rsidR="007442C0" w:rsidRPr="00C35D56">
        <w:rPr>
          <w:rFonts w:cs="Calibri"/>
          <w:b/>
        </w:rPr>
        <w:t xml:space="preserve"> </w:t>
      </w:r>
      <w:r w:rsidRPr="00C35D56">
        <w:rPr>
          <w:rFonts w:cs="Calibri"/>
          <w:b/>
        </w:rPr>
        <w:t>případech Komise RIA vyslovila negativní stanovisko k předloženému hodnocení dopadů regulace</w:t>
      </w:r>
      <w:r w:rsidRPr="00C35D56">
        <w:rPr>
          <w:rFonts w:cs="Calibri"/>
        </w:rPr>
        <w:t xml:space="preserve"> a v těchto případech nedoporučila návrh s předloženou </w:t>
      </w:r>
      <w:r w:rsidR="00D34F04">
        <w:rPr>
          <w:rFonts w:cs="Calibri"/>
        </w:rPr>
        <w:t>z</w:t>
      </w:r>
      <w:r w:rsidR="00D34F04" w:rsidRPr="00C35D56">
        <w:rPr>
          <w:rFonts w:cs="Calibri"/>
        </w:rPr>
        <w:t xml:space="preserve">ávěrečnou </w:t>
      </w:r>
      <w:r w:rsidRPr="00C35D56">
        <w:rPr>
          <w:rFonts w:cs="Calibri"/>
        </w:rPr>
        <w:t xml:space="preserve">zprávou RIA k dalšímu projednávání Vládou ČR. </w:t>
      </w:r>
      <w:r w:rsidR="006F6307">
        <w:rPr>
          <w:rFonts w:cs="Calibri"/>
        </w:rPr>
        <w:t>Z tohoto počtu byl v</w:t>
      </w:r>
      <w:r w:rsidR="00A946FF">
        <w:rPr>
          <w:rFonts w:cs="Calibri"/>
        </w:rPr>
        <w:t> 1 </w:t>
      </w:r>
      <w:r w:rsidR="007442C0">
        <w:rPr>
          <w:rFonts w:cs="Calibri"/>
        </w:rPr>
        <w:t>případě</w:t>
      </w:r>
      <w:r w:rsidRPr="00C35D56">
        <w:rPr>
          <w:rFonts w:cs="Calibri"/>
        </w:rPr>
        <w:t xml:space="preserve"> následně návrh stažen předkladatelem z legislativního procesu, </w:t>
      </w:r>
      <w:r w:rsidR="007442C0">
        <w:rPr>
          <w:rFonts w:cs="Calibri"/>
        </w:rPr>
        <w:t xml:space="preserve">3 </w:t>
      </w:r>
      <w:r>
        <w:rPr>
          <w:rFonts w:cs="Calibri"/>
        </w:rPr>
        <w:t>návrh</w:t>
      </w:r>
      <w:r w:rsidR="007442C0">
        <w:rPr>
          <w:rFonts w:cs="Calibri"/>
        </w:rPr>
        <w:t xml:space="preserve">y nebyly zařazeny na jednání vlády </w:t>
      </w:r>
      <w:r>
        <w:rPr>
          <w:rFonts w:cs="Calibri"/>
        </w:rPr>
        <w:t xml:space="preserve">a </w:t>
      </w:r>
      <w:r w:rsidR="007442C0">
        <w:rPr>
          <w:rFonts w:cs="Calibri"/>
        </w:rPr>
        <w:t xml:space="preserve">2 </w:t>
      </w:r>
      <w:r w:rsidRPr="00C35D56">
        <w:rPr>
          <w:rFonts w:cs="Calibri"/>
        </w:rPr>
        <w:t>zbývající</w:t>
      </w:r>
      <w:r w:rsidR="007442C0">
        <w:rPr>
          <w:rFonts w:cs="Calibri"/>
        </w:rPr>
        <w:t xml:space="preserve"> návrhy </w:t>
      </w:r>
      <w:r w:rsidRPr="00C35D56">
        <w:rPr>
          <w:rFonts w:cs="Calibri"/>
        </w:rPr>
        <w:t>byl</w:t>
      </w:r>
      <w:r w:rsidR="007442C0">
        <w:rPr>
          <w:rFonts w:cs="Calibri"/>
        </w:rPr>
        <w:t>y</w:t>
      </w:r>
      <w:r w:rsidRPr="00C35D56">
        <w:rPr>
          <w:rFonts w:cs="Calibri"/>
        </w:rPr>
        <w:t xml:space="preserve"> schválen</w:t>
      </w:r>
      <w:r w:rsidR="007442C0">
        <w:rPr>
          <w:rFonts w:cs="Calibri"/>
        </w:rPr>
        <w:t>y</w:t>
      </w:r>
      <w:r w:rsidRPr="00C35D56">
        <w:rPr>
          <w:rFonts w:cs="Calibri"/>
        </w:rPr>
        <w:t xml:space="preserve"> Vládou ČR v předložené podobě navzdory negativnímu stanovisku. </w:t>
      </w:r>
    </w:p>
    <w:p w:rsidR="009A7057" w:rsidRPr="00EB3D4E" w:rsidRDefault="009A7057" w:rsidP="00312DD5">
      <w:pPr>
        <w:spacing w:before="240"/>
        <w:jc w:val="both"/>
        <w:rPr>
          <w:rFonts w:cs="Calibri"/>
          <w:b/>
          <w:i/>
        </w:rPr>
      </w:pPr>
      <w:r w:rsidRPr="00EB3D4E">
        <w:rPr>
          <w:rFonts w:cs="Calibri"/>
          <w:b/>
          <w:i/>
        </w:rPr>
        <w:t xml:space="preserve">Tabulka č. </w:t>
      </w:r>
      <w:r>
        <w:rPr>
          <w:rFonts w:cs="Calibri"/>
          <w:b/>
          <w:i/>
        </w:rPr>
        <w:t>3</w:t>
      </w:r>
      <w:r w:rsidRPr="00EB3D4E">
        <w:rPr>
          <w:rFonts w:cs="Calibri"/>
          <w:b/>
          <w:i/>
        </w:rPr>
        <w:t xml:space="preserve">: </w:t>
      </w:r>
      <w:r w:rsidR="009421A5">
        <w:rPr>
          <w:rFonts w:cs="Calibri"/>
          <w:b/>
          <w:i/>
        </w:rPr>
        <w:t xml:space="preserve">Stanoviska </w:t>
      </w:r>
      <w:r>
        <w:rPr>
          <w:rFonts w:cs="Calibri"/>
          <w:b/>
          <w:i/>
        </w:rPr>
        <w:t>Komise RIA v r. 2013 podle výsledku</w:t>
      </w:r>
    </w:p>
    <w:tbl>
      <w:tblPr>
        <w:tblW w:w="5000" w:type="pct"/>
        <w:jc w:val="center"/>
        <w:tblCellMar>
          <w:left w:w="70" w:type="dxa"/>
          <w:right w:w="70" w:type="dxa"/>
        </w:tblCellMar>
        <w:tblLook w:val="04A0" w:firstRow="1" w:lastRow="0" w:firstColumn="1" w:lastColumn="0" w:noHBand="0" w:noVBand="1"/>
      </w:tblPr>
      <w:tblGrid>
        <w:gridCol w:w="2303"/>
        <w:gridCol w:w="2303"/>
        <w:gridCol w:w="2303"/>
        <w:gridCol w:w="2303"/>
      </w:tblGrid>
      <w:tr w:rsidR="001E1060" w:rsidRPr="00C35D56" w:rsidTr="00143905">
        <w:trPr>
          <w:trHeight w:val="948"/>
          <w:jc w:val="center"/>
        </w:trPr>
        <w:tc>
          <w:tcPr>
            <w:tcW w:w="1250" w:type="pct"/>
            <w:tcBorders>
              <w:top w:val="single" w:sz="4" w:space="0" w:color="95B3D7"/>
              <w:left w:val="single" w:sz="4" w:space="0" w:color="auto"/>
              <w:bottom w:val="single" w:sz="4" w:space="0" w:color="auto"/>
              <w:right w:val="single" w:sz="4" w:space="0" w:color="auto"/>
            </w:tcBorders>
            <w:shd w:val="clear" w:color="auto" w:fill="CCC0D9"/>
            <w:vAlign w:val="center"/>
          </w:tcPr>
          <w:p w:rsidR="001E1060" w:rsidRPr="00C35D56" w:rsidRDefault="001E1060" w:rsidP="00143905">
            <w:pPr>
              <w:spacing w:after="0" w:line="240" w:lineRule="auto"/>
              <w:jc w:val="both"/>
              <w:rPr>
                <w:rFonts w:cs="Calibri"/>
                <w:b/>
                <w:bCs/>
              </w:rPr>
            </w:pPr>
            <w:r w:rsidRPr="00C35D56">
              <w:rPr>
                <w:rFonts w:cs="Calibri"/>
                <w:b/>
                <w:bCs/>
              </w:rPr>
              <w:t xml:space="preserve">Negativní stanovisko </w:t>
            </w:r>
          </w:p>
        </w:tc>
        <w:tc>
          <w:tcPr>
            <w:tcW w:w="1250" w:type="pct"/>
            <w:tcBorders>
              <w:top w:val="single" w:sz="4" w:space="0" w:color="95B3D7"/>
              <w:left w:val="single" w:sz="4" w:space="0" w:color="auto"/>
              <w:bottom w:val="single" w:sz="4" w:space="0" w:color="auto"/>
              <w:right w:val="single" w:sz="4" w:space="0" w:color="auto"/>
            </w:tcBorders>
            <w:shd w:val="clear" w:color="auto" w:fill="CCC0D9"/>
            <w:vAlign w:val="center"/>
          </w:tcPr>
          <w:p w:rsidR="001E1060" w:rsidRPr="00C35D56" w:rsidRDefault="001E1060" w:rsidP="00143905">
            <w:pPr>
              <w:spacing w:after="0" w:line="240" w:lineRule="auto"/>
              <w:jc w:val="both"/>
              <w:rPr>
                <w:rFonts w:cs="Calibri"/>
                <w:b/>
                <w:bCs/>
              </w:rPr>
            </w:pPr>
            <w:r w:rsidRPr="00C35D56">
              <w:rPr>
                <w:rFonts w:cs="Calibri"/>
                <w:b/>
                <w:bCs/>
              </w:rPr>
              <w:t>Kladné stanovisko bez připomínek</w:t>
            </w:r>
          </w:p>
        </w:tc>
        <w:tc>
          <w:tcPr>
            <w:tcW w:w="1250" w:type="pct"/>
            <w:tcBorders>
              <w:top w:val="single" w:sz="4" w:space="0" w:color="95B3D7"/>
              <w:left w:val="single" w:sz="4" w:space="0" w:color="auto"/>
              <w:bottom w:val="single" w:sz="4" w:space="0" w:color="auto"/>
              <w:right w:val="single" w:sz="4" w:space="0" w:color="auto"/>
            </w:tcBorders>
            <w:shd w:val="clear" w:color="auto" w:fill="CCC0D9"/>
            <w:vAlign w:val="center"/>
          </w:tcPr>
          <w:p w:rsidR="001E1060" w:rsidRPr="00C35D56" w:rsidRDefault="001E1060" w:rsidP="00143905">
            <w:pPr>
              <w:spacing w:after="0" w:line="240" w:lineRule="auto"/>
              <w:jc w:val="both"/>
              <w:rPr>
                <w:rFonts w:cs="Calibri"/>
                <w:b/>
                <w:bCs/>
              </w:rPr>
            </w:pPr>
            <w:r w:rsidRPr="00C35D56">
              <w:rPr>
                <w:rFonts w:cs="Calibri"/>
                <w:b/>
                <w:bCs/>
              </w:rPr>
              <w:t xml:space="preserve">Kladné stanovisko po dopracování </w:t>
            </w:r>
          </w:p>
        </w:tc>
        <w:tc>
          <w:tcPr>
            <w:tcW w:w="1250" w:type="pct"/>
            <w:tcBorders>
              <w:top w:val="single" w:sz="4" w:space="0" w:color="95B3D7"/>
              <w:left w:val="single" w:sz="4" w:space="0" w:color="auto"/>
              <w:bottom w:val="single" w:sz="4" w:space="0" w:color="auto"/>
              <w:right w:val="single" w:sz="4" w:space="0" w:color="auto"/>
            </w:tcBorders>
            <w:shd w:val="clear" w:color="auto" w:fill="CCC0D9"/>
            <w:vAlign w:val="center"/>
          </w:tcPr>
          <w:p w:rsidR="001E1060" w:rsidRPr="00C35D56" w:rsidRDefault="001E1060" w:rsidP="00143905">
            <w:pPr>
              <w:spacing w:after="0" w:line="240" w:lineRule="auto"/>
              <w:jc w:val="both"/>
              <w:rPr>
                <w:rFonts w:cs="Calibri"/>
                <w:b/>
                <w:bCs/>
              </w:rPr>
            </w:pPr>
            <w:r w:rsidRPr="00C35D56">
              <w:rPr>
                <w:rFonts w:cs="Calibri"/>
                <w:b/>
                <w:bCs/>
              </w:rPr>
              <w:t xml:space="preserve">Kladné stanovisko po přepracování </w:t>
            </w:r>
          </w:p>
        </w:tc>
      </w:tr>
      <w:tr w:rsidR="001E1060" w:rsidRPr="00C35D56" w:rsidTr="00143905">
        <w:trPr>
          <w:trHeight w:val="320"/>
          <w:jc w:val="center"/>
        </w:trPr>
        <w:tc>
          <w:tcPr>
            <w:tcW w:w="1250" w:type="pct"/>
            <w:tcBorders>
              <w:top w:val="single" w:sz="4" w:space="0" w:color="auto"/>
              <w:left w:val="single" w:sz="4" w:space="0" w:color="auto"/>
              <w:bottom w:val="single" w:sz="4" w:space="0" w:color="95B3D7"/>
              <w:right w:val="single" w:sz="4" w:space="0" w:color="auto"/>
            </w:tcBorders>
            <w:shd w:val="clear" w:color="000000" w:fill="FFFFFF"/>
            <w:noWrap/>
            <w:vAlign w:val="bottom"/>
          </w:tcPr>
          <w:p w:rsidR="001E1060" w:rsidRPr="003F29EE" w:rsidRDefault="001E1060" w:rsidP="00143905">
            <w:pPr>
              <w:jc w:val="both"/>
              <w:rPr>
                <w:rFonts w:cs="Calibri"/>
                <w:b/>
                <w:bCs/>
                <w:sz w:val="24"/>
                <w:szCs w:val="24"/>
              </w:rPr>
            </w:pPr>
            <w:r>
              <w:rPr>
                <w:rFonts w:cs="Calibri"/>
                <w:b/>
                <w:bCs/>
                <w:sz w:val="24"/>
                <w:szCs w:val="24"/>
              </w:rPr>
              <w:t>6</w:t>
            </w:r>
          </w:p>
        </w:tc>
        <w:tc>
          <w:tcPr>
            <w:tcW w:w="1250" w:type="pct"/>
            <w:tcBorders>
              <w:top w:val="single" w:sz="4" w:space="0" w:color="auto"/>
              <w:left w:val="single" w:sz="4" w:space="0" w:color="auto"/>
              <w:bottom w:val="single" w:sz="4" w:space="0" w:color="95B3D7"/>
              <w:right w:val="single" w:sz="4" w:space="0" w:color="auto"/>
            </w:tcBorders>
            <w:shd w:val="clear" w:color="000000" w:fill="FFFFFF"/>
            <w:noWrap/>
            <w:vAlign w:val="bottom"/>
          </w:tcPr>
          <w:p w:rsidR="001E1060" w:rsidRPr="003F29EE" w:rsidRDefault="001E1060" w:rsidP="00143905">
            <w:pPr>
              <w:jc w:val="both"/>
              <w:rPr>
                <w:rFonts w:cs="Calibri"/>
                <w:b/>
                <w:bCs/>
                <w:sz w:val="24"/>
                <w:szCs w:val="24"/>
              </w:rPr>
            </w:pPr>
            <w:r>
              <w:rPr>
                <w:rFonts w:cs="Calibri"/>
                <w:b/>
                <w:bCs/>
                <w:sz w:val="24"/>
                <w:szCs w:val="24"/>
              </w:rPr>
              <w:t>18</w:t>
            </w:r>
          </w:p>
        </w:tc>
        <w:tc>
          <w:tcPr>
            <w:tcW w:w="1250" w:type="pct"/>
            <w:tcBorders>
              <w:top w:val="single" w:sz="4" w:space="0" w:color="auto"/>
              <w:left w:val="single" w:sz="4" w:space="0" w:color="auto"/>
              <w:bottom w:val="single" w:sz="4" w:space="0" w:color="95B3D7"/>
              <w:right w:val="single" w:sz="4" w:space="0" w:color="auto"/>
            </w:tcBorders>
            <w:shd w:val="clear" w:color="000000" w:fill="FFFFFF"/>
            <w:noWrap/>
            <w:vAlign w:val="bottom"/>
          </w:tcPr>
          <w:p w:rsidR="001E1060" w:rsidRPr="003F29EE" w:rsidRDefault="001E1060" w:rsidP="00143905">
            <w:pPr>
              <w:jc w:val="both"/>
              <w:rPr>
                <w:rFonts w:cs="Calibri"/>
                <w:b/>
                <w:bCs/>
                <w:sz w:val="24"/>
                <w:szCs w:val="24"/>
              </w:rPr>
            </w:pPr>
            <w:r>
              <w:rPr>
                <w:rFonts w:cs="Calibri"/>
                <w:b/>
                <w:bCs/>
                <w:sz w:val="24"/>
                <w:szCs w:val="24"/>
              </w:rPr>
              <w:t>36</w:t>
            </w:r>
          </w:p>
        </w:tc>
        <w:tc>
          <w:tcPr>
            <w:tcW w:w="1250" w:type="pct"/>
            <w:tcBorders>
              <w:top w:val="single" w:sz="4" w:space="0" w:color="auto"/>
              <w:left w:val="single" w:sz="4" w:space="0" w:color="auto"/>
              <w:bottom w:val="single" w:sz="4" w:space="0" w:color="95B3D7"/>
              <w:right w:val="single" w:sz="4" w:space="0" w:color="auto"/>
            </w:tcBorders>
            <w:shd w:val="clear" w:color="000000" w:fill="FFFFFF"/>
            <w:noWrap/>
            <w:vAlign w:val="bottom"/>
          </w:tcPr>
          <w:p w:rsidR="001E1060" w:rsidRPr="003F29EE" w:rsidRDefault="001E1060" w:rsidP="00143905">
            <w:pPr>
              <w:jc w:val="both"/>
              <w:rPr>
                <w:rFonts w:cs="Calibri"/>
                <w:b/>
                <w:bCs/>
                <w:sz w:val="24"/>
                <w:szCs w:val="24"/>
              </w:rPr>
            </w:pPr>
            <w:r>
              <w:rPr>
                <w:rFonts w:cs="Calibri"/>
                <w:b/>
                <w:bCs/>
                <w:sz w:val="24"/>
                <w:szCs w:val="24"/>
              </w:rPr>
              <w:t>9</w:t>
            </w:r>
          </w:p>
        </w:tc>
      </w:tr>
    </w:tbl>
    <w:p w:rsidR="001E1060" w:rsidRPr="00C35D56" w:rsidRDefault="001E1060" w:rsidP="001E1060">
      <w:pPr>
        <w:pStyle w:val="Odstavecseseznamem"/>
        <w:jc w:val="both"/>
        <w:rPr>
          <w:rFonts w:cs="Calibri"/>
        </w:rPr>
      </w:pPr>
    </w:p>
    <w:p w:rsidR="001E1060" w:rsidRPr="00AC51CA" w:rsidRDefault="00213D15" w:rsidP="00AC51CA">
      <w:pPr>
        <w:spacing w:before="240"/>
        <w:jc w:val="both"/>
        <w:rPr>
          <w:rFonts w:cs="Calibri"/>
          <w:b/>
          <w:i/>
        </w:rPr>
      </w:pPr>
      <w:r w:rsidRPr="00EB3D4E">
        <w:rPr>
          <w:rFonts w:cs="Calibri"/>
          <w:b/>
          <w:i/>
        </w:rPr>
        <w:t xml:space="preserve">Tabulka č. </w:t>
      </w:r>
      <w:r w:rsidR="00F81434">
        <w:rPr>
          <w:rFonts w:cs="Calibri"/>
          <w:b/>
          <w:i/>
        </w:rPr>
        <w:t>4</w:t>
      </w:r>
      <w:r w:rsidRPr="00EB3D4E">
        <w:rPr>
          <w:rFonts w:cs="Calibri"/>
          <w:b/>
          <w:i/>
        </w:rPr>
        <w:t xml:space="preserve">: </w:t>
      </w:r>
      <w:r w:rsidR="002541AF">
        <w:rPr>
          <w:rFonts w:cs="Calibri"/>
          <w:b/>
          <w:i/>
        </w:rPr>
        <w:t>Klasifikace stanovisek Komise 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E1060" w:rsidRPr="00C35D56" w:rsidTr="00143905">
        <w:tc>
          <w:tcPr>
            <w:tcW w:w="9212" w:type="dxa"/>
            <w:shd w:val="clear" w:color="auto" w:fill="auto"/>
          </w:tcPr>
          <w:p w:rsidR="001E1060" w:rsidRPr="00C35D56" w:rsidRDefault="001E1060" w:rsidP="00AC51CA">
            <w:pPr>
              <w:pStyle w:val="Odstavecseseznamem"/>
              <w:spacing w:before="120" w:after="120"/>
              <w:ind w:left="0"/>
              <w:jc w:val="both"/>
              <w:rPr>
                <w:rFonts w:eastAsia="Calibri" w:cs="Calibri"/>
              </w:rPr>
            </w:pPr>
            <w:r w:rsidRPr="00C35D56">
              <w:rPr>
                <w:rFonts w:eastAsia="Calibri" w:cs="Calibri"/>
                <w:b/>
              </w:rPr>
              <w:t>Kladné stanovisko bez připomínek</w:t>
            </w:r>
            <w:r w:rsidRPr="00C35D56">
              <w:rPr>
                <w:rFonts w:eastAsia="Calibri" w:cs="Calibri"/>
              </w:rPr>
              <w:t xml:space="preserve"> znamená, že Komise RIA neshledala v předložené RIA žádná metodická pochybení a nedostatky, zpráva obsahuje všechny požadované části dle Obecných zásad RIA a předkládá srozumitelné, kvalitně zpracované a průkazné hodnocení dopadů k navrhovanému legislativnímu řešení. </w:t>
            </w:r>
          </w:p>
        </w:tc>
      </w:tr>
      <w:tr w:rsidR="001E1060" w:rsidRPr="00C35D56" w:rsidTr="00143905">
        <w:tc>
          <w:tcPr>
            <w:tcW w:w="9212" w:type="dxa"/>
            <w:shd w:val="clear" w:color="auto" w:fill="auto"/>
          </w:tcPr>
          <w:p w:rsidR="001E1060" w:rsidRPr="00C35D56" w:rsidRDefault="001E1060" w:rsidP="00AC51CA">
            <w:pPr>
              <w:pStyle w:val="Odstavecseseznamem"/>
              <w:spacing w:before="120" w:after="120"/>
              <w:ind w:left="0"/>
              <w:jc w:val="both"/>
              <w:rPr>
                <w:rFonts w:eastAsia="Calibri" w:cs="Calibri"/>
              </w:rPr>
            </w:pPr>
            <w:r w:rsidRPr="00C35D56">
              <w:rPr>
                <w:rFonts w:eastAsia="Calibri" w:cs="Calibri"/>
                <w:b/>
              </w:rPr>
              <w:t>Kladné stanovisko po dopracování</w:t>
            </w:r>
            <w:r w:rsidRPr="00C35D56">
              <w:rPr>
                <w:rFonts w:eastAsia="Calibri" w:cs="Calibri"/>
              </w:rPr>
              <w:t xml:space="preserve"> znamená, že komise identifikovala v </w:t>
            </w:r>
            <w:r>
              <w:rPr>
                <w:rFonts w:eastAsia="Calibri" w:cs="Calibri"/>
              </w:rPr>
              <w:t>Z</w:t>
            </w:r>
            <w:r w:rsidRPr="00C35D56">
              <w:rPr>
                <w:rFonts w:eastAsia="Calibri" w:cs="Calibri"/>
              </w:rPr>
              <w:t xml:space="preserve">ávěrečné zprávě RIA dílčí nedostatky, týkající se některých částí předloženého hodnocení dopadů, které neovlivňují celkovou kvalitu a průkaznost předloženého hodnocení dopadů k navrhovanému legislativnímu řešení. Pro účely úplnosti doprovodného hodnocení dopadů, které má sloužit k informovanému rozhodování </w:t>
            </w:r>
            <w:r w:rsidR="002541AF">
              <w:rPr>
                <w:rFonts w:eastAsia="Calibri" w:cs="Calibri"/>
              </w:rPr>
              <w:t xml:space="preserve">vlády </w:t>
            </w:r>
            <w:r w:rsidRPr="00C35D56">
              <w:rPr>
                <w:rFonts w:eastAsia="Calibri" w:cs="Calibri"/>
              </w:rPr>
              <w:t xml:space="preserve">o předloženém návrhu, však shledala Komise RIA dopracování </w:t>
            </w:r>
            <w:r w:rsidR="00D34F04">
              <w:rPr>
                <w:rFonts w:eastAsia="Calibri" w:cs="Calibri"/>
              </w:rPr>
              <w:t>z</w:t>
            </w:r>
            <w:r w:rsidR="00D34F04" w:rsidRPr="00C35D56">
              <w:rPr>
                <w:rFonts w:eastAsia="Calibri" w:cs="Calibri"/>
              </w:rPr>
              <w:t xml:space="preserve">ávěrečné </w:t>
            </w:r>
            <w:r w:rsidRPr="00C35D56">
              <w:rPr>
                <w:rFonts w:eastAsia="Calibri" w:cs="Calibri"/>
              </w:rPr>
              <w:t xml:space="preserve">zprávy RIA </w:t>
            </w:r>
            <w:r>
              <w:rPr>
                <w:rFonts w:eastAsia="Calibri" w:cs="Calibri"/>
              </w:rPr>
              <w:t xml:space="preserve">za </w:t>
            </w:r>
            <w:r w:rsidRPr="00C35D56">
              <w:rPr>
                <w:rFonts w:eastAsia="Calibri" w:cs="Calibri"/>
              </w:rPr>
              <w:t xml:space="preserve">potřebné. Obvykle to znamenalo, že Komise RIA požadovala předložení doplněné </w:t>
            </w:r>
            <w:r w:rsidR="00D34F04">
              <w:rPr>
                <w:rFonts w:eastAsia="Calibri" w:cs="Calibri"/>
              </w:rPr>
              <w:t>z</w:t>
            </w:r>
            <w:r w:rsidR="00D34F04" w:rsidRPr="00C35D56">
              <w:rPr>
                <w:rFonts w:eastAsia="Calibri" w:cs="Calibri"/>
              </w:rPr>
              <w:t xml:space="preserve">ávěrečné </w:t>
            </w:r>
            <w:r w:rsidRPr="00C35D56">
              <w:rPr>
                <w:rFonts w:eastAsia="Calibri" w:cs="Calibri"/>
              </w:rPr>
              <w:t xml:space="preserve">zprávy RIA pro vydání kladného stanoviska. </w:t>
            </w:r>
          </w:p>
        </w:tc>
      </w:tr>
      <w:tr w:rsidR="001E1060" w:rsidRPr="00C35D56" w:rsidTr="00143905">
        <w:tc>
          <w:tcPr>
            <w:tcW w:w="9212" w:type="dxa"/>
            <w:shd w:val="clear" w:color="auto" w:fill="auto"/>
          </w:tcPr>
          <w:p w:rsidR="001E1060" w:rsidRPr="00C35D56" w:rsidRDefault="001E1060" w:rsidP="00AC51CA">
            <w:pPr>
              <w:pStyle w:val="Odstavecseseznamem"/>
              <w:spacing w:before="120" w:after="120"/>
              <w:ind w:left="0"/>
              <w:jc w:val="both"/>
              <w:rPr>
                <w:rFonts w:eastAsia="Calibri" w:cs="Calibri"/>
              </w:rPr>
            </w:pPr>
            <w:r w:rsidRPr="00C35D56">
              <w:rPr>
                <w:rFonts w:eastAsia="Calibri" w:cs="Calibri"/>
                <w:b/>
              </w:rPr>
              <w:t>Kladné stanovisko po přepracování</w:t>
            </w:r>
            <w:r w:rsidRPr="00C35D56">
              <w:rPr>
                <w:rFonts w:eastAsia="Calibri" w:cs="Calibri"/>
              </w:rPr>
              <w:t xml:space="preserve"> znamená, že Komise RIA v předložené RIA shledala metodické nedostatky a nekonzistentnosti v odůvodnění a prezentaci hodnocení dopadů k předloženému návrhu legislativního řešení. Obecně znamenalo, že pro jednotlivá tvrzení chyběly konkrétní argumenty, ve zprávě absentovaly celé mandatorní části RIA, např. způsob provedení a vypořádání konzultací s dotčenými subjekty, prezentace metodiky a zdrojů dat, o které se opíralo provedené hodnocení dopadů, absence popisu a vyhodnocení jiných proveditelných variant řešení a jejich srovnání pro doporučení preferované varianty, tj. legislativního řešení apod. Zpravidla v takových případech došlo k dopracování </w:t>
            </w:r>
            <w:r w:rsidR="00D34F04">
              <w:rPr>
                <w:rFonts w:eastAsia="Calibri" w:cs="Calibri"/>
              </w:rPr>
              <w:t>z</w:t>
            </w:r>
            <w:r w:rsidR="00D34F04" w:rsidRPr="00C35D56">
              <w:rPr>
                <w:rFonts w:eastAsia="Calibri" w:cs="Calibri"/>
              </w:rPr>
              <w:t xml:space="preserve">ávěrečné </w:t>
            </w:r>
            <w:r w:rsidRPr="00C35D56">
              <w:rPr>
                <w:rFonts w:eastAsia="Calibri" w:cs="Calibri"/>
              </w:rPr>
              <w:t>zprávy</w:t>
            </w:r>
            <w:r>
              <w:rPr>
                <w:rFonts w:eastAsia="Calibri" w:cs="Calibri"/>
              </w:rPr>
              <w:t xml:space="preserve"> RIA</w:t>
            </w:r>
            <w:r w:rsidRPr="00C35D56">
              <w:rPr>
                <w:rFonts w:eastAsia="Calibri" w:cs="Calibri"/>
              </w:rPr>
              <w:t xml:space="preserve"> předkladatelem a její</w:t>
            </w:r>
            <w:r w:rsidR="002541AF">
              <w:rPr>
                <w:rFonts w:eastAsia="Calibri" w:cs="Calibri"/>
              </w:rPr>
              <w:t>mu</w:t>
            </w:r>
            <w:r w:rsidRPr="00C35D56">
              <w:rPr>
                <w:rFonts w:eastAsia="Calibri" w:cs="Calibri"/>
              </w:rPr>
              <w:t xml:space="preserve"> opětovné</w:t>
            </w:r>
            <w:r w:rsidR="002541AF">
              <w:rPr>
                <w:rFonts w:eastAsia="Calibri" w:cs="Calibri"/>
              </w:rPr>
              <w:t>mu</w:t>
            </w:r>
            <w:r w:rsidRPr="00C35D56">
              <w:rPr>
                <w:rFonts w:eastAsia="Calibri" w:cs="Calibri"/>
              </w:rPr>
              <w:t xml:space="preserve"> předložení, resp. projednání v Komisi RIA před vydáním revidovaného doporučujícího stanoviska.</w:t>
            </w:r>
          </w:p>
        </w:tc>
      </w:tr>
      <w:tr w:rsidR="001E1060" w:rsidRPr="00C35D56" w:rsidTr="00143905">
        <w:tc>
          <w:tcPr>
            <w:tcW w:w="9212" w:type="dxa"/>
            <w:shd w:val="clear" w:color="auto" w:fill="auto"/>
          </w:tcPr>
          <w:p w:rsidR="001E1060" w:rsidRPr="00C35D56" w:rsidRDefault="001E1060" w:rsidP="002A3A9A">
            <w:pPr>
              <w:pStyle w:val="Odstavecseseznamem"/>
              <w:spacing w:before="120" w:after="0"/>
              <w:ind w:left="0"/>
              <w:jc w:val="both"/>
              <w:rPr>
                <w:rFonts w:eastAsia="Calibri" w:cs="Calibri"/>
                <w:b/>
              </w:rPr>
            </w:pPr>
            <w:r w:rsidRPr="00C35D56">
              <w:rPr>
                <w:rFonts w:eastAsia="Calibri" w:cs="Calibri"/>
                <w:b/>
              </w:rPr>
              <w:t xml:space="preserve">Negativní stanovisko </w:t>
            </w:r>
            <w:r w:rsidRPr="00C35D56">
              <w:rPr>
                <w:rFonts w:eastAsia="Calibri" w:cs="Calibri"/>
              </w:rPr>
              <w:t>znamená, že Komise RIA identifikovala závažné nedostatky v hodnocení dopadů a metodice jejího zpracování a předkl</w:t>
            </w:r>
            <w:r>
              <w:rPr>
                <w:rFonts w:eastAsia="Calibri" w:cs="Calibri"/>
              </w:rPr>
              <w:t xml:space="preserve">adatel nepředložil revidovanou </w:t>
            </w:r>
            <w:r w:rsidR="00441324">
              <w:rPr>
                <w:rFonts w:eastAsia="Calibri" w:cs="Calibri"/>
              </w:rPr>
              <w:t>z</w:t>
            </w:r>
            <w:r w:rsidR="00441324" w:rsidRPr="00C35D56">
              <w:rPr>
                <w:rFonts w:eastAsia="Calibri" w:cs="Calibri"/>
              </w:rPr>
              <w:t xml:space="preserve">ávěrečnou </w:t>
            </w:r>
            <w:r w:rsidRPr="00C35D56">
              <w:rPr>
                <w:rFonts w:eastAsia="Calibri" w:cs="Calibri"/>
              </w:rPr>
              <w:lastRenderedPageBreak/>
              <w:t>zprávu RIA</w:t>
            </w:r>
            <w:r w:rsidR="00441324">
              <w:rPr>
                <w:rFonts w:eastAsia="Calibri" w:cs="Calibri"/>
              </w:rPr>
              <w:t xml:space="preserve"> nebo způsob dopracování neodpovídal povaze připomínek uplatněných Komisí RIA, respektive předkladatel nevypořádal všechny zásadní připomínky uplatněné k obsahovým a metodickým požadavkům zpracované RIA</w:t>
            </w:r>
            <w:r w:rsidRPr="00C35D56">
              <w:rPr>
                <w:rFonts w:eastAsia="Calibri" w:cs="Calibri"/>
              </w:rPr>
              <w:t xml:space="preserve">. </w:t>
            </w:r>
          </w:p>
        </w:tc>
      </w:tr>
    </w:tbl>
    <w:p w:rsidR="001E1060" w:rsidRDefault="001E1060" w:rsidP="001E1060">
      <w:pPr>
        <w:pStyle w:val="Odstavecseseznamem"/>
        <w:ind w:left="0"/>
        <w:jc w:val="both"/>
        <w:rPr>
          <w:rFonts w:cs="Calibri"/>
        </w:rPr>
      </w:pPr>
    </w:p>
    <w:p w:rsidR="001E1060" w:rsidRDefault="001E1060" w:rsidP="001E1060">
      <w:pPr>
        <w:pStyle w:val="Odstavecseseznamem"/>
        <w:ind w:left="0"/>
        <w:jc w:val="both"/>
        <w:rPr>
          <w:rFonts w:cs="Calibri"/>
        </w:rPr>
      </w:pPr>
      <w:r w:rsidRPr="00C35D56">
        <w:rPr>
          <w:rFonts w:cs="Calibri"/>
        </w:rPr>
        <w:t>V členění návrhů stanovisek podle jednotlivých předkladatelů lze podíl jednotlivých stanovisek prezentovat následovně.</w:t>
      </w:r>
    </w:p>
    <w:p w:rsidR="002A3A9A" w:rsidRPr="002A3A9A" w:rsidRDefault="009421A5" w:rsidP="002A3A9A">
      <w:pPr>
        <w:spacing w:before="240"/>
        <w:jc w:val="both"/>
        <w:rPr>
          <w:rFonts w:cs="Calibri"/>
          <w:b/>
          <w:i/>
        </w:rPr>
      </w:pPr>
      <w:r w:rsidRPr="00EB3D4E">
        <w:rPr>
          <w:rFonts w:cs="Calibri"/>
          <w:b/>
          <w:i/>
        </w:rPr>
        <w:t xml:space="preserve">Tabulka č. </w:t>
      </w:r>
      <w:r w:rsidR="00213D15">
        <w:rPr>
          <w:rFonts w:cs="Calibri"/>
          <w:b/>
          <w:i/>
        </w:rPr>
        <w:t>5</w:t>
      </w:r>
      <w:r w:rsidRPr="00EB3D4E">
        <w:rPr>
          <w:rFonts w:cs="Calibri"/>
          <w:b/>
          <w:i/>
        </w:rPr>
        <w:t xml:space="preserve">: </w:t>
      </w:r>
      <w:r>
        <w:rPr>
          <w:rFonts w:cs="Calibri"/>
          <w:b/>
          <w:i/>
        </w:rPr>
        <w:t xml:space="preserve">Počty </w:t>
      </w:r>
      <w:r w:rsidR="00D34F04">
        <w:rPr>
          <w:rFonts w:cs="Calibri"/>
          <w:b/>
          <w:i/>
        </w:rPr>
        <w:t xml:space="preserve">návrhů </w:t>
      </w:r>
      <w:r w:rsidR="002541AF">
        <w:rPr>
          <w:rFonts w:cs="Calibri"/>
          <w:b/>
          <w:i/>
        </w:rPr>
        <w:t xml:space="preserve">právních předpisů </w:t>
      </w:r>
      <w:r w:rsidR="00D34F04">
        <w:rPr>
          <w:rFonts w:cs="Calibri"/>
          <w:b/>
          <w:i/>
        </w:rPr>
        <w:t xml:space="preserve">s RIA, </w:t>
      </w:r>
      <w:r>
        <w:rPr>
          <w:rFonts w:cs="Calibri"/>
          <w:b/>
          <w:i/>
        </w:rPr>
        <w:t>žádostí o výjimky a stanoviska Komise RIA dle výsledku</w:t>
      </w:r>
      <w:r w:rsidR="002541AF">
        <w:rPr>
          <w:rFonts w:cs="Calibri"/>
          <w:b/>
          <w:i/>
        </w:rPr>
        <w:t>, včetně procentuálního vyjádření</w:t>
      </w:r>
    </w:p>
    <w:tbl>
      <w:tblPr>
        <w:tblW w:w="5776" w:type="pct"/>
        <w:jc w:val="center"/>
        <w:tblCellMar>
          <w:left w:w="70" w:type="dxa"/>
          <w:right w:w="70" w:type="dxa"/>
        </w:tblCellMar>
        <w:tblLook w:val="04A0" w:firstRow="1" w:lastRow="0" w:firstColumn="1" w:lastColumn="0" w:noHBand="0" w:noVBand="1"/>
      </w:tblPr>
      <w:tblGrid>
        <w:gridCol w:w="1127"/>
        <w:gridCol w:w="1157"/>
        <w:gridCol w:w="1391"/>
        <w:gridCol w:w="1426"/>
        <w:gridCol w:w="1190"/>
        <w:gridCol w:w="1111"/>
        <w:gridCol w:w="1003"/>
        <w:gridCol w:w="1092"/>
        <w:gridCol w:w="1145"/>
      </w:tblGrid>
      <w:tr w:rsidR="00640304" w:rsidRPr="00570703" w:rsidTr="002A3A9A">
        <w:trPr>
          <w:trHeight w:val="746"/>
          <w:jc w:val="center"/>
        </w:trPr>
        <w:tc>
          <w:tcPr>
            <w:tcW w:w="530" w:type="pct"/>
            <w:vMerge w:val="restart"/>
            <w:tcBorders>
              <w:top w:val="single" w:sz="4" w:space="0" w:color="5F497A"/>
              <w:left w:val="single" w:sz="4" w:space="0" w:color="5F497A"/>
              <w:bottom w:val="single" w:sz="4" w:space="0" w:color="5F497A"/>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r w:rsidRPr="004065CE">
              <w:rPr>
                <w:rFonts w:ascii="Arial" w:hAnsi="Arial" w:cs="Arial"/>
                <w:b/>
                <w:bCs/>
                <w:sz w:val="16"/>
                <w:szCs w:val="16"/>
              </w:rPr>
              <w:t>Předkladatel</w:t>
            </w:r>
          </w:p>
        </w:tc>
        <w:tc>
          <w:tcPr>
            <w:tcW w:w="544" w:type="pct"/>
            <w:vMerge w:val="restart"/>
            <w:tcBorders>
              <w:top w:val="single" w:sz="4" w:space="0" w:color="5F497A"/>
              <w:left w:val="single" w:sz="4" w:space="0" w:color="5F497A"/>
              <w:bottom w:val="single" w:sz="4" w:space="0" w:color="5F497A"/>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r w:rsidRPr="004065CE">
              <w:rPr>
                <w:rFonts w:ascii="Arial" w:hAnsi="Arial" w:cs="Arial"/>
                <w:b/>
                <w:bCs/>
                <w:sz w:val="16"/>
                <w:szCs w:val="16"/>
              </w:rPr>
              <w:t>Počty návrhů právních předpisů celkem</w:t>
            </w:r>
          </w:p>
        </w:tc>
        <w:tc>
          <w:tcPr>
            <w:tcW w:w="654" w:type="pct"/>
            <w:vMerge w:val="restart"/>
            <w:tcBorders>
              <w:top w:val="single" w:sz="4" w:space="0" w:color="5F497A"/>
              <w:left w:val="single" w:sz="4" w:space="0" w:color="5F497A"/>
              <w:bottom w:val="nil"/>
              <w:right w:val="single" w:sz="4" w:space="0" w:color="5F497A"/>
            </w:tcBorders>
            <w:shd w:val="clear" w:color="auto" w:fill="B2A1C7"/>
          </w:tcPr>
          <w:p w:rsidR="0025709C" w:rsidRPr="004065CE" w:rsidRDefault="0025709C" w:rsidP="00DB617C">
            <w:pPr>
              <w:spacing w:after="0" w:line="240" w:lineRule="auto"/>
              <w:jc w:val="both"/>
              <w:rPr>
                <w:rFonts w:ascii="Arial" w:hAnsi="Arial" w:cs="Arial"/>
                <w:b/>
                <w:bCs/>
                <w:sz w:val="16"/>
                <w:szCs w:val="16"/>
              </w:rPr>
            </w:pPr>
            <w:r>
              <w:rPr>
                <w:rFonts w:ascii="Arial" w:hAnsi="Arial" w:cs="Arial"/>
                <w:b/>
                <w:bCs/>
                <w:sz w:val="16"/>
                <w:szCs w:val="16"/>
              </w:rPr>
              <w:t>Počty udělených</w:t>
            </w:r>
            <w:r w:rsidR="00F36B50">
              <w:rPr>
                <w:rFonts w:ascii="Arial" w:hAnsi="Arial" w:cs="Arial"/>
                <w:b/>
                <w:bCs/>
                <w:sz w:val="16"/>
                <w:szCs w:val="16"/>
              </w:rPr>
              <w:t xml:space="preserve"> /příp. neudělených</w:t>
            </w:r>
            <w:r>
              <w:rPr>
                <w:rFonts w:ascii="Arial" w:hAnsi="Arial" w:cs="Arial"/>
                <w:b/>
                <w:bCs/>
                <w:sz w:val="16"/>
                <w:szCs w:val="16"/>
              </w:rPr>
              <w:t xml:space="preserve"> výjimek</w:t>
            </w:r>
            <w:r w:rsidR="00DB7695">
              <w:rPr>
                <w:rFonts w:ascii="Arial" w:hAnsi="Arial" w:cs="Arial"/>
                <w:b/>
                <w:bCs/>
                <w:sz w:val="16"/>
                <w:szCs w:val="16"/>
              </w:rPr>
              <w:t xml:space="preserve"> v r. 2013</w:t>
            </w:r>
            <w:r>
              <w:rPr>
                <w:rFonts w:ascii="Arial" w:hAnsi="Arial" w:cs="Arial"/>
                <w:b/>
                <w:bCs/>
                <w:sz w:val="16"/>
                <w:szCs w:val="16"/>
              </w:rPr>
              <w:t xml:space="preserve"> z</w:t>
            </w:r>
            <w:r w:rsidR="00F36B50">
              <w:rPr>
                <w:rFonts w:ascii="Arial" w:hAnsi="Arial" w:cs="Arial"/>
                <w:b/>
                <w:bCs/>
                <w:sz w:val="16"/>
                <w:szCs w:val="16"/>
              </w:rPr>
              <w:t> </w:t>
            </w:r>
            <w:r>
              <w:rPr>
                <w:rFonts w:ascii="Arial" w:hAnsi="Arial" w:cs="Arial"/>
                <w:b/>
                <w:bCs/>
                <w:sz w:val="16"/>
                <w:szCs w:val="16"/>
              </w:rPr>
              <w:t>povinnosti vypracovat RIA</w:t>
            </w:r>
            <w:r w:rsidR="00632659">
              <w:rPr>
                <w:rStyle w:val="Znakapoznpodarou"/>
                <w:rFonts w:ascii="Arial" w:hAnsi="Arial" w:cs="Arial"/>
                <w:b/>
                <w:bCs/>
                <w:sz w:val="16"/>
                <w:szCs w:val="16"/>
              </w:rPr>
              <w:footnoteReference w:id="3"/>
            </w:r>
          </w:p>
        </w:tc>
        <w:tc>
          <w:tcPr>
            <w:tcW w:w="670" w:type="pct"/>
            <w:vMerge w:val="restart"/>
            <w:tcBorders>
              <w:top w:val="single" w:sz="4" w:space="0" w:color="5F497A"/>
              <w:left w:val="single" w:sz="4" w:space="0" w:color="5F497A"/>
              <w:right w:val="single" w:sz="4" w:space="0" w:color="5F497A"/>
            </w:tcBorders>
            <w:shd w:val="clear" w:color="auto" w:fill="B2A1C7"/>
            <w:vAlign w:val="center"/>
          </w:tcPr>
          <w:p w:rsidR="0025709C" w:rsidRPr="004065CE" w:rsidRDefault="0025709C" w:rsidP="007102B5">
            <w:pPr>
              <w:spacing w:after="0" w:line="240" w:lineRule="auto"/>
              <w:jc w:val="both"/>
              <w:rPr>
                <w:rFonts w:ascii="Arial" w:hAnsi="Arial" w:cs="Arial"/>
                <w:b/>
                <w:bCs/>
                <w:sz w:val="16"/>
                <w:szCs w:val="16"/>
              </w:rPr>
            </w:pPr>
            <w:r>
              <w:rPr>
                <w:rFonts w:ascii="Arial" w:hAnsi="Arial" w:cs="Arial"/>
                <w:b/>
                <w:bCs/>
                <w:sz w:val="16"/>
                <w:szCs w:val="16"/>
              </w:rPr>
              <w:t xml:space="preserve">Počty návrhů </w:t>
            </w:r>
            <w:r w:rsidRPr="004065CE">
              <w:rPr>
                <w:rFonts w:ascii="Arial" w:hAnsi="Arial" w:cs="Arial"/>
                <w:b/>
                <w:bCs/>
                <w:sz w:val="16"/>
                <w:szCs w:val="16"/>
              </w:rPr>
              <w:t>předložených s</w:t>
            </w:r>
            <w:r w:rsidR="00A2768F">
              <w:rPr>
                <w:rFonts w:ascii="Arial" w:hAnsi="Arial" w:cs="Arial"/>
                <w:b/>
                <w:bCs/>
                <w:sz w:val="16"/>
                <w:szCs w:val="16"/>
              </w:rPr>
              <w:t> </w:t>
            </w:r>
            <w:r w:rsidRPr="004065CE">
              <w:rPr>
                <w:rFonts w:ascii="Arial" w:hAnsi="Arial" w:cs="Arial"/>
                <w:b/>
                <w:bCs/>
                <w:sz w:val="16"/>
                <w:szCs w:val="16"/>
              </w:rPr>
              <w:t>RIA</w:t>
            </w:r>
            <w:r w:rsidR="00400157">
              <w:rPr>
                <w:rFonts w:ascii="Arial" w:hAnsi="Arial" w:cs="Arial"/>
                <w:b/>
                <w:bCs/>
                <w:sz w:val="16"/>
                <w:szCs w:val="16"/>
              </w:rPr>
              <w:t xml:space="preserve"> (počet a vyjádření v % </w:t>
            </w:r>
            <w:r w:rsidR="00400157">
              <w:rPr>
                <w:rStyle w:val="Znakapoznpodarou"/>
                <w:rFonts w:ascii="Arial" w:hAnsi="Arial" w:cs="Arial"/>
                <w:b/>
                <w:bCs/>
                <w:sz w:val="16"/>
                <w:szCs w:val="16"/>
              </w:rPr>
              <w:footnoteReference w:id="4"/>
            </w:r>
            <w:r w:rsidR="00A2768F">
              <w:rPr>
                <w:rFonts w:ascii="Arial" w:hAnsi="Arial" w:cs="Arial"/>
                <w:b/>
                <w:bCs/>
                <w:sz w:val="16"/>
                <w:szCs w:val="16"/>
              </w:rPr>
              <w:t>)</w:t>
            </w:r>
          </w:p>
        </w:tc>
        <w:tc>
          <w:tcPr>
            <w:tcW w:w="559" w:type="pct"/>
            <w:vMerge w:val="restart"/>
            <w:tcBorders>
              <w:top w:val="single" w:sz="4" w:space="0" w:color="5F497A"/>
              <w:left w:val="single" w:sz="4" w:space="0" w:color="5F497A"/>
              <w:bottom w:val="single" w:sz="4" w:space="0" w:color="5F497A"/>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r w:rsidRPr="004065CE">
              <w:rPr>
                <w:rFonts w:ascii="Arial" w:hAnsi="Arial" w:cs="Arial"/>
                <w:b/>
                <w:bCs/>
                <w:sz w:val="16"/>
                <w:szCs w:val="16"/>
              </w:rPr>
              <w:t xml:space="preserve">z toho projednaných </w:t>
            </w:r>
          </w:p>
          <w:p w:rsidR="0025709C" w:rsidRPr="004065CE" w:rsidRDefault="0025709C" w:rsidP="00143905">
            <w:pPr>
              <w:spacing w:after="0" w:line="240" w:lineRule="auto"/>
              <w:jc w:val="both"/>
              <w:rPr>
                <w:rFonts w:ascii="Arial" w:hAnsi="Arial" w:cs="Arial"/>
                <w:b/>
                <w:bCs/>
                <w:sz w:val="16"/>
                <w:szCs w:val="16"/>
              </w:rPr>
            </w:pPr>
            <w:r w:rsidRPr="004065CE">
              <w:rPr>
                <w:rFonts w:ascii="Arial" w:hAnsi="Arial" w:cs="Arial"/>
                <w:b/>
                <w:bCs/>
                <w:sz w:val="16"/>
                <w:szCs w:val="16"/>
              </w:rPr>
              <w:t>v Komisi RIA</w:t>
            </w:r>
          </w:p>
        </w:tc>
        <w:tc>
          <w:tcPr>
            <w:tcW w:w="522" w:type="pct"/>
            <w:vMerge w:val="restart"/>
            <w:tcBorders>
              <w:top w:val="single" w:sz="4" w:space="0" w:color="5F497A"/>
              <w:left w:val="single" w:sz="4" w:space="0" w:color="5F497A"/>
              <w:bottom w:val="single" w:sz="4" w:space="0" w:color="5F497A"/>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r w:rsidRPr="004065CE">
              <w:rPr>
                <w:rFonts w:ascii="Arial" w:hAnsi="Arial" w:cs="Arial"/>
                <w:b/>
                <w:bCs/>
                <w:sz w:val="16"/>
                <w:szCs w:val="16"/>
              </w:rPr>
              <w:t>s negativním stanoviskem</w:t>
            </w:r>
            <w:r w:rsidR="00A2768F">
              <w:rPr>
                <w:rFonts w:ascii="Arial" w:hAnsi="Arial" w:cs="Arial"/>
                <w:b/>
                <w:bCs/>
                <w:sz w:val="16"/>
                <w:szCs w:val="16"/>
              </w:rPr>
              <w:t xml:space="preserve"> (celkově a v %</w:t>
            </w:r>
            <w:r w:rsidR="002A3A9A">
              <w:rPr>
                <w:rStyle w:val="Znakapoznpodarou"/>
                <w:rFonts w:ascii="Arial" w:hAnsi="Arial" w:cs="Arial"/>
                <w:b/>
                <w:bCs/>
                <w:sz w:val="16"/>
                <w:szCs w:val="16"/>
              </w:rPr>
              <w:footnoteReference w:id="5"/>
            </w:r>
            <w:r w:rsidR="00A2768F">
              <w:rPr>
                <w:rFonts w:ascii="Arial" w:hAnsi="Arial" w:cs="Arial"/>
                <w:b/>
                <w:bCs/>
                <w:sz w:val="16"/>
                <w:szCs w:val="16"/>
              </w:rPr>
              <w:t>)</w:t>
            </w:r>
          </w:p>
        </w:tc>
        <w:tc>
          <w:tcPr>
            <w:tcW w:w="1522" w:type="pct"/>
            <w:gridSpan w:val="3"/>
            <w:tcBorders>
              <w:top w:val="single" w:sz="4" w:space="0" w:color="5F497A"/>
              <w:left w:val="single" w:sz="4" w:space="0" w:color="5F497A"/>
              <w:bottom w:val="single" w:sz="4" w:space="0" w:color="5F497A"/>
              <w:right w:val="single" w:sz="4" w:space="0" w:color="5F497A"/>
            </w:tcBorders>
            <w:shd w:val="clear" w:color="auto" w:fill="B2A1C7"/>
            <w:vAlign w:val="center"/>
          </w:tcPr>
          <w:p w:rsidR="0025709C" w:rsidRPr="00B805C1" w:rsidRDefault="0025709C" w:rsidP="00143905">
            <w:pPr>
              <w:spacing w:after="0" w:line="240" w:lineRule="auto"/>
              <w:jc w:val="both"/>
              <w:rPr>
                <w:rFonts w:ascii="Arial" w:hAnsi="Arial" w:cs="Arial"/>
                <w:b/>
                <w:bCs/>
                <w:sz w:val="16"/>
                <w:szCs w:val="16"/>
              </w:rPr>
            </w:pPr>
            <w:r w:rsidRPr="00B805C1">
              <w:rPr>
                <w:rFonts w:ascii="Arial" w:hAnsi="Arial" w:cs="Arial"/>
                <w:b/>
                <w:bCs/>
                <w:sz w:val="16"/>
                <w:szCs w:val="16"/>
              </w:rPr>
              <w:t>s kladným stanoviskem</w:t>
            </w:r>
            <w:r w:rsidR="00A2768F">
              <w:rPr>
                <w:rFonts w:ascii="Arial" w:hAnsi="Arial" w:cs="Arial"/>
                <w:b/>
                <w:bCs/>
                <w:sz w:val="16"/>
                <w:szCs w:val="16"/>
              </w:rPr>
              <w:t xml:space="preserve"> (celkově a v %</w:t>
            </w:r>
            <w:r w:rsidR="002A3A9A" w:rsidRPr="002A3A9A">
              <w:rPr>
                <w:rFonts w:ascii="Arial" w:hAnsi="Arial" w:cs="Arial"/>
                <w:b/>
                <w:bCs/>
                <w:sz w:val="16"/>
                <w:szCs w:val="16"/>
                <w:vertAlign w:val="superscript"/>
              </w:rPr>
              <w:t>6</w:t>
            </w:r>
            <w:r w:rsidR="00A2768F">
              <w:rPr>
                <w:rFonts w:ascii="Arial" w:hAnsi="Arial" w:cs="Arial"/>
                <w:b/>
                <w:bCs/>
                <w:sz w:val="16"/>
                <w:szCs w:val="16"/>
              </w:rPr>
              <w:t>)</w:t>
            </w:r>
          </w:p>
        </w:tc>
      </w:tr>
      <w:tr w:rsidR="00640304" w:rsidRPr="00570703" w:rsidTr="00DA3DCC">
        <w:trPr>
          <w:trHeight w:val="368"/>
          <w:jc w:val="center"/>
        </w:trPr>
        <w:tc>
          <w:tcPr>
            <w:tcW w:w="530" w:type="pct"/>
            <w:vMerge/>
            <w:tcBorders>
              <w:top w:val="single" w:sz="4" w:space="0" w:color="5F497A"/>
              <w:left w:val="single" w:sz="4" w:space="0" w:color="5F497A"/>
              <w:bottom w:val="single" w:sz="4" w:space="0" w:color="auto"/>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p>
        </w:tc>
        <w:tc>
          <w:tcPr>
            <w:tcW w:w="544" w:type="pct"/>
            <w:vMerge/>
            <w:tcBorders>
              <w:top w:val="single" w:sz="4" w:space="0" w:color="5F497A"/>
              <w:left w:val="single" w:sz="4" w:space="0" w:color="5F497A"/>
              <w:bottom w:val="single" w:sz="4" w:space="0" w:color="auto"/>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p>
        </w:tc>
        <w:tc>
          <w:tcPr>
            <w:tcW w:w="654" w:type="pct"/>
            <w:vMerge/>
            <w:tcBorders>
              <w:left w:val="single" w:sz="4" w:space="0" w:color="5F497A"/>
              <w:bottom w:val="single" w:sz="4" w:space="0" w:color="auto"/>
              <w:right w:val="single" w:sz="4" w:space="0" w:color="5F497A"/>
            </w:tcBorders>
            <w:shd w:val="clear" w:color="auto" w:fill="B2A1C7"/>
          </w:tcPr>
          <w:p w:rsidR="0025709C" w:rsidRPr="004065CE" w:rsidRDefault="0025709C" w:rsidP="00143905">
            <w:pPr>
              <w:spacing w:after="0" w:line="240" w:lineRule="auto"/>
              <w:jc w:val="both"/>
              <w:rPr>
                <w:rFonts w:ascii="Arial" w:hAnsi="Arial" w:cs="Arial"/>
                <w:b/>
                <w:bCs/>
                <w:sz w:val="16"/>
                <w:szCs w:val="16"/>
              </w:rPr>
            </w:pPr>
          </w:p>
        </w:tc>
        <w:tc>
          <w:tcPr>
            <w:tcW w:w="670" w:type="pct"/>
            <w:vMerge/>
            <w:tcBorders>
              <w:left w:val="single" w:sz="4" w:space="0" w:color="5F497A"/>
              <w:bottom w:val="single" w:sz="4" w:space="0" w:color="auto"/>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p>
        </w:tc>
        <w:tc>
          <w:tcPr>
            <w:tcW w:w="559" w:type="pct"/>
            <w:vMerge/>
            <w:tcBorders>
              <w:top w:val="single" w:sz="4" w:space="0" w:color="5F497A"/>
              <w:left w:val="single" w:sz="4" w:space="0" w:color="5F497A"/>
              <w:bottom w:val="single" w:sz="4" w:space="0" w:color="auto"/>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p>
        </w:tc>
        <w:tc>
          <w:tcPr>
            <w:tcW w:w="522" w:type="pct"/>
            <w:vMerge/>
            <w:tcBorders>
              <w:top w:val="single" w:sz="4" w:space="0" w:color="5F497A"/>
              <w:left w:val="single" w:sz="4" w:space="0" w:color="5F497A"/>
              <w:bottom w:val="single" w:sz="4" w:space="0" w:color="auto"/>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p>
        </w:tc>
        <w:tc>
          <w:tcPr>
            <w:tcW w:w="471" w:type="pct"/>
            <w:tcBorders>
              <w:top w:val="single" w:sz="4" w:space="0" w:color="5F497A"/>
              <w:left w:val="single" w:sz="4" w:space="0" w:color="5F497A"/>
              <w:bottom w:val="single" w:sz="4" w:space="0" w:color="auto"/>
              <w:right w:val="single" w:sz="4" w:space="0" w:color="5F497A"/>
            </w:tcBorders>
            <w:shd w:val="clear" w:color="auto" w:fill="B2A1C7"/>
            <w:vAlign w:val="center"/>
          </w:tcPr>
          <w:p w:rsidR="0025709C" w:rsidRPr="004065CE" w:rsidRDefault="0025709C" w:rsidP="00143905">
            <w:pPr>
              <w:spacing w:after="0" w:line="240" w:lineRule="auto"/>
              <w:jc w:val="both"/>
              <w:rPr>
                <w:rFonts w:ascii="Arial" w:hAnsi="Arial" w:cs="Arial"/>
                <w:b/>
                <w:bCs/>
                <w:sz w:val="16"/>
                <w:szCs w:val="16"/>
              </w:rPr>
            </w:pPr>
            <w:r w:rsidRPr="004065CE">
              <w:rPr>
                <w:rFonts w:ascii="Arial" w:hAnsi="Arial" w:cs="Arial"/>
                <w:b/>
                <w:bCs/>
                <w:sz w:val="16"/>
                <w:szCs w:val="16"/>
              </w:rPr>
              <w:t>bez připomínek</w:t>
            </w:r>
          </w:p>
        </w:tc>
        <w:tc>
          <w:tcPr>
            <w:tcW w:w="513" w:type="pct"/>
            <w:tcBorders>
              <w:top w:val="single" w:sz="4" w:space="0" w:color="5F497A"/>
              <w:left w:val="single" w:sz="4" w:space="0" w:color="5F497A"/>
              <w:bottom w:val="single" w:sz="4" w:space="0" w:color="auto"/>
              <w:right w:val="single" w:sz="4" w:space="0" w:color="5F497A"/>
            </w:tcBorders>
            <w:shd w:val="clear" w:color="auto" w:fill="B2A1C7"/>
            <w:vAlign w:val="center"/>
          </w:tcPr>
          <w:p w:rsidR="0025709C" w:rsidRPr="00B805C1" w:rsidRDefault="0025709C" w:rsidP="00143905">
            <w:pPr>
              <w:spacing w:after="0" w:line="240" w:lineRule="auto"/>
              <w:jc w:val="both"/>
              <w:rPr>
                <w:rFonts w:ascii="Arial" w:hAnsi="Arial" w:cs="Arial"/>
                <w:b/>
                <w:bCs/>
                <w:sz w:val="16"/>
                <w:szCs w:val="16"/>
              </w:rPr>
            </w:pPr>
            <w:r w:rsidRPr="00B805C1">
              <w:rPr>
                <w:rFonts w:ascii="Arial" w:hAnsi="Arial" w:cs="Arial"/>
                <w:b/>
                <w:bCs/>
                <w:sz w:val="16"/>
                <w:szCs w:val="16"/>
              </w:rPr>
              <w:t>po dopracování</w:t>
            </w:r>
          </w:p>
        </w:tc>
        <w:tc>
          <w:tcPr>
            <w:tcW w:w="538" w:type="pct"/>
            <w:tcBorders>
              <w:top w:val="single" w:sz="4" w:space="0" w:color="5F497A"/>
              <w:left w:val="single" w:sz="4" w:space="0" w:color="5F497A"/>
              <w:bottom w:val="single" w:sz="4" w:space="0" w:color="auto"/>
              <w:right w:val="single" w:sz="4" w:space="0" w:color="5F497A"/>
            </w:tcBorders>
            <w:shd w:val="clear" w:color="auto" w:fill="B2A1C7"/>
            <w:vAlign w:val="center"/>
          </w:tcPr>
          <w:p w:rsidR="0025709C" w:rsidRPr="00B805C1" w:rsidRDefault="0025709C" w:rsidP="00143905">
            <w:pPr>
              <w:spacing w:after="0" w:line="240" w:lineRule="auto"/>
              <w:jc w:val="both"/>
              <w:rPr>
                <w:rFonts w:ascii="Arial" w:hAnsi="Arial" w:cs="Arial"/>
                <w:b/>
                <w:bCs/>
                <w:sz w:val="16"/>
                <w:szCs w:val="16"/>
              </w:rPr>
            </w:pPr>
            <w:r w:rsidRPr="00B805C1">
              <w:rPr>
                <w:rFonts w:ascii="Arial" w:hAnsi="Arial" w:cs="Arial"/>
                <w:b/>
                <w:bCs/>
                <w:sz w:val="16"/>
                <w:szCs w:val="16"/>
              </w:rPr>
              <w:t>po přepracování</w:t>
            </w:r>
          </w:p>
        </w:tc>
      </w:tr>
      <w:tr w:rsidR="00640304" w:rsidRPr="00570703" w:rsidTr="00DA3DCC">
        <w:trPr>
          <w:trHeight w:val="368"/>
          <w:jc w:val="center"/>
        </w:trPr>
        <w:tc>
          <w:tcPr>
            <w:tcW w:w="530" w:type="pct"/>
            <w:tcBorders>
              <w:top w:val="single" w:sz="4" w:space="0" w:color="auto"/>
              <w:left w:val="single" w:sz="4" w:space="0" w:color="auto"/>
              <w:bottom w:val="single" w:sz="4" w:space="0" w:color="8DB3E2" w:themeColor="text2" w:themeTint="66"/>
              <w:right w:val="single" w:sz="4" w:space="0" w:color="auto"/>
            </w:tcBorders>
            <w:shd w:val="clear" w:color="auto" w:fill="E5DFEC"/>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Arial"/>
                <w:b/>
                <w:color w:val="000000"/>
                <w:sz w:val="16"/>
                <w:szCs w:val="16"/>
              </w:rPr>
              <w:t>MD</w:t>
            </w:r>
          </w:p>
        </w:tc>
        <w:tc>
          <w:tcPr>
            <w:tcW w:w="544" w:type="pct"/>
            <w:tcBorders>
              <w:top w:val="single" w:sz="4" w:space="0" w:color="auto"/>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6</w:t>
            </w:r>
          </w:p>
        </w:tc>
        <w:tc>
          <w:tcPr>
            <w:tcW w:w="654" w:type="pct"/>
            <w:tcBorders>
              <w:top w:val="single" w:sz="4" w:space="0" w:color="auto"/>
              <w:left w:val="nil"/>
              <w:bottom w:val="single" w:sz="4" w:space="0" w:color="8DB3E2" w:themeColor="text2" w:themeTint="66"/>
              <w:right w:val="single" w:sz="4" w:space="0" w:color="auto"/>
            </w:tcBorders>
            <w:shd w:val="clear" w:color="auto" w:fill="E5DFEC"/>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1</w:t>
            </w:r>
            <w:r w:rsidR="00F36B50">
              <w:rPr>
                <w:rFonts w:ascii="Arial" w:hAnsi="Arial" w:cs="Arial"/>
                <w:color w:val="000000"/>
                <w:sz w:val="16"/>
                <w:szCs w:val="16"/>
              </w:rPr>
              <w:t>/0</w:t>
            </w:r>
          </w:p>
        </w:tc>
        <w:tc>
          <w:tcPr>
            <w:tcW w:w="670" w:type="pct"/>
            <w:tcBorders>
              <w:top w:val="single" w:sz="4" w:space="0" w:color="auto"/>
              <w:left w:val="single" w:sz="4" w:space="0" w:color="auto"/>
              <w:bottom w:val="single" w:sz="4" w:space="0" w:color="8DB3E2" w:themeColor="text2" w:themeTint="66"/>
              <w:right w:val="single" w:sz="4" w:space="0" w:color="auto"/>
            </w:tcBorders>
            <w:shd w:val="clear" w:color="auto" w:fill="E5DFEC"/>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4</w:t>
            </w:r>
            <w:r w:rsidR="007102B5">
              <w:rPr>
                <w:rFonts w:ascii="Arial" w:hAnsi="Arial" w:cs="Arial"/>
                <w:color w:val="000000"/>
                <w:sz w:val="16"/>
                <w:szCs w:val="16"/>
              </w:rPr>
              <w:t xml:space="preserve"> (67%)</w:t>
            </w:r>
          </w:p>
        </w:tc>
        <w:tc>
          <w:tcPr>
            <w:tcW w:w="559" w:type="pct"/>
            <w:tcBorders>
              <w:top w:val="single" w:sz="4" w:space="0" w:color="auto"/>
              <w:left w:val="single" w:sz="4" w:space="0" w:color="auto"/>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3</w:t>
            </w:r>
          </w:p>
        </w:tc>
        <w:tc>
          <w:tcPr>
            <w:tcW w:w="522" w:type="pct"/>
            <w:tcBorders>
              <w:top w:val="single" w:sz="4" w:space="0" w:color="auto"/>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auto"/>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(33%)</w:t>
            </w:r>
          </w:p>
        </w:tc>
        <w:tc>
          <w:tcPr>
            <w:tcW w:w="513" w:type="pct"/>
            <w:tcBorders>
              <w:top w:val="single" w:sz="4" w:space="0" w:color="auto"/>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7102B5">
              <w:rPr>
                <w:rFonts w:ascii="Arial" w:hAnsi="Arial" w:cs="Arial"/>
                <w:color w:val="000000"/>
                <w:sz w:val="16"/>
                <w:szCs w:val="16"/>
              </w:rPr>
              <w:t xml:space="preserve"> (67%)</w:t>
            </w:r>
          </w:p>
        </w:tc>
        <w:tc>
          <w:tcPr>
            <w:tcW w:w="538" w:type="pct"/>
            <w:tcBorders>
              <w:top w:val="single" w:sz="4" w:space="0" w:color="auto"/>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MF</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25</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25709C" w:rsidRPr="001E1060" w:rsidRDefault="00086B70" w:rsidP="00086B70">
            <w:pPr>
              <w:spacing w:after="0" w:line="240" w:lineRule="auto"/>
              <w:jc w:val="right"/>
              <w:rPr>
                <w:rFonts w:ascii="Arial" w:hAnsi="Arial" w:cs="Arial"/>
                <w:color w:val="000000"/>
                <w:sz w:val="16"/>
                <w:szCs w:val="16"/>
              </w:rPr>
            </w:pPr>
            <w:r>
              <w:rPr>
                <w:rFonts w:ascii="Arial" w:hAnsi="Arial" w:cs="Arial"/>
                <w:color w:val="000000"/>
                <w:sz w:val="16"/>
                <w:szCs w:val="16"/>
              </w:rPr>
              <w:t>5</w:t>
            </w:r>
            <w:r w:rsidR="00F36B50">
              <w:rPr>
                <w:rFonts w:ascii="Arial" w:hAnsi="Arial" w:cs="Arial"/>
                <w:color w:val="000000"/>
                <w:sz w:val="16"/>
                <w:szCs w:val="16"/>
              </w:rPr>
              <w:t>/1</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25709C" w:rsidRPr="001E1060" w:rsidRDefault="005B400A" w:rsidP="007102B5">
            <w:pPr>
              <w:spacing w:after="0" w:line="240" w:lineRule="auto"/>
              <w:jc w:val="right"/>
              <w:rPr>
                <w:rFonts w:ascii="Arial" w:hAnsi="Arial" w:cs="Arial"/>
                <w:color w:val="000000"/>
                <w:sz w:val="16"/>
                <w:szCs w:val="16"/>
              </w:rPr>
            </w:pPr>
            <w:r>
              <w:rPr>
                <w:rFonts w:ascii="Arial" w:hAnsi="Arial" w:cs="Arial"/>
                <w:color w:val="000000"/>
                <w:sz w:val="16"/>
                <w:szCs w:val="16"/>
              </w:rPr>
              <w:t>13</w:t>
            </w:r>
            <w:r w:rsidR="007102B5">
              <w:rPr>
                <w:rFonts w:ascii="Arial" w:hAnsi="Arial" w:cs="Arial"/>
                <w:color w:val="000000"/>
                <w:sz w:val="16"/>
                <w:szCs w:val="16"/>
              </w:rPr>
              <w:t xml:space="preserve"> (48%) </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10</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(10%)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7102B5">
              <w:rPr>
                <w:rFonts w:ascii="Arial" w:hAnsi="Arial" w:cs="Arial"/>
                <w:color w:val="000000"/>
                <w:sz w:val="16"/>
                <w:szCs w:val="16"/>
              </w:rPr>
              <w:t xml:space="preserve"> (20%) </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6</w:t>
            </w:r>
            <w:r w:rsidR="007102B5">
              <w:rPr>
                <w:rFonts w:ascii="Arial" w:hAnsi="Arial" w:cs="Arial"/>
                <w:color w:val="000000"/>
                <w:sz w:val="16"/>
                <w:szCs w:val="16"/>
              </w:rPr>
              <w:t xml:space="preserve"> (60%)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(10%)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MK</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1</w:t>
            </w:r>
            <w:r w:rsidR="00F36B50">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7102B5">
              <w:rPr>
                <w:rFonts w:ascii="Arial" w:hAnsi="Arial" w:cs="Arial"/>
                <w:color w:val="000000"/>
                <w:sz w:val="16"/>
                <w:szCs w:val="16"/>
              </w:rPr>
              <w:t xml:space="preserve"> (100%)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7102B5">
              <w:rPr>
                <w:rFonts w:ascii="Arial" w:hAnsi="Arial" w:cs="Arial"/>
                <w:color w:val="000000"/>
                <w:sz w:val="16"/>
                <w:szCs w:val="16"/>
              </w:rPr>
              <w:t xml:space="preserve"> (100%)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MMR</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12</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2</w:t>
            </w:r>
            <w:r w:rsidR="00F36B50">
              <w:rPr>
                <w:rFonts w:ascii="Arial" w:hAnsi="Arial" w:cs="Arial"/>
                <w:color w:val="000000"/>
                <w:sz w:val="16"/>
                <w:szCs w:val="16"/>
              </w:rPr>
              <w:t>/1</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9</w:t>
            </w:r>
            <w:r w:rsidR="007102B5">
              <w:rPr>
                <w:rFonts w:ascii="Arial" w:hAnsi="Arial" w:cs="Arial"/>
                <w:color w:val="000000"/>
                <w:sz w:val="16"/>
                <w:szCs w:val="16"/>
              </w:rPr>
              <w:t xml:space="preserve"> 75%)</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6</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(17%) </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(17%)</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7102B5">
              <w:rPr>
                <w:rFonts w:ascii="Arial" w:hAnsi="Arial" w:cs="Arial"/>
                <w:color w:val="000000"/>
                <w:sz w:val="16"/>
                <w:szCs w:val="16"/>
              </w:rPr>
              <w:t xml:space="preserve"> (33%)</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7102B5">
              <w:rPr>
                <w:rFonts w:ascii="Arial" w:hAnsi="Arial" w:cs="Arial"/>
                <w:color w:val="000000"/>
                <w:sz w:val="16"/>
                <w:szCs w:val="16"/>
              </w:rPr>
              <w:t xml:space="preserve"> (33%)</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MO</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17</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25709C" w:rsidRPr="001E1060" w:rsidRDefault="00086B70" w:rsidP="00AC0F8A">
            <w:pPr>
              <w:spacing w:after="0" w:line="240" w:lineRule="auto"/>
              <w:jc w:val="right"/>
              <w:rPr>
                <w:rFonts w:ascii="Arial" w:hAnsi="Arial" w:cs="Arial"/>
                <w:color w:val="000000"/>
                <w:sz w:val="16"/>
                <w:szCs w:val="16"/>
              </w:rPr>
            </w:pPr>
            <w:r>
              <w:rPr>
                <w:rFonts w:ascii="Arial" w:hAnsi="Arial" w:cs="Arial"/>
                <w:color w:val="000000"/>
                <w:sz w:val="16"/>
                <w:szCs w:val="16"/>
              </w:rPr>
              <w:t>4/</w:t>
            </w:r>
            <w:r w:rsidR="00441324">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10</w:t>
            </w:r>
            <w:r w:rsidR="007102B5">
              <w:rPr>
                <w:rFonts w:ascii="Arial" w:hAnsi="Arial" w:cs="Arial"/>
                <w:color w:val="000000"/>
                <w:sz w:val="16"/>
                <w:szCs w:val="16"/>
              </w:rPr>
              <w:t xml:space="preserve"> (59%)</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7</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6</w:t>
            </w:r>
            <w:r w:rsidR="007102B5">
              <w:rPr>
                <w:rFonts w:ascii="Arial" w:hAnsi="Arial" w:cs="Arial"/>
                <w:color w:val="000000"/>
                <w:sz w:val="16"/>
                <w:szCs w:val="16"/>
              </w:rPr>
              <w:t xml:space="preserve"> (86%)</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(14%)</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MPO</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21</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25709C" w:rsidRPr="001E1060" w:rsidRDefault="005B400A" w:rsidP="00AC0F8A">
            <w:pPr>
              <w:spacing w:after="0" w:line="240" w:lineRule="auto"/>
              <w:jc w:val="right"/>
              <w:rPr>
                <w:rFonts w:ascii="Arial" w:hAnsi="Arial" w:cs="Arial"/>
                <w:color w:val="000000"/>
                <w:sz w:val="16"/>
                <w:szCs w:val="16"/>
              </w:rPr>
            </w:pPr>
            <w:r>
              <w:rPr>
                <w:rFonts w:ascii="Arial" w:hAnsi="Arial" w:cs="Arial"/>
                <w:color w:val="000000"/>
                <w:sz w:val="16"/>
                <w:szCs w:val="16"/>
              </w:rPr>
              <w:t>4</w:t>
            </w:r>
            <w:r w:rsidR="00F36B50">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11</w:t>
            </w:r>
            <w:r w:rsidR="007102B5">
              <w:rPr>
                <w:rFonts w:ascii="Arial" w:hAnsi="Arial" w:cs="Arial"/>
                <w:color w:val="000000"/>
                <w:sz w:val="16"/>
                <w:szCs w:val="16"/>
              </w:rPr>
              <w:t xml:space="preserve"> (52%)</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5</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(20%) </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3</w:t>
            </w:r>
            <w:r w:rsidR="007102B5">
              <w:rPr>
                <w:rFonts w:ascii="Arial" w:hAnsi="Arial" w:cs="Arial"/>
                <w:color w:val="000000"/>
                <w:sz w:val="16"/>
                <w:szCs w:val="16"/>
              </w:rPr>
              <w:t xml:space="preserve"> (60%)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(20%)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MPSV</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13</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25709C" w:rsidRPr="001E1060" w:rsidRDefault="005B400A" w:rsidP="00AC0F8A">
            <w:pPr>
              <w:spacing w:after="0" w:line="240" w:lineRule="auto"/>
              <w:jc w:val="right"/>
              <w:rPr>
                <w:rFonts w:ascii="Arial" w:hAnsi="Arial" w:cs="Arial"/>
                <w:color w:val="000000"/>
                <w:sz w:val="16"/>
                <w:szCs w:val="16"/>
              </w:rPr>
            </w:pPr>
            <w:r>
              <w:rPr>
                <w:rFonts w:ascii="Arial" w:hAnsi="Arial" w:cs="Arial"/>
                <w:color w:val="000000"/>
                <w:sz w:val="16"/>
                <w:szCs w:val="16"/>
              </w:rPr>
              <w:t>4</w:t>
            </w:r>
            <w:r w:rsidR="00F36B50">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8</w:t>
            </w:r>
            <w:r w:rsidR="007102B5">
              <w:rPr>
                <w:rFonts w:ascii="Arial" w:hAnsi="Arial" w:cs="Arial"/>
                <w:color w:val="000000"/>
                <w:sz w:val="16"/>
                <w:szCs w:val="16"/>
              </w:rPr>
              <w:t xml:space="preserve"> (62%)</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4</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1F5DBC">
              <w:rPr>
                <w:rFonts w:ascii="Arial" w:hAnsi="Arial" w:cs="Arial"/>
                <w:color w:val="000000"/>
                <w:sz w:val="16"/>
                <w:szCs w:val="16"/>
              </w:rPr>
              <w:t xml:space="preserve"> (50%)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(25%)</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(25%)</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25709C" w:rsidRPr="00DA3DCC" w:rsidRDefault="0025709C" w:rsidP="00143905">
            <w:pPr>
              <w:spacing w:after="0" w:line="240" w:lineRule="auto"/>
              <w:rPr>
                <w:rFonts w:ascii="Arial" w:hAnsi="Arial" w:cs="Arial"/>
                <w:b/>
                <w:color w:val="000000"/>
                <w:sz w:val="16"/>
                <w:szCs w:val="16"/>
              </w:rPr>
            </w:pPr>
            <w:proofErr w:type="spellStart"/>
            <w:r w:rsidRPr="00DA3DCC">
              <w:rPr>
                <w:rFonts w:ascii="Arial" w:hAnsi="Arial" w:cs="Arial"/>
                <w:b/>
                <w:color w:val="000000"/>
                <w:sz w:val="16"/>
                <w:szCs w:val="16"/>
              </w:rPr>
              <w:t>MSp</w:t>
            </w:r>
            <w:proofErr w:type="spellEnd"/>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13</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2</w:t>
            </w:r>
            <w:r w:rsidR="00F36B50">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7</w:t>
            </w:r>
            <w:r w:rsidR="007102B5">
              <w:rPr>
                <w:rFonts w:ascii="Arial" w:hAnsi="Arial" w:cs="Arial"/>
                <w:color w:val="000000"/>
                <w:sz w:val="16"/>
                <w:szCs w:val="16"/>
              </w:rPr>
              <w:t xml:space="preserve"> (54%)</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6</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(17%)</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(17%)</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3</w:t>
            </w:r>
            <w:r w:rsidR="001F5DBC">
              <w:rPr>
                <w:rFonts w:ascii="Arial" w:hAnsi="Arial" w:cs="Arial"/>
                <w:color w:val="000000"/>
                <w:sz w:val="16"/>
                <w:szCs w:val="16"/>
              </w:rPr>
              <w:t xml:space="preserve"> (50%)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(17%)</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eastAsia="Arial" w:hAnsi="Arial" w:cs="Arial"/>
                <w:b/>
                <w:color w:val="000000"/>
                <w:sz w:val="16"/>
                <w:szCs w:val="16"/>
              </w:rPr>
              <w:t>MŠMT</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25709C" w:rsidRPr="001E1060" w:rsidRDefault="00441324" w:rsidP="00AC0F8A">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7102B5">
              <w:rPr>
                <w:rFonts w:ascii="Arial" w:hAnsi="Arial" w:cs="Arial"/>
                <w:color w:val="000000"/>
                <w:sz w:val="16"/>
                <w:szCs w:val="16"/>
              </w:rPr>
              <w:t xml:space="preserve"> (100%)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(100%)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MV</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23</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5</w:t>
            </w:r>
            <w:r w:rsidR="00F36B50">
              <w:rPr>
                <w:rFonts w:ascii="Arial" w:hAnsi="Arial" w:cs="Arial"/>
                <w:color w:val="000000"/>
                <w:sz w:val="16"/>
                <w:szCs w:val="16"/>
              </w:rPr>
              <w:t>/1</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25709C" w:rsidRPr="001E1060" w:rsidRDefault="00F100F8" w:rsidP="00F100F8">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Pr>
                <w:rFonts w:ascii="Arial" w:hAnsi="Arial" w:cs="Arial"/>
                <w:color w:val="000000"/>
                <w:sz w:val="16"/>
                <w:szCs w:val="16"/>
              </w:rPr>
              <w:t>2</w:t>
            </w:r>
            <w:r w:rsidR="007102B5">
              <w:rPr>
                <w:rFonts w:ascii="Arial" w:hAnsi="Arial" w:cs="Arial"/>
                <w:color w:val="000000"/>
                <w:sz w:val="16"/>
                <w:szCs w:val="16"/>
              </w:rPr>
              <w:t xml:space="preserve"> (52%) </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9</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(11%) </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3</w:t>
            </w:r>
            <w:r w:rsidR="001F5DBC">
              <w:rPr>
                <w:rFonts w:ascii="Arial" w:hAnsi="Arial" w:cs="Arial"/>
                <w:color w:val="000000"/>
                <w:sz w:val="16"/>
                <w:szCs w:val="16"/>
              </w:rPr>
              <w:t xml:space="preserve"> (33%)</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4</w:t>
            </w:r>
            <w:r w:rsidR="001F5DBC">
              <w:rPr>
                <w:rFonts w:ascii="Arial" w:hAnsi="Arial" w:cs="Arial"/>
                <w:color w:val="000000"/>
                <w:sz w:val="16"/>
                <w:szCs w:val="16"/>
              </w:rPr>
              <w:t xml:space="preserve"> (44%) </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(11%)</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DA3DCC" w:rsidRDefault="0025709C" w:rsidP="00143905">
            <w:pPr>
              <w:spacing w:after="0" w:line="240" w:lineRule="auto"/>
              <w:rPr>
                <w:rFonts w:ascii="Arial" w:hAnsi="Arial" w:cs="Arial"/>
                <w:b/>
                <w:color w:val="000000"/>
                <w:sz w:val="16"/>
                <w:szCs w:val="16"/>
              </w:rPr>
            </w:pPr>
            <w:proofErr w:type="spellStart"/>
            <w:r w:rsidRPr="00DA3DCC">
              <w:rPr>
                <w:rFonts w:ascii="Arial" w:hAnsi="Arial" w:cs="Calibri"/>
                <w:b/>
                <w:color w:val="000000"/>
                <w:sz w:val="16"/>
                <w:szCs w:val="16"/>
              </w:rPr>
              <w:t>MZd</w:t>
            </w:r>
            <w:proofErr w:type="spellEnd"/>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14</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4</w:t>
            </w:r>
            <w:r w:rsidR="00F36B50">
              <w:rPr>
                <w:rFonts w:ascii="Arial" w:hAnsi="Arial" w:cs="Arial"/>
                <w:color w:val="000000"/>
                <w:sz w:val="16"/>
                <w:szCs w:val="16"/>
              </w:rPr>
              <w:t>/1</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7</w:t>
            </w:r>
            <w:r w:rsidR="007102B5">
              <w:rPr>
                <w:rFonts w:ascii="Arial" w:hAnsi="Arial" w:cs="Arial"/>
                <w:color w:val="000000"/>
                <w:sz w:val="16"/>
                <w:szCs w:val="16"/>
              </w:rPr>
              <w:t xml:space="preserve"> (50%)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4</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3</w:t>
            </w:r>
            <w:r w:rsidR="001F5DBC">
              <w:rPr>
                <w:rFonts w:ascii="Arial" w:hAnsi="Arial" w:cs="Arial"/>
                <w:color w:val="000000"/>
                <w:sz w:val="16"/>
                <w:szCs w:val="16"/>
              </w:rPr>
              <w:t xml:space="preserve"> (75%)</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(25%)</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25709C" w:rsidRPr="00DA3DCC" w:rsidRDefault="0025709C" w:rsidP="00143905">
            <w:pPr>
              <w:spacing w:after="0" w:line="240" w:lineRule="auto"/>
              <w:rPr>
                <w:rFonts w:ascii="Arial" w:hAnsi="Arial" w:cs="Arial"/>
                <w:b/>
                <w:color w:val="000000"/>
                <w:sz w:val="16"/>
                <w:szCs w:val="16"/>
              </w:rPr>
            </w:pPr>
            <w:proofErr w:type="spellStart"/>
            <w:r w:rsidRPr="00DA3DCC">
              <w:rPr>
                <w:rFonts w:ascii="Arial" w:hAnsi="Arial" w:cs="Calibri"/>
                <w:b/>
                <w:color w:val="000000"/>
                <w:sz w:val="16"/>
                <w:szCs w:val="16"/>
              </w:rPr>
              <w:t>MZe</w:t>
            </w:r>
            <w:proofErr w:type="spellEnd"/>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14</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25709C" w:rsidRPr="001E1060" w:rsidRDefault="001772F5" w:rsidP="00DB617C">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8</w:t>
            </w:r>
            <w:r w:rsidR="007102B5">
              <w:rPr>
                <w:rFonts w:ascii="Arial" w:hAnsi="Arial" w:cs="Arial"/>
                <w:color w:val="000000"/>
                <w:sz w:val="16"/>
                <w:szCs w:val="16"/>
              </w:rPr>
              <w:t xml:space="preserve"> (57%)</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4</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(25%)</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2</w:t>
            </w:r>
            <w:r w:rsidR="001F5DBC">
              <w:rPr>
                <w:rFonts w:ascii="Arial" w:hAnsi="Arial" w:cs="Arial"/>
                <w:color w:val="000000"/>
                <w:sz w:val="16"/>
                <w:szCs w:val="16"/>
              </w:rPr>
              <w:t xml:space="preserve"> (50%)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(25%)</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MZV</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1</w:t>
            </w:r>
            <w:r w:rsidR="00F36B50">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25709C" w:rsidRPr="00DA3DCC" w:rsidRDefault="0025709C"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MŽP</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9</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25709C" w:rsidRPr="001E1060" w:rsidRDefault="001772F5" w:rsidP="00AC0F8A">
            <w:pPr>
              <w:spacing w:after="0" w:line="240" w:lineRule="auto"/>
              <w:jc w:val="right"/>
              <w:rPr>
                <w:rFonts w:ascii="Arial" w:hAnsi="Arial" w:cs="Arial"/>
                <w:color w:val="000000"/>
                <w:sz w:val="16"/>
                <w:szCs w:val="16"/>
              </w:rPr>
            </w:pPr>
            <w:r>
              <w:rPr>
                <w:rFonts w:ascii="Arial" w:hAnsi="Arial" w:cs="Arial"/>
                <w:color w:val="000000"/>
                <w:sz w:val="16"/>
                <w:szCs w:val="16"/>
              </w:rPr>
              <w:t>3</w:t>
            </w:r>
            <w:r w:rsidR="00F36B50">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5</w:t>
            </w:r>
            <w:r w:rsidR="004A7EFC">
              <w:rPr>
                <w:rFonts w:ascii="Arial" w:hAnsi="Arial" w:cs="Arial"/>
                <w:color w:val="000000"/>
                <w:sz w:val="16"/>
                <w:szCs w:val="16"/>
              </w:rPr>
              <w:t xml:space="preserve"> </w:t>
            </w:r>
            <w:r w:rsidR="007102B5">
              <w:rPr>
                <w:rFonts w:ascii="Arial" w:hAnsi="Arial" w:cs="Arial"/>
                <w:color w:val="000000"/>
                <w:sz w:val="16"/>
                <w:szCs w:val="16"/>
              </w:rPr>
              <w:t>(56%)</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5</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(20%)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4</w:t>
            </w:r>
            <w:r w:rsidR="001F5DBC">
              <w:rPr>
                <w:rFonts w:ascii="Arial" w:hAnsi="Arial" w:cs="Arial"/>
                <w:color w:val="000000"/>
                <w:sz w:val="16"/>
                <w:szCs w:val="16"/>
              </w:rPr>
              <w:t xml:space="preserve"> (80%)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25709C" w:rsidRPr="001E1060" w:rsidRDefault="0025709C"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B64676" w:rsidRPr="00DA3DCC" w:rsidRDefault="00B64676" w:rsidP="00143905">
            <w:pPr>
              <w:spacing w:after="0" w:line="240" w:lineRule="auto"/>
              <w:rPr>
                <w:rFonts w:ascii="Arial" w:hAnsi="Arial" w:cs="Calibri"/>
                <w:b/>
                <w:color w:val="000000"/>
                <w:sz w:val="16"/>
                <w:szCs w:val="16"/>
              </w:rPr>
            </w:pPr>
            <w:r w:rsidRPr="00DA3DCC">
              <w:rPr>
                <w:rFonts w:ascii="Arial" w:hAnsi="Arial" w:cs="Arial"/>
                <w:b/>
                <w:color w:val="000000"/>
                <w:sz w:val="16"/>
                <w:szCs w:val="16"/>
              </w:rPr>
              <w:t>ČTÚ</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1E1060" w:rsidRDefault="00B64676" w:rsidP="00257AD7">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B64676" w:rsidRDefault="00B64676" w:rsidP="00AC0F8A">
            <w:pPr>
              <w:spacing w:after="0" w:line="240" w:lineRule="auto"/>
              <w:jc w:val="right"/>
              <w:rPr>
                <w:rFonts w:ascii="Arial" w:hAnsi="Arial" w:cs="Arial"/>
                <w:color w:val="000000"/>
                <w:sz w:val="16"/>
                <w:szCs w:val="16"/>
              </w:rPr>
            </w:pPr>
            <w:r>
              <w:rPr>
                <w:rFonts w:ascii="Arial" w:hAnsi="Arial" w:cs="Arial"/>
                <w:color w:val="000000"/>
                <w:sz w:val="16"/>
                <w:szCs w:val="16"/>
              </w:rPr>
              <w:t>1</w:t>
            </w:r>
            <w:r w:rsidR="00F36B50">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B64676" w:rsidRPr="001E1060" w:rsidRDefault="00B64676" w:rsidP="00257AD7">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B64676" w:rsidRPr="001E1060" w:rsidRDefault="00B64676" w:rsidP="00257AD7">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1E1060" w:rsidRDefault="00B64676" w:rsidP="00257AD7">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1E1060" w:rsidRDefault="00B64676" w:rsidP="00257AD7">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1E1060" w:rsidRDefault="00B64676" w:rsidP="00257AD7">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1E1060" w:rsidRDefault="00B64676" w:rsidP="00257AD7">
            <w:pPr>
              <w:spacing w:after="0" w:line="240" w:lineRule="auto"/>
              <w:jc w:val="right"/>
              <w:rPr>
                <w:rFonts w:ascii="Arial" w:hAnsi="Arial" w:cs="Arial"/>
                <w:color w:val="000000"/>
                <w:sz w:val="16"/>
                <w:szCs w:val="16"/>
              </w:rPr>
            </w:pPr>
            <w:r>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bottom"/>
          </w:tcPr>
          <w:p w:rsidR="00B64676" w:rsidRPr="00DA3DCC" w:rsidRDefault="00B64676" w:rsidP="00143905">
            <w:pPr>
              <w:spacing w:after="0" w:line="240" w:lineRule="auto"/>
              <w:rPr>
                <w:rFonts w:ascii="Arial" w:hAnsi="Arial" w:cs="Arial"/>
                <w:b/>
                <w:color w:val="000000"/>
                <w:sz w:val="16"/>
                <w:szCs w:val="16"/>
              </w:rPr>
            </w:pPr>
            <w:r w:rsidRPr="00DA3DCC">
              <w:rPr>
                <w:rFonts w:ascii="Arial" w:hAnsi="Arial" w:cs="Calibri"/>
                <w:b/>
                <w:color w:val="000000"/>
                <w:sz w:val="16"/>
                <w:szCs w:val="16"/>
              </w:rPr>
              <w:t>MLR</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B64676" w:rsidRDefault="00B64676"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p>
        </w:tc>
        <w:tc>
          <w:tcPr>
            <w:tcW w:w="654" w:type="pct"/>
            <w:tcBorders>
              <w:top w:val="single" w:sz="4" w:space="0" w:color="8DB3E2" w:themeColor="text2" w:themeTint="66"/>
              <w:left w:val="nil"/>
              <w:bottom w:val="single" w:sz="4" w:space="0" w:color="8DB3E2" w:themeColor="text2" w:themeTint="66"/>
              <w:right w:val="single" w:sz="4" w:space="0" w:color="auto"/>
            </w:tcBorders>
            <w:vAlign w:val="bottom"/>
          </w:tcPr>
          <w:p w:rsidR="00B64676" w:rsidRDefault="00B64676" w:rsidP="00AC0F8A">
            <w:pPr>
              <w:spacing w:after="0" w:line="240" w:lineRule="auto"/>
              <w:jc w:val="right"/>
              <w:rPr>
                <w:rFonts w:ascii="Arial" w:hAnsi="Arial" w:cs="Arial"/>
                <w:color w:val="000000"/>
                <w:sz w:val="16"/>
                <w:szCs w:val="16"/>
              </w:rPr>
            </w:pPr>
            <w:r>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vAlign w:val="bottom"/>
          </w:tcPr>
          <w:p w:rsidR="00B64676" w:rsidRDefault="00B64676"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7102B5">
              <w:rPr>
                <w:rFonts w:ascii="Arial" w:hAnsi="Arial" w:cs="Arial"/>
                <w:color w:val="000000"/>
                <w:sz w:val="16"/>
                <w:szCs w:val="16"/>
              </w:rPr>
              <w:t xml:space="preserve"> (100%)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bottom"/>
          </w:tcPr>
          <w:p w:rsidR="00B64676" w:rsidRDefault="00B64676"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B64676" w:rsidRDefault="00B64676"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B64676" w:rsidRDefault="00B64676"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B64676" w:rsidRDefault="00B64676"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1</w:t>
            </w:r>
            <w:r w:rsidR="001F5DBC">
              <w:rPr>
                <w:rFonts w:ascii="Arial" w:hAnsi="Arial" w:cs="Arial"/>
                <w:color w:val="000000"/>
                <w:sz w:val="16"/>
                <w:szCs w:val="16"/>
              </w:rPr>
              <w:t xml:space="preserve"> (100%)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auto"/>
            <w:noWrap/>
            <w:vAlign w:val="bottom"/>
          </w:tcPr>
          <w:p w:rsidR="00B64676" w:rsidRDefault="00B64676" w:rsidP="00257AD7">
            <w:pPr>
              <w:spacing w:after="0" w:line="240" w:lineRule="auto"/>
              <w:jc w:val="right"/>
              <w:rPr>
                <w:rFonts w:ascii="Arial" w:hAnsi="Arial" w:cs="Arial"/>
                <w:color w:val="000000"/>
                <w:sz w:val="16"/>
                <w:szCs w:val="16"/>
              </w:rPr>
            </w:pPr>
            <w:r w:rsidRPr="001E1060">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B64676" w:rsidRPr="00DA3DCC" w:rsidRDefault="00B64676" w:rsidP="00143905">
            <w:pPr>
              <w:spacing w:after="0" w:line="240" w:lineRule="auto"/>
              <w:rPr>
                <w:rFonts w:ascii="Arial" w:hAnsi="Arial" w:cs="Arial"/>
                <w:b/>
                <w:color w:val="000000"/>
                <w:sz w:val="16"/>
                <w:szCs w:val="16"/>
              </w:rPr>
            </w:pPr>
            <w:r w:rsidRPr="00DA3DCC">
              <w:rPr>
                <w:rFonts w:ascii="Arial" w:hAnsi="Arial" w:cs="Arial"/>
                <w:b/>
                <w:color w:val="000000"/>
                <w:sz w:val="16"/>
                <w:szCs w:val="16"/>
              </w:rPr>
              <w:t>NBÚ</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654" w:type="pct"/>
            <w:tcBorders>
              <w:top w:val="single" w:sz="4" w:space="0" w:color="8DB3E2" w:themeColor="text2" w:themeTint="66"/>
              <w:left w:val="nil"/>
              <w:bottom w:val="single" w:sz="4" w:space="0" w:color="8DB3E2" w:themeColor="text2" w:themeTint="66"/>
              <w:right w:val="single" w:sz="4" w:space="0" w:color="auto"/>
            </w:tcBorders>
            <w:shd w:val="clear" w:color="auto" w:fill="E5DFEC"/>
            <w:vAlign w:val="bottom"/>
          </w:tcPr>
          <w:p w:rsidR="00B64676" w:rsidRPr="00524006" w:rsidRDefault="00B64676" w:rsidP="00AC0F8A">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r w:rsidR="007102B5" w:rsidRPr="00524006">
              <w:rPr>
                <w:rFonts w:ascii="Arial" w:hAnsi="Arial" w:cs="Arial"/>
                <w:color w:val="000000"/>
                <w:sz w:val="16"/>
                <w:szCs w:val="16"/>
              </w:rPr>
              <w:t xml:space="preserve"> (100%)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r w:rsidR="001F5DBC" w:rsidRPr="00524006">
              <w:rPr>
                <w:rFonts w:ascii="Arial" w:hAnsi="Arial" w:cs="Arial"/>
                <w:color w:val="000000"/>
                <w:sz w:val="16"/>
                <w:szCs w:val="16"/>
              </w:rPr>
              <w:t xml:space="preserve"> (100%)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640304" w:rsidRPr="00570703" w:rsidTr="00DA3DCC">
        <w:trPr>
          <w:trHeight w:val="368"/>
          <w:jc w:val="center"/>
        </w:trPr>
        <w:tc>
          <w:tcPr>
            <w:tcW w:w="53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FFFFFF"/>
            <w:vAlign w:val="bottom"/>
          </w:tcPr>
          <w:p w:rsidR="00B64676" w:rsidRPr="00DA3DCC" w:rsidRDefault="00B64676" w:rsidP="00B64676">
            <w:pPr>
              <w:spacing w:after="0" w:line="240" w:lineRule="auto"/>
              <w:rPr>
                <w:rFonts w:ascii="Arial" w:hAnsi="Arial" w:cs="Arial"/>
                <w:b/>
                <w:color w:val="000000"/>
                <w:sz w:val="16"/>
                <w:szCs w:val="16"/>
              </w:rPr>
            </w:pPr>
            <w:r w:rsidRPr="00DA3DCC">
              <w:rPr>
                <w:rFonts w:ascii="Arial" w:hAnsi="Arial" w:cs="Arial"/>
                <w:b/>
                <w:color w:val="000000"/>
                <w:sz w:val="16"/>
                <w:szCs w:val="16"/>
              </w:rPr>
              <w:t>PV - RVVI</w:t>
            </w:r>
            <w:r w:rsidRPr="00DA3DCC" w:rsidDel="00B64676">
              <w:rPr>
                <w:rFonts w:ascii="Arial" w:hAnsi="Arial" w:cs="Arial"/>
                <w:b/>
                <w:color w:val="000000"/>
                <w:sz w:val="16"/>
                <w:szCs w:val="16"/>
              </w:rPr>
              <w:t xml:space="preserve"> </w:t>
            </w:r>
          </w:p>
        </w:tc>
        <w:tc>
          <w:tcPr>
            <w:tcW w:w="544" w:type="pct"/>
            <w:tcBorders>
              <w:top w:val="single" w:sz="4" w:space="0" w:color="8DB3E2" w:themeColor="text2" w:themeTint="66"/>
              <w:left w:val="nil"/>
              <w:bottom w:val="single" w:sz="4" w:space="0" w:color="8DB3E2" w:themeColor="text2" w:themeTint="66"/>
              <w:right w:val="single" w:sz="4" w:space="0" w:color="auto"/>
            </w:tcBorders>
            <w:shd w:val="clear" w:color="auto" w:fill="FFFFFF"/>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65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FFFFFF"/>
            <w:vAlign w:val="bottom"/>
          </w:tcPr>
          <w:p w:rsidR="00B64676" w:rsidRPr="00524006" w:rsidRDefault="00B64676" w:rsidP="00AC0F8A">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FFFFFF"/>
            <w:vAlign w:val="bottom"/>
          </w:tcPr>
          <w:p w:rsidR="00B64676" w:rsidRPr="00524006" w:rsidRDefault="007102B5"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2 (100%)</w:t>
            </w:r>
          </w:p>
        </w:tc>
        <w:tc>
          <w:tcPr>
            <w:tcW w:w="55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FFFFFF"/>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522" w:type="pct"/>
            <w:tcBorders>
              <w:top w:val="single" w:sz="4" w:space="0" w:color="8DB3E2" w:themeColor="text2" w:themeTint="66"/>
              <w:left w:val="nil"/>
              <w:bottom w:val="single" w:sz="4" w:space="0" w:color="8DB3E2" w:themeColor="text2" w:themeTint="66"/>
              <w:right w:val="single" w:sz="4" w:space="0" w:color="auto"/>
            </w:tcBorders>
            <w:shd w:val="clear" w:color="auto" w:fill="FFFFFF"/>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71" w:type="pct"/>
            <w:tcBorders>
              <w:top w:val="single" w:sz="4" w:space="0" w:color="8DB3E2" w:themeColor="text2" w:themeTint="66"/>
              <w:left w:val="nil"/>
              <w:bottom w:val="single" w:sz="4" w:space="0" w:color="8DB3E2" w:themeColor="text2" w:themeTint="66"/>
              <w:right w:val="single" w:sz="4" w:space="0" w:color="auto"/>
            </w:tcBorders>
            <w:shd w:val="clear" w:color="auto" w:fill="FFFFFF"/>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513" w:type="pct"/>
            <w:tcBorders>
              <w:top w:val="single" w:sz="4" w:space="0" w:color="8DB3E2" w:themeColor="text2" w:themeTint="66"/>
              <w:left w:val="nil"/>
              <w:bottom w:val="single" w:sz="4" w:space="0" w:color="8DB3E2" w:themeColor="text2" w:themeTint="66"/>
              <w:right w:val="single" w:sz="4" w:space="0" w:color="auto"/>
            </w:tcBorders>
            <w:shd w:val="clear" w:color="auto" w:fill="FFFFFF"/>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r w:rsidR="001F5DBC" w:rsidRPr="00524006">
              <w:rPr>
                <w:rFonts w:ascii="Arial" w:hAnsi="Arial" w:cs="Arial"/>
                <w:color w:val="000000"/>
                <w:sz w:val="16"/>
                <w:szCs w:val="16"/>
              </w:rPr>
              <w:t xml:space="preserve"> (100%)</w:t>
            </w:r>
          </w:p>
        </w:tc>
        <w:tc>
          <w:tcPr>
            <w:tcW w:w="538" w:type="pct"/>
            <w:tcBorders>
              <w:top w:val="single" w:sz="4" w:space="0" w:color="8DB3E2" w:themeColor="text2" w:themeTint="66"/>
              <w:left w:val="nil"/>
              <w:bottom w:val="single" w:sz="4" w:space="0" w:color="8DB3E2" w:themeColor="text2" w:themeTint="66"/>
              <w:right w:val="single" w:sz="4" w:space="0" w:color="auto"/>
            </w:tcBorders>
            <w:shd w:val="clear" w:color="auto" w:fill="FFFFFF"/>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640304" w:rsidRPr="00570703" w:rsidTr="00524006">
        <w:trPr>
          <w:trHeight w:val="368"/>
          <w:jc w:val="center"/>
        </w:trPr>
        <w:tc>
          <w:tcPr>
            <w:tcW w:w="530" w:type="pct"/>
            <w:tcBorders>
              <w:top w:val="single" w:sz="4" w:space="0" w:color="8DB3E2" w:themeColor="text2" w:themeTint="66"/>
              <w:left w:val="single" w:sz="4" w:space="0" w:color="auto"/>
              <w:bottom w:val="single" w:sz="4" w:space="0" w:color="auto"/>
              <w:right w:val="single" w:sz="4" w:space="0" w:color="auto"/>
            </w:tcBorders>
            <w:shd w:val="clear" w:color="auto" w:fill="E5DFEC"/>
            <w:vAlign w:val="bottom"/>
          </w:tcPr>
          <w:p w:rsidR="00B64676" w:rsidRPr="00DA3DCC" w:rsidRDefault="00B64676" w:rsidP="00143905">
            <w:pPr>
              <w:spacing w:after="0" w:line="240" w:lineRule="auto"/>
              <w:rPr>
                <w:rFonts w:ascii="Arial" w:hAnsi="Arial" w:cs="Arial"/>
                <w:b/>
                <w:color w:val="000000"/>
                <w:sz w:val="16"/>
                <w:szCs w:val="16"/>
              </w:rPr>
            </w:pPr>
            <w:r w:rsidRPr="00DA3DCC">
              <w:rPr>
                <w:rFonts w:ascii="Arial" w:hAnsi="Arial" w:cs="Arial"/>
                <w:b/>
                <w:color w:val="000000"/>
                <w:sz w:val="16"/>
                <w:szCs w:val="16"/>
              </w:rPr>
              <w:t>SÚJB</w:t>
            </w:r>
          </w:p>
        </w:tc>
        <w:tc>
          <w:tcPr>
            <w:tcW w:w="544" w:type="pct"/>
            <w:tcBorders>
              <w:top w:val="single" w:sz="4" w:space="0" w:color="8DB3E2" w:themeColor="text2" w:themeTint="66"/>
              <w:left w:val="nil"/>
              <w:bottom w:val="single" w:sz="4" w:space="0" w:color="auto"/>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654" w:type="pct"/>
            <w:tcBorders>
              <w:top w:val="single" w:sz="4" w:space="0" w:color="8DB3E2" w:themeColor="text2" w:themeTint="66"/>
              <w:left w:val="single" w:sz="4" w:space="0" w:color="auto"/>
              <w:bottom w:val="single" w:sz="4" w:space="0" w:color="auto"/>
              <w:right w:val="single" w:sz="4" w:space="0" w:color="auto"/>
            </w:tcBorders>
            <w:shd w:val="clear" w:color="auto" w:fill="E5DFEC"/>
            <w:vAlign w:val="bottom"/>
          </w:tcPr>
          <w:p w:rsidR="00B64676" w:rsidRPr="00524006" w:rsidRDefault="00B64676" w:rsidP="00AC0F8A">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670" w:type="pct"/>
            <w:tcBorders>
              <w:top w:val="single" w:sz="4" w:space="0" w:color="8DB3E2" w:themeColor="text2" w:themeTint="66"/>
              <w:left w:val="single" w:sz="4" w:space="0" w:color="auto"/>
              <w:bottom w:val="single" w:sz="4" w:space="0" w:color="auto"/>
              <w:right w:val="single" w:sz="4" w:space="0" w:color="auto"/>
            </w:tcBorders>
            <w:shd w:val="clear" w:color="auto" w:fill="E5DFEC"/>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559" w:type="pct"/>
            <w:tcBorders>
              <w:top w:val="single" w:sz="4" w:space="0" w:color="8DB3E2" w:themeColor="text2" w:themeTint="66"/>
              <w:left w:val="single" w:sz="4" w:space="0" w:color="auto"/>
              <w:bottom w:val="single" w:sz="4" w:space="0" w:color="auto"/>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522" w:type="pct"/>
            <w:tcBorders>
              <w:top w:val="single" w:sz="4" w:space="0" w:color="8DB3E2" w:themeColor="text2" w:themeTint="66"/>
              <w:left w:val="nil"/>
              <w:bottom w:val="single" w:sz="4" w:space="0" w:color="auto"/>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71" w:type="pct"/>
            <w:tcBorders>
              <w:top w:val="single" w:sz="4" w:space="0" w:color="8DB3E2" w:themeColor="text2" w:themeTint="66"/>
              <w:left w:val="nil"/>
              <w:bottom w:val="single" w:sz="4" w:space="0" w:color="auto"/>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513" w:type="pct"/>
            <w:tcBorders>
              <w:top w:val="single" w:sz="4" w:space="0" w:color="8DB3E2" w:themeColor="text2" w:themeTint="66"/>
              <w:left w:val="nil"/>
              <w:bottom w:val="single" w:sz="4" w:space="0" w:color="auto"/>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538" w:type="pct"/>
            <w:tcBorders>
              <w:top w:val="single" w:sz="4" w:space="0" w:color="8DB3E2" w:themeColor="text2" w:themeTint="66"/>
              <w:left w:val="nil"/>
              <w:bottom w:val="single" w:sz="4" w:space="0" w:color="auto"/>
              <w:right w:val="single" w:sz="4" w:space="0" w:color="auto"/>
            </w:tcBorders>
            <w:shd w:val="clear" w:color="auto" w:fill="E5DFEC"/>
            <w:noWrap/>
            <w:vAlign w:val="bottom"/>
          </w:tcPr>
          <w:p w:rsidR="00B64676" w:rsidRPr="00524006" w:rsidRDefault="00B64676" w:rsidP="00257AD7">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640304" w:rsidRPr="00570703" w:rsidTr="00524006">
        <w:trPr>
          <w:trHeight w:val="368"/>
          <w:jc w:val="center"/>
        </w:trPr>
        <w:tc>
          <w:tcPr>
            <w:tcW w:w="530" w:type="pct"/>
            <w:tcBorders>
              <w:top w:val="single" w:sz="4" w:space="0" w:color="auto"/>
              <w:left w:val="single" w:sz="4" w:space="0" w:color="auto"/>
              <w:bottom w:val="single" w:sz="4" w:space="0" w:color="auto"/>
              <w:right w:val="single" w:sz="4" w:space="0" w:color="auto"/>
            </w:tcBorders>
            <w:shd w:val="clear" w:color="auto" w:fill="B2A1C7"/>
            <w:vAlign w:val="bottom"/>
          </w:tcPr>
          <w:p w:rsidR="00B64676" w:rsidRPr="004065CE" w:rsidRDefault="00B64676" w:rsidP="00143905">
            <w:pPr>
              <w:spacing w:after="0" w:line="240" w:lineRule="auto"/>
              <w:jc w:val="both"/>
              <w:rPr>
                <w:rFonts w:ascii="Arial" w:hAnsi="Arial" w:cs="Arial"/>
                <w:b/>
                <w:bCs/>
                <w:color w:val="000000"/>
                <w:sz w:val="16"/>
                <w:szCs w:val="16"/>
              </w:rPr>
            </w:pPr>
            <w:r w:rsidRPr="004065CE">
              <w:rPr>
                <w:rFonts w:ascii="Arial" w:hAnsi="Arial" w:cs="Arial"/>
                <w:b/>
                <w:bCs/>
                <w:color w:val="000000"/>
                <w:sz w:val="16"/>
                <w:szCs w:val="16"/>
              </w:rPr>
              <w:t>Celkem</w:t>
            </w:r>
          </w:p>
        </w:tc>
        <w:tc>
          <w:tcPr>
            <w:tcW w:w="544" w:type="pct"/>
            <w:tcBorders>
              <w:top w:val="single" w:sz="4" w:space="0" w:color="auto"/>
              <w:left w:val="nil"/>
              <w:bottom w:val="single" w:sz="4" w:space="0" w:color="auto"/>
              <w:right w:val="single" w:sz="4" w:space="0" w:color="auto"/>
            </w:tcBorders>
            <w:shd w:val="clear" w:color="auto" w:fill="B2A1C7"/>
            <w:noWrap/>
            <w:vAlign w:val="bottom"/>
          </w:tcPr>
          <w:p w:rsidR="00B64676" w:rsidRPr="004065CE" w:rsidRDefault="00B64676" w:rsidP="00257AD7">
            <w:pPr>
              <w:spacing w:after="0" w:line="240" w:lineRule="auto"/>
              <w:jc w:val="right"/>
              <w:rPr>
                <w:rFonts w:ascii="Arial" w:hAnsi="Arial" w:cs="Arial"/>
                <w:b/>
                <w:bCs/>
                <w:color w:val="000000"/>
                <w:sz w:val="16"/>
                <w:szCs w:val="16"/>
              </w:rPr>
            </w:pPr>
            <w:r>
              <w:rPr>
                <w:rFonts w:ascii="Arial" w:hAnsi="Arial" w:cs="Arial"/>
                <w:b/>
                <w:bCs/>
                <w:color w:val="000000"/>
                <w:sz w:val="16"/>
                <w:szCs w:val="16"/>
              </w:rPr>
              <w:t>176</w:t>
            </w:r>
          </w:p>
        </w:tc>
        <w:tc>
          <w:tcPr>
            <w:tcW w:w="654" w:type="pct"/>
            <w:tcBorders>
              <w:top w:val="single" w:sz="4" w:space="0" w:color="auto"/>
              <w:left w:val="nil"/>
              <w:bottom w:val="single" w:sz="4" w:space="0" w:color="auto"/>
              <w:right w:val="single" w:sz="4" w:space="0" w:color="auto"/>
            </w:tcBorders>
            <w:shd w:val="clear" w:color="auto" w:fill="B2A1C7"/>
            <w:vAlign w:val="bottom"/>
          </w:tcPr>
          <w:p w:rsidR="00B64676" w:rsidRDefault="00086B70" w:rsidP="005D5722">
            <w:pPr>
              <w:spacing w:after="0" w:line="240" w:lineRule="auto"/>
              <w:jc w:val="right"/>
              <w:rPr>
                <w:rFonts w:ascii="Arial" w:hAnsi="Arial" w:cs="Arial"/>
                <w:b/>
                <w:bCs/>
                <w:color w:val="000000"/>
                <w:sz w:val="16"/>
                <w:szCs w:val="16"/>
              </w:rPr>
            </w:pPr>
            <w:r>
              <w:rPr>
                <w:rFonts w:ascii="Arial" w:hAnsi="Arial" w:cs="Arial"/>
                <w:b/>
                <w:bCs/>
                <w:color w:val="000000"/>
                <w:sz w:val="16"/>
                <w:szCs w:val="16"/>
              </w:rPr>
              <w:t>41</w:t>
            </w:r>
            <w:r w:rsidR="00441324">
              <w:rPr>
                <w:rFonts w:ascii="Arial" w:hAnsi="Arial" w:cs="Arial"/>
                <w:b/>
                <w:bCs/>
                <w:color w:val="000000"/>
                <w:sz w:val="16"/>
                <w:szCs w:val="16"/>
              </w:rPr>
              <w:t xml:space="preserve"> </w:t>
            </w:r>
            <w:r w:rsidR="00441324" w:rsidRPr="00312DD5">
              <w:rPr>
                <w:rFonts w:ascii="Arial" w:hAnsi="Arial" w:cs="Arial"/>
                <w:bCs/>
                <w:color w:val="000000"/>
                <w:sz w:val="16"/>
                <w:szCs w:val="16"/>
              </w:rPr>
              <w:t>(</w:t>
            </w:r>
            <w:r w:rsidR="005B400A">
              <w:rPr>
                <w:rFonts w:ascii="Arial" w:hAnsi="Arial" w:cs="Arial"/>
                <w:bCs/>
                <w:color w:val="000000"/>
                <w:sz w:val="16"/>
                <w:szCs w:val="16"/>
              </w:rPr>
              <w:t>3</w:t>
            </w:r>
            <w:r>
              <w:rPr>
                <w:rFonts w:ascii="Arial" w:hAnsi="Arial" w:cs="Arial"/>
                <w:bCs/>
                <w:color w:val="000000"/>
                <w:sz w:val="16"/>
                <w:szCs w:val="16"/>
              </w:rPr>
              <w:t>7</w:t>
            </w:r>
            <w:r w:rsidR="00F36B50" w:rsidRPr="00312DD5">
              <w:rPr>
                <w:rFonts w:ascii="Arial" w:hAnsi="Arial" w:cs="Arial"/>
                <w:bCs/>
                <w:color w:val="000000"/>
                <w:sz w:val="16"/>
                <w:szCs w:val="16"/>
              </w:rPr>
              <w:t>/4</w:t>
            </w:r>
            <w:r w:rsidR="00441324" w:rsidRPr="00312DD5">
              <w:rPr>
                <w:rFonts w:ascii="Arial" w:hAnsi="Arial" w:cs="Arial"/>
                <w:bCs/>
                <w:color w:val="000000"/>
                <w:sz w:val="16"/>
                <w:szCs w:val="16"/>
              </w:rPr>
              <w:t>)</w:t>
            </w:r>
          </w:p>
        </w:tc>
        <w:tc>
          <w:tcPr>
            <w:tcW w:w="670" w:type="pct"/>
            <w:tcBorders>
              <w:top w:val="single" w:sz="4" w:space="0" w:color="auto"/>
              <w:left w:val="single" w:sz="4" w:space="0" w:color="auto"/>
              <w:bottom w:val="single" w:sz="4" w:space="0" w:color="auto"/>
              <w:right w:val="single" w:sz="4" w:space="0" w:color="auto"/>
            </w:tcBorders>
            <w:shd w:val="clear" w:color="auto" w:fill="B2A1C7"/>
            <w:vAlign w:val="bottom"/>
          </w:tcPr>
          <w:p w:rsidR="00B64676" w:rsidRDefault="007102B5" w:rsidP="007102B5">
            <w:pPr>
              <w:spacing w:after="0" w:line="240" w:lineRule="auto"/>
              <w:jc w:val="right"/>
              <w:rPr>
                <w:rFonts w:ascii="Arial" w:hAnsi="Arial" w:cs="Arial"/>
                <w:b/>
                <w:bCs/>
                <w:color w:val="000000"/>
                <w:sz w:val="16"/>
                <w:szCs w:val="16"/>
              </w:rPr>
            </w:pPr>
            <w:r>
              <w:rPr>
                <w:rFonts w:ascii="Arial" w:hAnsi="Arial" w:cs="Arial"/>
                <w:b/>
                <w:bCs/>
                <w:color w:val="000000"/>
                <w:sz w:val="16"/>
                <w:szCs w:val="16"/>
              </w:rPr>
              <w:t>102</w:t>
            </w:r>
            <w:r w:rsidR="001F5DBC">
              <w:rPr>
                <w:rFonts w:ascii="Arial" w:hAnsi="Arial" w:cs="Arial"/>
                <w:b/>
                <w:bCs/>
                <w:color w:val="000000"/>
                <w:sz w:val="16"/>
                <w:szCs w:val="16"/>
              </w:rPr>
              <w:t xml:space="preserve"> (58%)</w:t>
            </w:r>
          </w:p>
        </w:tc>
        <w:tc>
          <w:tcPr>
            <w:tcW w:w="559" w:type="pct"/>
            <w:tcBorders>
              <w:top w:val="single" w:sz="4" w:space="0" w:color="auto"/>
              <w:left w:val="single" w:sz="4" w:space="0" w:color="auto"/>
              <w:bottom w:val="single" w:sz="4" w:space="0" w:color="auto"/>
              <w:right w:val="single" w:sz="4" w:space="0" w:color="auto"/>
            </w:tcBorders>
            <w:shd w:val="clear" w:color="auto" w:fill="B2A1C7"/>
            <w:noWrap/>
            <w:vAlign w:val="bottom"/>
          </w:tcPr>
          <w:p w:rsidR="00B64676" w:rsidRPr="004065CE" w:rsidRDefault="00B64676" w:rsidP="00257AD7">
            <w:pPr>
              <w:spacing w:after="0" w:line="240" w:lineRule="auto"/>
              <w:jc w:val="right"/>
              <w:rPr>
                <w:rFonts w:ascii="Arial" w:hAnsi="Arial" w:cs="Arial"/>
                <w:b/>
                <w:bCs/>
                <w:color w:val="000000"/>
                <w:sz w:val="16"/>
                <w:szCs w:val="16"/>
              </w:rPr>
            </w:pPr>
            <w:r>
              <w:rPr>
                <w:rFonts w:ascii="Arial" w:hAnsi="Arial" w:cs="Arial"/>
                <w:b/>
                <w:bCs/>
                <w:color w:val="000000"/>
                <w:sz w:val="16"/>
                <w:szCs w:val="16"/>
              </w:rPr>
              <w:t>69</w:t>
            </w:r>
          </w:p>
        </w:tc>
        <w:tc>
          <w:tcPr>
            <w:tcW w:w="522" w:type="pct"/>
            <w:tcBorders>
              <w:top w:val="single" w:sz="4" w:space="0" w:color="auto"/>
              <w:left w:val="single" w:sz="4" w:space="0" w:color="95B3D7"/>
              <w:bottom w:val="single" w:sz="4" w:space="0" w:color="auto"/>
              <w:right w:val="single" w:sz="4" w:space="0" w:color="auto"/>
            </w:tcBorders>
            <w:shd w:val="clear" w:color="auto" w:fill="B2A1C7"/>
            <w:vAlign w:val="bottom"/>
          </w:tcPr>
          <w:p w:rsidR="00B64676" w:rsidRPr="004065CE" w:rsidRDefault="00B64676" w:rsidP="00257AD7">
            <w:pPr>
              <w:spacing w:after="0" w:line="240" w:lineRule="auto"/>
              <w:jc w:val="right"/>
              <w:rPr>
                <w:rFonts w:ascii="Arial" w:hAnsi="Arial" w:cs="Arial"/>
                <w:b/>
                <w:bCs/>
                <w:color w:val="000000"/>
                <w:sz w:val="16"/>
                <w:szCs w:val="16"/>
              </w:rPr>
            </w:pPr>
            <w:r>
              <w:rPr>
                <w:rFonts w:ascii="Arial" w:hAnsi="Arial" w:cs="Arial"/>
                <w:b/>
                <w:bCs/>
                <w:color w:val="000000"/>
                <w:sz w:val="16"/>
                <w:szCs w:val="16"/>
              </w:rPr>
              <w:t>6</w:t>
            </w:r>
            <w:r w:rsidR="001F5DBC">
              <w:rPr>
                <w:rFonts w:ascii="Arial" w:hAnsi="Arial" w:cs="Arial"/>
                <w:b/>
                <w:bCs/>
                <w:color w:val="000000"/>
                <w:sz w:val="16"/>
                <w:szCs w:val="16"/>
              </w:rPr>
              <w:t xml:space="preserve"> (8,7%)</w:t>
            </w:r>
          </w:p>
        </w:tc>
        <w:tc>
          <w:tcPr>
            <w:tcW w:w="471" w:type="pct"/>
            <w:tcBorders>
              <w:top w:val="single" w:sz="4" w:space="0" w:color="auto"/>
              <w:left w:val="nil"/>
              <w:bottom w:val="single" w:sz="4" w:space="0" w:color="auto"/>
              <w:right w:val="single" w:sz="4" w:space="0" w:color="auto"/>
            </w:tcBorders>
            <w:shd w:val="clear" w:color="auto" w:fill="B2A1C7"/>
            <w:noWrap/>
            <w:vAlign w:val="bottom"/>
          </w:tcPr>
          <w:p w:rsidR="00B64676" w:rsidRPr="004065CE" w:rsidRDefault="00B64676" w:rsidP="00257AD7">
            <w:pPr>
              <w:spacing w:after="0" w:line="240" w:lineRule="auto"/>
              <w:jc w:val="right"/>
              <w:rPr>
                <w:rFonts w:ascii="Arial" w:hAnsi="Arial" w:cs="Arial"/>
                <w:b/>
                <w:bCs/>
                <w:color w:val="000000"/>
                <w:sz w:val="16"/>
                <w:szCs w:val="16"/>
              </w:rPr>
            </w:pPr>
            <w:r>
              <w:rPr>
                <w:rFonts w:ascii="Arial" w:hAnsi="Arial" w:cs="Arial"/>
                <w:b/>
                <w:bCs/>
                <w:color w:val="000000"/>
                <w:sz w:val="16"/>
                <w:szCs w:val="16"/>
              </w:rPr>
              <w:t>18</w:t>
            </w:r>
            <w:r w:rsidR="001F5DBC">
              <w:rPr>
                <w:rFonts w:ascii="Arial" w:hAnsi="Arial" w:cs="Arial"/>
                <w:b/>
                <w:bCs/>
                <w:color w:val="000000"/>
                <w:sz w:val="16"/>
                <w:szCs w:val="16"/>
              </w:rPr>
              <w:t xml:space="preserve"> (26,1%)</w:t>
            </w:r>
          </w:p>
        </w:tc>
        <w:tc>
          <w:tcPr>
            <w:tcW w:w="513" w:type="pct"/>
            <w:tcBorders>
              <w:top w:val="single" w:sz="4" w:space="0" w:color="auto"/>
              <w:left w:val="nil"/>
              <w:bottom w:val="single" w:sz="4" w:space="0" w:color="auto"/>
              <w:right w:val="single" w:sz="4" w:space="0" w:color="auto"/>
            </w:tcBorders>
            <w:shd w:val="clear" w:color="auto" w:fill="B2A1C7"/>
            <w:noWrap/>
            <w:vAlign w:val="bottom"/>
          </w:tcPr>
          <w:p w:rsidR="00B64676" w:rsidRPr="004065CE" w:rsidRDefault="00B64676" w:rsidP="00257AD7">
            <w:pPr>
              <w:spacing w:after="0" w:line="240" w:lineRule="auto"/>
              <w:jc w:val="right"/>
              <w:rPr>
                <w:rFonts w:ascii="Arial" w:hAnsi="Arial" w:cs="Arial"/>
                <w:b/>
                <w:bCs/>
                <w:color w:val="000000"/>
                <w:sz w:val="16"/>
                <w:szCs w:val="16"/>
              </w:rPr>
            </w:pPr>
            <w:r>
              <w:rPr>
                <w:rFonts w:ascii="Arial" w:hAnsi="Arial" w:cs="Arial"/>
                <w:b/>
                <w:bCs/>
                <w:color w:val="000000"/>
                <w:sz w:val="16"/>
                <w:szCs w:val="16"/>
              </w:rPr>
              <w:t>36</w:t>
            </w:r>
            <w:r w:rsidR="001F5DBC">
              <w:rPr>
                <w:rFonts w:ascii="Arial" w:hAnsi="Arial" w:cs="Arial"/>
                <w:b/>
                <w:bCs/>
                <w:color w:val="000000"/>
                <w:sz w:val="16"/>
                <w:szCs w:val="16"/>
              </w:rPr>
              <w:t xml:space="preserve"> (52,2%)</w:t>
            </w:r>
          </w:p>
        </w:tc>
        <w:tc>
          <w:tcPr>
            <w:tcW w:w="538" w:type="pct"/>
            <w:tcBorders>
              <w:top w:val="single" w:sz="4" w:space="0" w:color="auto"/>
              <w:left w:val="nil"/>
              <w:bottom w:val="single" w:sz="4" w:space="0" w:color="auto"/>
              <w:right w:val="single" w:sz="4" w:space="0" w:color="auto"/>
            </w:tcBorders>
            <w:shd w:val="clear" w:color="auto" w:fill="B2A1C7"/>
            <w:noWrap/>
            <w:vAlign w:val="bottom"/>
          </w:tcPr>
          <w:p w:rsidR="00B64676" w:rsidRPr="004065CE" w:rsidRDefault="00B64676" w:rsidP="00257AD7">
            <w:pPr>
              <w:spacing w:after="0" w:line="240" w:lineRule="auto"/>
              <w:jc w:val="right"/>
              <w:rPr>
                <w:rFonts w:ascii="Arial" w:hAnsi="Arial" w:cs="Arial"/>
                <w:b/>
                <w:bCs/>
                <w:color w:val="000000"/>
                <w:sz w:val="16"/>
                <w:szCs w:val="16"/>
              </w:rPr>
            </w:pPr>
            <w:r>
              <w:rPr>
                <w:rFonts w:ascii="Arial" w:hAnsi="Arial" w:cs="Arial"/>
                <w:b/>
                <w:bCs/>
                <w:color w:val="000000"/>
                <w:sz w:val="16"/>
                <w:szCs w:val="16"/>
              </w:rPr>
              <w:t>9</w:t>
            </w:r>
            <w:r w:rsidR="001F5DBC">
              <w:rPr>
                <w:rFonts w:ascii="Arial" w:hAnsi="Arial" w:cs="Arial"/>
                <w:b/>
                <w:bCs/>
                <w:color w:val="000000"/>
                <w:sz w:val="16"/>
                <w:szCs w:val="16"/>
              </w:rPr>
              <w:t xml:space="preserve"> (13%)</w:t>
            </w:r>
          </w:p>
        </w:tc>
      </w:tr>
    </w:tbl>
    <w:p w:rsidR="001E1060" w:rsidRPr="0058283B" w:rsidRDefault="001E1060" w:rsidP="001E1060">
      <w:pPr>
        <w:jc w:val="both"/>
        <w:rPr>
          <w:rFonts w:cs="Calibri"/>
          <w:b/>
          <w:i/>
        </w:rPr>
      </w:pPr>
      <w:r w:rsidRPr="0058283B">
        <w:rPr>
          <w:rFonts w:cs="Calibri"/>
          <w:b/>
          <w:i/>
        </w:rPr>
        <w:t>Graf</w:t>
      </w:r>
      <w:r w:rsidR="0058283B">
        <w:rPr>
          <w:rFonts w:cs="Calibri"/>
          <w:b/>
          <w:i/>
        </w:rPr>
        <w:t xml:space="preserve"> </w:t>
      </w:r>
      <w:r w:rsidR="00441324">
        <w:rPr>
          <w:rFonts w:cs="Calibri"/>
          <w:b/>
          <w:i/>
        </w:rPr>
        <w:t xml:space="preserve">č. </w:t>
      </w:r>
      <w:r w:rsidR="00DD2DE8">
        <w:rPr>
          <w:rFonts w:cs="Calibri"/>
          <w:b/>
          <w:i/>
        </w:rPr>
        <w:t>3</w:t>
      </w:r>
      <w:r w:rsidRPr="0058283B">
        <w:rPr>
          <w:rFonts w:cs="Calibri"/>
          <w:b/>
          <w:i/>
        </w:rPr>
        <w:t xml:space="preserve">:  Podíl jednotlivých stanovisek Komise RIA za rok </w:t>
      </w:r>
      <w:r w:rsidR="00642CA9">
        <w:rPr>
          <w:rFonts w:cs="Calibri"/>
          <w:b/>
          <w:i/>
        </w:rPr>
        <w:t>2013 dle závěrečných doporučení</w:t>
      </w:r>
    </w:p>
    <w:p w:rsidR="00A917E2" w:rsidRDefault="00D32943" w:rsidP="00A917E2">
      <w:pPr>
        <w:jc w:val="both"/>
        <w:rPr>
          <w:rFonts w:cs="Calibri"/>
        </w:rPr>
      </w:pPr>
      <w:r>
        <w:rPr>
          <w:noProof/>
        </w:rPr>
        <w:lastRenderedPageBreak/>
        <w:drawing>
          <wp:inline distT="0" distB="0" distL="0" distR="0" wp14:anchorId="18DA72D4" wp14:editId="0F73E9EA">
            <wp:extent cx="5552388" cy="3421929"/>
            <wp:effectExtent l="57150" t="0" r="48895" b="121920"/>
            <wp:docPr id="6" name="Graf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1E1060">
        <w:rPr>
          <w:rFonts w:cs="Calibri"/>
        </w:rPr>
        <w:t xml:space="preserve">Z celkového počtu posuzovaných </w:t>
      </w:r>
      <w:r w:rsidR="00406054">
        <w:rPr>
          <w:rFonts w:cs="Calibri"/>
        </w:rPr>
        <w:t>z</w:t>
      </w:r>
      <w:r w:rsidR="001E1060" w:rsidRPr="00C35D56">
        <w:rPr>
          <w:rFonts w:cs="Calibri"/>
        </w:rPr>
        <w:t xml:space="preserve">ávěrečných zpráv RIA </w:t>
      </w:r>
      <w:r w:rsidR="00257AD7">
        <w:rPr>
          <w:rFonts w:cs="Calibri"/>
        </w:rPr>
        <w:t xml:space="preserve">Komisí RIA </w:t>
      </w:r>
      <w:r w:rsidR="006D31FD">
        <w:rPr>
          <w:rFonts w:cs="Calibri"/>
        </w:rPr>
        <w:t>byla</w:t>
      </w:r>
      <w:r w:rsidR="001E1060" w:rsidRPr="00C35D56">
        <w:rPr>
          <w:rFonts w:cs="Calibri"/>
        </w:rPr>
        <w:t xml:space="preserve"> pouze </w:t>
      </w:r>
      <w:r w:rsidR="00DD2DE8">
        <w:rPr>
          <w:rFonts w:cs="Calibri"/>
        </w:rPr>
        <w:t xml:space="preserve">zhruba </w:t>
      </w:r>
      <w:r w:rsidR="00DD2DE8" w:rsidRPr="00B64676">
        <w:rPr>
          <w:rFonts w:cs="Calibri"/>
          <w:b/>
        </w:rPr>
        <w:t>čtvrtina</w:t>
      </w:r>
      <w:r w:rsidR="00DD2DE8">
        <w:rPr>
          <w:rFonts w:cs="Calibri"/>
        </w:rPr>
        <w:t xml:space="preserve"> </w:t>
      </w:r>
      <w:r w:rsidR="00DD2DE8">
        <w:rPr>
          <w:rFonts w:cs="Calibri"/>
          <w:b/>
        </w:rPr>
        <w:t>(tj.</w:t>
      </w:r>
      <w:r w:rsidR="006D31FD">
        <w:rPr>
          <w:rFonts w:cs="Calibri"/>
          <w:b/>
        </w:rPr>
        <w:t> </w:t>
      </w:r>
      <w:r w:rsidR="00257AD7">
        <w:rPr>
          <w:rFonts w:cs="Calibri"/>
          <w:b/>
        </w:rPr>
        <w:t>26</w:t>
      </w:r>
      <w:r w:rsidR="00DD2DE8">
        <w:rPr>
          <w:rFonts w:cs="Calibri"/>
          <w:b/>
        </w:rPr>
        <w:t>,1</w:t>
      </w:r>
      <w:r w:rsidR="00257AD7" w:rsidRPr="003F29EE">
        <w:rPr>
          <w:rFonts w:cs="Calibri"/>
          <w:b/>
        </w:rPr>
        <w:t xml:space="preserve"> </w:t>
      </w:r>
      <w:r w:rsidR="001E1060" w:rsidRPr="003F29EE">
        <w:rPr>
          <w:rFonts w:cs="Calibri"/>
          <w:b/>
        </w:rPr>
        <w:t>%</w:t>
      </w:r>
      <w:r w:rsidR="00DD2DE8">
        <w:rPr>
          <w:rFonts w:cs="Calibri"/>
          <w:b/>
        </w:rPr>
        <w:t>)</w:t>
      </w:r>
      <w:r w:rsidR="001E1060" w:rsidRPr="00C35D56">
        <w:rPr>
          <w:rFonts w:cs="Calibri"/>
        </w:rPr>
        <w:t xml:space="preserve"> </w:t>
      </w:r>
      <w:r w:rsidR="00DD2DE8" w:rsidRPr="00C35D56">
        <w:rPr>
          <w:rFonts w:cs="Calibri"/>
        </w:rPr>
        <w:t>předložen</w:t>
      </w:r>
      <w:r w:rsidR="00DD2DE8">
        <w:rPr>
          <w:rFonts w:cs="Calibri"/>
        </w:rPr>
        <w:t>a</w:t>
      </w:r>
      <w:r w:rsidR="00DD2DE8" w:rsidRPr="00C35D56">
        <w:rPr>
          <w:rFonts w:cs="Calibri"/>
        </w:rPr>
        <w:t xml:space="preserve"> </w:t>
      </w:r>
      <w:r w:rsidR="001E1060" w:rsidRPr="00C35D56">
        <w:rPr>
          <w:rFonts w:cs="Calibri"/>
        </w:rPr>
        <w:t>v akceptovatelné podobě</w:t>
      </w:r>
      <w:r w:rsidR="00257AD7">
        <w:rPr>
          <w:rFonts w:cs="Calibri"/>
        </w:rPr>
        <w:t xml:space="preserve">, tj. bez dalších připomínek. </w:t>
      </w:r>
      <w:r w:rsidR="006D31FD">
        <w:rPr>
          <w:rFonts w:cs="Calibri"/>
        </w:rPr>
        <w:t>Zbývající návrhy</w:t>
      </w:r>
      <w:r w:rsidR="00406054">
        <w:rPr>
          <w:rFonts w:cs="Calibri"/>
        </w:rPr>
        <w:t xml:space="preserve"> právních předpisů</w:t>
      </w:r>
      <w:r w:rsidR="006D31FD">
        <w:rPr>
          <w:rFonts w:cs="Calibri"/>
        </w:rPr>
        <w:t xml:space="preserve">, </w:t>
      </w:r>
      <w:r w:rsidR="006D31FD" w:rsidRPr="006D31FD">
        <w:rPr>
          <w:rFonts w:cs="Calibri"/>
          <w:b/>
        </w:rPr>
        <w:t>tj.</w:t>
      </w:r>
      <w:r w:rsidR="00F556A5">
        <w:rPr>
          <w:rFonts w:cs="Calibri"/>
        </w:rPr>
        <w:t> </w:t>
      </w:r>
      <w:r w:rsidR="001E1060" w:rsidRPr="003F29EE">
        <w:rPr>
          <w:rFonts w:cs="Calibri"/>
          <w:b/>
        </w:rPr>
        <w:t xml:space="preserve">téměř </w:t>
      </w:r>
      <w:r w:rsidR="00DD2DE8">
        <w:rPr>
          <w:rFonts w:cs="Calibri"/>
          <w:b/>
        </w:rPr>
        <w:t>7</w:t>
      </w:r>
      <w:r w:rsidR="00257AD7">
        <w:rPr>
          <w:rFonts w:cs="Calibri"/>
          <w:b/>
        </w:rPr>
        <w:t xml:space="preserve">4 </w:t>
      </w:r>
      <w:r w:rsidR="001E1060" w:rsidRPr="003F29EE">
        <w:rPr>
          <w:rFonts w:cs="Calibri"/>
          <w:b/>
        </w:rPr>
        <w:t>%</w:t>
      </w:r>
      <w:r w:rsidR="001E1060">
        <w:rPr>
          <w:rFonts w:cs="Calibri"/>
        </w:rPr>
        <w:t xml:space="preserve"> </w:t>
      </w:r>
      <w:r w:rsidR="00D2187F">
        <w:rPr>
          <w:rFonts w:cs="Calibri"/>
        </w:rPr>
        <w:t>z</w:t>
      </w:r>
      <w:r w:rsidR="00D2187F" w:rsidRPr="00C35D56">
        <w:rPr>
          <w:rFonts w:cs="Calibri"/>
        </w:rPr>
        <w:t xml:space="preserve">ávěrečných </w:t>
      </w:r>
      <w:r w:rsidR="001E1060" w:rsidRPr="00C35D56">
        <w:rPr>
          <w:rFonts w:cs="Calibri"/>
        </w:rPr>
        <w:t>zpráv</w:t>
      </w:r>
      <w:r w:rsidR="001E1060">
        <w:rPr>
          <w:rFonts w:cs="Calibri"/>
        </w:rPr>
        <w:t xml:space="preserve"> RIA</w:t>
      </w:r>
      <w:r w:rsidR="006D31FD">
        <w:rPr>
          <w:rFonts w:cs="Calibri"/>
        </w:rPr>
        <w:t>,</w:t>
      </w:r>
      <w:r w:rsidR="001E1060" w:rsidRPr="00C35D56">
        <w:rPr>
          <w:rFonts w:cs="Calibri"/>
        </w:rPr>
        <w:t xml:space="preserve"> byl</w:t>
      </w:r>
      <w:r w:rsidR="006D31FD">
        <w:rPr>
          <w:rFonts w:cs="Calibri"/>
        </w:rPr>
        <w:t>y</w:t>
      </w:r>
      <w:r w:rsidR="001E1060" w:rsidRPr="00C35D56">
        <w:rPr>
          <w:rFonts w:cs="Calibri"/>
        </w:rPr>
        <w:t xml:space="preserve"> vrácen</w:t>
      </w:r>
      <w:r w:rsidR="006D31FD">
        <w:rPr>
          <w:rFonts w:cs="Calibri"/>
        </w:rPr>
        <w:t>y</w:t>
      </w:r>
      <w:r w:rsidR="00DD2DE8">
        <w:rPr>
          <w:rFonts w:cs="Calibri"/>
        </w:rPr>
        <w:t xml:space="preserve"> Komisí RIA</w:t>
      </w:r>
      <w:r w:rsidR="001E1060" w:rsidRPr="00C35D56">
        <w:rPr>
          <w:rFonts w:cs="Calibri"/>
        </w:rPr>
        <w:t xml:space="preserve"> k dopracování nebo přepracování.</w:t>
      </w:r>
      <w:r w:rsidR="00257AD7">
        <w:rPr>
          <w:rFonts w:cs="Calibri"/>
        </w:rPr>
        <w:t xml:space="preserve"> Z tohoto počtu necelých </w:t>
      </w:r>
      <w:r w:rsidR="00257AD7" w:rsidRPr="00A946FF">
        <w:rPr>
          <w:rFonts w:cs="Calibri"/>
          <w:b/>
        </w:rPr>
        <w:t>9</w:t>
      </w:r>
      <w:r w:rsidR="00DD2DE8" w:rsidRPr="00A946FF">
        <w:rPr>
          <w:rFonts w:cs="Calibri"/>
          <w:b/>
        </w:rPr>
        <w:t xml:space="preserve"> </w:t>
      </w:r>
      <w:r w:rsidR="00257AD7" w:rsidRPr="00A946FF">
        <w:rPr>
          <w:rFonts w:cs="Calibri"/>
          <w:b/>
        </w:rPr>
        <w:t xml:space="preserve">% návrhů </w:t>
      </w:r>
      <w:r w:rsidR="00406054">
        <w:rPr>
          <w:rFonts w:cs="Calibri"/>
          <w:b/>
        </w:rPr>
        <w:t xml:space="preserve">právních předpisů </w:t>
      </w:r>
      <w:r w:rsidR="00257AD7" w:rsidRPr="00A946FF">
        <w:rPr>
          <w:rFonts w:cs="Calibri"/>
          <w:b/>
        </w:rPr>
        <w:t>(</w:t>
      </w:r>
      <w:r w:rsidR="00DD2DE8" w:rsidRPr="00A946FF">
        <w:rPr>
          <w:rFonts w:cs="Calibri"/>
          <w:b/>
        </w:rPr>
        <w:t xml:space="preserve">konkrétně </w:t>
      </w:r>
      <w:r w:rsidR="00257AD7" w:rsidRPr="00A946FF">
        <w:rPr>
          <w:rFonts w:cs="Calibri"/>
          <w:b/>
        </w:rPr>
        <w:t>6</w:t>
      </w:r>
      <w:r w:rsidR="00DD2DE8" w:rsidRPr="00A946FF">
        <w:rPr>
          <w:rFonts w:cs="Calibri"/>
          <w:b/>
        </w:rPr>
        <w:t xml:space="preserve"> </w:t>
      </w:r>
      <w:r w:rsidR="00257AD7" w:rsidRPr="00A946FF">
        <w:rPr>
          <w:rFonts w:cs="Calibri"/>
          <w:b/>
        </w:rPr>
        <w:t>z 69)</w:t>
      </w:r>
      <w:r w:rsidR="00257AD7">
        <w:rPr>
          <w:rFonts w:cs="Calibri"/>
        </w:rPr>
        <w:t xml:space="preserve"> </w:t>
      </w:r>
      <w:r w:rsidR="00257AD7" w:rsidRPr="00640304">
        <w:rPr>
          <w:rFonts w:cs="Calibri"/>
          <w:b/>
        </w:rPr>
        <w:t>nebylo</w:t>
      </w:r>
      <w:r w:rsidR="00213D15">
        <w:rPr>
          <w:rFonts w:cs="Calibri"/>
          <w:b/>
        </w:rPr>
        <w:t xml:space="preserve"> </w:t>
      </w:r>
      <w:r w:rsidR="00302F85">
        <w:rPr>
          <w:rFonts w:cs="Calibri"/>
          <w:b/>
        </w:rPr>
        <w:t>na</w:t>
      </w:r>
      <w:r w:rsidR="00213D15">
        <w:rPr>
          <w:rFonts w:cs="Calibri"/>
          <w:b/>
        </w:rPr>
        <w:t xml:space="preserve"> základě výchozího stanoviska nebo</w:t>
      </w:r>
      <w:r w:rsidR="00302F85">
        <w:rPr>
          <w:rFonts w:cs="Calibri"/>
          <w:b/>
        </w:rPr>
        <w:t xml:space="preserve"> </w:t>
      </w:r>
      <w:r w:rsidR="00257AD7" w:rsidRPr="00640304">
        <w:rPr>
          <w:rFonts w:cs="Calibri"/>
          <w:b/>
        </w:rPr>
        <w:t xml:space="preserve">po případném dopracování či přepracování </w:t>
      </w:r>
      <w:r w:rsidR="00406054">
        <w:rPr>
          <w:rFonts w:cs="Calibri"/>
          <w:b/>
        </w:rPr>
        <w:t xml:space="preserve">závěrečné zprávy </w:t>
      </w:r>
      <w:r w:rsidR="00257AD7" w:rsidRPr="00640304">
        <w:rPr>
          <w:rFonts w:cs="Calibri"/>
          <w:b/>
        </w:rPr>
        <w:t>RIA doporučeno vládě ke schválení</w:t>
      </w:r>
      <w:r w:rsidR="00257AD7">
        <w:rPr>
          <w:rFonts w:cs="Calibri"/>
        </w:rPr>
        <w:t>.</w:t>
      </w:r>
      <w:r w:rsidR="00640304">
        <w:rPr>
          <w:rFonts w:cs="Calibri"/>
        </w:rPr>
        <w:t xml:space="preserve"> Konkrétní výčet a charakteristiku hlavních výhrad obsahuje rámeček níže</w:t>
      </w:r>
      <w:r w:rsidR="00E4495D">
        <w:rPr>
          <w:rFonts w:cs="Calibri"/>
        </w:rPr>
        <w:t xml:space="preserve">: </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760148" w:rsidRPr="00735B35" w:rsidTr="00E07479">
        <w:trPr>
          <w:trHeight w:val="4596"/>
        </w:trPr>
        <w:tc>
          <w:tcPr>
            <w:tcW w:w="7938" w:type="dxa"/>
            <w:tcBorders>
              <w:bottom w:val="single" w:sz="4" w:space="0" w:color="auto"/>
            </w:tcBorders>
            <w:shd w:val="clear" w:color="auto" w:fill="auto"/>
          </w:tcPr>
          <w:p w:rsidR="00A917E2" w:rsidRPr="00A917E2" w:rsidRDefault="00760148" w:rsidP="00A917E2">
            <w:pPr>
              <w:pStyle w:val="Odstavecseseznamem"/>
              <w:numPr>
                <w:ilvl w:val="0"/>
                <w:numId w:val="3"/>
              </w:numPr>
              <w:spacing w:after="120" w:line="240" w:lineRule="auto"/>
              <w:ind w:left="714" w:hanging="357"/>
              <w:contextualSpacing w:val="0"/>
              <w:jc w:val="both"/>
              <w:rPr>
                <w:rFonts w:cs="Calibri"/>
                <w:i/>
              </w:rPr>
            </w:pPr>
            <w:r w:rsidRPr="002A73C6">
              <w:rPr>
                <w:rFonts w:cs="Calibri"/>
                <w:b/>
                <w:i/>
              </w:rPr>
              <w:t>Návrh zákona o řídicím a kontroln</w:t>
            </w:r>
            <w:r w:rsidR="001E5E30" w:rsidRPr="002A73C6">
              <w:rPr>
                <w:rFonts w:cs="Calibri"/>
                <w:b/>
                <w:i/>
              </w:rPr>
              <w:t>ím systému veřejné správy</w:t>
            </w:r>
            <w:r w:rsidR="001E5E30" w:rsidRPr="002A73C6">
              <w:rPr>
                <w:rFonts w:cs="Calibri"/>
                <w:i/>
              </w:rPr>
              <w:t>: K</w:t>
            </w:r>
            <w:r w:rsidRPr="002A73C6">
              <w:rPr>
                <w:rFonts w:cs="Calibri"/>
                <w:i/>
              </w:rPr>
              <w:t xml:space="preserve">omise </w:t>
            </w:r>
            <w:r w:rsidR="001E5E30" w:rsidRPr="002A73C6">
              <w:rPr>
                <w:rFonts w:cs="Calibri"/>
                <w:i/>
              </w:rPr>
              <w:t xml:space="preserve">RIA </w:t>
            </w:r>
            <w:r w:rsidRPr="002A73C6">
              <w:rPr>
                <w:rFonts w:cs="Calibri"/>
                <w:i/>
              </w:rPr>
              <w:t xml:space="preserve">ani po přepracování </w:t>
            </w:r>
            <w:r w:rsidR="00406054">
              <w:rPr>
                <w:rFonts w:cs="Calibri"/>
                <w:i/>
              </w:rPr>
              <w:t>z</w:t>
            </w:r>
            <w:r w:rsidRPr="002A73C6">
              <w:rPr>
                <w:rFonts w:cs="Calibri"/>
                <w:i/>
              </w:rPr>
              <w:t>ávěrečné zprávy nenašla jasný popis stávajícího stavu z</w:t>
            </w:r>
            <w:r w:rsidR="00363E82" w:rsidRPr="002A73C6">
              <w:rPr>
                <w:rFonts w:cs="Calibri"/>
                <w:i/>
              </w:rPr>
              <w:t> </w:t>
            </w:r>
            <w:r w:rsidRPr="002A73C6">
              <w:rPr>
                <w:rFonts w:cs="Calibri"/>
                <w:i/>
              </w:rPr>
              <w:t>hlediska nikoliv legislativního, ale zejména funkčního</w:t>
            </w:r>
            <w:r w:rsidR="00213D15">
              <w:rPr>
                <w:rFonts w:cs="Calibri"/>
                <w:i/>
              </w:rPr>
              <w:t>,</w:t>
            </w:r>
            <w:r w:rsidRPr="002A73C6">
              <w:rPr>
                <w:rFonts w:cs="Calibri"/>
                <w:i/>
              </w:rPr>
              <w:t xml:space="preserve"> a to především</w:t>
            </w:r>
            <w:r w:rsidR="00441324">
              <w:rPr>
                <w:rFonts w:cs="Calibri"/>
                <w:i/>
              </w:rPr>
              <w:t xml:space="preserve"> s ohledem na to</w:t>
            </w:r>
            <w:r w:rsidRPr="002A73C6">
              <w:rPr>
                <w:rFonts w:cs="Calibri"/>
                <w:i/>
              </w:rPr>
              <w:t xml:space="preserve">, jaké </w:t>
            </w:r>
            <w:r w:rsidR="00A917E2">
              <w:rPr>
                <w:rFonts w:cs="Calibri"/>
                <w:i/>
              </w:rPr>
              <w:t>změny předložený návrh přinese.</w:t>
            </w:r>
          </w:p>
          <w:p w:rsidR="001E5E30" w:rsidRPr="002A73C6" w:rsidRDefault="001E5E30" w:rsidP="00A917E2">
            <w:pPr>
              <w:pStyle w:val="Odstavecseseznamem"/>
              <w:numPr>
                <w:ilvl w:val="0"/>
                <w:numId w:val="3"/>
              </w:numPr>
              <w:spacing w:after="120" w:line="240" w:lineRule="auto"/>
              <w:ind w:left="714" w:hanging="357"/>
              <w:contextualSpacing w:val="0"/>
              <w:jc w:val="both"/>
              <w:rPr>
                <w:rFonts w:cs="Calibri"/>
                <w:i/>
              </w:rPr>
            </w:pPr>
            <w:r w:rsidRPr="00A917E2">
              <w:rPr>
                <w:rFonts w:cs="Calibri"/>
                <w:b/>
                <w:i/>
              </w:rPr>
              <w:t>Návrh</w:t>
            </w:r>
            <w:r w:rsidR="00760148" w:rsidRPr="00A917E2">
              <w:rPr>
                <w:rFonts w:cs="Calibri"/>
                <w:b/>
                <w:i/>
              </w:rPr>
              <w:t xml:space="preserve"> zákona č. 248/2000 Sb., o podpoře regionálního rozvoje</w:t>
            </w:r>
            <w:r w:rsidRPr="002A73C6">
              <w:rPr>
                <w:rFonts w:cs="Calibri"/>
                <w:i/>
              </w:rPr>
              <w:t>:</w:t>
            </w:r>
            <w:r w:rsidR="00760148" w:rsidRPr="002A73C6">
              <w:rPr>
                <w:rFonts w:cs="Calibri"/>
                <w:i/>
              </w:rPr>
              <w:t xml:space="preserve"> Závěrečná zpráva RIA sice </w:t>
            </w:r>
            <w:r w:rsidRPr="002A73C6">
              <w:rPr>
                <w:rFonts w:cs="Calibri"/>
                <w:i/>
              </w:rPr>
              <w:t>dle stanoviska Komise RIA odpovídala</w:t>
            </w:r>
            <w:r w:rsidR="00760148" w:rsidRPr="002A73C6">
              <w:rPr>
                <w:rFonts w:cs="Calibri"/>
                <w:i/>
              </w:rPr>
              <w:t xml:space="preserve"> struktuře stanovené Obecnými zásadami, nicméně v nejdůležitější části </w:t>
            </w:r>
            <w:r w:rsidRPr="002A73C6">
              <w:rPr>
                <w:rFonts w:cs="Calibri"/>
                <w:i/>
              </w:rPr>
              <w:t xml:space="preserve">byla pojata velmi formálně a zabývala </w:t>
            </w:r>
            <w:r w:rsidR="00760148" w:rsidRPr="002A73C6">
              <w:rPr>
                <w:rFonts w:cs="Calibri"/>
                <w:i/>
              </w:rPr>
              <w:t>se pouze legislativně technickým řešením problému.</w:t>
            </w:r>
          </w:p>
          <w:p w:rsidR="00760148" w:rsidRPr="002A73C6" w:rsidRDefault="001E5E30" w:rsidP="00A917E2">
            <w:pPr>
              <w:pStyle w:val="Odstavecseseznamem"/>
              <w:numPr>
                <w:ilvl w:val="0"/>
                <w:numId w:val="3"/>
              </w:numPr>
              <w:spacing w:after="120" w:line="240" w:lineRule="auto"/>
              <w:ind w:left="714" w:hanging="357"/>
              <w:jc w:val="both"/>
              <w:rPr>
                <w:rFonts w:cs="Calibri"/>
                <w:i/>
              </w:rPr>
            </w:pPr>
            <w:r w:rsidRPr="002A73C6">
              <w:rPr>
                <w:rFonts w:cs="Calibri"/>
                <w:b/>
                <w:i/>
              </w:rPr>
              <w:t>Návrh</w:t>
            </w:r>
            <w:r w:rsidR="00760148" w:rsidRPr="002A73C6">
              <w:rPr>
                <w:rFonts w:cs="Calibri"/>
                <w:b/>
                <w:i/>
              </w:rPr>
              <w:t xml:space="preserve"> věcného záměru zákona, kterým se mění zákon č. 44/1988 Sb., o</w:t>
            </w:r>
            <w:r w:rsidR="00441324">
              <w:rPr>
                <w:rFonts w:cs="Calibri"/>
                <w:b/>
                <w:i/>
              </w:rPr>
              <w:t> </w:t>
            </w:r>
            <w:r w:rsidR="00760148" w:rsidRPr="002A73C6">
              <w:rPr>
                <w:rFonts w:cs="Calibri"/>
                <w:b/>
                <w:i/>
              </w:rPr>
              <w:t>ochraně a využití nerostného bohatství (horní zákon), ve znění pozdějších předpisů, a některé další zákony</w:t>
            </w:r>
            <w:r w:rsidRPr="002A73C6">
              <w:rPr>
                <w:rFonts w:cs="Calibri"/>
                <w:i/>
              </w:rPr>
              <w:t>:</w:t>
            </w:r>
            <w:r w:rsidR="00760148" w:rsidRPr="002A73C6">
              <w:rPr>
                <w:rFonts w:cs="Calibri"/>
                <w:i/>
              </w:rPr>
              <w:t xml:space="preserve"> Komise RIA doporučila vrátit dokument s</w:t>
            </w:r>
            <w:r w:rsidR="00441324">
              <w:rPr>
                <w:rFonts w:cs="Calibri"/>
                <w:i/>
              </w:rPr>
              <w:t> </w:t>
            </w:r>
            <w:r w:rsidR="00760148" w:rsidRPr="002A73C6">
              <w:rPr>
                <w:rFonts w:cs="Calibri"/>
                <w:i/>
              </w:rPr>
              <w:t>požadavkem na zpracování hodnocení dopadů regulace v plném rozsahu a</w:t>
            </w:r>
            <w:r w:rsidR="00441324">
              <w:rPr>
                <w:rFonts w:cs="Calibri"/>
                <w:i/>
              </w:rPr>
              <w:t> </w:t>
            </w:r>
            <w:r w:rsidR="00760148" w:rsidRPr="002A73C6">
              <w:rPr>
                <w:rFonts w:cs="Calibri"/>
                <w:i/>
              </w:rPr>
              <w:t xml:space="preserve">důsledně podle </w:t>
            </w:r>
            <w:r w:rsidRPr="002A73C6">
              <w:rPr>
                <w:rFonts w:cs="Calibri"/>
                <w:i/>
              </w:rPr>
              <w:t>požadavků</w:t>
            </w:r>
            <w:r w:rsidR="00760148" w:rsidRPr="002A73C6">
              <w:rPr>
                <w:rFonts w:cs="Calibri"/>
                <w:i/>
              </w:rPr>
              <w:t xml:space="preserve"> metodiky hodnocení </w:t>
            </w:r>
            <w:r w:rsidR="00406054">
              <w:rPr>
                <w:rFonts w:cs="Calibri"/>
                <w:i/>
              </w:rPr>
              <w:t>uvedené v Obecných zásadách</w:t>
            </w:r>
            <w:r w:rsidR="00760148" w:rsidRPr="002A73C6">
              <w:rPr>
                <w:rFonts w:cs="Calibri"/>
                <w:i/>
              </w:rPr>
              <w:t xml:space="preserve">, včetně kvalitního zpracování analýzy nákladů a přínosů. </w:t>
            </w:r>
            <w:r w:rsidR="00441324">
              <w:rPr>
                <w:rFonts w:cs="Calibri"/>
                <w:i/>
              </w:rPr>
              <w:t xml:space="preserve">Přepracovaná </w:t>
            </w:r>
            <w:r w:rsidR="00406054">
              <w:rPr>
                <w:rFonts w:cs="Calibri"/>
                <w:i/>
              </w:rPr>
              <w:t xml:space="preserve">závěrečná zpráva </w:t>
            </w:r>
            <w:r w:rsidR="00441324">
              <w:rPr>
                <w:rFonts w:cs="Calibri"/>
                <w:i/>
              </w:rPr>
              <w:t>RIA nebyla předložena.</w:t>
            </w:r>
          </w:p>
          <w:p w:rsidR="00363E82" w:rsidRPr="002A73C6" w:rsidRDefault="001E5E30" w:rsidP="00A917E2">
            <w:pPr>
              <w:numPr>
                <w:ilvl w:val="0"/>
                <w:numId w:val="3"/>
              </w:numPr>
              <w:spacing w:after="120" w:line="23" w:lineRule="atLeast"/>
              <w:jc w:val="both"/>
              <w:rPr>
                <w:rFonts w:cs="Calibri"/>
                <w:i/>
              </w:rPr>
            </w:pPr>
            <w:r w:rsidRPr="002A73C6">
              <w:rPr>
                <w:rFonts w:cs="Calibri"/>
                <w:b/>
                <w:i/>
              </w:rPr>
              <w:t>Návrh</w:t>
            </w:r>
            <w:r w:rsidR="00760148" w:rsidRPr="002A73C6">
              <w:rPr>
                <w:rFonts w:cs="Calibri"/>
                <w:b/>
                <w:i/>
              </w:rPr>
              <w:t xml:space="preserve"> věcného záměru z</w:t>
            </w:r>
            <w:r w:rsidRPr="002A73C6">
              <w:rPr>
                <w:rFonts w:cs="Calibri"/>
                <w:b/>
                <w:i/>
              </w:rPr>
              <w:t>ákona o zajištění právní pomoci</w:t>
            </w:r>
            <w:r w:rsidRPr="002A73C6">
              <w:rPr>
                <w:rFonts w:cs="Calibri"/>
                <w:i/>
              </w:rPr>
              <w:t xml:space="preserve">: Komise RIA konstatovala, že závěrečná zpráva RIA je </w:t>
            </w:r>
            <w:r w:rsidR="00760148" w:rsidRPr="002A73C6">
              <w:rPr>
                <w:rFonts w:cs="Calibri"/>
                <w:i/>
              </w:rPr>
              <w:t>velice nekonkrétní</w:t>
            </w:r>
            <w:r w:rsidRPr="002A73C6">
              <w:rPr>
                <w:rFonts w:cs="Calibri"/>
                <w:i/>
              </w:rPr>
              <w:t xml:space="preserve"> a</w:t>
            </w:r>
            <w:r w:rsidR="00760148" w:rsidRPr="002A73C6">
              <w:rPr>
                <w:rFonts w:cs="Calibri"/>
                <w:i/>
              </w:rPr>
              <w:t xml:space="preserve"> nijak nevysvětluje, proč se navrhovaná úprava nemá týkat trestního řízení, kde je poskytování právní pomoci podstatně významnější, než v civilních věcech, kterých se nová úprava týkat má. </w:t>
            </w:r>
            <w:r w:rsidRPr="002A73C6">
              <w:rPr>
                <w:rFonts w:cs="Calibri"/>
                <w:i/>
              </w:rPr>
              <w:t>Poskytovala</w:t>
            </w:r>
            <w:r w:rsidR="00760148" w:rsidRPr="002A73C6">
              <w:rPr>
                <w:rFonts w:cs="Calibri"/>
                <w:i/>
              </w:rPr>
              <w:t xml:space="preserve"> pouze velice útržkovitý obraz </w:t>
            </w:r>
            <w:r w:rsidR="00760148" w:rsidRPr="002A73C6">
              <w:rPr>
                <w:rFonts w:cs="Calibri"/>
                <w:i/>
              </w:rPr>
              <w:lastRenderedPageBreak/>
              <w:t>o</w:t>
            </w:r>
            <w:r w:rsidR="00441324">
              <w:rPr>
                <w:rFonts w:cs="Calibri"/>
                <w:i/>
              </w:rPr>
              <w:t> </w:t>
            </w:r>
            <w:r w:rsidR="00760148" w:rsidRPr="002A73C6">
              <w:rPr>
                <w:rFonts w:cs="Calibri"/>
                <w:i/>
              </w:rPr>
              <w:t>fungování poskytování p</w:t>
            </w:r>
            <w:r w:rsidR="00363E82" w:rsidRPr="002A73C6">
              <w:rPr>
                <w:rFonts w:cs="Calibri"/>
                <w:i/>
              </w:rPr>
              <w:t>rávní pomoci v dotčené oblasti.</w:t>
            </w:r>
          </w:p>
          <w:p w:rsidR="00363E82" w:rsidRPr="002A73C6" w:rsidRDefault="001E5E30" w:rsidP="00A917E2">
            <w:pPr>
              <w:numPr>
                <w:ilvl w:val="0"/>
                <w:numId w:val="3"/>
              </w:numPr>
              <w:spacing w:after="120" w:line="23" w:lineRule="atLeast"/>
              <w:jc w:val="both"/>
              <w:rPr>
                <w:rFonts w:cs="Calibri"/>
                <w:i/>
              </w:rPr>
            </w:pPr>
            <w:r w:rsidRPr="002A73C6">
              <w:rPr>
                <w:rFonts w:cs="Calibri"/>
                <w:b/>
                <w:i/>
              </w:rPr>
              <w:t>Návrh</w:t>
            </w:r>
            <w:r w:rsidR="00760148" w:rsidRPr="002A73C6">
              <w:rPr>
                <w:rFonts w:cs="Calibri"/>
                <w:b/>
                <w:i/>
              </w:rPr>
              <w:t xml:space="preserve"> zákona, kterým se mění zákon č. 111/1998 Sb., o vysokých školách a</w:t>
            </w:r>
            <w:r w:rsidR="00441324">
              <w:rPr>
                <w:rFonts w:cs="Calibri"/>
                <w:b/>
                <w:i/>
              </w:rPr>
              <w:t> </w:t>
            </w:r>
            <w:r w:rsidR="00760148" w:rsidRPr="002A73C6">
              <w:rPr>
                <w:rFonts w:cs="Calibri"/>
                <w:b/>
                <w:i/>
              </w:rPr>
              <w:t>o</w:t>
            </w:r>
            <w:r w:rsidR="00441324">
              <w:rPr>
                <w:rFonts w:cs="Calibri"/>
                <w:b/>
                <w:i/>
              </w:rPr>
              <w:t> </w:t>
            </w:r>
            <w:r w:rsidR="00760148" w:rsidRPr="002A73C6">
              <w:rPr>
                <w:rFonts w:cs="Calibri"/>
                <w:b/>
                <w:i/>
              </w:rPr>
              <w:t>změně a doplnění dalších zákonů (zákon o vysokých školách), ve znění pozdějších předpisů</w:t>
            </w:r>
            <w:r w:rsidRPr="002A73C6">
              <w:rPr>
                <w:rFonts w:cs="Calibri"/>
                <w:i/>
              </w:rPr>
              <w:t xml:space="preserve">: Komise RIA konstatovala, že </w:t>
            </w:r>
            <w:r w:rsidR="00760148" w:rsidRPr="002A73C6">
              <w:rPr>
                <w:rFonts w:cs="Calibri"/>
                <w:i/>
              </w:rPr>
              <w:t>předkladatel použil standardní postup při hodnocení dopadů regulace</w:t>
            </w:r>
            <w:r w:rsidR="00406054">
              <w:rPr>
                <w:rFonts w:cs="Calibri"/>
                <w:i/>
              </w:rPr>
              <w:t xml:space="preserve"> podle Obecných zásad</w:t>
            </w:r>
            <w:r w:rsidR="00760148" w:rsidRPr="002A73C6">
              <w:rPr>
                <w:rFonts w:cs="Calibri"/>
                <w:i/>
              </w:rPr>
              <w:t xml:space="preserve">, ale že pominul zásadně nesouhlasné stanovisko hlavních </w:t>
            </w:r>
            <w:r w:rsidRPr="002A73C6">
              <w:rPr>
                <w:rFonts w:cs="Calibri"/>
                <w:i/>
              </w:rPr>
              <w:t>dotčených subjektů</w:t>
            </w:r>
            <w:r w:rsidR="00760148" w:rsidRPr="002A73C6">
              <w:rPr>
                <w:rFonts w:cs="Calibri"/>
                <w:i/>
              </w:rPr>
              <w:t xml:space="preserve"> regulovaného procesu</w:t>
            </w:r>
            <w:r w:rsidRPr="002A73C6">
              <w:rPr>
                <w:rFonts w:cs="Calibri"/>
                <w:i/>
              </w:rPr>
              <w:t xml:space="preserve"> a</w:t>
            </w:r>
            <w:r w:rsidR="00441324">
              <w:rPr>
                <w:rFonts w:cs="Calibri"/>
                <w:i/>
              </w:rPr>
              <w:t> </w:t>
            </w:r>
            <w:r w:rsidRPr="002A73C6">
              <w:rPr>
                <w:rFonts w:cs="Calibri"/>
                <w:i/>
              </w:rPr>
              <w:t xml:space="preserve">Komise RIA v tomto smyslu </w:t>
            </w:r>
            <w:r w:rsidR="00760148" w:rsidRPr="002A73C6">
              <w:rPr>
                <w:rFonts w:cs="Calibri"/>
                <w:i/>
              </w:rPr>
              <w:t xml:space="preserve">postrádala konzultace s dotčenými subjekty, které </w:t>
            </w:r>
            <w:r w:rsidRPr="002A73C6">
              <w:rPr>
                <w:rFonts w:cs="Calibri"/>
                <w:i/>
              </w:rPr>
              <w:t>poukazovaly</w:t>
            </w:r>
            <w:r w:rsidR="00760148" w:rsidRPr="002A73C6">
              <w:rPr>
                <w:rFonts w:cs="Calibri"/>
                <w:i/>
              </w:rPr>
              <w:t xml:space="preserve"> na nutnost komplexního řešení v rámci novely zákona o</w:t>
            </w:r>
            <w:r w:rsidR="00213D15">
              <w:rPr>
                <w:rFonts w:cs="Calibri"/>
                <w:i/>
              </w:rPr>
              <w:t> </w:t>
            </w:r>
            <w:r w:rsidR="00760148" w:rsidRPr="002A73C6">
              <w:rPr>
                <w:rFonts w:cs="Calibri"/>
                <w:i/>
              </w:rPr>
              <w:t xml:space="preserve">vysokých školách, neboť dopady navrhované úpravy se </w:t>
            </w:r>
            <w:r w:rsidRPr="002A73C6">
              <w:rPr>
                <w:rFonts w:cs="Calibri"/>
                <w:i/>
              </w:rPr>
              <w:t>týkaly</w:t>
            </w:r>
            <w:r w:rsidR="00760148" w:rsidRPr="002A73C6">
              <w:rPr>
                <w:rFonts w:cs="Calibri"/>
                <w:i/>
              </w:rPr>
              <w:t xml:space="preserve"> širších vztahů v</w:t>
            </w:r>
            <w:r w:rsidR="00441324">
              <w:rPr>
                <w:rFonts w:cs="Calibri"/>
                <w:i/>
              </w:rPr>
              <w:t> </w:t>
            </w:r>
            <w:r w:rsidR="00760148" w:rsidRPr="002A73C6">
              <w:rPr>
                <w:rFonts w:cs="Calibri"/>
                <w:i/>
              </w:rPr>
              <w:t xml:space="preserve">akademickém prostředí, což nebylo do provedeného hodnocení zahrnuto. Přes nesouhlasné stanovisko </w:t>
            </w:r>
            <w:r w:rsidR="00213D15">
              <w:rPr>
                <w:rFonts w:cs="Calibri"/>
                <w:i/>
              </w:rPr>
              <w:t>K</w:t>
            </w:r>
            <w:r w:rsidR="00213D15" w:rsidRPr="002A73C6">
              <w:rPr>
                <w:rFonts w:cs="Calibri"/>
                <w:i/>
              </w:rPr>
              <w:t xml:space="preserve">omise </w:t>
            </w:r>
            <w:r w:rsidR="00760148" w:rsidRPr="002A73C6">
              <w:rPr>
                <w:rFonts w:cs="Calibri"/>
                <w:i/>
              </w:rPr>
              <w:t xml:space="preserve">RIA, vláda návrh schválila. </w:t>
            </w:r>
          </w:p>
          <w:p w:rsidR="00760148" w:rsidRPr="002A73C6" w:rsidRDefault="001E5E30" w:rsidP="00A917E2">
            <w:pPr>
              <w:numPr>
                <w:ilvl w:val="0"/>
                <w:numId w:val="3"/>
              </w:numPr>
              <w:spacing w:after="120" w:line="23" w:lineRule="atLeast"/>
              <w:jc w:val="both"/>
              <w:rPr>
                <w:rFonts w:cs="Calibri"/>
                <w:i/>
              </w:rPr>
            </w:pPr>
            <w:r w:rsidRPr="002A73C6">
              <w:rPr>
                <w:rFonts w:cs="Calibri"/>
                <w:b/>
                <w:i/>
              </w:rPr>
              <w:t>Návrh zákona o úřednících</w:t>
            </w:r>
            <w:r w:rsidRPr="002A73C6">
              <w:rPr>
                <w:rFonts w:cs="Calibri"/>
                <w:i/>
              </w:rPr>
              <w:t xml:space="preserve">: </w:t>
            </w:r>
            <w:r w:rsidR="002A73C6" w:rsidRPr="002A73C6">
              <w:rPr>
                <w:rFonts w:cs="Calibri"/>
                <w:i/>
              </w:rPr>
              <w:t>Komise RIA</w:t>
            </w:r>
            <w:r w:rsidR="00760148" w:rsidRPr="002A73C6">
              <w:rPr>
                <w:rFonts w:cs="Calibri"/>
                <w:i/>
              </w:rPr>
              <w:t xml:space="preserve"> si </w:t>
            </w:r>
            <w:r w:rsidR="002A73C6" w:rsidRPr="002A73C6">
              <w:rPr>
                <w:rFonts w:cs="Calibri"/>
                <w:i/>
              </w:rPr>
              <w:t>byla vědoma</w:t>
            </w:r>
            <w:r w:rsidR="00760148" w:rsidRPr="002A73C6">
              <w:rPr>
                <w:rFonts w:cs="Calibri"/>
                <w:i/>
              </w:rPr>
              <w:t xml:space="preserve">, že se v daném případě </w:t>
            </w:r>
            <w:r w:rsidR="002A73C6" w:rsidRPr="002A73C6">
              <w:rPr>
                <w:rFonts w:cs="Calibri"/>
                <w:i/>
              </w:rPr>
              <w:t>jednalo</w:t>
            </w:r>
            <w:r w:rsidR="00760148" w:rsidRPr="002A73C6">
              <w:rPr>
                <w:rFonts w:cs="Calibri"/>
                <w:i/>
              </w:rPr>
              <w:t xml:space="preserve"> o návrh zákona, který byl podroben opakované politické debatě a</w:t>
            </w:r>
            <w:r w:rsidR="00213D15">
              <w:rPr>
                <w:rFonts w:cs="Calibri"/>
                <w:i/>
              </w:rPr>
              <w:t> </w:t>
            </w:r>
            <w:r w:rsidR="00760148" w:rsidRPr="002A73C6">
              <w:rPr>
                <w:rFonts w:cs="Calibri"/>
                <w:i/>
              </w:rPr>
              <w:t>průběžným změnám v koncepčním zadání.</w:t>
            </w:r>
            <w:r w:rsidR="002A73C6" w:rsidRPr="002A73C6">
              <w:rPr>
                <w:rFonts w:cs="Calibri"/>
                <w:i/>
              </w:rPr>
              <w:t xml:space="preserve"> Přesto nebo právě proto </w:t>
            </w:r>
            <w:r w:rsidR="00213D15">
              <w:rPr>
                <w:rFonts w:cs="Calibri"/>
                <w:i/>
              </w:rPr>
              <w:t>by bývalo žádoucí, aby</w:t>
            </w:r>
            <w:r w:rsidR="00302F85">
              <w:rPr>
                <w:rFonts w:cs="Calibri"/>
                <w:i/>
              </w:rPr>
              <w:t xml:space="preserve"> </w:t>
            </w:r>
            <w:r w:rsidR="00406054">
              <w:rPr>
                <w:rFonts w:cs="Calibri"/>
                <w:i/>
              </w:rPr>
              <w:t xml:space="preserve">závěrečná zpráva </w:t>
            </w:r>
            <w:r w:rsidR="002A73C6" w:rsidRPr="002A73C6">
              <w:rPr>
                <w:rFonts w:cs="Calibri"/>
                <w:i/>
              </w:rPr>
              <w:t xml:space="preserve">RIA </w:t>
            </w:r>
            <w:r w:rsidR="00760148" w:rsidRPr="002A73C6">
              <w:rPr>
                <w:rFonts w:cs="Calibri"/>
                <w:i/>
              </w:rPr>
              <w:t>tyto změny dostatečně srozumitelně popsa</w:t>
            </w:r>
            <w:r w:rsidR="00213D15">
              <w:rPr>
                <w:rFonts w:cs="Calibri"/>
                <w:i/>
              </w:rPr>
              <w:t>la</w:t>
            </w:r>
            <w:r w:rsidR="00760148" w:rsidRPr="002A73C6">
              <w:rPr>
                <w:rFonts w:cs="Calibri"/>
                <w:i/>
              </w:rPr>
              <w:t>, zdůvodni</w:t>
            </w:r>
            <w:r w:rsidR="00213D15">
              <w:rPr>
                <w:rFonts w:cs="Calibri"/>
                <w:i/>
              </w:rPr>
              <w:t>la</w:t>
            </w:r>
            <w:r w:rsidR="00760148" w:rsidRPr="002A73C6">
              <w:rPr>
                <w:rFonts w:cs="Calibri"/>
                <w:i/>
              </w:rPr>
              <w:t>, respektive reflektov</w:t>
            </w:r>
            <w:r w:rsidR="00213D15">
              <w:rPr>
                <w:rFonts w:cs="Calibri"/>
                <w:i/>
              </w:rPr>
              <w:t>ala</w:t>
            </w:r>
            <w:r w:rsidR="00760148" w:rsidRPr="002A73C6">
              <w:rPr>
                <w:rFonts w:cs="Calibri"/>
                <w:i/>
              </w:rPr>
              <w:t xml:space="preserve"> v textu </w:t>
            </w:r>
            <w:r w:rsidR="00406054">
              <w:rPr>
                <w:rFonts w:cs="Calibri"/>
                <w:i/>
              </w:rPr>
              <w:t xml:space="preserve">závěreční zprávy </w:t>
            </w:r>
            <w:r w:rsidR="00760148" w:rsidRPr="002A73C6">
              <w:rPr>
                <w:rFonts w:cs="Calibri"/>
                <w:i/>
              </w:rPr>
              <w:t>RIA</w:t>
            </w:r>
            <w:r w:rsidR="00406054">
              <w:rPr>
                <w:rFonts w:cs="Calibri"/>
                <w:i/>
              </w:rPr>
              <w:t>. Předložená závěrečná zpráva RIA nereflektova</w:t>
            </w:r>
            <w:r w:rsidR="00533E02">
              <w:rPr>
                <w:rFonts w:cs="Calibri"/>
                <w:i/>
              </w:rPr>
              <w:t xml:space="preserve">la ani samotný text návrhu právního předpisu a podle definice problému v úvodu textu bylo dokonce možné dovodit, že zákon není vůbec potřeba. V textu byla uvedena řada </w:t>
            </w:r>
            <w:r w:rsidR="00533E02" w:rsidRPr="00533E02">
              <w:rPr>
                <w:rFonts w:cs="Calibri"/>
                <w:i/>
              </w:rPr>
              <w:t>neodůvodněn</w:t>
            </w:r>
            <w:r w:rsidR="00533E02">
              <w:rPr>
                <w:rFonts w:cs="Calibri"/>
                <w:i/>
              </w:rPr>
              <w:t>ých tvrzení a výroků</w:t>
            </w:r>
            <w:r w:rsidR="00533E02" w:rsidRPr="00533E02">
              <w:rPr>
                <w:rFonts w:cs="Calibri"/>
                <w:i/>
              </w:rPr>
              <w:t xml:space="preserve">, které </w:t>
            </w:r>
            <w:r w:rsidR="00533E02">
              <w:rPr>
                <w:rFonts w:cs="Calibri"/>
                <w:i/>
              </w:rPr>
              <w:t>nebyly</w:t>
            </w:r>
            <w:r w:rsidR="00533E02" w:rsidRPr="00533E02">
              <w:rPr>
                <w:rFonts w:cs="Calibri"/>
                <w:i/>
              </w:rPr>
              <w:t xml:space="preserve"> v</w:t>
            </w:r>
            <w:r w:rsidR="00533E02">
              <w:rPr>
                <w:rFonts w:cs="Calibri"/>
                <w:i/>
              </w:rPr>
              <w:t> závěrečné zprávě RIA</w:t>
            </w:r>
            <w:r w:rsidR="00533E02" w:rsidRPr="00533E02">
              <w:rPr>
                <w:rFonts w:cs="Calibri"/>
                <w:i/>
              </w:rPr>
              <w:t xml:space="preserve"> ani v</w:t>
            </w:r>
            <w:r w:rsidR="00533E02">
              <w:rPr>
                <w:rFonts w:cs="Calibri"/>
                <w:i/>
              </w:rPr>
              <w:t xml:space="preserve"> dalších částech důvodové zprávy </w:t>
            </w:r>
            <w:r w:rsidR="00533E02" w:rsidRPr="00533E02">
              <w:rPr>
                <w:rFonts w:cs="Calibri"/>
                <w:i/>
              </w:rPr>
              <w:t>doloženy ani vysvětlen</w:t>
            </w:r>
            <w:r w:rsidR="00533E02">
              <w:rPr>
                <w:rFonts w:cs="Calibri"/>
                <w:i/>
              </w:rPr>
              <w:t>y. Ve skutečnosti se nevztahovaly k popisu problému ani k </w:t>
            </w:r>
            <w:r w:rsidR="00533E02" w:rsidRPr="00533E02">
              <w:rPr>
                <w:rFonts w:cs="Calibri"/>
                <w:i/>
              </w:rPr>
              <w:t xml:space="preserve">dotčeným subjektům. </w:t>
            </w:r>
            <w:r w:rsidR="00441324" w:rsidRPr="002A73C6">
              <w:rPr>
                <w:rFonts w:cs="Calibri"/>
                <w:i/>
              </w:rPr>
              <w:t xml:space="preserve">Přes </w:t>
            </w:r>
            <w:r w:rsidR="00533E02">
              <w:rPr>
                <w:rFonts w:cs="Calibri"/>
                <w:i/>
              </w:rPr>
              <w:t xml:space="preserve">celou řadu dalších výhrad a </w:t>
            </w:r>
            <w:r w:rsidR="00441324" w:rsidRPr="002A73C6">
              <w:rPr>
                <w:rFonts w:cs="Calibri"/>
                <w:i/>
              </w:rPr>
              <w:t>nesouhlasné stanovisko komise RIA, vláda návrh schválila.</w:t>
            </w:r>
          </w:p>
          <w:p w:rsidR="002A73C6" w:rsidRPr="002A73C6" w:rsidRDefault="002A73C6" w:rsidP="00A917E2">
            <w:pPr>
              <w:spacing w:after="0" w:line="23" w:lineRule="atLeast"/>
              <w:ind w:left="720"/>
              <w:jc w:val="both"/>
              <w:rPr>
                <w:rFonts w:cs="Calibri"/>
                <w:i/>
              </w:rPr>
            </w:pPr>
          </w:p>
          <w:p w:rsidR="00D2478F" w:rsidRPr="00E07479" w:rsidRDefault="002A73C6" w:rsidP="00A917E2">
            <w:pPr>
              <w:pStyle w:val="Odstavecseseznamem"/>
              <w:spacing w:after="0" w:line="23" w:lineRule="atLeast"/>
              <w:jc w:val="both"/>
              <w:rPr>
                <w:rFonts w:cs="Calibri"/>
              </w:rPr>
            </w:pPr>
            <w:r w:rsidRPr="002A73C6">
              <w:rPr>
                <w:rFonts w:cs="Calibri"/>
                <w:i/>
              </w:rPr>
              <w:t xml:space="preserve">Pozn.: Výsledky projednání </w:t>
            </w:r>
            <w:r w:rsidR="00441324">
              <w:rPr>
                <w:rFonts w:cs="Calibri"/>
                <w:i/>
              </w:rPr>
              <w:t xml:space="preserve">všech </w:t>
            </w:r>
            <w:r w:rsidRPr="002A73C6">
              <w:rPr>
                <w:rFonts w:cs="Calibri"/>
                <w:i/>
              </w:rPr>
              <w:t>návrhů jsou obsaženy v</w:t>
            </w:r>
            <w:r w:rsidR="00441324">
              <w:rPr>
                <w:rFonts w:cs="Calibri"/>
                <w:i/>
              </w:rPr>
              <w:t> Příloze.</w:t>
            </w:r>
          </w:p>
        </w:tc>
      </w:tr>
    </w:tbl>
    <w:p w:rsidR="00F81434" w:rsidRDefault="00F81434" w:rsidP="001E1060">
      <w:pPr>
        <w:spacing w:line="23" w:lineRule="atLeast"/>
        <w:jc w:val="both"/>
        <w:rPr>
          <w:rFonts w:cs="Calibri"/>
        </w:rPr>
      </w:pPr>
    </w:p>
    <w:p w:rsidR="00AC62E3" w:rsidRDefault="00AC62E3" w:rsidP="00A946FF">
      <w:pPr>
        <w:spacing w:after="120" w:line="23" w:lineRule="atLeast"/>
        <w:jc w:val="both"/>
        <w:rPr>
          <w:rFonts w:cs="Calibri"/>
        </w:rPr>
      </w:pPr>
      <w:r w:rsidRPr="00A26021">
        <w:rPr>
          <w:rFonts w:cs="Calibri"/>
          <w:b/>
        </w:rPr>
        <w:t>Pro srovnání</w:t>
      </w:r>
      <w:r>
        <w:rPr>
          <w:rFonts w:cs="Calibri"/>
        </w:rPr>
        <w:t xml:space="preserve"> uvádíme </w:t>
      </w:r>
      <w:r w:rsidR="00A26021">
        <w:rPr>
          <w:rFonts w:cs="Calibri"/>
        </w:rPr>
        <w:t>poměr výsledných</w:t>
      </w:r>
      <w:r w:rsidR="004E184A">
        <w:rPr>
          <w:rFonts w:cs="Calibri"/>
        </w:rPr>
        <w:t xml:space="preserve"> stanovisek Komise RIA </w:t>
      </w:r>
      <w:r>
        <w:rPr>
          <w:rFonts w:cs="Calibri"/>
        </w:rPr>
        <w:t>rok 2012</w:t>
      </w:r>
      <w:r w:rsidR="00213D15">
        <w:rPr>
          <w:rFonts w:cs="Calibri"/>
        </w:rPr>
        <w:t>, tj. v prvním roce působení komise</w:t>
      </w:r>
      <w:r>
        <w:rPr>
          <w:rFonts w:cs="Calibri"/>
        </w:rPr>
        <w:t>:</w:t>
      </w:r>
    </w:p>
    <w:p w:rsidR="00F81434" w:rsidRPr="00A917E2" w:rsidRDefault="00F81434" w:rsidP="00A917E2">
      <w:pPr>
        <w:jc w:val="both"/>
        <w:rPr>
          <w:rFonts w:cs="Calibri"/>
          <w:b/>
          <w:i/>
        </w:rPr>
      </w:pPr>
      <w:r w:rsidRPr="0058283B">
        <w:rPr>
          <w:rFonts w:cs="Calibri"/>
          <w:b/>
          <w:i/>
        </w:rPr>
        <w:t>Graf</w:t>
      </w:r>
      <w:r>
        <w:rPr>
          <w:rFonts w:cs="Calibri"/>
          <w:b/>
          <w:i/>
        </w:rPr>
        <w:t xml:space="preserve"> č. 4</w:t>
      </w:r>
      <w:r w:rsidRPr="0058283B">
        <w:rPr>
          <w:rFonts w:cs="Calibri"/>
          <w:b/>
          <w:i/>
        </w:rPr>
        <w:t>:  Podíl jednotlivých stanovisek Komise RIA za rok 201</w:t>
      </w:r>
      <w:r>
        <w:rPr>
          <w:rFonts w:cs="Calibri"/>
          <w:b/>
          <w:i/>
        </w:rPr>
        <w:t>2</w:t>
      </w:r>
      <w:r w:rsidR="00A917E2">
        <w:rPr>
          <w:rFonts w:cs="Calibri"/>
          <w:b/>
          <w:i/>
        </w:rPr>
        <w:t xml:space="preserve"> dle závěrečných doporučení</w:t>
      </w:r>
    </w:p>
    <w:p w:rsidR="00F81434" w:rsidRPr="00A917E2" w:rsidRDefault="00AC62E3" w:rsidP="00A917E2">
      <w:pPr>
        <w:spacing w:line="23" w:lineRule="atLeast"/>
        <w:jc w:val="both"/>
        <w:rPr>
          <w:rFonts w:cs="Calibri"/>
        </w:rPr>
      </w:pPr>
      <w:r>
        <w:rPr>
          <w:noProof/>
        </w:rPr>
        <w:drawing>
          <wp:inline distT="0" distB="0" distL="0" distR="0" wp14:anchorId="46E6B916" wp14:editId="1C57499A">
            <wp:extent cx="5533534" cy="3129699"/>
            <wp:effectExtent l="0" t="0" r="0" b="0"/>
            <wp:docPr id="5" name="Graf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47613" w:rsidRPr="00EB3D4E" w:rsidRDefault="00C47613" w:rsidP="00C47613">
      <w:pPr>
        <w:spacing w:before="240"/>
        <w:jc w:val="both"/>
        <w:rPr>
          <w:rFonts w:cs="Calibri"/>
          <w:b/>
          <w:i/>
        </w:rPr>
      </w:pPr>
      <w:r w:rsidRPr="00EB3D4E">
        <w:rPr>
          <w:rFonts w:cs="Calibri"/>
          <w:b/>
          <w:i/>
        </w:rPr>
        <w:lastRenderedPageBreak/>
        <w:t xml:space="preserve">Tabulka č. </w:t>
      </w:r>
      <w:r w:rsidR="001F5DBC">
        <w:rPr>
          <w:rFonts w:cs="Calibri"/>
          <w:b/>
          <w:i/>
        </w:rPr>
        <w:t>6:</w:t>
      </w:r>
      <w:r w:rsidRPr="00EB3D4E">
        <w:rPr>
          <w:rFonts w:cs="Calibri"/>
          <w:b/>
          <w:i/>
        </w:rPr>
        <w:t xml:space="preserve"> </w:t>
      </w:r>
      <w:r>
        <w:rPr>
          <w:rFonts w:cs="Calibri"/>
          <w:b/>
          <w:i/>
        </w:rPr>
        <w:t xml:space="preserve">Počty </w:t>
      </w:r>
      <w:r w:rsidR="00533E02">
        <w:rPr>
          <w:rFonts w:cs="Calibri"/>
          <w:b/>
          <w:i/>
        </w:rPr>
        <w:t xml:space="preserve">návrhů právních </w:t>
      </w:r>
      <w:r>
        <w:rPr>
          <w:rFonts w:cs="Calibri"/>
          <w:b/>
          <w:i/>
        </w:rPr>
        <w:t xml:space="preserve">předpisů </w:t>
      </w:r>
      <w:r w:rsidR="00533E02">
        <w:rPr>
          <w:rFonts w:cs="Calibri"/>
          <w:b/>
          <w:i/>
        </w:rPr>
        <w:t>předložených</w:t>
      </w:r>
      <w:r>
        <w:rPr>
          <w:rFonts w:cs="Calibri"/>
          <w:b/>
          <w:i/>
        </w:rPr>
        <w:t xml:space="preserve"> s RIA a projednaných Komisí RIA dle výsledku – srovnání za rok 2012 a 2013</w:t>
      </w:r>
    </w:p>
    <w:tbl>
      <w:tblPr>
        <w:tblW w:w="5039" w:type="pct"/>
        <w:tblInd w:w="-72" w:type="dxa"/>
        <w:tblLayout w:type="fixed"/>
        <w:tblCellMar>
          <w:left w:w="70" w:type="dxa"/>
          <w:right w:w="70" w:type="dxa"/>
        </w:tblCellMar>
        <w:tblLook w:val="04A0" w:firstRow="1" w:lastRow="0" w:firstColumn="1" w:lastColumn="0" w:noHBand="0" w:noVBand="1"/>
      </w:tblPr>
      <w:tblGrid>
        <w:gridCol w:w="768"/>
        <w:gridCol w:w="741"/>
        <w:gridCol w:w="741"/>
        <w:gridCol w:w="752"/>
        <w:gridCol w:w="752"/>
        <w:gridCol w:w="706"/>
        <w:gridCol w:w="706"/>
        <w:gridCol w:w="646"/>
        <w:gridCol w:w="687"/>
        <w:gridCol w:w="732"/>
        <w:gridCol w:w="639"/>
        <w:gridCol w:w="694"/>
        <w:gridCol w:w="720"/>
      </w:tblGrid>
      <w:tr w:rsidR="00BF3A20" w:rsidRPr="00BF3A20" w:rsidTr="00BF3A20">
        <w:trPr>
          <w:trHeight w:val="690"/>
        </w:trPr>
        <w:tc>
          <w:tcPr>
            <w:tcW w:w="414" w:type="pct"/>
            <w:vMerge w:val="restart"/>
            <w:tcBorders>
              <w:top w:val="single" w:sz="8" w:space="0" w:color="5F497A"/>
              <w:left w:val="single" w:sz="8" w:space="0" w:color="5F497A"/>
              <w:bottom w:val="single" w:sz="4" w:space="0" w:color="000000"/>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Předkladatel</w:t>
            </w:r>
          </w:p>
        </w:tc>
        <w:tc>
          <w:tcPr>
            <w:tcW w:w="798" w:type="pct"/>
            <w:gridSpan w:val="2"/>
            <w:vMerge w:val="restart"/>
            <w:tcBorders>
              <w:top w:val="single" w:sz="8" w:space="0" w:color="5F497A"/>
              <w:left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Počty návrhů předložených s RIA</w:t>
            </w:r>
          </w:p>
          <w:p w:rsidR="00BF3A20" w:rsidRPr="00BF3A20" w:rsidRDefault="00BF3A20" w:rsidP="00AA563B">
            <w:pPr>
              <w:spacing w:after="0" w:line="240" w:lineRule="auto"/>
              <w:jc w:val="both"/>
              <w:rPr>
                <w:rFonts w:ascii="Arial" w:hAnsi="Arial" w:cs="Arial"/>
                <w:b/>
                <w:bCs/>
                <w:color w:val="000000"/>
                <w:sz w:val="16"/>
                <w:szCs w:val="16"/>
              </w:rPr>
            </w:pPr>
          </w:p>
        </w:tc>
        <w:tc>
          <w:tcPr>
            <w:tcW w:w="810" w:type="pct"/>
            <w:gridSpan w:val="2"/>
            <w:vMerge w:val="restart"/>
            <w:tcBorders>
              <w:top w:val="single" w:sz="8" w:space="0" w:color="5F497A"/>
              <w:left w:val="nil"/>
              <w:right w:val="single" w:sz="4" w:space="0" w:color="auto"/>
            </w:tcBorders>
            <w:shd w:val="clear" w:color="auto" w:fill="B2A1C7" w:themeFill="accent4" w:themeFillTint="99"/>
            <w:vAlign w:val="center"/>
          </w:tcPr>
          <w:p w:rsidR="00BF3A20" w:rsidRPr="00BF3A20" w:rsidRDefault="00BF3A20" w:rsidP="00C47613">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z toho projednaných v</w:t>
            </w:r>
            <w:r w:rsidR="00C47613">
              <w:rPr>
                <w:rFonts w:ascii="Arial" w:hAnsi="Arial" w:cs="Arial"/>
                <w:b/>
                <w:bCs/>
                <w:color w:val="000000"/>
                <w:sz w:val="16"/>
                <w:szCs w:val="16"/>
              </w:rPr>
              <w:t> </w:t>
            </w:r>
            <w:r w:rsidRPr="00BF3A20">
              <w:rPr>
                <w:rFonts w:ascii="Arial" w:hAnsi="Arial" w:cs="Arial"/>
                <w:b/>
                <w:bCs/>
                <w:color w:val="000000"/>
                <w:sz w:val="16"/>
                <w:szCs w:val="16"/>
              </w:rPr>
              <w:t>Komisi RIA</w:t>
            </w:r>
          </w:p>
        </w:tc>
        <w:tc>
          <w:tcPr>
            <w:tcW w:w="760" w:type="pct"/>
            <w:gridSpan w:val="2"/>
            <w:vMerge w:val="restart"/>
            <w:tcBorders>
              <w:top w:val="single" w:sz="8" w:space="0" w:color="5F497A"/>
              <w:left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s negativním stanoviskem</w:t>
            </w:r>
          </w:p>
        </w:tc>
        <w:tc>
          <w:tcPr>
            <w:tcW w:w="2218" w:type="pct"/>
            <w:gridSpan w:val="6"/>
            <w:tcBorders>
              <w:top w:val="single" w:sz="8" w:space="0" w:color="5F497A"/>
              <w:left w:val="nil"/>
              <w:bottom w:val="single" w:sz="4" w:space="0" w:color="auto"/>
              <w:right w:val="single" w:sz="4" w:space="0" w:color="000000"/>
            </w:tcBorders>
            <w:shd w:val="clear" w:color="auto" w:fill="B2A1C7" w:themeFill="accent4" w:themeFillTint="99"/>
            <w:vAlign w:val="center"/>
            <w:hideMark/>
          </w:tcPr>
          <w:p w:rsidR="00BF3A20" w:rsidRPr="00BF3A20" w:rsidRDefault="00BF3A20" w:rsidP="00BF3A20">
            <w:pPr>
              <w:spacing w:after="0" w:line="240" w:lineRule="auto"/>
              <w:jc w:val="center"/>
              <w:rPr>
                <w:rFonts w:ascii="Arial" w:hAnsi="Arial" w:cs="Arial"/>
                <w:b/>
                <w:bCs/>
                <w:color w:val="000000"/>
                <w:sz w:val="16"/>
                <w:szCs w:val="16"/>
              </w:rPr>
            </w:pPr>
            <w:r w:rsidRPr="00BF3A20">
              <w:rPr>
                <w:rFonts w:ascii="Arial" w:hAnsi="Arial" w:cs="Arial"/>
                <w:b/>
                <w:bCs/>
                <w:color w:val="000000"/>
                <w:sz w:val="16"/>
                <w:szCs w:val="16"/>
              </w:rPr>
              <w:t>s kladným stanoviskem</w:t>
            </w:r>
          </w:p>
        </w:tc>
      </w:tr>
      <w:tr w:rsidR="00BF3A20" w:rsidRPr="00BF3A20" w:rsidTr="00C47613">
        <w:trPr>
          <w:trHeight w:val="690"/>
        </w:trPr>
        <w:tc>
          <w:tcPr>
            <w:tcW w:w="414" w:type="pct"/>
            <w:vMerge/>
            <w:tcBorders>
              <w:top w:val="single" w:sz="8" w:space="0" w:color="5F497A"/>
              <w:left w:val="single" w:sz="8" w:space="0" w:color="5F497A"/>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rPr>
                <w:rFonts w:ascii="Arial" w:hAnsi="Arial" w:cs="Arial"/>
                <w:b/>
                <w:bCs/>
                <w:color w:val="000000"/>
                <w:sz w:val="16"/>
                <w:szCs w:val="16"/>
              </w:rPr>
            </w:pPr>
          </w:p>
        </w:tc>
        <w:tc>
          <w:tcPr>
            <w:tcW w:w="798" w:type="pct"/>
            <w:gridSpan w:val="2"/>
            <w:vMerge/>
            <w:tcBorders>
              <w:left w:val="single" w:sz="4" w:space="0" w:color="auto"/>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rPr>
                <w:rFonts w:ascii="Arial" w:hAnsi="Arial" w:cs="Arial"/>
                <w:b/>
                <w:bCs/>
                <w:color w:val="000000"/>
                <w:sz w:val="16"/>
                <w:szCs w:val="16"/>
              </w:rPr>
            </w:pPr>
          </w:p>
        </w:tc>
        <w:tc>
          <w:tcPr>
            <w:tcW w:w="810" w:type="pct"/>
            <w:gridSpan w:val="2"/>
            <w:vMerge/>
            <w:tcBorders>
              <w:left w:val="nil"/>
              <w:bottom w:val="single" w:sz="4" w:space="0" w:color="auto"/>
              <w:right w:val="single" w:sz="4" w:space="0" w:color="auto"/>
            </w:tcBorders>
            <w:shd w:val="clear" w:color="auto" w:fill="B2A1C7" w:themeFill="accent4" w:themeFillTint="99"/>
            <w:vAlign w:val="center"/>
          </w:tcPr>
          <w:p w:rsidR="00BF3A20" w:rsidRPr="00BF3A20" w:rsidRDefault="00BF3A20" w:rsidP="00AA563B">
            <w:pPr>
              <w:spacing w:after="0" w:line="240" w:lineRule="auto"/>
              <w:jc w:val="both"/>
              <w:rPr>
                <w:rFonts w:ascii="Arial" w:hAnsi="Arial" w:cs="Arial"/>
                <w:b/>
                <w:bCs/>
                <w:color w:val="000000"/>
                <w:sz w:val="16"/>
                <w:szCs w:val="16"/>
              </w:rPr>
            </w:pPr>
          </w:p>
        </w:tc>
        <w:tc>
          <w:tcPr>
            <w:tcW w:w="760" w:type="pct"/>
            <w:gridSpan w:val="2"/>
            <w:vMerge/>
            <w:tcBorders>
              <w:left w:val="single" w:sz="4" w:space="0" w:color="auto"/>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rPr>
                <w:rFonts w:ascii="Arial" w:hAnsi="Arial" w:cs="Arial"/>
                <w:b/>
                <w:bCs/>
                <w:color w:val="000000"/>
                <w:sz w:val="16"/>
                <w:szCs w:val="16"/>
              </w:rPr>
            </w:pPr>
          </w:p>
        </w:tc>
        <w:tc>
          <w:tcPr>
            <w:tcW w:w="348" w:type="pct"/>
            <w:tcBorders>
              <w:top w:val="nil"/>
              <w:left w:val="nil"/>
              <w:bottom w:val="single" w:sz="4" w:space="0" w:color="auto"/>
              <w:right w:val="nil"/>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bez připomínek</w:t>
            </w:r>
          </w:p>
        </w:tc>
        <w:tc>
          <w:tcPr>
            <w:tcW w:w="370" w:type="pct"/>
            <w:tcBorders>
              <w:top w:val="nil"/>
              <w:left w:val="single" w:sz="4" w:space="0" w:color="auto"/>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po dopracování</w:t>
            </w:r>
          </w:p>
        </w:tc>
        <w:tc>
          <w:tcPr>
            <w:tcW w:w="394" w:type="pct"/>
            <w:tcBorders>
              <w:top w:val="nil"/>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po přepracování</w:t>
            </w:r>
          </w:p>
        </w:tc>
        <w:tc>
          <w:tcPr>
            <w:tcW w:w="344" w:type="pct"/>
            <w:tcBorders>
              <w:top w:val="nil"/>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bez připomínek</w:t>
            </w:r>
          </w:p>
        </w:tc>
        <w:tc>
          <w:tcPr>
            <w:tcW w:w="374" w:type="pct"/>
            <w:tcBorders>
              <w:top w:val="nil"/>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po dopracování</w:t>
            </w:r>
          </w:p>
        </w:tc>
        <w:tc>
          <w:tcPr>
            <w:tcW w:w="388" w:type="pct"/>
            <w:tcBorders>
              <w:top w:val="nil"/>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po přepracování</w:t>
            </w:r>
          </w:p>
        </w:tc>
      </w:tr>
      <w:tr w:rsidR="00BF3A20" w:rsidRPr="00BF3A20" w:rsidTr="00524006">
        <w:trPr>
          <w:trHeight w:val="300"/>
        </w:trPr>
        <w:tc>
          <w:tcPr>
            <w:tcW w:w="414" w:type="pct"/>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rPr>
                <w:rFonts w:ascii="Arial" w:hAnsi="Arial" w:cs="Arial"/>
                <w:b/>
                <w:bCs/>
                <w:color w:val="000000"/>
                <w:sz w:val="16"/>
                <w:szCs w:val="16"/>
              </w:rPr>
            </w:pPr>
            <w:r w:rsidRPr="00BF3A20">
              <w:rPr>
                <w:rFonts w:ascii="Arial" w:hAnsi="Arial" w:cs="Arial"/>
                <w:b/>
                <w:bCs/>
                <w:color w:val="000000"/>
                <w:sz w:val="16"/>
                <w:szCs w:val="16"/>
              </w:rPr>
              <w:t> </w:t>
            </w:r>
          </w:p>
        </w:tc>
        <w:tc>
          <w:tcPr>
            <w:tcW w:w="399" w:type="pct"/>
            <w:tcBorders>
              <w:top w:val="single" w:sz="4" w:space="0" w:color="auto"/>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2012</w:t>
            </w:r>
          </w:p>
        </w:tc>
        <w:tc>
          <w:tcPr>
            <w:tcW w:w="399" w:type="pct"/>
            <w:tcBorders>
              <w:top w:val="single" w:sz="4" w:space="0" w:color="auto"/>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2013</w:t>
            </w:r>
          </w:p>
        </w:tc>
        <w:tc>
          <w:tcPr>
            <w:tcW w:w="405" w:type="pct"/>
            <w:tcBorders>
              <w:top w:val="single" w:sz="4" w:space="0" w:color="auto"/>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2012</w:t>
            </w:r>
          </w:p>
        </w:tc>
        <w:tc>
          <w:tcPr>
            <w:tcW w:w="405" w:type="pct"/>
            <w:tcBorders>
              <w:top w:val="single" w:sz="4" w:space="0" w:color="auto"/>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2013</w:t>
            </w:r>
          </w:p>
        </w:tc>
        <w:tc>
          <w:tcPr>
            <w:tcW w:w="380" w:type="pct"/>
            <w:tcBorders>
              <w:top w:val="single" w:sz="4" w:space="0" w:color="auto"/>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2012</w:t>
            </w:r>
          </w:p>
        </w:tc>
        <w:tc>
          <w:tcPr>
            <w:tcW w:w="380" w:type="pct"/>
            <w:tcBorders>
              <w:top w:val="single" w:sz="4" w:space="0" w:color="auto"/>
              <w:left w:val="nil"/>
              <w:bottom w:val="single" w:sz="4" w:space="0" w:color="auto"/>
              <w:right w:val="single" w:sz="4" w:space="0" w:color="auto"/>
            </w:tcBorders>
            <w:shd w:val="clear" w:color="auto" w:fill="B2A1C7" w:themeFill="accent4" w:themeFillTint="99"/>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2013</w:t>
            </w:r>
          </w:p>
        </w:tc>
        <w:tc>
          <w:tcPr>
            <w:tcW w:w="348" w:type="pct"/>
            <w:tcBorders>
              <w:top w:val="single" w:sz="4" w:space="0" w:color="auto"/>
              <w:left w:val="nil"/>
              <w:bottom w:val="single" w:sz="4" w:space="0" w:color="auto"/>
              <w:right w:val="single" w:sz="4" w:space="0" w:color="auto"/>
            </w:tcBorders>
            <w:shd w:val="clear" w:color="auto" w:fill="B2A1C7" w:themeFill="accent4" w:themeFillTint="99"/>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2012</w:t>
            </w:r>
          </w:p>
        </w:tc>
        <w:tc>
          <w:tcPr>
            <w:tcW w:w="370" w:type="pct"/>
            <w:tcBorders>
              <w:top w:val="single" w:sz="4" w:space="0" w:color="auto"/>
              <w:left w:val="nil"/>
              <w:bottom w:val="single" w:sz="4" w:space="0" w:color="auto"/>
              <w:right w:val="single" w:sz="4" w:space="0" w:color="auto"/>
            </w:tcBorders>
            <w:shd w:val="clear" w:color="auto" w:fill="B2A1C7" w:themeFill="accent4" w:themeFillTint="99"/>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2012</w:t>
            </w:r>
          </w:p>
        </w:tc>
        <w:tc>
          <w:tcPr>
            <w:tcW w:w="394" w:type="pct"/>
            <w:tcBorders>
              <w:top w:val="single" w:sz="4" w:space="0" w:color="auto"/>
              <w:left w:val="nil"/>
              <w:bottom w:val="single" w:sz="4" w:space="0" w:color="auto"/>
              <w:right w:val="single" w:sz="4" w:space="0" w:color="auto"/>
            </w:tcBorders>
            <w:shd w:val="clear" w:color="auto" w:fill="B2A1C7" w:themeFill="accent4" w:themeFillTint="99"/>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2012</w:t>
            </w:r>
          </w:p>
        </w:tc>
        <w:tc>
          <w:tcPr>
            <w:tcW w:w="344" w:type="pct"/>
            <w:tcBorders>
              <w:top w:val="single" w:sz="4" w:space="0" w:color="auto"/>
              <w:left w:val="nil"/>
              <w:bottom w:val="single" w:sz="4" w:space="0" w:color="auto"/>
              <w:right w:val="single" w:sz="4" w:space="0" w:color="auto"/>
            </w:tcBorders>
            <w:shd w:val="clear" w:color="auto" w:fill="B2A1C7" w:themeFill="accent4" w:themeFillTint="99"/>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2013</w:t>
            </w:r>
          </w:p>
        </w:tc>
        <w:tc>
          <w:tcPr>
            <w:tcW w:w="374" w:type="pct"/>
            <w:tcBorders>
              <w:top w:val="single" w:sz="4" w:space="0" w:color="auto"/>
              <w:left w:val="nil"/>
              <w:bottom w:val="single" w:sz="4" w:space="0" w:color="auto"/>
              <w:right w:val="single" w:sz="4" w:space="0" w:color="auto"/>
            </w:tcBorders>
            <w:shd w:val="clear" w:color="auto" w:fill="B2A1C7" w:themeFill="accent4" w:themeFillTint="99"/>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2013</w:t>
            </w:r>
          </w:p>
        </w:tc>
        <w:tc>
          <w:tcPr>
            <w:tcW w:w="388" w:type="pct"/>
            <w:tcBorders>
              <w:top w:val="single" w:sz="4" w:space="0" w:color="auto"/>
              <w:left w:val="nil"/>
              <w:bottom w:val="single" w:sz="4" w:space="0" w:color="auto"/>
              <w:right w:val="single" w:sz="4" w:space="0" w:color="auto"/>
            </w:tcBorders>
            <w:shd w:val="clear" w:color="auto" w:fill="B2A1C7" w:themeFill="accent4" w:themeFillTint="99"/>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2013</w:t>
            </w:r>
          </w:p>
        </w:tc>
      </w:tr>
      <w:tr w:rsidR="00BF3A20" w:rsidRPr="00BF3A20" w:rsidTr="00524006">
        <w:trPr>
          <w:trHeight w:val="315"/>
        </w:trPr>
        <w:tc>
          <w:tcPr>
            <w:tcW w:w="414" w:type="pct"/>
            <w:tcBorders>
              <w:top w:val="single" w:sz="4" w:space="0" w:color="auto"/>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MD</w:t>
            </w:r>
          </w:p>
        </w:tc>
        <w:tc>
          <w:tcPr>
            <w:tcW w:w="399" w:type="pct"/>
            <w:tcBorders>
              <w:top w:val="single" w:sz="4" w:space="0" w:color="auto"/>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399" w:type="pct"/>
            <w:tcBorders>
              <w:top w:val="single" w:sz="4" w:space="0" w:color="auto"/>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405" w:type="pct"/>
            <w:tcBorders>
              <w:top w:val="single" w:sz="4" w:space="0" w:color="auto"/>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405" w:type="pct"/>
            <w:tcBorders>
              <w:top w:val="single" w:sz="4" w:space="0" w:color="auto"/>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380" w:type="pct"/>
            <w:tcBorders>
              <w:top w:val="single" w:sz="4" w:space="0" w:color="auto"/>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auto"/>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auto"/>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370" w:type="pct"/>
            <w:tcBorders>
              <w:top w:val="single" w:sz="4" w:space="0" w:color="auto"/>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94" w:type="pct"/>
            <w:tcBorders>
              <w:top w:val="single" w:sz="4" w:space="0" w:color="auto"/>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auto"/>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74" w:type="pct"/>
            <w:tcBorders>
              <w:top w:val="single" w:sz="4" w:space="0" w:color="auto"/>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88" w:type="pct"/>
            <w:tcBorders>
              <w:top w:val="single" w:sz="4" w:space="0" w:color="auto"/>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MF</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13</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13</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13</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10</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6</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MK</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MMR</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9</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6</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MO</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7</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6</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MPO</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9</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11</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MPSV</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6</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8</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proofErr w:type="spellStart"/>
            <w:r w:rsidRPr="00BF3A20">
              <w:rPr>
                <w:rFonts w:ascii="Arial" w:hAnsi="Arial" w:cs="Arial"/>
                <w:b/>
                <w:color w:val="000000"/>
                <w:sz w:val="16"/>
                <w:szCs w:val="16"/>
              </w:rPr>
              <w:t>MSp</w:t>
            </w:r>
            <w:proofErr w:type="spellEnd"/>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7</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6</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MŠMT</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MV</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8</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12</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6</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9</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proofErr w:type="spellStart"/>
            <w:r w:rsidRPr="00BF3A20">
              <w:rPr>
                <w:rFonts w:ascii="Arial" w:hAnsi="Arial" w:cs="Arial"/>
                <w:b/>
                <w:color w:val="000000"/>
                <w:sz w:val="16"/>
                <w:szCs w:val="16"/>
              </w:rPr>
              <w:t>MZd</w:t>
            </w:r>
            <w:proofErr w:type="spellEnd"/>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12</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7</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3</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proofErr w:type="spellStart"/>
            <w:r w:rsidRPr="00BF3A20">
              <w:rPr>
                <w:rFonts w:ascii="Arial" w:hAnsi="Arial" w:cs="Arial"/>
                <w:b/>
                <w:color w:val="000000"/>
                <w:sz w:val="16"/>
                <w:szCs w:val="16"/>
              </w:rPr>
              <w:t>MZe</w:t>
            </w:r>
            <w:proofErr w:type="spellEnd"/>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9</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8</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MZV</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MŽP</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5</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4</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ČTÚ</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MLR</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NBÚ</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15"/>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 xml:space="preserve">PV - RVVI </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524006" w:rsidRDefault="00DA3DCC"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2</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 </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1</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524006" w:rsidRDefault="00BF3A20" w:rsidP="00AA563B">
            <w:pPr>
              <w:spacing w:after="0" w:line="240" w:lineRule="auto"/>
              <w:jc w:val="right"/>
              <w:rPr>
                <w:rFonts w:ascii="Arial" w:hAnsi="Arial" w:cs="Arial"/>
                <w:color w:val="000000"/>
                <w:sz w:val="16"/>
                <w:szCs w:val="16"/>
              </w:rPr>
            </w:pPr>
            <w:r w:rsidRPr="00524006">
              <w:rPr>
                <w:rFonts w:ascii="Arial" w:hAnsi="Arial" w:cs="Arial"/>
                <w:color w:val="000000"/>
                <w:sz w:val="16"/>
                <w:szCs w:val="16"/>
              </w:rPr>
              <w:t>0</w:t>
            </w:r>
          </w:p>
        </w:tc>
      </w:tr>
      <w:tr w:rsidR="00BF3A20" w:rsidRPr="00BF3A20" w:rsidTr="00524006">
        <w:trPr>
          <w:trHeight w:val="300"/>
        </w:trPr>
        <w:tc>
          <w:tcPr>
            <w:tcW w:w="41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rPr>
                <w:rFonts w:ascii="Arial" w:hAnsi="Arial" w:cs="Arial"/>
                <w:b/>
                <w:color w:val="000000"/>
                <w:sz w:val="16"/>
                <w:szCs w:val="16"/>
              </w:rPr>
            </w:pPr>
            <w:r w:rsidRPr="00BF3A20">
              <w:rPr>
                <w:rFonts w:ascii="Arial" w:hAnsi="Arial" w:cs="Arial"/>
                <w:b/>
                <w:color w:val="000000"/>
                <w:sz w:val="16"/>
                <w:szCs w:val="16"/>
              </w:rPr>
              <w:t>PV- BIS</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1</w:t>
            </w:r>
          </w:p>
        </w:tc>
        <w:tc>
          <w:tcPr>
            <w:tcW w:w="399"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0</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1</w:t>
            </w:r>
          </w:p>
        </w:tc>
        <w:tc>
          <w:tcPr>
            <w:tcW w:w="405"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 </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0</w:t>
            </w:r>
          </w:p>
        </w:tc>
        <w:tc>
          <w:tcPr>
            <w:tcW w:w="38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 </w:t>
            </w:r>
          </w:p>
        </w:tc>
        <w:tc>
          <w:tcPr>
            <w:tcW w:w="34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0</w:t>
            </w:r>
          </w:p>
        </w:tc>
        <w:tc>
          <w:tcPr>
            <w:tcW w:w="370"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1</w:t>
            </w:r>
          </w:p>
        </w:tc>
        <w:tc>
          <w:tcPr>
            <w:tcW w:w="39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000000" w:fill="E4DFEC"/>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0</w:t>
            </w:r>
          </w:p>
        </w:tc>
        <w:tc>
          <w:tcPr>
            <w:tcW w:w="34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 </w:t>
            </w:r>
          </w:p>
        </w:tc>
        <w:tc>
          <w:tcPr>
            <w:tcW w:w="374"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 </w:t>
            </w:r>
          </w:p>
        </w:tc>
        <w:tc>
          <w:tcPr>
            <w:tcW w:w="388" w:type="pct"/>
            <w:tcBorders>
              <w:top w:val="single" w:sz="4" w:space="0" w:color="8DB3E2" w:themeColor="text2" w:themeTint="66"/>
              <w:left w:val="single" w:sz="4" w:space="0" w:color="auto"/>
              <w:bottom w:val="single" w:sz="4" w:space="0" w:color="8DB3E2" w:themeColor="text2" w:themeTint="66"/>
              <w:right w:val="single" w:sz="4" w:space="0" w:color="auto"/>
            </w:tcBorders>
            <w:shd w:val="clear" w:color="auto" w:fill="auto"/>
            <w:noWrap/>
            <w:vAlign w:val="center"/>
            <w:hideMark/>
          </w:tcPr>
          <w:p w:rsidR="00BF3A20" w:rsidRPr="00BF3A20" w:rsidRDefault="00BF3A20" w:rsidP="00AA563B">
            <w:pPr>
              <w:spacing w:after="0" w:line="240" w:lineRule="auto"/>
              <w:jc w:val="right"/>
              <w:rPr>
                <w:rFonts w:ascii="Arial" w:hAnsi="Arial" w:cs="Arial"/>
                <w:b/>
                <w:color w:val="000000"/>
                <w:sz w:val="16"/>
                <w:szCs w:val="16"/>
              </w:rPr>
            </w:pPr>
            <w:r w:rsidRPr="00BF3A20">
              <w:rPr>
                <w:rFonts w:ascii="Arial" w:hAnsi="Arial" w:cs="Arial"/>
                <w:b/>
                <w:color w:val="000000"/>
                <w:sz w:val="16"/>
                <w:szCs w:val="16"/>
              </w:rPr>
              <w:t> </w:t>
            </w:r>
          </w:p>
        </w:tc>
      </w:tr>
      <w:tr w:rsidR="00BF3A20" w:rsidRPr="00BF3A20" w:rsidTr="00524006">
        <w:trPr>
          <w:trHeight w:val="300"/>
        </w:trPr>
        <w:tc>
          <w:tcPr>
            <w:tcW w:w="414" w:type="pct"/>
            <w:tcBorders>
              <w:top w:val="single" w:sz="4" w:space="0" w:color="8DB3E2" w:themeColor="text2" w:themeTint="66"/>
              <w:left w:val="single" w:sz="4" w:space="0" w:color="auto"/>
              <w:bottom w:val="single" w:sz="4" w:space="0" w:color="auto"/>
              <w:right w:val="single" w:sz="4" w:space="0" w:color="auto"/>
            </w:tcBorders>
            <w:shd w:val="clear" w:color="000000" w:fill="B2A1C7"/>
            <w:vAlign w:val="center"/>
            <w:hideMark/>
          </w:tcPr>
          <w:p w:rsidR="00BF3A20" w:rsidRPr="00BF3A20" w:rsidRDefault="00BF3A20" w:rsidP="00AA563B">
            <w:pPr>
              <w:spacing w:after="0" w:line="240" w:lineRule="auto"/>
              <w:jc w:val="both"/>
              <w:rPr>
                <w:rFonts w:ascii="Arial" w:hAnsi="Arial" w:cs="Arial"/>
                <w:b/>
                <w:bCs/>
                <w:color w:val="000000"/>
                <w:sz w:val="16"/>
                <w:szCs w:val="16"/>
              </w:rPr>
            </w:pPr>
            <w:r w:rsidRPr="00BF3A20">
              <w:rPr>
                <w:rFonts w:ascii="Arial" w:hAnsi="Arial" w:cs="Arial"/>
                <w:b/>
                <w:bCs/>
                <w:color w:val="000000"/>
                <w:sz w:val="16"/>
                <w:szCs w:val="16"/>
              </w:rPr>
              <w:t>Celkem</w:t>
            </w:r>
          </w:p>
        </w:tc>
        <w:tc>
          <w:tcPr>
            <w:tcW w:w="399" w:type="pct"/>
            <w:tcBorders>
              <w:top w:val="single" w:sz="4" w:space="0" w:color="8DB3E2" w:themeColor="text2" w:themeTint="66"/>
              <w:left w:val="nil"/>
              <w:bottom w:val="single" w:sz="4" w:space="0" w:color="auto"/>
              <w:right w:val="single" w:sz="4" w:space="0" w:color="auto"/>
            </w:tcBorders>
            <w:shd w:val="clear" w:color="000000" w:fill="B1A0C7"/>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80</w:t>
            </w:r>
          </w:p>
        </w:tc>
        <w:tc>
          <w:tcPr>
            <w:tcW w:w="399" w:type="pct"/>
            <w:tcBorders>
              <w:top w:val="single" w:sz="4" w:space="0" w:color="8DB3E2" w:themeColor="text2" w:themeTint="66"/>
              <w:left w:val="nil"/>
              <w:bottom w:val="single" w:sz="4" w:space="0" w:color="auto"/>
              <w:right w:val="single" w:sz="4" w:space="0" w:color="auto"/>
            </w:tcBorders>
            <w:shd w:val="clear" w:color="000000" w:fill="B1A0C7"/>
            <w:vAlign w:val="center"/>
            <w:hideMark/>
          </w:tcPr>
          <w:p w:rsidR="00BF3A20" w:rsidRPr="00BF3A20" w:rsidRDefault="00DA3DCC" w:rsidP="00AA563B">
            <w:pPr>
              <w:spacing w:after="0" w:line="240" w:lineRule="auto"/>
              <w:jc w:val="right"/>
              <w:rPr>
                <w:rFonts w:ascii="Arial" w:hAnsi="Arial" w:cs="Arial"/>
                <w:b/>
                <w:bCs/>
                <w:color w:val="000000"/>
                <w:sz w:val="16"/>
                <w:szCs w:val="16"/>
              </w:rPr>
            </w:pPr>
            <w:r>
              <w:rPr>
                <w:rFonts w:ascii="Arial" w:hAnsi="Arial" w:cs="Arial"/>
                <w:b/>
                <w:bCs/>
                <w:color w:val="000000"/>
                <w:sz w:val="16"/>
                <w:szCs w:val="16"/>
              </w:rPr>
              <w:t>102</w:t>
            </w:r>
          </w:p>
        </w:tc>
        <w:tc>
          <w:tcPr>
            <w:tcW w:w="405" w:type="pct"/>
            <w:tcBorders>
              <w:top w:val="single" w:sz="4" w:space="0" w:color="8DB3E2" w:themeColor="text2" w:themeTint="66"/>
              <w:left w:val="nil"/>
              <w:bottom w:val="single" w:sz="4" w:space="0" w:color="auto"/>
              <w:right w:val="single" w:sz="4" w:space="0" w:color="auto"/>
            </w:tcBorders>
            <w:shd w:val="clear" w:color="000000" w:fill="B1A0C7"/>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64</w:t>
            </w:r>
          </w:p>
        </w:tc>
        <w:tc>
          <w:tcPr>
            <w:tcW w:w="405" w:type="pct"/>
            <w:tcBorders>
              <w:top w:val="single" w:sz="4" w:space="0" w:color="8DB3E2" w:themeColor="text2" w:themeTint="66"/>
              <w:left w:val="nil"/>
              <w:bottom w:val="single" w:sz="4" w:space="0" w:color="auto"/>
              <w:right w:val="single" w:sz="4" w:space="0" w:color="auto"/>
            </w:tcBorders>
            <w:shd w:val="clear" w:color="000000" w:fill="B1A0C7"/>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69</w:t>
            </w:r>
          </w:p>
        </w:tc>
        <w:tc>
          <w:tcPr>
            <w:tcW w:w="380" w:type="pct"/>
            <w:tcBorders>
              <w:top w:val="single" w:sz="4" w:space="0" w:color="8DB3E2" w:themeColor="text2" w:themeTint="66"/>
              <w:left w:val="nil"/>
              <w:bottom w:val="single" w:sz="4" w:space="0" w:color="auto"/>
              <w:right w:val="single" w:sz="4" w:space="0" w:color="auto"/>
            </w:tcBorders>
            <w:shd w:val="clear" w:color="000000" w:fill="B1A0C7"/>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7</w:t>
            </w:r>
          </w:p>
        </w:tc>
        <w:tc>
          <w:tcPr>
            <w:tcW w:w="380" w:type="pct"/>
            <w:tcBorders>
              <w:top w:val="single" w:sz="4" w:space="0" w:color="8DB3E2" w:themeColor="text2" w:themeTint="66"/>
              <w:left w:val="nil"/>
              <w:bottom w:val="single" w:sz="4" w:space="0" w:color="auto"/>
              <w:right w:val="single" w:sz="4" w:space="0" w:color="auto"/>
            </w:tcBorders>
            <w:shd w:val="clear" w:color="000000" w:fill="B1A0C7"/>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6</w:t>
            </w:r>
          </w:p>
        </w:tc>
        <w:tc>
          <w:tcPr>
            <w:tcW w:w="348" w:type="pct"/>
            <w:tcBorders>
              <w:top w:val="single" w:sz="4" w:space="0" w:color="8DB3E2" w:themeColor="text2" w:themeTint="66"/>
              <w:left w:val="nil"/>
              <w:bottom w:val="single" w:sz="4" w:space="0" w:color="auto"/>
              <w:right w:val="nil"/>
            </w:tcBorders>
            <w:shd w:val="clear" w:color="000000" w:fill="B1A0C7"/>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21</w:t>
            </w:r>
          </w:p>
        </w:tc>
        <w:tc>
          <w:tcPr>
            <w:tcW w:w="370" w:type="pct"/>
            <w:tcBorders>
              <w:top w:val="single" w:sz="4" w:space="0" w:color="8DB3E2" w:themeColor="text2" w:themeTint="66"/>
              <w:left w:val="single" w:sz="4" w:space="0" w:color="auto"/>
              <w:bottom w:val="single" w:sz="4" w:space="0" w:color="auto"/>
              <w:right w:val="single" w:sz="4" w:space="0" w:color="auto"/>
            </w:tcBorders>
            <w:shd w:val="clear" w:color="000000" w:fill="B1A0C7"/>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29</w:t>
            </w:r>
          </w:p>
        </w:tc>
        <w:tc>
          <w:tcPr>
            <w:tcW w:w="394" w:type="pct"/>
            <w:tcBorders>
              <w:top w:val="single" w:sz="4" w:space="0" w:color="8DB3E2" w:themeColor="text2" w:themeTint="66"/>
              <w:left w:val="nil"/>
              <w:bottom w:val="single" w:sz="4" w:space="0" w:color="auto"/>
              <w:right w:val="single" w:sz="4" w:space="0" w:color="auto"/>
            </w:tcBorders>
            <w:shd w:val="clear" w:color="000000" w:fill="B1A0C7"/>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7</w:t>
            </w:r>
          </w:p>
        </w:tc>
        <w:tc>
          <w:tcPr>
            <w:tcW w:w="344" w:type="pct"/>
            <w:tcBorders>
              <w:top w:val="single" w:sz="4" w:space="0" w:color="8DB3E2" w:themeColor="text2" w:themeTint="66"/>
              <w:left w:val="nil"/>
              <w:bottom w:val="single" w:sz="4" w:space="0" w:color="auto"/>
              <w:right w:val="single" w:sz="4" w:space="0" w:color="auto"/>
            </w:tcBorders>
            <w:shd w:val="clear" w:color="000000" w:fill="B1A0C7"/>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18</w:t>
            </w:r>
          </w:p>
        </w:tc>
        <w:tc>
          <w:tcPr>
            <w:tcW w:w="374" w:type="pct"/>
            <w:tcBorders>
              <w:top w:val="single" w:sz="4" w:space="0" w:color="8DB3E2" w:themeColor="text2" w:themeTint="66"/>
              <w:left w:val="nil"/>
              <w:bottom w:val="single" w:sz="4" w:space="0" w:color="auto"/>
              <w:right w:val="single" w:sz="4" w:space="0" w:color="auto"/>
            </w:tcBorders>
            <w:shd w:val="clear" w:color="000000" w:fill="B1A0C7"/>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36</w:t>
            </w:r>
          </w:p>
        </w:tc>
        <w:tc>
          <w:tcPr>
            <w:tcW w:w="388" w:type="pct"/>
            <w:tcBorders>
              <w:top w:val="single" w:sz="4" w:space="0" w:color="8DB3E2" w:themeColor="text2" w:themeTint="66"/>
              <w:left w:val="nil"/>
              <w:bottom w:val="single" w:sz="4" w:space="0" w:color="auto"/>
              <w:right w:val="single" w:sz="4" w:space="0" w:color="auto"/>
            </w:tcBorders>
            <w:shd w:val="clear" w:color="000000" w:fill="B1A0C7"/>
            <w:noWrap/>
            <w:vAlign w:val="center"/>
            <w:hideMark/>
          </w:tcPr>
          <w:p w:rsidR="00BF3A20" w:rsidRPr="00BF3A20" w:rsidRDefault="00BF3A20" w:rsidP="00AA563B">
            <w:pPr>
              <w:spacing w:after="0" w:line="240" w:lineRule="auto"/>
              <w:jc w:val="right"/>
              <w:rPr>
                <w:rFonts w:ascii="Arial" w:hAnsi="Arial" w:cs="Arial"/>
                <w:b/>
                <w:bCs/>
                <w:color w:val="000000"/>
                <w:sz w:val="16"/>
                <w:szCs w:val="16"/>
              </w:rPr>
            </w:pPr>
            <w:r w:rsidRPr="00BF3A20">
              <w:rPr>
                <w:rFonts w:ascii="Arial" w:hAnsi="Arial" w:cs="Arial"/>
                <w:b/>
                <w:bCs/>
                <w:color w:val="000000"/>
                <w:sz w:val="16"/>
                <w:szCs w:val="16"/>
              </w:rPr>
              <w:t>9</w:t>
            </w:r>
          </w:p>
        </w:tc>
      </w:tr>
    </w:tbl>
    <w:p w:rsidR="00BF3A20" w:rsidRDefault="00BF3A20" w:rsidP="00363E82">
      <w:pPr>
        <w:spacing w:line="23" w:lineRule="atLeast"/>
        <w:jc w:val="both"/>
        <w:rPr>
          <w:rFonts w:cs="Calibri"/>
        </w:rPr>
      </w:pPr>
    </w:p>
    <w:p w:rsidR="00363E82" w:rsidRDefault="00363E82" w:rsidP="00363E82">
      <w:pPr>
        <w:spacing w:line="23" w:lineRule="atLeast"/>
        <w:jc w:val="both"/>
        <w:rPr>
          <w:rFonts w:cs="Calibri"/>
        </w:rPr>
      </w:pPr>
      <w:r>
        <w:rPr>
          <w:rFonts w:cs="Calibri"/>
        </w:rPr>
        <w:t xml:space="preserve">Ve srovnání s rokem 2012 ze srovnatelného vzorku celkového počtu závěrečných zpráv </w:t>
      </w:r>
      <w:r w:rsidR="000A7975">
        <w:rPr>
          <w:rFonts w:cs="Calibri"/>
        </w:rPr>
        <w:t xml:space="preserve">RIA </w:t>
      </w:r>
      <w:r>
        <w:rPr>
          <w:rFonts w:cs="Calibri"/>
        </w:rPr>
        <w:t xml:space="preserve">posuzovaných Komisí RIA (z 64 zpráv posuzovaných v r. 2012 na 69 v r. 2013) došlo v r. 2013 k  </w:t>
      </w:r>
      <w:r w:rsidRPr="00363E82">
        <w:rPr>
          <w:rFonts w:cs="Calibri"/>
          <w:b/>
        </w:rPr>
        <w:t>poklesu</w:t>
      </w:r>
      <w:r>
        <w:rPr>
          <w:rFonts w:cs="Calibri"/>
        </w:rPr>
        <w:t xml:space="preserve"> celkového počtu závěrečných zpráv </w:t>
      </w:r>
      <w:r w:rsidR="00F573D1">
        <w:rPr>
          <w:rFonts w:cs="Calibri"/>
        </w:rPr>
        <w:t xml:space="preserve">RIA </w:t>
      </w:r>
      <w:r w:rsidRPr="00363E82">
        <w:rPr>
          <w:rFonts w:cs="Calibri"/>
          <w:b/>
        </w:rPr>
        <w:t>doporučených Komisí RIA bez dalších připomínek</w:t>
      </w:r>
      <w:r>
        <w:rPr>
          <w:rFonts w:cs="Calibri"/>
        </w:rPr>
        <w:t xml:space="preserve"> (z</w:t>
      </w:r>
      <w:r w:rsidR="00F556A5">
        <w:rPr>
          <w:rFonts w:cs="Calibri"/>
        </w:rPr>
        <w:t> </w:t>
      </w:r>
      <w:r>
        <w:rPr>
          <w:rFonts w:cs="Calibri"/>
        </w:rPr>
        <w:t>cca 33% v r. 2012</w:t>
      </w:r>
      <w:r w:rsidR="00C47613">
        <w:rPr>
          <w:rFonts w:cs="Calibri"/>
        </w:rPr>
        <w:t xml:space="preserve">, </w:t>
      </w:r>
      <w:proofErr w:type="spellStart"/>
      <w:r w:rsidR="00C47613">
        <w:rPr>
          <w:rFonts w:cs="Calibri"/>
        </w:rPr>
        <w:t>tj</w:t>
      </w:r>
      <w:proofErr w:type="spellEnd"/>
      <w:r w:rsidR="00C47613">
        <w:rPr>
          <w:rFonts w:cs="Calibri"/>
        </w:rPr>
        <w:t xml:space="preserve"> 21 z 64, </w:t>
      </w:r>
      <w:r>
        <w:rPr>
          <w:rFonts w:cs="Calibri"/>
        </w:rPr>
        <w:t>na 26% v r. 2013</w:t>
      </w:r>
      <w:r w:rsidR="00C47613">
        <w:rPr>
          <w:rFonts w:cs="Calibri"/>
        </w:rPr>
        <w:t>, tj. 18 z 69</w:t>
      </w:r>
      <w:r>
        <w:rPr>
          <w:rFonts w:cs="Calibri"/>
        </w:rPr>
        <w:t xml:space="preserve">). Analogicky poměr závěrečných zpráv RIA vrácených Komisí RIA k dopracování či přepracování se zvýšil z 67 % v r. 2012 na 74 % v r. 2013. Z celkového počtu vrácených </w:t>
      </w:r>
      <w:r w:rsidR="004E184A">
        <w:rPr>
          <w:rFonts w:cs="Calibri"/>
        </w:rPr>
        <w:t xml:space="preserve">zpráv RIA v r. 2013 pak nepatrně klesl celkový počet </w:t>
      </w:r>
      <w:r w:rsidR="00154789">
        <w:rPr>
          <w:rFonts w:cs="Calibri"/>
        </w:rPr>
        <w:t xml:space="preserve">ve finálním výsledku </w:t>
      </w:r>
      <w:r>
        <w:rPr>
          <w:rFonts w:cs="Calibri"/>
        </w:rPr>
        <w:t xml:space="preserve">nedoporučených zpráv RIA (z cca </w:t>
      </w:r>
      <w:r w:rsidR="004E184A">
        <w:rPr>
          <w:rFonts w:cs="Calibri"/>
        </w:rPr>
        <w:t>11 % v r. 201</w:t>
      </w:r>
      <w:r w:rsidR="00C47613">
        <w:rPr>
          <w:rFonts w:cs="Calibri"/>
        </w:rPr>
        <w:t>2</w:t>
      </w:r>
      <w:r w:rsidR="004E184A">
        <w:rPr>
          <w:rFonts w:cs="Calibri"/>
        </w:rPr>
        <w:t xml:space="preserve">, tj. 7 z 64, </w:t>
      </w:r>
      <w:r>
        <w:rPr>
          <w:rFonts w:cs="Calibri"/>
        </w:rPr>
        <w:t xml:space="preserve">na cca </w:t>
      </w:r>
      <w:r w:rsidR="004E184A">
        <w:rPr>
          <w:rFonts w:cs="Calibri"/>
        </w:rPr>
        <w:t>9</w:t>
      </w:r>
      <w:r>
        <w:rPr>
          <w:rFonts w:cs="Calibri"/>
        </w:rPr>
        <w:t xml:space="preserve"> % v r. 2013</w:t>
      </w:r>
      <w:r w:rsidR="004E184A">
        <w:rPr>
          <w:rFonts w:cs="Calibri"/>
        </w:rPr>
        <w:t>, tj. 6 z 69</w:t>
      </w:r>
      <w:r>
        <w:rPr>
          <w:rFonts w:cs="Calibri"/>
        </w:rPr>
        <w:t>). V celkovém po</w:t>
      </w:r>
      <w:r w:rsidR="004E184A">
        <w:rPr>
          <w:rFonts w:cs="Calibri"/>
        </w:rPr>
        <w:t>čtu zpráv, které byly vráceny s připomínkami</w:t>
      </w:r>
      <w:r>
        <w:rPr>
          <w:rFonts w:cs="Calibri"/>
        </w:rPr>
        <w:t xml:space="preserve">, se pak zvýšil jak počet závěrečných zpráv </w:t>
      </w:r>
      <w:r w:rsidR="000A7975">
        <w:rPr>
          <w:rFonts w:cs="Calibri"/>
        </w:rPr>
        <w:t xml:space="preserve">RIA </w:t>
      </w:r>
      <w:r>
        <w:rPr>
          <w:rFonts w:cs="Calibri"/>
        </w:rPr>
        <w:t>vrácených k </w:t>
      </w:r>
      <w:r w:rsidRPr="00A946FF">
        <w:rPr>
          <w:rFonts w:cs="Calibri"/>
          <w:b/>
        </w:rPr>
        <w:t>dopracování</w:t>
      </w:r>
      <w:r w:rsidR="00213D15">
        <w:rPr>
          <w:rStyle w:val="Znakapoznpodarou"/>
          <w:rFonts w:cs="Calibri"/>
          <w:b/>
        </w:rPr>
        <w:footnoteReference w:id="6"/>
      </w:r>
      <w:r w:rsidRPr="00A946FF">
        <w:rPr>
          <w:rFonts w:cs="Calibri"/>
          <w:b/>
        </w:rPr>
        <w:t xml:space="preserve"> </w:t>
      </w:r>
      <w:r>
        <w:rPr>
          <w:rFonts w:cs="Calibri"/>
        </w:rPr>
        <w:t xml:space="preserve">(z 45% na cca 52% v r. 2013, tj. </w:t>
      </w:r>
      <w:r w:rsidR="00154789">
        <w:rPr>
          <w:rFonts w:cs="Calibri"/>
        </w:rPr>
        <w:t xml:space="preserve">z </w:t>
      </w:r>
      <w:r>
        <w:rPr>
          <w:rFonts w:cs="Calibri"/>
        </w:rPr>
        <w:t xml:space="preserve">29 zpráv v r. 2012 </w:t>
      </w:r>
      <w:r w:rsidR="00154789">
        <w:rPr>
          <w:rFonts w:cs="Calibri"/>
        </w:rPr>
        <w:t xml:space="preserve">na </w:t>
      </w:r>
      <w:r>
        <w:rPr>
          <w:rFonts w:cs="Calibri"/>
        </w:rPr>
        <w:t xml:space="preserve">36 </w:t>
      </w:r>
      <w:r w:rsidR="00154789">
        <w:rPr>
          <w:rFonts w:cs="Calibri"/>
        </w:rPr>
        <w:t xml:space="preserve">RIA </w:t>
      </w:r>
      <w:r>
        <w:rPr>
          <w:rFonts w:cs="Calibri"/>
        </w:rPr>
        <w:t xml:space="preserve">v r. 2013), tak počet zásadnějších </w:t>
      </w:r>
      <w:r w:rsidRPr="00A946FF">
        <w:rPr>
          <w:rFonts w:cs="Calibri"/>
          <w:b/>
        </w:rPr>
        <w:t xml:space="preserve">přepracování </w:t>
      </w:r>
      <w:r>
        <w:rPr>
          <w:rFonts w:cs="Calibri"/>
        </w:rPr>
        <w:t>závěrečných zpráv RIA předkladateli (z cca 11% v r. 2012 na 13% v r. 2013, tj. ze 7 zpráv v r. 2012 na 9</w:t>
      </w:r>
      <w:r w:rsidR="00F556A5">
        <w:rPr>
          <w:rFonts w:cs="Calibri"/>
        </w:rPr>
        <w:t> </w:t>
      </w:r>
      <w:r>
        <w:rPr>
          <w:rFonts w:cs="Calibri"/>
        </w:rPr>
        <w:t xml:space="preserve">zpráv v r. 2013). </w:t>
      </w:r>
    </w:p>
    <w:p w:rsidR="001E1060" w:rsidRDefault="001E1060" w:rsidP="001E1060">
      <w:pPr>
        <w:spacing w:line="23" w:lineRule="atLeast"/>
        <w:jc w:val="both"/>
        <w:rPr>
          <w:rFonts w:cs="Calibri"/>
        </w:rPr>
      </w:pPr>
      <w:r>
        <w:rPr>
          <w:rFonts w:cs="Calibri"/>
        </w:rPr>
        <w:lastRenderedPageBreak/>
        <w:t xml:space="preserve">S ohledem na výše uvedené je nutné podotknout, že Komise RIA posuzovala jednotlivé předložené </w:t>
      </w:r>
      <w:r w:rsidR="00F556A5">
        <w:rPr>
          <w:rFonts w:cs="Calibri"/>
        </w:rPr>
        <w:t xml:space="preserve">závěrečné </w:t>
      </w:r>
      <w:r>
        <w:rPr>
          <w:rFonts w:cs="Calibri"/>
        </w:rPr>
        <w:t xml:space="preserve">zprávy RIA velmi vstřícně a její členové aktivně spolupracovali s předkladateli, v opačném případě by celkové skóre doporučených RIA bylo </w:t>
      </w:r>
      <w:r w:rsidR="00213D15">
        <w:rPr>
          <w:rFonts w:cs="Calibri"/>
        </w:rPr>
        <w:t xml:space="preserve">podstatně </w:t>
      </w:r>
      <w:r>
        <w:rPr>
          <w:rFonts w:cs="Calibri"/>
        </w:rPr>
        <w:t>nižší.</w:t>
      </w:r>
    </w:p>
    <w:p w:rsidR="001E1060" w:rsidRPr="00C35D56" w:rsidRDefault="00213D15" w:rsidP="00B64676">
      <w:pPr>
        <w:rPr>
          <w:rFonts w:cs="Calibri"/>
          <w:b/>
          <w:i/>
          <w:sz w:val="24"/>
          <w:szCs w:val="24"/>
        </w:rPr>
      </w:pPr>
      <w:r>
        <w:rPr>
          <w:rFonts w:cs="Calibri"/>
        </w:rPr>
        <w:t>Nicméně n</w:t>
      </w:r>
      <w:r w:rsidR="001E1060">
        <w:rPr>
          <w:rFonts w:cs="Calibri"/>
        </w:rPr>
        <w:t>ěkteré připomínky se vyskytovaly ve stanoviscích Komise RIA opakovaně a jejich souhrn je uveden níže.</w:t>
      </w:r>
    </w:p>
    <w:p w:rsidR="001E1060" w:rsidRPr="00A946FF" w:rsidRDefault="00117D0B" w:rsidP="00117D0B">
      <w:pPr>
        <w:pStyle w:val="Nadpis1"/>
        <w:spacing w:after="240"/>
        <w:jc w:val="both"/>
        <w:rPr>
          <w:rFonts w:cs="Calibri"/>
          <w:b/>
          <w:color w:val="5F497A"/>
        </w:rPr>
      </w:pPr>
      <w:bookmarkStart w:id="6" w:name="_Toc381286099"/>
      <w:proofErr w:type="gramStart"/>
      <w:r>
        <w:rPr>
          <w:rFonts w:ascii="Calibri" w:hAnsi="Calibri" w:cs="Calibri"/>
          <w:color w:val="5F497A"/>
        </w:rPr>
        <w:t xml:space="preserve">4      </w:t>
      </w:r>
      <w:r w:rsidR="001E1060" w:rsidRPr="00A946FF">
        <w:rPr>
          <w:rFonts w:ascii="Calibri" w:hAnsi="Calibri" w:cs="Calibri"/>
          <w:color w:val="5F497A"/>
        </w:rPr>
        <w:t>Obecné</w:t>
      </w:r>
      <w:proofErr w:type="gramEnd"/>
      <w:r w:rsidR="001E1060" w:rsidRPr="00A946FF">
        <w:rPr>
          <w:rFonts w:ascii="Calibri" w:hAnsi="Calibri" w:cs="Calibri"/>
          <w:color w:val="5F497A"/>
        </w:rPr>
        <w:t xml:space="preserve"> závěry z</w:t>
      </w:r>
      <w:r w:rsidR="00F81434">
        <w:rPr>
          <w:rFonts w:ascii="Calibri" w:hAnsi="Calibri" w:cs="Calibri"/>
          <w:color w:val="5F497A"/>
        </w:rPr>
        <w:t> </w:t>
      </w:r>
      <w:r w:rsidR="001E1060" w:rsidRPr="00A946FF">
        <w:rPr>
          <w:rFonts w:ascii="Calibri" w:hAnsi="Calibri" w:cs="Calibri"/>
          <w:color w:val="5F497A"/>
        </w:rPr>
        <w:t>vyhodnocení</w:t>
      </w:r>
      <w:r w:rsidR="00F81434">
        <w:rPr>
          <w:rFonts w:ascii="Calibri" w:hAnsi="Calibri" w:cs="Calibri"/>
          <w:color w:val="5F497A"/>
        </w:rPr>
        <w:t xml:space="preserve"> závěrečných zpráv RIA</w:t>
      </w:r>
      <w:bookmarkEnd w:id="6"/>
    </w:p>
    <w:p w:rsidR="001E1060" w:rsidRPr="00C35D56" w:rsidRDefault="001E1060" w:rsidP="001E1060">
      <w:pPr>
        <w:jc w:val="both"/>
        <w:rPr>
          <w:rFonts w:cs="Calibri"/>
        </w:rPr>
      </w:pPr>
      <w:r w:rsidRPr="00C35D56">
        <w:rPr>
          <w:rFonts w:cs="Calibri"/>
        </w:rPr>
        <w:t xml:space="preserve">Nejzásadnějším nedostatkem, který se následně promítá do celé struktury a obsahu </w:t>
      </w:r>
      <w:r w:rsidR="00F556A5">
        <w:rPr>
          <w:rFonts w:cs="Calibri"/>
        </w:rPr>
        <w:t>z</w:t>
      </w:r>
      <w:r w:rsidR="00F556A5" w:rsidRPr="00C35D56">
        <w:rPr>
          <w:rFonts w:cs="Calibri"/>
        </w:rPr>
        <w:t xml:space="preserve">ávěrečné </w:t>
      </w:r>
      <w:r w:rsidRPr="00C35D56">
        <w:rPr>
          <w:rFonts w:cs="Calibri"/>
        </w:rPr>
        <w:t xml:space="preserve">zprávy RIA, je </w:t>
      </w:r>
      <w:r w:rsidR="00647EE8">
        <w:rPr>
          <w:rFonts w:cs="Calibri"/>
        </w:rPr>
        <w:t xml:space="preserve">často </w:t>
      </w:r>
      <w:r w:rsidRPr="00C35D56">
        <w:rPr>
          <w:rFonts w:cs="Calibri"/>
        </w:rPr>
        <w:t>nedostatečná definice problému a zdůvodnění potřebnosti a účelnosti přijímat novou regulac</w:t>
      </w:r>
      <w:r>
        <w:rPr>
          <w:rFonts w:cs="Calibri"/>
        </w:rPr>
        <w:t>i</w:t>
      </w:r>
      <w:r w:rsidRPr="00C35D56">
        <w:rPr>
          <w:rFonts w:cs="Calibri"/>
        </w:rPr>
        <w:t>. Předkladatelé často argumentují</w:t>
      </w:r>
      <w:r>
        <w:rPr>
          <w:rFonts w:cs="Calibri"/>
        </w:rPr>
        <w:t xml:space="preserve"> zadáním úkolu vyplývajícího z P</w:t>
      </w:r>
      <w:r w:rsidRPr="00C35D56">
        <w:rPr>
          <w:rFonts w:cs="Calibri"/>
        </w:rPr>
        <w:t>lánu nebo programového prohlášení vlády</w:t>
      </w:r>
      <w:r w:rsidR="00647EE8">
        <w:rPr>
          <w:rFonts w:cs="Calibri"/>
        </w:rPr>
        <w:t>,</w:t>
      </w:r>
      <w:r w:rsidRPr="00C35D56">
        <w:rPr>
          <w:rFonts w:cs="Calibri"/>
        </w:rPr>
        <w:t xml:space="preserve"> popřípadě jiných strategických dokumentů. Nicméně i v těchto případech je potřeba poznamenat, že z těchto dokumentů většinou vyplývá pouze cíl, kterého má být dosaženo</w:t>
      </w:r>
      <w:r w:rsidR="00F556A5">
        <w:rPr>
          <w:rFonts w:cs="Calibri"/>
        </w:rPr>
        <w:t>,</w:t>
      </w:r>
      <w:r w:rsidR="00A946FF">
        <w:rPr>
          <w:rFonts w:cs="Calibri"/>
        </w:rPr>
        <w:t xml:space="preserve"> a </w:t>
      </w:r>
      <w:r w:rsidRPr="00C35D56">
        <w:rPr>
          <w:rFonts w:cs="Calibri"/>
        </w:rPr>
        <w:t>je tedy na předkladateli</w:t>
      </w:r>
      <w:r w:rsidR="00647EE8">
        <w:rPr>
          <w:rFonts w:cs="Calibri"/>
        </w:rPr>
        <w:t>,</w:t>
      </w:r>
      <w:r w:rsidRPr="00C35D56">
        <w:rPr>
          <w:rFonts w:cs="Calibri"/>
        </w:rPr>
        <w:t xml:space="preserve"> jaké k tomu zvolí nástroje – regulace nemusí být vždy jediným možným řešením. </w:t>
      </w:r>
    </w:p>
    <w:p w:rsidR="001E1060" w:rsidRPr="00C35D56" w:rsidRDefault="001E1060" w:rsidP="001E1060">
      <w:pPr>
        <w:jc w:val="both"/>
        <w:rPr>
          <w:rFonts w:cs="Calibri"/>
        </w:rPr>
      </w:pPr>
      <w:r w:rsidRPr="00C35D56">
        <w:rPr>
          <w:rFonts w:cs="Calibri"/>
        </w:rPr>
        <w:t xml:space="preserve">Mezi často se opakující nedostatky předkladatelů patří </w:t>
      </w:r>
      <w:r w:rsidR="00647EE8">
        <w:rPr>
          <w:rFonts w:cs="Calibri"/>
        </w:rPr>
        <w:t xml:space="preserve">dále </w:t>
      </w:r>
      <w:r w:rsidRPr="00C35D56">
        <w:rPr>
          <w:rFonts w:cs="Calibri"/>
        </w:rPr>
        <w:t xml:space="preserve">nedostatečné rozpracování variant řešení problémů </w:t>
      </w:r>
      <w:r>
        <w:rPr>
          <w:rFonts w:cs="Calibri"/>
        </w:rPr>
        <w:t xml:space="preserve">– </w:t>
      </w:r>
      <w:r w:rsidR="005B400A">
        <w:rPr>
          <w:rFonts w:cs="Calibri"/>
        </w:rPr>
        <w:t>hodnocena je</w:t>
      </w:r>
      <w:r>
        <w:rPr>
          <w:rFonts w:cs="Calibri"/>
        </w:rPr>
        <w:t xml:space="preserve"> </w:t>
      </w:r>
      <w:r w:rsidR="00647EE8">
        <w:rPr>
          <w:rFonts w:cs="Calibri"/>
        </w:rPr>
        <w:t xml:space="preserve">tak </w:t>
      </w:r>
      <w:r w:rsidRPr="00C35D56">
        <w:rPr>
          <w:rFonts w:cs="Calibri"/>
        </w:rPr>
        <w:t xml:space="preserve">pouze </w:t>
      </w:r>
      <w:r w:rsidR="00760148">
        <w:rPr>
          <w:rFonts w:cs="Calibri"/>
        </w:rPr>
        <w:t xml:space="preserve">formálně </w:t>
      </w:r>
      <w:r w:rsidR="005B400A" w:rsidRPr="00C35D56">
        <w:rPr>
          <w:rFonts w:cs="Calibri"/>
        </w:rPr>
        <w:t>variant</w:t>
      </w:r>
      <w:r w:rsidR="005B400A">
        <w:rPr>
          <w:rFonts w:cs="Calibri"/>
        </w:rPr>
        <w:t xml:space="preserve">a </w:t>
      </w:r>
      <w:r w:rsidR="00760148">
        <w:rPr>
          <w:rFonts w:cs="Calibri"/>
        </w:rPr>
        <w:t>stávajícího stavu</w:t>
      </w:r>
      <w:r w:rsidRPr="00C35D56">
        <w:rPr>
          <w:rFonts w:cs="Calibri"/>
        </w:rPr>
        <w:t xml:space="preserve"> s předkládaným řešením.</w:t>
      </w:r>
    </w:p>
    <w:p w:rsidR="001E1060" w:rsidRPr="00C35D56" w:rsidRDefault="001E1060" w:rsidP="001E1060">
      <w:pPr>
        <w:jc w:val="both"/>
        <w:rPr>
          <w:rFonts w:cs="Calibri"/>
        </w:rPr>
      </w:pPr>
      <w:r w:rsidRPr="00C35D56">
        <w:rPr>
          <w:rFonts w:cs="Calibri"/>
        </w:rPr>
        <w:t>Komise RIA rovněž narážela na opakované případy nedostatečného vyhodnocování dopadů typu administrativní zátěže, a to i u předkladatelů ekonomických ministerstev, které mají mimo jiné v kompetenci otázky konkurenceschopnosti.</w:t>
      </w:r>
      <w:r w:rsidR="00BE4C60">
        <w:rPr>
          <w:rFonts w:cs="Calibri"/>
        </w:rPr>
        <w:t xml:space="preserve"> V této oblasti navíc již </w:t>
      </w:r>
      <w:r w:rsidR="00441324">
        <w:rPr>
          <w:rFonts w:cs="Calibri"/>
        </w:rPr>
        <w:t>v r. 2005</w:t>
      </w:r>
      <w:r w:rsidR="00BE4C60">
        <w:rPr>
          <w:rFonts w:cs="Calibri"/>
        </w:rPr>
        <w:t xml:space="preserve"> byla v ČR vytvořena první metodika pro měření administrativní zátěže, která plyne </w:t>
      </w:r>
      <w:r w:rsidR="00441324">
        <w:rPr>
          <w:rFonts w:cs="Calibri"/>
        </w:rPr>
        <w:t xml:space="preserve">podnikatelům </w:t>
      </w:r>
      <w:r w:rsidR="00BE4C60">
        <w:rPr>
          <w:rFonts w:cs="Calibri"/>
        </w:rPr>
        <w:t>z plnění informačních povinností obsažených v právních předpisech. Problému administrativní zátěže</w:t>
      </w:r>
      <w:r w:rsidR="00441324">
        <w:rPr>
          <w:rFonts w:cs="Calibri"/>
        </w:rPr>
        <w:t xml:space="preserve">, tj. prevence </w:t>
      </w:r>
      <w:r w:rsidR="005B400A">
        <w:rPr>
          <w:rFonts w:cs="Calibri"/>
        </w:rPr>
        <w:t xml:space="preserve">jejího vzniku </w:t>
      </w:r>
      <w:r w:rsidR="00441324">
        <w:rPr>
          <w:rFonts w:cs="Calibri"/>
        </w:rPr>
        <w:t>a snižování stávající,</w:t>
      </w:r>
      <w:r w:rsidR="00BE4C60">
        <w:rPr>
          <w:rFonts w:cs="Calibri"/>
        </w:rPr>
        <w:t xml:space="preserve"> je věnován</w:t>
      </w:r>
      <w:r w:rsidR="005B400A">
        <w:rPr>
          <w:rFonts w:cs="Calibri"/>
        </w:rPr>
        <w:t>a</w:t>
      </w:r>
      <w:r w:rsidR="00BE4C60">
        <w:rPr>
          <w:rFonts w:cs="Calibri"/>
        </w:rPr>
        <w:t xml:space="preserve"> značn</w:t>
      </w:r>
      <w:r w:rsidR="00441324">
        <w:rPr>
          <w:rFonts w:cs="Calibri"/>
        </w:rPr>
        <w:t xml:space="preserve">á pozornost a </w:t>
      </w:r>
      <w:r w:rsidR="00BE4C60">
        <w:rPr>
          <w:rFonts w:cs="Calibri"/>
        </w:rPr>
        <w:t xml:space="preserve">úsilí </w:t>
      </w:r>
      <w:r w:rsidR="00441324">
        <w:rPr>
          <w:rFonts w:cs="Calibri"/>
        </w:rPr>
        <w:t xml:space="preserve">i </w:t>
      </w:r>
      <w:r w:rsidR="00BE4C60">
        <w:rPr>
          <w:rFonts w:cs="Calibri"/>
        </w:rPr>
        <w:t>na úrovni EU.</w:t>
      </w:r>
    </w:p>
    <w:p w:rsidR="001E1060" w:rsidRDefault="00441324" w:rsidP="001E1060">
      <w:pPr>
        <w:jc w:val="both"/>
        <w:rPr>
          <w:rFonts w:cs="Calibri"/>
        </w:rPr>
      </w:pPr>
      <w:r>
        <w:rPr>
          <w:rFonts w:cs="Calibri"/>
        </w:rPr>
        <w:t>Co se týče zpracování hodnocení dopadů na dotčené subjekty, p</w:t>
      </w:r>
      <w:r w:rsidR="001E1060" w:rsidRPr="00C35D56">
        <w:rPr>
          <w:rFonts w:cs="Calibri"/>
        </w:rPr>
        <w:t xml:space="preserve">ředkladatelé se soustřeďují </w:t>
      </w:r>
      <w:r>
        <w:rPr>
          <w:rFonts w:cs="Calibri"/>
        </w:rPr>
        <w:t xml:space="preserve">zpravidla </w:t>
      </w:r>
      <w:r w:rsidR="001E1060" w:rsidRPr="00C35D56">
        <w:rPr>
          <w:rFonts w:cs="Calibri"/>
        </w:rPr>
        <w:t xml:space="preserve">především na kvalitativní vyhodnocování dopadů. Kvantitativní vyhodnocování nákladů spojených se zavedením navrhované regulace je spíše ojedinělé. Vyhodnocení přínosů </w:t>
      </w:r>
      <w:r w:rsidR="001E1060">
        <w:rPr>
          <w:rFonts w:cs="Calibri"/>
        </w:rPr>
        <w:t>se</w:t>
      </w:r>
      <w:r w:rsidR="00647EE8">
        <w:rPr>
          <w:rFonts w:cs="Calibri"/>
        </w:rPr>
        <w:t xml:space="preserve"> pak</w:t>
      </w:r>
      <w:r w:rsidR="001E1060">
        <w:rPr>
          <w:rFonts w:cs="Calibri"/>
        </w:rPr>
        <w:t xml:space="preserve"> nedaří předkladatelům většinou vůbec. </w:t>
      </w:r>
    </w:p>
    <w:p w:rsidR="001E1060" w:rsidRPr="00C35D56" w:rsidRDefault="001E1060" w:rsidP="001E1060">
      <w:pPr>
        <w:jc w:val="both"/>
        <w:rPr>
          <w:rFonts w:cs="Calibri"/>
        </w:rPr>
      </w:pPr>
      <w:r w:rsidRPr="00C35D56">
        <w:rPr>
          <w:rFonts w:cs="Calibri"/>
        </w:rPr>
        <w:t>V některých případech nebyly řádně prováděny konzultace s představiteli dotčených subjektů nebo v případě, kdy byly provedeny, nebyly zcela vyhodnoceny</w:t>
      </w:r>
      <w:r>
        <w:rPr>
          <w:rFonts w:cs="Calibri"/>
        </w:rPr>
        <w:t xml:space="preserve"> a zdokumentovány</w:t>
      </w:r>
      <w:r w:rsidRPr="00C35D56">
        <w:rPr>
          <w:rFonts w:cs="Calibri"/>
        </w:rPr>
        <w:t xml:space="preserve"> jejich výsledky. </w:t>
      </w:r>
    </w:p>
    <w:p w:rsidR="001E1060" w:rsidRPr="00C35D56" w:rsidRDefault="001E1060" w:rsidP="001E1060">
      <w:pPr>
        <w:jc w:val="both"/>
        <w:rPr>
          <w:rFonts w:cs="Calibri"/>
        </w:rPr>
      </w:pPr>
      <w:r w:rsidRPr="00C35D56">
        <w:rPr>
          <w:rFonts w:cs="Calibri"/>
        </w:rPr>
        <w:t>Velm</w:t>
      </w:r>
      <w:r>
        <w:rPr>
          <w:rFonts w:cs="Calibri"/>
        </w:rPr>
        <w:t xml:space="preserve">i často jsou </w:t>
      </w:r>
      <w:r w:rsidR="00441324">
        <w:rPr>
          <w:rFonts w:cs="Calibri"/>
        </w:rPr>
        <w:t>z</w:t>
      </w:r>
      <w:r w:rsidR="00441324" w:rsidRPr="00C35D56">
        <w:rPr>
          <w:rFonts w:cs="Calibri"/>
        </w:rPr>
        <w:t xml:space="preserve">ávěrečné </w:t>
      </w:r>
      <w:r w:rsidRPr="00C35D56">
        <w:rPr>
          <w:rFonts w:cs="Calibri"/>
        </w:rPr>
        <w:t>zprávy RIA poznamenány úzce rezortním přístupem s jednostranným zaměřením na cíl úpravy bez dostatečného zohlednění dopadů mimo rezort, zejména na konkurenceschopnost, podnikatelské subjekty a skupiny obyvatel (</w:t>
      </w:r>
      <w:r w:rsidR="00EC61BE">
        <w:rPr>
          <w:rFonts w:cs="Calibri"/>
        </w:rPr>
        <w:t>např.:</w:t>
      </w:r>
      <w:r w:rsidRPr="00C35D56">
        <w:rPr>
          <w:rFonts w:cs="Calibri"/>
        </w:rPr>
        <w:t xml:space="preserve"> </w:t>
      </w:r>
      <w:r w:rsidR="00647EE8">
        <w:rPr>
          <w:rFonts w:cs="Calibri"/>
        </w:rPr>
        <w:t xml:space="preserve">cílem regulátora je </w:t>
      </w:r>
      <w:r w:rsidRPr="00C35D56">
        <w:rPr>
          <w:rFonts w:cs="Calibri"/>
        </w:rPr>
        <w:t>zajištění bezpečnosti bez ohledu na širší dopady řešení na</w:t>
      </w:r>
      <w:r>
        <w:rPr>
          <w:rFonts w:cs="Calibri"/>
        </w:rPr>
        <w:t>př. na</w:t>
      </w:r>
      <w:r w:rsidRPr="00C35D56">
        <w:rPr>
          <w:rFonts w:cs="Calibri"/>
        </w:rPr>
        <w:t xml:space="preserve"> konkurenceschopnost).</w:t>
      </w:r>
    </w:p>
    <w:p w:rsidR="00153195" w:rsidRPr="00C35D56" w:rsidRDefault="00153195" w:rsidP="001E1060">
      <w:pPr>
        <w:jc w:val="both"/>
        <w:rPr>
          <w:rFonts w:cs="Calibri"/>
        </w:rPr>
      </w:pPr>
      <w:r>
        <w:rPr>
          <w:rFonts w:cs="Calibri"/>
        </w:rPr>
        <w:t>V roce 2013</w:t>
      </w:r>
      <w:r w:rsidR="00647EE8">
        <w:rPr>
          <w:rFonts w:cs="Calibri"/>
        </w:rPr>
        <w:t>, na rozdíl od r. 2012</w:t>
      </w:r>
      <w:r w:rsidR="00AD1039">
        <w:rPr>
          <w:rFonts w:cs="Calibri"/>
        </w:rPr>
        <w:t>,</w:t>
      </w:r>
      <w:r w:rsidR="00647EE8">
        <w:rPr>
          <w:rFonts w:cs="Calibri"/>
        </w:rPr>
        <w:t xml:space="preserve"> </w:t>
      </w:r>
      <w:r>
        <w:rPr>
          <w:rFonts w:cs="Calibri"/>
        </w:rPr>
        <w:t xml:space="preserve">také žádný resort nevyužil možnosti neformální včasné konzultace rozpracované RIA s Komisí RIA před jejím oficiálním předložením za účelem vyjasnění metodických otázek a možných postupů a využitelnosti dostupných dat při provádění vyhodnocení dopadů věcných </w:t>
      </w:r>
      <w:r w:rsidR="00F556A5">
        <w:rPr>
          <w:rFonts w:cs="Calibri"/>
        </w:rPr>
        <w:t xml:space="preserve">variant </w:t>
      </w:r>
      <w:r>
        <w:rPr>
          <w:rFonts w:cs="Calibri"/>
        </w:rPr>
        <w:t>řešení.</w:t>
      </w:r>
    </w:p>
    <w:p w:rsidR="00E70652" w:rsidRDefault="00A3006C" w:rsidP="001E1060">
      <w:pPr>
        <w:jc w:val="both"/>
        <w:rPr>
          <w:rFonts w:cs="Calibri"/>
        </w:rPr>
      </w:pPr>
      <w:r>
        <w:rPr>
          <w:rFonts w:cs="Calibri"/>
        </w:rPr>
        <w:lastRenderedPageBreak/>
        <w:t>V průběhu roku 2013</w:t>
      </w:r>
      <w:r w:rsidR="00F42ECE">
        <w:rPr>
          <w:rFonts w:cs="Calibri"/>
        </w:rPr>
        <w:t xml:space="preserve"> </w:t>
      </w:r>
      <w:r>
        <w:rPr>
          <w:rFonts w:cs="Calibri"/>
        </w:rPr>
        <w:t xml:space="preserve">s odkazem na časovou tíseň byla </w:t>
      </w:r>
      <w:r w:rsidR="00E70652">
        <w:rPr>
          <w:rFonts w:cs="Calibri"/>
        </w:rPr>
        <w:t xml:space="preserve">také </w:t>
      </w:r>
      <w:r w:rsidR="00647EE8">
        <w:rPr>
          <w:rFonts w:cs="Calibri"/>
        </w:rPr>
        <w:t xml:space="preserve">předložena </w:t>
      </w:r>
      <w:r>
        <w:rPr>
          <w:rFonts w:cs="Calibri"/>
        </w:rPr>
        <w:t xml:space="preserve">řada návrhů právních předpisů, často s velmi výraznými očekávanými dopady, </w:t>
      </w:r>
      <w:r w:rsidR="00E70652">
        <w:rPr>
          <w:rFonts w:cs="Calibri"/>
        </w:rPr>
        <w:t>u nichž s odkazem na</w:t>
      </w:r>
      <w:r w:rsidR="00153195">
        <w:rPr>
          <w:rFonts w:cs="Calibri"/>
        </w:rPr>
        <w:t xml:space="preserve"> ne zcela přesvědčivou</w:t>
      </w:r>
      <w:r w:rsidR="00E70652">
        <w:rPr>
          <w:rFonts w:cs="Calibri"/>
        </w:rPr>
        <w:t xml:space="preserve"> </w:t>
      </w:r>
      <w:r w:rsidR="00153195">
        <w:rPr>
          <w:rFonts w:cs="Calibri"/>
        </w:rPr>
        <w:t>potřebu</w:t>
      </w:r>
      <w:r w:rsidR="00E70652">
        <w:rPr>
          <w:rFonts w:cs="Calibri"/>
        </w:rPr>
        <w:t xml:space="preserve"> co nejrychlejšího projednání vládou </w:t>
      </w:r>
      <w:r>
        <w:rPr>
          <w:rFonts w:cs="Calibri"/>
        </w:rPr>
        <w:t xml:space="preserve">nebylo možné ani zpracovat odborné stanovisko Komise RIA, natož fakticky v případě </w:t>
      </w:r>
      <w:r w:rsidR="00F556A5">
        <w:rPr>
          <w:rFonts w:cs="Calibri"/>
        </w:rPr>
        <w:t xml:space="preserve">potencionálních </w:t>
      </w:r>
      <w:r>
        <w:rPr>
          <w:rFonts w:cs="Calibri"/>
        </w:rPr>
        <w:t xml:space="preserve">připomínek Komise RIA </w:t>
      </w:r>
      <w:r w:rsidR="00F556A5">
        <w:rPr>
          <w:rFonts w:cs="Calibri"/>
        </w:rPr>
        <w:t xml:space="preserve">tyto </w:t>
      </w:r>
      <w:r>
        <w:rPr>
          <w:rFonts w:cs="Calibri"/>
        </w:rPr>
        <w:t xml:space="preserve">připomínky řádně před jednáním vlády vypořádat a závěrečnou zprávu RIA dopracovat. V těchto případech nebyl návrh do Komise RIA z výše uvedených důvodů rovněž </w:t>
      </w:r>
      <w:r w:rsidR="00E70652">
        <w:rPr>
          <w:rFonts w:cs="Calibri"/>
        </w:rPr>
        <w:t xml:space="preserve">zpravidla </w:t>
      </w:r>
      <w:r>
        <w:rPr>
          <w:rFonts w:cs="Calibri"/>
        </w:rPr>
        <w:t xml:space="preserve">přikazován. </w:t>
      </w:r>
    </w:p>
    <w:p w:rsidR="00441324" w:rsidRDefault="00A3006C" w:rsidP="001E1060">
      <w:pPr>
        <w:jc w:val="both"/>
        <w:rPr>
          <w:rFonts w:cs="Calibri"/>
        </w:rPr>
      </w:pPr>
      <w:r>
        <w:rPr>
          <w:rFonts w:cs="Calibri"/>
        </w:rPr>
        <w:t xml:space="preserve">Ještě závažnější </w:t>
      </w:r>
      <w:r w:rsidR="00E70652">
        <w:rPr>
          <w:rFonts w:cs="Calibri"/>
        </w:rPr>
        <w:t>se</w:t>
      </w:r>
      <w:r>
        <w:rPr>
          <w:rFonts w:cs="Calibri"/>
        </w:rPr>
        <w:t xml:space="preserve"> však </w:t>
      </w:r>
      <w:r w:rsidR="006D6A59">
        <w:rPr>
          <w:rFonts w:cs="Calibri"/>
        </w:rPr>
        <w:t xml:space="preserve">ukázala </w:t>
      </w:r>
      <w:r>
        <w:rPr>
          <w:rFonts w:cs="Calibri"/>
        </w:rPr>
        <w:t xml:space="preserve">praxe úplného obcházení Komise RIA udělováním výjimek </w:t>
      </w:r>
      <w:r w:rsidR="0045276F">
        <w:rPr>
          <w:rFonts w:cs="Calibri"/>
        </w:rPr>
        <w:t xml:space="preserve">ad hoc </w:t>
      </w:r>
      <w:r>
        <w:rPr>
          <w:rFonts w:cs="Calibri"/>
        </w:rPr>
        <w:t xml:space="preserve">z procesu RIA </w:t>
      </w:r>
      <w:r w:rsidR="00BE4C60">
        <w:rPr>
          <w:rFonts w:cs="Calibri"/>
        </w:rPr>
        <w:t xml:space="preserve">formou </w:t>
      </w:r>
      <w:r w:rsidR="00BE4C60" w:rsidRPr="00312DD5">
        <w:rPr>
          <w:rFonts w:cs="Calibri"/>
        </w:rPr>
        <w:t xml:space="preserve">usnesení vlády v rámci projednávání souvisejících strategických dokumentů, na základě </w:t>
      </w:r>
      <w:r w:rsidR="00C512E4" w:rsidRPr="007064F0">
        <w:rPr>
          <w:rFonts w:cs="Calibri"/>
        </w:rPr>
        <w:t>jejichž</w:t>
      </w:r>
      <w:r w:rsidR="00C512E4" w:rsidRPr="005B400A">
        <w:rPr>
          <w:rFonts w:cs="Calibri"/>
        </w:rPr>
        <w:t xml:space="preserve"> </w:t>
      </w:r>
      <w:r w:rsidR="00BE4C60" w:rsidRPr="00312DD5">
        <w:rPr>
          <w:rFonts w:cs="Calibri"/>
        </w:rPr>
        <w:t xml:space="preserve">schválení jsou následně </w:t>
      </w:r>
      <w:r w:rsidR="00C512E4">
        <w:rPr>
          <w:rFonts w:cs="Calibri"/>
        </w:rPr>
        <w:t>rozpracovávány příslušné</w:t>
      </w:r>
      <w:r w:rsidR="00BE4C60" w:rsidRPr="00312DD5">
        <w:rPr>
          <w:rFonts w:cs="Calibri"/>
        </w:rPr>
        <w:t xml:space="preserve"> návrhy právních předpisů.</w:t>
      </w:r>
      <w:r w:rsidR="00BE4C60" w:rsidRPr="00B35166">
        <w:rPr>
          <w:rFonts w:cs="Calibri"/>
          <w:sz w:val="24"/>
          <w:szCs w:val="24"/>
        </w:rPr>
        <w:t xml:space="preserve"> </w:t>
      </w:r>
      <w:r>
        <w:rPr>
          <w:rFonts w:cs="Calibri"/>
        </w:rPr>
        <w:t xml:space="preserve"> </w:t>
      </w:r>
    </w:p>
    <w:p w:rsidR="001E1060" w:rsidRDefault="00E70652" w:rsidP="001E1060">
      <w:pPr>
        <w:jc w:val="both"/>
        <w:rPr>
          <w:rFonts w:cs="Calibri"/>
        </w:rPr>
      </w:pPr>
      <w:r>
        <w:rPr>
          <w:rFonts w:cs="Calibri"/>
        </w:rPr>
        <w:t>Na druhou stranu, ú</w:t>
      </w:r>
      <w:r w:rsidR="001E1060">
        <w:rPr>
          <w:rFonts w:cs="Calibri"/>
        </w:rPr>
        <w:t xml:space="preserve">činnou podporou zvyšování kvality prováděných RIA byl </w:t>
      </w:r>
      <w:r w:rsidR="00647EE8">
        <w:rPr>
          <w:rFonts w:cs="Calibri"/>
        </w:rPr>
        <w:t xml:space="preserve">mj. </w:t>
      </w:r>
      <w:r w:rsidR="001E1060">
        <w:rPr>
          <w:rFonts w:cs="Calibri"/>
        </w:rPr>
        <w:t xml:space="preserve">vstřícný přístup zaměstnanců oddělení RIA, kteří průběžně konzultovali dle zájmu předkladatelů pracovní verze </w:t>
      </w:r>
      <w:r w:rsidR="00C512E4">
        <w:rPr>
          <w:rFonts w:cs="Calibri"/>
        </w:rPr>
        <w:t xml:space="preserve">závěrečných </w:t>
      </w:r>
      <w:r w:rsidR="001E1060">
        <w:rPr>
          <w:rFonts w:cs="Calibri"/>
        </w:rPr>
        <w:t xml:space="preserve">zpráv RIA. </w:t>
      </w:r>
    </w:p>
    <w:p w:rsidR="00EF5E06" w:rsidRPr="008E042D" w:rsidRDefault="00117D0B" w:rsidP="00117D0B">
      <w:pPr>
        <w:pStyle w:val="Nadpis1"/>
        <w:jc w:val="both"/>
        <w:rPr>
          <w:rFonts w:ascii="Calibri" w:hAnsi="Calibri" w:cs="Calibri"/>
          <w:color w:val="5F497A"/>
        </w:rPr>
      </w:pPr>
      <w:bookmarkStart w:id="7" w:name="_Toc381286100"/>
      <w:proofErr w:type="gramStart"/>
      <w:r>
        <w:rPr>
          <w:rFonts w:ascii="Calibri" w:hAnsi="Calibri" w:cs="Calibri"/>
          <w:color w:val="5F497A"/>
        </w:rPr>
        <w:t xml:space="preserve">5     </w:t>
      </w:r>
      <w:r w:rsidR="00EF5E06" w:rsidRPr="008E042D">
        <w:rPr>
          <w:rFonts w:ascii="Calibri" w:hAnsi="Calibri" w:cs="Calibri"/>
          <w:color w:val="5F497A"/>
        </w:rPr>
        <w:t>Doporučení</w:t>
      </w:r>
      <w:proofErr w:type="gramEnd"/>
      <w:r w:rsidR="00EF5E06" w:rsidRPr="008E042D">
        <w:rPr>
          <w:rFonts w:ascii="Calibri" w:hAnsi="Calibri" w:cs="Calibri"/>
          <w:color w:val="5F497A"/>
        </w:rPr>
        <w:t xml:space="preserve"> Komise RIA</w:t>
      </w:r>
      <w:bookmarkEnd w:id="7"/>
    </w:p>
    <w:p w:rsidR="00EF5E06" w:rsidRPr="00C35D56" w:rsidRDefault="00EF5E06" w:rsidP="00EF5E06">
      <w:pPr>
        <w:tabs>
          <w:tab w:val="left" w:pos="0"/>
        </w:tabs>
        <w:jc w:val="both"/>
        <w:rPr>
          <w:rFonts w:cs="Calibri"/>
          <w:b/>
        </w:rPr>
      </w:pPr>
    </w:p>
    <w:p w:rsidR="00EF5E06" w:rsidRPr="00C35D56" w:rsidRDefault="00EF5E06" w:rsidP="00EF5E06">
      <w:pPr>
        <w:tabs>
          <w:tab w:val="left" w:pos="0"/>
        </w:tabs>
        <w:jc w:val="both"/>
        <w:rPr>
          <w:rFonts w:cs="Calibri"/>
        </w:rPr>
      </w:pPr>
      <w:r w:rsidRPr="00C35D56">
        <w:rPr>
          <w:rFonts w:cs="Calibri"/>
        </w:rPr>
        <w:t>Na</w:t>
      </w:r>
      <w:r>
        <w:rPr>
          <w:rFonts w:cs="Calibri"/>
        </w:rPr>
        <w:t xml:space="preserve"> základě výsledků projednaných </w:t>
      </w:r>
      <w:r w:rsidR="00647EE8">
        <w:rPr>
          <w:rFonts w:cs="Calibri"/>
        </w:rPr>
        <w:t>z</w:t>
      </w:r>
      <w:r w:rsidR="00647EE8" w:rsidRPr="00C35D56">
        <w:rPr>
          <w:rFonts w:cs="Calibri"/>
        </w:rPr>
        <w:t xml:space="preserve">ávěrečných </w:t>
      </w:r>
      <w:r w:rsidRPr="00C35D56">
        <w:rPr>
          <w:rFonts w:cs="Calibri"/>
        </w:rPr>
        <w:t>zpráv RIA Komise RIA předkládá níže uvedená doporučení pro zlepšení procesu hodnocení dopadů regulace.</w:t>
      </w:r>
      <w:r w:rsidR="00760148">
        <w:rPr>
          <w:rFonts w:cs="Calibri"/>
        </w:rPr>
        <w:t xml:space="preserve"> Komise RIA představila </w:t>
      </w:r>
      <w:r w:rsidR="00647EE8">
        <w:rPr>
          <w:rFonts w:cs="Calibri"/>
        </w:rPr>
        <w:t xml:space="preserve">již </w:t>
      </w:r>
      <w:r w:rsidR="00760148">
        <w:rPr>
          <w:rFonts w:cs="Calibri"/>
        </w:rPr>
        <w:t>v r.</w:t>
      </w:r>
      <w:r w:rsidR="00647EE8">
        <w:rPr>
          <w:rFonts w:cs="Calibri"/>
        </w:rPr>
        <w:t> </w:t>
      </w:r>
      <w:r w:rsidR="00760148">
        <w:rPr>
          <w:rFonts w:cs="Calibri"/>
        </w:rPr>
        <w:t xml:space="preserve">2012 celkově deset doporučení na zlepšení obsahové kvality i procesu tvorby </w:t>
      </w:r>
      <w:r w:rsidR="00EC61BE">
        <w:rPr>
          <w:rFonts w:cs="Calibri"/>
        </w:rPr>
        <w:t xml:space="preserve">závěrečných zpráv </w:t>
      </w:r>
      <w:r w:rsidR="00760148">
        <w:rPr>
          <w:rFonts w:cs="Calibri"/>
        </w:rPr>
        <w:t>RIA</w:t>
      </w:r>
      <w:r w:rsidR="00552697">
        <w:rPr>
          <w:rFonts w:cs="Calibri"/>
        </w:rPr>
        <w:t>, z</w:t>
      </w:r>
      <w:r w:rsidR="000A7975">
        <w:rPr>
          <w:rFonts w:cs="Calibri"/>
        </w:rPr>
        <w:t> </w:t>
      </w:r>
      <w:r w:rsidR="00552697">
        <w:rPr>
          <w:rFonts w:cs="Calibri"/>
        </w:rPr>
        <w:t>nichž</w:t>
      </w:r>
      <w:r w:rsidR="000A7975">
        <w:rPr>
          <w:rFonts w:cs="Calibri"/>
        </w:rPr>
        <w:t xml:space="preserve"> se pouze</w:t>
      </w:r>
      <w:r w:rsidR="00552697">
        <w:rPr>
          <w:rFonts w:cs="Calibri"/>
        </w:rPr>
        <w:t xml:space="preserve"> jedno podařilo </w:t>
      </w:r>
      <w:r w:rsidR="00F100F8">
        <w:rPr>
          <w:rFonts w:cs="Calibri"/>
        </w:rPr>
        <w:t>skutečně naplnit</w:t>
      </w:r>
      <w:r w:rsidR="00552697">
        <w:rPr>
          <w:rFonts w:cs="Calibri"/>
        </w:rPr>
        <w:t xml:space="preserve"> (viz opatření č.</w:t>
      </w:r>
      <w:r w:rsidR="002A73C6" w:rsidRPr="002A73C6">
        <w:rPr>
          <w:rFonts w:cs="Calibri"/>
        </w:rPr>
        <w:t xml:space="preserve"> </w:t>
      </w:r>
      <w:r w:rsidR="00EF2534">
        <w:rPr>
          <w:rFonts w:cs="Calibri"/>
        </w:rPr>
        <w:t>4</w:t>
      </w:r>
      <w:r w:rsidR="002A73C6">
        <w:rPr>
          <w:rFonts w:cs="Calibri"/>
        </w:rPr>
        <w:t>.9</w:t>
      </w:r>
      <w:r w:rsidR="00647EE8">
        <w:rPr>
          <w:rFonts w:cs="Calibri"/>
        </w:rPr>
        <w:t xml:space="preserve"> dále</w:t>
      </w:r>
      <w:r w:rsidR="00552697">
        <w:rPr>
          <w:rFonts w:cs="Calibri"/>
        </w:rPr>
        <w:t xml:space="preserve">), u ostatních </w:t>
      </w:r>
      <w:r w:rsidR="000A7975">
        <w:rPr>
          <w:rFonts w:cs="Calibri"/>
        </w:rPr>
        <w:t xml:space="preserve">je </w:t>
      </w:r>
      <w:r w:rsidR="00647EE8">
        <w:rPr>
          <w:rFonts w:cs="Calibri"/>
        </w:rPr>
        <w:t xml:space="preserve">tedy </w:t>
      </w:r>
      <w:r w:rsidR="00552697">
        <w:rPr>
          <w:rFonts w:cs="Calibri"/>
        </w:rPr>
        <w:t>Komi</w:t>
      </w:r>
      <w:r w:rsidR="00441324">
        <w:rPr>
          <w:rFonts w:cs="Calibri"/>
        </w:rPr>
        <w:t>s</w:t>
      </w:r>
      <w:r w:rsidR="000A7975">
        <w:rPr>
          <w:rFonts w:cs="Calibri"/>
        </w:rPr>
        <w:t>í</w:t>
      </w:r>
      <w:r w:rsidR="00552697">
        <w:rPr>
          <w:rFonts w:cs="Calibri"/>
        </w:rPr>
        <w:t xml:space="preserve"> RIA </w:t>
      </w:r>
      <w:r w:rsidR="00647EE8">
        <w:rPr>
          <w:rFonts w:cs="Calibri"/>
        </w:rPr>
        <w:t xml:space="preserve">pouze </w:t>
      </w:r>
      <w:r w:rsidR="000A7975">
        <w:rPr>
          <w:rFonts w:cs="Calibri"/>
        </w:rPr>
        <w:t>zhodnocen</w:t>
      </w:r>
      <w:r w:rsidR="00552697">
        <w:rPr>
          <w:rFonts w:cs="Calibri"/>
        </w:rPr>
        <w:t xml:space="preserve"> dosavadní pokrok či popis změn v naplňování daných doporučení. </w:t>
      </w:r>
    </w:p>
    <w:p w:rsidR="00EF5E06" w:rsidRPr="008E042D" w:rsidRDefault="00EF5E06" w:rsidP="00EF5E06">
      <w:pPr>
        <w:pStyle w:val="Nadpis2"/>
        <w:numPr>
          <w:ilvl w:val="1"/>
          <w:numId w:val="1"/>
        </w:numPr>
        <w:jc w:val="both"/>
        <w:rPr>
          <w:rFonts w:ascii="Calibri" w:hAnsi="Calibri" w:cs="Calibri"/>
          <w:color w:val="8064A2"/>
          <w:sz w:val="22"/>
          <w:szCs w:val="22"/>
        </w:rPr>
      </w:pPr>
      <w:bookmarkStart w:id="8" w:name="_Toc344989945"/>
      <w:bookmarkStart w:id="9" w:name="_Toc346878644"/>
      <w:bookmarkStart w:id="10" w:name="_Toc346879269"/>
      <w:bookmarkStart w:id="11" w:name="_Toc379376188"/>
      <w:bookmarkStart w:id="12" w:name="_Toc381286068"/>
      <w:bookmarkStart w:id="13" w:name="_Toc381286101"/>
      <w:r w:rsidRPr="008E042D">
        <w:rPr>
          <w:rFonts w:ascii="Calibri" w:hAnsi="Calibri" w:cs="Calibri"/>
          <w:color w:val="8064A2"/>
          <w:sz w:val="22"/>
          <w:szCs w:val="22"/>
        </w:rPr>
        <w:t>Doporučení: Definice problému je základním východiskem v metodice RIA</w:t>
      </w:r>
      <w:bookmarkEnd w:id="8"/>
      <w:bookmarkEnd w:id="9"/>
      <w:bookmarkEnd w:id="10"/>
      <w:bookmarkEnd w:id="11"/>
      <w:bookmarkEnd w:id="12"/>
      <w:bookmarkEnd w:id="13"/>
    </w:p>
    <w:p w:rsidR="00EF5E06" w:rsidRPr="00C35D56" w:rsidRDefault="00B24F27" w:rsidP="00EF5E06">
      <w:pPr>
        <w:tabs>
          <w:tab w:val="left" w:pos="0"/>
        </w:tabs>
        <w:spacing w:before="120"/>
        <w:jc w:val="both"/>
        <w:rPr>
          <w:rFonts w:cs="Calibri"/>
        </w:rPr>
      </w:pPr>
      <w:r w:rsidRPr="00BD63A0">
        <w:rPr>
          <w:rFonts w:cs="Calibri"/>
        </w:rPr>
        <w:t xml:space="preserve">Tato část obvykle zpracovatelům </w:t>
      </w:r>
      <w:r w:rsidR="00F100F8">
        <w:rPr>
          <w:rFonts w:cs="Calibri"/>
        </w:rPr>
        <w:t xml:space="preserve">činí nejmenší </w:t>
      </w:r>
      <w:r w:rsidRPr="00BD63A0">
        <w:rPr>
          <w:rFonts w:cs="Calibri"/>
        </w:rPr>
        <w:t>problémy</w:t>
      </w:r>
      <w:r w:rsidR="00BE4C60">
        <w:rPr>
          <w:rFonts w:cs="Calibri"/>
        </w:rPr>
        <w:t xml:space="preserve"> a je většinou nejlépe zpracovanou částí závěrečné zprávy RIA</w:t>
      </w:r>
      <w:r w:rsidR="00F100F8">
        <w:rPr>
          <w:rFonts w:cs="Calibri"/>
        </w:rPr>
        <w:t>.</w:t>
      </w:r>
      <w:r w:rsidRPr="00BD63A0">
        <w:rPr>
          <w:rFonts w:cs="Calibri"/>
        </w:rPr>
        <w:t xml:space="preserve"> </w:t>
      </w:r>
      <w:r w:rsidR="00441324">
        <w:rPr>
          <w:rFonts w:cs="Calibri"/>
        </w:rPr>
        <w:t>Navzdory tomu u problematických návrhů t</w:t>
      </w:r>
      <w:r w:rsidRPr="00BD63A0">
        <w:rPr>
          <w:rFonts w:cs="Calibri"/>
        </w:rPr>
        <w:t xml:space="preserve">ypicky špatně definovaný problém znamená, že zpracovatel pouze formálně uvedl, že hlavním problémem je, že je zákon již zařazen </w:t>
      </w:r>
      <w:r w:rsidR="000A7975">
        <w:rPr>
          <w:rFonts w:cs="Calibri"/>
        </w:rPr>
        <w:t>do</w:t>
      </w:r>
      <w:r w:rsidRPr="00BD63A0">
        <w:rPr>
          <w:rFonts w:cs="Calibri"/>
        </w:rPr>
        <w:t xml:space="preserve"> Plán</w:t>
      </w:r>
      <w:r w:rsidR="000A7975">
        <w:rPr>
          <w:rFonts w:cs="Calibri"/>
        </w:rPr>
        <w:t>u</w:t>
      </w:r>
      <w:r w:rsidRPr="00BD63A0">
        <w:rPr>
          <w:rFonts w:cs="Calibri"/>
        </w:rPr>
        <w:t xml:space="preserve"> apod. </w:t>
      </w:r>
      <w:r w:rsidRPr="00C35D56">
        <w:rPr>
          <w:rFonts w:cs="Calibri"/>
        </w:rPr>
        <w:t>Je nutné věnovat pozornost srozumitelnému a</w:t>
      </w:r>
      <w:r w:rsidR="00441324">
        <w:rPr>
          <w:rFonts w:cs="Calibri"/>
        </w:rPr>
        <w:t> </w:t>
      </w:r>
      <w:r w:rsidRPr="00C35D56">
        <w:rPr>
          <w:rFonts w:cs="Calibri"/>
        </w:rPr>
        <w:t xml:space="preserve">věcnému, nikoliv formálnímu popisu problému, který je základním východiskem metodiky RIA. </w:t>
      </w:r>
      <w:r>
        <w:rPr>
          <w:rFonts w:cs="Calibri"/>
        </w:rPr>
        <w:t xml:space="preserve">Opakovaně se však objevuje </w:t>
      </w:r>
      <w:r w:rsidR="005F4348">
        <w:rPr>
          <w:rFonts w:cs="Calibri"/>
        </w:rPr>
        <w:t>problém, který spočívá v tom, že předkladatelé nedostatečně využívají kvantifikovaná data při vymezení rozsahu a</w:t>
      </w:r>
      <w:r w:rsidR="002E2502">
        <w:rPr>
          <w:rFonts w:cs="Calibri"/>
        </w:rPr>
        <w:t> </w:t>
      </w:r>
      <w:r w:rsidR="005F4348">
        <w:rPr>
          <w:rFonts w:cs="Calibri"/>
        </w:rPr>
        <w:t xml:space="preserve">povahy problému (např. uvedení počtu nebo procentuálního vyjádření případů, ve kterých se problém vyskytuje). </w:t>
      </w:r>
      <w:r w:rsidRPr="00C35D56">
        <w:rPr>
          <w:rFonts w:cs="Calibri"/>
        </w:rPr>
        <w:t>Analýza budoucích dopadů bez správn</w:t>
      </w:r>
      <w:r>
        <w:rPr>
          <w:rFonts w:cs="Calibri"/>
        </w:rPr>
        <w:t>é</w:t>
      </w:r>
      <w:r w:rsidRPr="00C35D56">
        <w:rPr>
          <w:rFonts w:cs="Calibri"/>
        </w:rPr>
        <w:t>ho uchopení a</w:t>
      </w:r>
      <w:r>
        <w:rPr>
          <w:rFonts w:cs="Calibri"/>
        </w:rPr>
        <w:t> </w:t>
      </w:r>
      <w:r w:rsidRPr="00C35D56">
        <w:rPr>
          <w:rFonts w:cs="Calibri"/>
        </w:rPr>
        <w:t xml:space="preserve">analýzy problému není možná. </w:t>
      </w:r>
      <w:r w:rsidR="00C866BB">
        <w:rPr>
          <w:rFonts w:cs="Calibri"/>
        </w:rPr>
        <w:t>Proto je nezbytné věnovat pozornost i</w:t>
      </w:r>
      <w:r w:rsidR="00E57A71">
        <w:rPr>
          <w:rFonts w:cs="Calibri"/>
        </w:rPr>
        <w:t> </w:t>
      </w:r>
      <w:r w:rsidR="00C866BB">
        <w:rPr>
          <w:rFonts w:cs="Calibri"/>
        </w:rPr>
        <w:t>množstevní stránce definice problému, která poskytne konkrétnější představu o</w:t>
      </w:r>
      <w:r w:rsidR="00441324">
        <w:rPr>
          <w:rFonts w:cs="Calibri"/>
        </w:rPr>
        <w:t> </w:t>
      </w:r>
      <w:r w:rsidR="00C866BB">
        <w:rPr>
          <w:rFonts w:cs="Calibri"/>
        </w:rPr>
        <w:t>jeho rozsahu. Řádné provedení kvantifikované analýzy a následné zobecnění zjištěných dat poskytne zákonodárci větší představu o vymezení rozsahu problému, četnosti jednotlivých dopadů a</w:t>
      </w:r>
      <w:r w:rsidR="00441324">
        <w:rPr>
          <w:rFonts w:cs="Calibri"/>
        </w:rPr>
        <w:t> </w:t>
      </w:r>
      <w:r w:rsidR="00C866BB">
        <w:rPr>
          <w:rFonts w:cs="Calibri"/>
        </w:rPr>
        <w:t xml:space="preserve">pravděpodobnosti výskytu případných důsledků řešení. </w:t>
      </w:r>
      <w:r w:rsidR="00C866BB">
        <w:t>D</w:t>
      </w:r>
      <w:r w:rsidR="00C866BB" w:rsidRPr="008928AF">
        <w:t xml:space="preserve">ostupnými materiály mohou být statistické údaje </w:t>
      </w:r>
      <w:r w:rsidR="00C866BB">
        <w:t>ČSÚ</w:t>
      </w:r>
      <w:r w:rsidR="00C866BB" w:rsidRPr="008928AF">
        <w:t xml:space="preserve"> </w:t>
      </w:r>
      <w:r w:rsidR="00C866BB">
        <w:t>či</w:t>
      </w:r>
      <w:r w:rsidR="00C866BB" w:rsidRPr="008928AF">
        <w:t xml:space="preserve"> jiných zdrojů</w:t>
      </w:r>
      <w:r w:rsidR="00C866BB">
        <w:t>,</w:t>
      </w:r>
      <w:r w:rsidR="00C866BB" w:rsidRPr="008928AF">
        <w:t xml:space="preserve"> informace získané od zainteresovaných stran (</w:t>
      </w:r>
      <w:r w:rsidR="00C866BB">
        <w:t>konzultace</w:t>
      </w:r>
      <w:r w:rsidR="00C866BB" w:rsidRPr="008928AF">
        <w:t xml:space="preserve">, </w:t>
      </w:r>
      <w:r w:rsidR="00C866BB">
        <w:t xml:space="preserve">kulaté stoly, </w:t>
      </w:r>
      <w:r w:rsidR="00C866BB" w:rsidRPr="008928AF">
        <w:t>konference</w:t>
      </w:r>
      <w:r w:rsidR="00C866BB">
        <w:t xml:space="preserve"> apod.</w:t>
      </w:r>
      <w:r w:rsidR="00C866BB" w:rsidRPr="008928AF">
        <w:t>), zpráv</w:t>
      </w:r>
      <w:r w:rsidR="00C866BB">
        <w:t>y</w:t>
      </w:r>
      <w:r w:rsidR="00C866BB" w:rsidRPr="008928AF">
        <w:t xml:space="preserve"> odborníků a vědeckých týmů</w:t>
      </w:r>
      <w:r w:rsidR="00C866BB">
        <w:t>,</w:t>
      </w:r>
      <w:r w:rsidR="00C866BB" w:rsidRPr="008928AF">
        <w:t xml:space="preserve"> </w:t>
      </w:r>
      <w:r w:rsidR="00C866BB">
        <w:t>odborné vědecké a</w:t>
      </w:r>
      <w:r w:rsidR="00441324">
        <w:t> </w:t>
      </w:r>
      <w:r w:rsidR="00C866BB">
        <w:t xml:space="preserve">vysokoškolské práce, na úrovni EU pak </w:t>
      </w:r>
      <w:r w:rsidR="00C866BB" w:rsidRPr="008928AF">
        <w:t>Zelené knihy, monitorovací či hodnotící zprávy z</w:t>
      </w:r>
      <w:r w:rsidR="00441324">
        <w:t> </w:t>
      </w:r>
      <w:r w:rsidR="00C866BB" w:rsidRPr="008928AF">
        <w:t>předcházejících či obdobných programů, studie evropských agentur atd.</w:t>
      </w:r>
      <w:r w:rsidR="00C866BB">
        <w:t xml:space="preserve"> </w:t>
      </w:r>
      <w:r w:rsidR="00EF5E06">
        <w:rPr>
          <w:rFonts w:cs="Calibri"/>
        </w:rPr>
        <w:t xml:space="preserve">Ze </w:t>
      </w:r>
      <w:r w:rsidR="002E2502">
        <w:rPr>
          <w:rFonts w:cs="Calibri"/>
        </w:rPr>
        <w:t xml:space="preserve">závěrečné </w:t>
      </w:r>
      <w:r w:rsidR="00EF5E06">
        <w:rPr>
          <w:rFonts w:cs="Calibri"/>
        </w:rPr>
        <w:t>zprávy RIA m</w:t>
      </w:r>
      <w:r w:rsidR="00EF5E06" w:rsidRPr="00C35D56">
        <w:rPr>
          <w:rFonts w:cs="Calibri"/>
        </w:rPr>
        <w:t>usí být</w:t>
      </w:r>
      <w:r w:rsidR="00EF5E06">
        <w:rPr>
          <w:rFonts w:cs="Calibri"/>
        </w:rPr>
        <w:t xml:space="preserve"> </w:t>
      </w:r>
      <w:r w:rsidR="00EF5E06" w:rsidRPr="00C35D56">
        <w:rPr>
          <w:rFonts w:cs="Calibri"/>
        </w:rPr>
        <w:t>jasný účel připravované legislativy a popis očekávané změny chování subjektů, na které legislativa bude dopadat. Regulace vždy mění chování definovaných skupin subjektů</w:t>
      </w:r>
      <w:r w:rsidR="00EF5E06">
        <w:rPr>
          <w:rFonts w:cs="Calibri"/>
        </w:rPr>
        <w:t xml:space="preserve"> a tato </w:t>
      </w:r>
      <w:r w:rsidR="00EF5E06">
        <w:rPr>
          <w:rFonts w:cs="Calibri"/>
        </w:rPr>
        <w:lastRenderedPageBreak/>
        <w:t>z</w:t>
      </w:r>
      <w:r w:rsidR="00EF5E06" w:rsidRPr="00C35D56">
        <w:rPr>
          <w:rFonts w:cs="Calibri"/>
        </w:rPr>
        <w:t xml:space="preserve">měna chování musí být popsána. Pokud budoucí legislativa má měnit chování a to ve smyslu, že něco umožňuje či zakazuje, očekávaná změna </w:t>
      </w:r>
      <w:r w:rsidR="005F4348">
        <w:rPr>
          <w:rFonts w:cs="Calibri"/>
        </w:rPr>
        <w:t xml:space="preserve">musí být kvantifikována jak </w:t>
      </w:r>
      <w:r w:rsidR="00EF5E06" w:rsidRPr="00C35D56">
        <w:rPr>
          <w:rFonts w:cs="Calibri"/>
        </w:rPr>
        <w:t xml:space="preserve">z hlediska </w:t>
      </w:r>
      <w:r w:rsidR="00886C3B">
        <w:rPr>
          <w:rFonts w:cs="Calibri"/>
        </w:rPr>
        <w:t>přínosů</w:t>
      </w:r>
      <w:r w:rsidR="005F4348">
        <w:rPr>
          <w:rFonts w:cs="Calibri"/>
        </w:rPr>
        <w:t>, tak i</w:t>
      </w:r>
      <w:r w:rsidR="002E2502">
        <w:rPr>
          <w:rFonts w:cs="Calibri"/>
        </w:rPr>
        <w:t> </w:t>
      </w:r>
      <w:r w:rsidR="005F4348">
        <w:rPr>
          <w:rFonts w:cs="Calibri"/>
        </w:rPr>
        <w:t>z hlediska předpokládaných</w:t>
      </w:r>
      <w:r w:rsidR="005F4348" w:rsidRPr="00C35D56">
        <w:rPr>
          <w:rFonts w:cs="Calibri"/>
        </w:rPr>
        <w:t xml:space="preserve"> </w:t>
      </w:r>
      <w:r w:rsidR="00EF5E06" w:rsidRPr="00C35D56">
        <w:rPr>
          <w:rFonts w:cs="Calibri"/>
        </w:rPr>
        <w:t xml:space="preserve">nákladů. </w:t>
      </w:r>
      <w:r w:rsidR="005F4348">
        <w:rPr>
          <w:rFonts w:cs="Calibri"/>
        </w:rPr>
        <w:t>Tímto způsobem vyhodnocená plánovaná změna</w:t>
      </w:r>
      <w:r w:rsidR="00EF5E06" w:rsidRPr="00C35D56">
        <w:rPr>
          <w:rFonts w:cs="Calibri"/>
        </w:rPr>
        <w:t xml:space="preserve"> musí být vždy součástí </w:t>
      </w:r>
      <w:r w:rsidR="000703CC">
        <w:rPr>
          <w:rFonts w:cs="Calibri"/>
        </w:rPr>
        <w:t xml:space="preserve">závěrečné zprávy </w:t>
      </w:r>
      <w:r w:rsidR="00EF5E06" w:rsidRPr="00C35D56">
        <w:rPr>
          <w:rFonts w:cs="Calibri"/>
        </w:rPr>
        <w:t xml:space="preserve">RIA. </w:t>
      </w:r>
      <w:r w:rsidR="00EF5E06">
        <w:rPr>
          <w:rFonts w:cs="Calibri"/>
        </w:rPr>
        <w:t>Při zpracování p</w:t>
      </w:r>
      <w:r w:rsidR="00EF5E06" w:rsidRPr="00C35D56">
        <w:rPr>
          <w:rFonts w:cs="Calibri"/>
        </w:rPr>
        <w:t xml:space="preserve">řehledu dopadů, stejně jako následně při zpracování </w:t>
      </w:r>
      <w:r w:rsidR="008870E9">
        <w:rPr>
          <w:rFonts w:cs="Calibri"/>
        </w:rPr>
        <w:t>z</w:t>
      </w:r>
      <w:r w:rsidR="008870E9" w:rsidRPr="00C35D56">
        <w:rPr>
          <w:rFonts w:cs="Calibri"/>
        </w:rPr>
        <w:t xml:space="preserve">ávěrečné </w:t>
      </w:r>
      <w:r w:rsidR="00EF5E06" w:rsidRPr="00C35D56">
        <w:rPr>
          <w:rFonts w:cs="Calibri"/>
        </w:rPr>
        <w:t xml:space="preserve">zprávy RIA, je nutné se vyvarovat pouhé formální </w:t>
      </w:r>
      <w:r w:rsidR="000703CC" w:rsidRPr="00C35D56">
        <w:rPr>
          <w:rFonts w:cs="Calibri"/>
        </w:rPr>
        <w:t>definic</w:t>
      </w:r>
      <w:r w:rsidR="000703CC">
        <w:rPr>
          <w:rFonts w:cs="Calibri"/>
        </w:rPr>
        <w:t>i</w:t>
      </w:r>
      <w:r w:rsidR="000703CC" w:rsidRPr="00C35D56">
        <w:rPr>
          <w:rFonts w:cs="Calibri"/>
        </w:rPr>
        <w:t xml:space="preserve"> </w:t>
      </w:r>
      <w:r w:rsidR="00EF5E06" w:rsidRPr="00C35D56">
        <w:rPr>
          <w:rFonts w:cs="Calibri"/>
        </w:rPr>
        <w:t xml:space="preserve">problému (viz odůvodnění typu „je potřeba ujednotit právní úpravu“), či uvedení pouhého výčtu oblastí, kde údajně problém existuje, aniž by byl problém jakkoliv popsán na základě kvalitativních či statistických údajů. </w:t>
      </w:r>
    </w:p>
    <w:p w:rsidR="00EF5E06" w:rsidRPr="00C35D56" w:rsidRDefault="00EF5E06" w:rsidP="00EF5E06">
      <w:pPr>
        <w:tabs>
          <w:tab w:val="left" w:pos="0"/>
        </w:tabs>
        <w:spacing w:before="120"/>
        <w:jc w:val="both"/>
        <w:rPr>
          <w:rFonts w:cs="Calibri"/>
        </w:rPr>
      </w:pPr>
      <w:r w:rsidRPr="00C35D56">
        <w:rPr>
          <w:rFonts w:cs="Calibri"/>
        </w:rPr>
        <w:t>V případě přehledu dopadů nelze bez věcného popisu problému kvalifikovaně stanovit, zda má</w:t>
      </w:r>
      <w:r w:rsidR="00647EE8">
        <w:rPr>
          <w:rFonts w:cs="Calibri"/>
        </w:rPr>
        <w:t>,</w:t>
      </w:r>
      <w:r w:rsidRPr="00C35D56">
        <w:rPr>
          <w:rFonts w:cs="Calibri"/>
        </w:rPr>
        <w:t xml:space="preserve"> respektive nemá být RIA provedena</w:t>
      </w:r>
      <w:r w:rsidR="00A946FF">
        <w:rPr>
          <w:rFonts w:cs="Calibri"/>
        </w:rPr>
        <w:t>, současně</w:t>
      </w:r>
      <w:r w:rsidRPr="00C35D56">
        <w:rPr>
          <w:rFonts w:cs="Calibri"/>
        </w:rPr>
        <w:t xml:space="preserve"> je nutné se vyv</w:t>
      </w:r>
      <w:r w:rsidR="00A946FF">
        <w:rPr>
          <w:rFonts w:cs="Calibri"/>
        </w:rPr>
        <w:t>arovat záměně popisu problému s </w:t>
      </w:r>
      <w:r w:rsidRPr="00C35D56">
        <w:rPr>
          <w:rFonts w:cs="Calibri"/>
        </w:rPr>
        <w:t xml:space="preserve">popisem cíle předpokládané budoucí regulace. Mechanismus fungování budoucí legislativy by měl být z popisu žádoucího stavu jasně pochopitelný. Na tomto základě lze přistoupit i k lepšímu vyhodnocení fungování regulace v praxi. </w:t>
      </w:r>
    </w:p>
    <w:p w:rsidR="00EF5E06" w:rsidRDefault="00EF5E06" w:rsidP="00EF5E06">
      <w:pPr>
        <w:tabs>
          <w:tab w:val="left" w:pos="0"/>
        </w:tabs>
        <w:spacing w:before="120"/>
        <w:jc w:val="both"/>
        <w:rPr>
          <w:rFonts w:cs="Calibri"/>
        </w:rPr>
      </w:pPr>
      <w:r w:rsidRPr="00C35D56">
        <w:rPr>
          <w:rFonts w:cs="Calibri"/>
        </w:rPr>
        <w:t xml:space="preserve">Věcný popis problému a predikce dopadů neřešení existující situace je základem pro stanovení dopadů „nulté varianty“ a následně východiskem pro stanovení věcných variant řešení na základě stanovení cílových hodnot očekávané změny či výsledného stavu po implementaci opatření. </w:t>
      </w:r>
      <w:r w:rsidR="00806257">
        <w:rPr>
          <w:rFonts w:cs="Calibri"/>
        </w:rPr>
        <w:t>Kvalitně zpracovaný popis problému lze následně v rámci závěrečné zprávy akceptovat i jako popis „nulté varianty“.</w:t>
      </w:r>
    </w:p>
    <w:p w:rsidR="008870E9" w:rsidRPr="008870E9" w:rsidRDefault="008870E9" w:rsidP="005F4348">
      <w:pPr>
        <w:jc w:val="both"/>
      </w:pPr>
      <w:r>
        <w:rPr>
          <w:rFonts w:cs="Calibri"/>
        </w:rPr>
        <w:t>V uplynulém roce byly d</w:t>
      </w:r>
      <w:r w:rsidR="00C866BB">
        <w:rPr>
          <w:rFonts w:cs="Calibri"/>
        </w:rPr>
        <w:t xml:space="preserve">efinice problému vypracovány v dobré kvalitě zejména u návrhů předpisů v oblasti vojenství, zemědělství, spravedlnosti, zdravotnictví, poměrně dobré definice problému byly předloženy v oblasti financí, průmyslu, kultury, práce a sociálních věcí a vnitra. Návrhy s dobrou úrovní definice problému byly předloženy např. v případě návrhu zákona o válečných veteránech, návrhu zákona </w:t>
      </w:r>
      <w:r w:rsidR="00C866BB" w:rsidRPr="00691425">
        <w:rPr>
          <w:rFonts w:cs="Calibri"/>
        </w:rPr>
        <w:t>o</w:t>
      </w:r>
      <w:r w:rsidR="00E57A71">
        <w:rPr>
          <w:rFonts w:cs="Calibri"/>
        </w:rPr>
        <w:t> </w:t>
      </w:r>
      <w:r w:rsidR="00C866BB" w:rsidRPr="00691425">
        <w:rPr>
          <w:rFonts w:cs="Calibri"/>
        </w:rPr>
        <w:t>služebním platu vojáků z</w:t>
      </w:r>
      <w:r w:rsidR="00C866BB">
        <w:rPr>
          <w:rFonts w:cs="Calibri"/>
        </w:rPr>
        <w:t> </w:t>
      </w:r>
      <w:r w:rsidR="00C866BB" w:rsidRPr="00691425">
        <w:rPr>
          <w:rFonts w:cs="Calibri"/>
        </w:rPr>
        <w:t>povolání</w:t>
      </w:r>
      <w:r w:rsidR="00C866BB">
        <w:rPr>
          <w:rFonts w:cs="Calibri"/>
        </w:rPr>
        <w:t>, návrhu insolvenčního zákona, návrhu zákona o</w:t>
      </w:r>
      <w:r>
        <w:rPr>
          <w:rFonts w:cs="Calibri"/>
        </w:rPr>
        <w:t> </w:t>
      </w:r>
      <w:r w:rsidR="00C866BB" w:rsidRPr="00CE12B2">
        <w:rPr>
          <w:rFonts w:cs="Calibri"/>
        </w:rPr>
        <w:t>Ústředním kontrolním a zkušebním ústavu</w:t>
      </w:r>
      <w:r w:rsidR="00C866BB">
        <w:rPr>
          <w:rFonts w:cs="Calibri"/>
        </w:rPr>
        <w:t xml:space="preserve"> zemědělském, návrhu zákona o veřejném zdravotním pojištění nebo návrhu zákona o</w:t>
      </w:r>
      <w:r w:rsidR="00C866BB" w:rsidRPr="00691425">
        <w:rPr>
          <w:rFonts w:cs="Calibri"/>
        </w:rPr>
        <w:t xml:space="preserve"> poskytování služby péče o dítě v dětské skupině</w:t>
      </w:r>
      <w:r w:rsidR="00C866BB">
        <w:rPr>
          <w:rFonts w:cs="Calibri"/>
        </w:rPr>
        <w:t xml:space="preserve">. Naopak jako příklady, kde předkladatel nepředložil </w:t>
      </w:r>
      <w:r w:rsidR="005C2F02">
        <w:rPr>
          <w:rFonts w:cs="Calibri"/>
        </w:rPr>
        <w:t xml:space="preserve">definici problému </w:t>
      </w:r>
      <w:r w:rsidR="00C866BB">
        <w:rPr>
          <w:rFonts w:cs="Calibri"/>
        </w:rPr>
        <w:t>v </w:t>
      </w:r>
      <w:r w:rsidR="005C2F02">
        <w:rPr>
          <w:rFonts w:cs="Calibri"/>
        </w:rPr>
        <w:t xml:space="preserve">dostatečné </w:t>
      </w:r>
      <w:r w:rsidR="00C866BB">
        <w:rPr>
          <w:rFonts w:cs="Calibri"/>
        </w:rPr>
        <w:t>kvalitě, lze uvést návrh věcného záměru zákona o</w:t>
      </w:r>
      <w:r w:rsidR="00E57A71">
        <w:rPr>
          <w:rFonts w:cs="Calibri"/>
        </w:rPr>
        <w:t> </w:t>
      </w:r>
      <w:r w:rsidR="00C866BB">
        <w:rPr>
          <w:rFonts w:cs="Calibri"/>
        </w:rPr>
        <w:t xml:space="preserve">podpoře cestovního ruchu, </w:t>
      </w:r>
      <w:r>
        <w:rPr>
          <w:rFonts w:cs="Calibri"/>
        </w:rPr>
        <w:t xml:space="preserve">dále věcný záměr </w:t>
      </w:r>
      <w:r w:rsidR="00C866BB">
        <w:rPr>
          <w:rFonts w:cs="Calibri"/>
        </w:rPr>
        <w:t xml:space="preserve">horního zákona, </w:t>
      </w:r>
      <w:r w:rsidR="00C866BB" w:rsidRPr="005F4348">
        <w:rPr>
          <w:rFonts w:cs="Calibri"/>
        </w:rPr>
        <w:t>n</w:t>
      </w:r>
      <w:r w:rsidR="00C866BB" w:rsidRPr="002B2E3A">
        <w:rPr>
          <w:rFonts w:cs="Calibri"/>
        </w:rPr>
        <w:t>ávrh nařízení vlády o</w:t>
      </w:r>
      <w:r>
        <w:rPr>
          <w:rFonts w:cs="Calibri"/>
        </w:rPr>
        <w:t> </w:t>
      </w:r>
      <w:r w:rsidR="00E57A71">
        <w:rPr>
          <w:rFonts w:cs="Calibri"/>
        </w:rPr>
        <w:t>p</w:t>
      </w:r>
      <w:r w:rsidR="00C866BB" w:rsidRPr="002B2E3A">
        <w:rPr>
          <w:rFonts w:cs="Calibri"/>
        </w:rPr>
        <w:t xml:space="preserve">odmínkách pro věcné nebo finanční ocenění mimořádných výsledků výzkumu, </w:t>
      </w:r>
      <w:r w:rsidR="00CE118A">
        <w:rPr>
          <w:rFonts w:cs="Calibri"/>
        </w:rPr>
        <w:t xml:space="preserve">novela </w:t>
      </w:r>
      <w:r w:rsidR="00CE118A" w:rsidRPr="00CE118A">
        <w:rPr>
          <w:rFonts w:cs="Calibri"/>
        </w:rPr>
        <w:t>zákon</w:t>
      </w:r>
      <w:r w:rsidR="00CE118A">
        <w:rPr>
          <w:rFonts w:cs="Calibri"/>
        </w:rPr>
        <w:t>a</w:t>
      </w:r>
      <w:r w:rsidR="00CE118A" w:rsidRPr="00CE118A">
        <w:rPr>
          <w:rFonts w:cs="Calibri"/>
        </w:rPr>
        <w:t xml:space="preserve"> o podpoře výzkumu, experimentálního vývoje a inovací</w:t>
      </w:r>
      <w:r w:rsidR="00CE118A">
        <w:rPr>
          <w:rFonts w:cs="Calibri"/>
        </w:rPr>
        <w:t xml:space="preserve"> a návrh tzv. služebního zákona. </w:t>
      </w:r>
    </w:p>
    <w:p w:rsidR="00EF5E06" w:rsidRPr="008E042D" w:rsidRDefault="00EF5E06" w:rsidP="00EF5E06">
      <w:pPr>
        <w:pStyle w:val="Nadpis2"/>
        <w:numPr>
          <w:ilvl w:val="1"/>
          <w:numId w:val="1"/>
        </w:numPr>
        <w:jc w:val="both"/>
        <w:rPr>
          <w:rFonts w:ascii="Calibri" w:hAnsi="Calibri" w:cs="Calibri"/>
          <w:color w:val="8064A2"/>
          <w:sz w:val="22"/>
          <w:szCs w:val="22"/>
        </w:rPr>
      </w:pPr>
      <w:bookmarkStart w:id="14" w:name="_Toc344989946"/>
      <w:bookmarkStart w:id="15" w:name="_Toc346878645"/>
      <w:bookmarkStart w:id="16" w:name="_Toc346879270"/>
      <w:bookmarkStart w:id="17" w:name="_Toc379376189"/>
      <w:bookmarkStart w:id="18" w:name="_Toc381286069"/>
      <w:bookmarkStart w:id="19" w:name="_Toc381286102"/>
      <w:r w:rsidRPr="008E042D">
        <w:rPr>
          <w:rFonts w:ascii="Calibri" w:hAnsi="Calibri" w:cs="Calibri"/>
          <w:color w:val="8064A2"/>
          <w:sz w:val="22"/>
          <w:szCs w:val="22"/>
        </w:rPr>
        <w:t>Doporučení: Věnovat pozornost pečlivému vyplnění přehledu dopadů k navrhovanému právnímu předpisu</w:t>
      </w:r>
      <w:bookmarkEnd w:id="14"/>
      <w:bookmarkEnd w:id="15"/>
      <w:bookmarkEnd w:id="16"/>
      <w:bookmarkEnd w:id="17"/>
      <w:bookmarkEnd w:id="18"/>
      <w:bookmarkEnd w:id="19"/>
    </w:p>
    <w:p w:rsidR="00B24F27" w:rsidRPr="00B24F27" w:rsidRDefault="008870E9" w:rsidP="00930F5F">
      <w:pPr>
        <w:tabs>
          <w:tab w:val="left" w:pos="0"/>
        </w:tabs>
        <w:spacing w:before="120"/>
        <w:jc w:val="both"/>
        <w:rPr>
          <w:rFonts w:cs="Calibri"/>
        </w:rPr>
      </w:pPr>
      <w:r w:rsidRPr="00C35D56">
        <w:rPr>
          <w:rFonts w:cs="Calibri"/>
        </w:rPr>
        <w:t xml:space="preserve">Přehled dopadů je zpracováván jako základní zdůvodnění pro </w:t>
      </w:r>
      <w:r w:rsidR="005C2F02">
        <w:rPr>
          <w:rFonts w:cs="Calibri"/>
        </w:rPr>
        <w:t>rozhodnutí o nutnosti</w:t>
      </w:r>
      <w:r w:rsidR="005C2F02" w:rsidRPr="00C35D56">
        <w:rPr>
          <w:rFonts w:cs="Calibri"/>
        </w:rPr>
        <w:t xml:space="preserve"> </w:t>
      </w:r>
      <w:r w:rsidRPr="00C35D56">
        <w:rPr>
          <w:rFonts w:cs="Calibri"/>
        </w:rPr>
        <w:t xml:space="preserve">zpracování RIA, který je předkládán k nezávislému posouzení členům Komise RIA. </w:t>
      </w:r>
      <w:r w:rsidR="00B24F27" w:rsidRPr="00B24F27">
        <w:rPr>
          <w:rFonts w:cs="Calibri"/>
        </w:rPr>
        <w:t>Vypracování přehledu dopadů se stalo již standardní součástí legislati</w:t>
      </w:r>
      <w:r w:rsidR="00B24F27">
        <w:rPr>
          <w:rFonts w:cs="Calibri"/>
        </w:rPr>
        <w:t>vního procesu v rámci přípravy P</w:t>
      </w:r>
      <w:r w:rsidR="00B24F27" w:rsidRPr="00B24F27">
        <w:rPr>
          <w:rFonts w:cs="Calibri"/>
        </w:rPr>
        <w:t xml:space="preserve">lánu, nikoli však v případech předkládání </w:t>
      </w:r>
      <w:r w:rsidR="005C2F02">
        <w:rPr>
          <w:rFonts w:cs="Calibri"/>
        </w:rPr>
        <w:t>žádostí o výjimku z</w:t>
      </w:r>
      <w:r w:rsidR="00CE118A">
        <w:rPr>
          <w:rFonts w:cs="Calibri"/>
        </w:rPr>
        <w:t xml:space="preserve"> provedení </w:t>
      </w:r>
      <w:r w:rsidR="005C2F02">
        <w:rPr>
          <w:rFonts w:cs="Calibri"/>
        </w:rPr>
        <w:t>RIA u</w:t>
      </w:r>
      <w:r w:rsidR="00CE118A">
        <w:rPr>
          <w:rFonts w:cs="Calibri"/>
        </w:rPr>
        <w:t> </w:t>
      </w:r>
      <w:r w:rsidR="00B24F27" w:rsidRPr="00B24F27">
        <w:rPr>
          <w:rFonts w:cs="Calibri"/>
        </w:rPr>
        <w:t xml:space="preserve">návrhů </w:t>
      </w:r>
      <w:r w:rsidR="005C2F02">
        <w:rPr>
          <w:rFonts w:cs="Calibri"/>
        </w:rPr>
        <w:t xml:space="preserve">právních </w:t>
      </w:r>
      <w:r w:rsidR="00B24F27" w:rsidRPr="00B24F27">
        <w:rPr>
          <w:rFonts w:cs="Calibri"/>
        </w:rPr>
        <w:t xml:space="preserve">předpisů </w:t>
      </w:r>
      <w:r w:rsidR="005C2F02">
        <w:rPr>
          <w:rFonts w:cs="Calibri"/>
        </w:rPr>
        <w:t>předkládaných</w:t>
      </w:r>
      <w:r w:rsidR="00B24F27">
        <w:rPr>
          <w:rFonts w:cs="Calibri"/>
        </w:rPr>
        <w:t xml:space="preserve"> mimo</w:t>
      </w:r>
      <w:r w:rsidR="00B24F27" w:rsidRPr="00B24F27">
        <w:rPr>
          <w:rFonts w:cs="Calibri"/>
        </w:rPr>
        <w:t xml:space="preserve"> </w:t>
      </w:r>
      <w:r w:rsidR="005F4348">
        <w:rPr>
          <w:rFonts w:cs="Calibri"/>
        </w:rPr>
        <w:t>P</w:t>
      </w:r>
      <w:r w:rsidR="00B24F27" w:rsidRPr="00B24F27">
        <w:rPr>
          <w:rFonts w:cs="Calibri"/>
        </w:rPr>
        <w:t xml:space="preserve">lán. Objevují se případy, kdy jsou žádosti o výjimku z vypracování RIA předkládány bez přiloženého </w:t>
      </w:r>
      <w:r w:rsidR="005C2F02">
        <w:rPr>
          <w:rFonts w:cs="Calibri"/>
        </w:rPr>
        <w:t>p</w:t>
      </w:r>
      <w:r w:rsidR="005C2F02" w:rsidRPr="00B24F27">
        <w:rPr>
          <w:rFonts w:cs="Calibri"/>
        </w:rPr>
        <w:t xml:space="preserve">řehledu </w:t>
      </w:r>
      <w:r w:rsidR="00B24F27" w:rsidRPr="00B24F27">
        <w:rPr>
          <w:rFonts w:cs="Calibri"/>
        </w:rPr>
        <w:t>dopadů, což komisi nedává možnost řádného posouzení, zda v uvedeném případě má být RIA vypracována</w:t>
      </w:r>
      <w:r w:rsidR="005C2F02">
        <w:rPr>
          <w:rFonts w:cs="Calibri"/>
        </w:rPr>
        <w:t xml:space="preserve">, či nikoliv, </w:t>
      </w:r>
      <w:r w:rsidR="00B24F27" w:rsidRPr="00B24F27">
        <w:rPr>
          <w:rFonts w:cs="Calibri"/>
        </w:rPr>
        <w:t>a</w:t>
      </w:r>
      <w:r w:rsidR="002E2502">
        <w:rPr>
          <w:rFonts w:cs="Calibri"/>
        </w:rPr>
        <w:t> </w:t>
      </w:r>
      <w:r w:rsidR="00B24F27" w:rsidRPr="00B24F27">
        <w:rPr>
          <w:rFonts w:cs="Calibri"/>
        </w:rPr>
        <w:t xml:space="preserve">žádosti nemůže být vyhověno. </w:t>
      </w:r>
    </w:p>
    <w:p w:rsidR="00EF5E06" w:rsidRPr="00C35D56" w:rsidRDefault="002E2502" w:rsidP="00EF5E06">
      <w:pPr>
        <w:spacing w:before="120"/>
        <w:jc w:val="both"/>
        <w:rPr>
          <w:rFonts w:cs="Calibri"/>
        </w:rPr>
      </w:pPr>
      <w:r>
        <w:rPr>
          <w:rFonts w:cs="Calibri"/>
        </w:rPr>
        <w:t xml:space="preserve">. </w:t>
      </w:r>
      <w:r w:rsidR="00EF5E06" w:rsidRPr="00C35D56">
        <w:rPr>
          <w:rFonts w:cs="Calibri"/>
        </w:rPr>
        <w:t>Je</w:t>
      </w:r>
      <w:r w:rsidR="005C2F02">
        <w:rPr>
          <w:rFonts w:cs="Calibri"/>
        </w:rPr>
        <w:t xml:space="preserve"> proto vždy</w:t>
      </w:r>
      <w:r w:rsidR="00EF5E06" w:rsidRPr="00C35D56">
        <w:rPr>
          <w:rFonts w:cs="Calibri"/>
        </w:rPr>
        <w:t xml:space="preserve"> nutné přistoupit</w:t>
      </w:r>
      <w:r w:rsidR="00B24F27">
        <w:rPr>
          <w:rFonts w:cs="Calibri"/>
        </w:rPr>
        <w:t xml:space="preserve"> </w:t>
      </w:r>
      <w:r w:rsidR="00EF5E06" w:rsidRPr="00C35D56">
        <w:rPr>
          <w:rFonts w:cs="Calibri"/>
        </w:rPr>
        <w:t xml:space="preserve">k věcné analýze problému, bez něhož ani správné </w:t>
      </w:r>
      <w:r w:rsidR="005C2F02">
        <w:rPr>
          <w:rFonts w:cs="Calibri"/>
        </w:rPr>
        <w:t xml:space="preserve">rozpracování </w:t>
      </w:r>
      <w:r w:rsidR="00EF5E06" w:rsidRPr="00C35D56">
        <w:rPr>
          <w:rFonts w:cs="Calibri"/>
        </w:rPr>
        <w:t>popis</w:t>
      </w:r>
      <w:r w:rsidR="005C2F02">
        <w:rPr>
          <w:rFonts w:cs="Calibri"/>
        </w:rPr>
        <w:t>u</w:t>
      </w:r>
      <w:r w:rsidR="00EF5E06" w:rsidRPr="00C35D56">
        <w:rPr>
          <w:rFonts w:cs="Calibri"/>
        </w:rPr>
        <w:t xml:space="preserve"> </w:t>
      </w:r>
      <w:r w:rsidR="00CE118A">
        <w:rPr>
          <w:rFonts w:cs="Calibri"/>
        </w:rPr>
        <w:t xml:space="preserve">problému </w:t>
      </w:r>
      <w:r w:rsidR="00EF5E06" w:rsidRPr="00C35D56">
        <w:rPr>
          <w:rFonts w:cs="Calibri"/>
        </w:rPr>
        <w:t>v</w:t>
      </w:r>
      <w:r w:rsidR="008870E9">
        <w:rPr>
          <w:rFonts w:cs="Calibri"/>
        </w:rPr>
        <w:t> </w:t>
      </w:r>
      <w:r w:rsidR="00EF5E06" w:rsidRPr="00C35D56">
        <w:rPr>
          <w:rFonts w:cs="Calibri"/>
        </w:rPr>
        <w:t>přehledu dopadů není možn</w:t>
      </w:r>
      <w:r w:rsidR="005C2F02">
        <w:rPr>
          <w:rFonts w:cs="Calibri"/>
        </w:rPr>
        <w:t>é</w:t>
      </w:r>
      <w:r w:rsidR="00EF5E06" w:rsidRPr="00C35D56">
        <w:rPr>
          <w:rFonts w:cs="Calibri"/>
        </w:rPr>
        <w:t xml:space="preserve">. Pokud </w:t>
      </w:r>
      <w:r w:rsidR="00CE118A">
        <w:rPr>
          <w:rFonts w:cs="Calibri"/>
        </w:rPr>
        <w:t xml:space="preserve">zpracování </w:t>
      </w:r>
      <w:r w:rsidR="00EF5E06" w:rsidRPr="00C35D56">
        <w:rPr>
          <w:rFonts w:cs="Calibri"/>
        </w:rPr>
        <w:t>RIA</w:t>
      </w:r>
      <w:r>
        <w:rPr>
          <w:rFonts w:cs="Calibri"/>
        </w:rPr>
        <w:t xml:space="preserve"> </w:t>
      </w:r>
      <w:r w:rsidR="00CE118A">
        <w:rPr>
          <w:rFonts w:cs="Calibri"/>
        </w:rPr>
        <w:t xml:space="preserve">není </w:t>
      </w:r>
      <w:r w:rsidR="00CE118A" w:rsidRPr="00C35D56">
        <w:rPr>
          <w:rFonts w:cs="Calibri"/>
        </w:rPr>
        <w:t>z pohledu předkladatele odůvodněn</w:t>
      </w:r>
      <w:r w:rsidR="00CE118A">
        <w:rPr>
          <w:rFonts w:cs="Calibri"/>
        </w:rPr>
        <w:t xml:space="preserve">é, </w:t>
      </w:r>
      <w:r w:rsidR="00CE118A" w:rsidRPr="00C35D56">
        <w:rPr>
          <w:rFonts w:cs="Calibri"/>
        </w:rPr>
        <w:t>je nutné tuto skutečnost dostatečně srozumitelně popsat a zdůvodnit v přehledu dopadů i z pohledu nezainteresovaného čtenáře</w:t>
      </w:r>
      <w:r w:rsidR="00CE118A">
        <w:rPr>
          <w:rFonts w:cs="Calibri"/>
        </w:rPr>
        <w:t xml:space="preserve">, a to jak při přípravě </w:t>
      </w:r>
      <w:r w:rsidR="00CE118A">
        <w:rPr>
          <w:rFonts w:cs="Calibri"/>
        </w:rPr>
        <w:lastRenderedPageBreak/>
        <w:t>podkladů pro Plán,</w:t>
      </w:r>
      <w:r w:rsidR="00A946FF">
        <w:rPr>
          <w:rFonts w:cs="Calibri"/>
        </w:rPr>
        <w:t xml:space="preserve"> tak i </w:t>
      </w:r>
      <w:r w:rsidR="00CE118A">
        <w:rPr>
          <w:rFonts w:cs="Calibri"/>
        </w:rPr>
        <w:t xml:space="preserve">v případě zasílání </w:t>
      </w:r>
      <w:r>
        <w:rPr>
          <w:rFonts w:cs="Calibri"/>
        </w:rPr>
        <w:t xml:space="preserve">žádosti o výjimku </w:t>
      </w:r>
      <w:r w:rsidR="00CE118A">
        <w:rPr>
          <w:rFonts w:cs="Calibri"/>
        </w:rPr>
        <w:t xml:space="preserve">z provedení RIA u návrhů právních předpisů předkládaných </w:t>
      </w:r>
      <w:r>
        <w:rPr>
          <w:rFonts w:cs="Calibri"/>
        </w:rPr>
        <w:t>mimo Plán</w:t>
      </w:r>
      <w:r w:rsidR="00CE118A">
        <w:rPr>
          <w:rFonts w:cs="Calibri"/>
        </w:rPr>
        <w:t>.</w:t>
      </w:r>
      <w:r w:rsidR="00EF5E06" w:rsidRPr="00C35D56">
        <w:rPr>
          <w:rFonts w:cs="Calibri"/>
        </w:rPr>
        <w:t xml:space="preserve"> Přehled</w:t>
      </w:r>
      <w:r w:rsidR="005C2F02">
        <w:rPr>
          <w:rFonts w:cs="Calibri"/>
        </w:rPr>
        <w:t>y</w:t>
      </w:r>
      <w:r w:rsidR="00EF5E06" w:rsidRPr="00C35D56">
        <w:rPr>
          <w:rFonts w:cs="Calibri"/>
        </w:rPr>
        <w:t xml:space="preserve"> dopadů by měl</w:t>
      </w:r>
      <w:r w:rsidR="005C2F02">
        <w:rPr>
          <w:rFonts w:cs="Calibri"/>
        </w:rPr>
        <w:t>y</w:t>
      </w:r>
      <w:r w:rsidR="00EF5E06" w:rsidRPr="00C35D56">
        <w:rPr>
          <w:rFonts w:cs="Calibri"/>
        </w:rPr>
        <w:t xml:space="preserve"> být za tímto účelem vždy připravován</w:t>
      </w:r>
      <w:r w:rsidR="005C2F02">
        <w:rPr>
          <w:rFonts w:cs="Calibri"/>
        </w:rPr>
        <w:t>y</w:t>
      </w:r>
      <w:r w:rsidR="00EF5E06" w:rsidRPr="00C35D56">
        <w:rPr>
          <w:rFonts w:cs="Calibri"/>
        </w:rPr>
        <w:t xml:space="preserve"> ve spolupráci legislativních a věcně příslušných útvarů. </w:t>
      </w:r>
    </w:p>
    <w:p w:rsidR="00EF5E06" w:rsidRPr="008E042D" w:rsidRDefault="00EF5E06" w:rsidP="00EF5E06">
      <w:pPr>
        <w:pStyle w:val="Nadpis2"/>
        <w:numPr>
          <w:ilvl w:val="1"/>
          <w:numId w:val="1"/>
        </w:numPr>
        <w:spacing w:after="240"/>
        <w:jc w:val="both"/>
        <w:rPr>
          <w:rFonts w:ascii="Calibri" w:hAnsi="Calibri" w:cs="Calibri"/>
          <w:color w:val="8064A2"/>
          <w:sz w:val="22"/>
          <w:szCs w:val="22"/>
        </w:rPr>
      </w:pPr>
      <w:bookmarkStart w:id="20" w:name="_Toc344989947"/>
      <w:bookmarkStart w:id="21" w:name="_Toc346878646"/>
      <w:bookmarkStart w:id="22" w:name="_Toc346879271"/>
      <w:bookmarkStart w:id="23" w:name="_Toc379376190"/>
      <w:bookmarkStart w:id="24" w:name="_Toc381286070"/>
      <w:bookmarkStart w:id="25" w:name="_Toc381286103"/>
      <w:r w:rsidRPr="008E042D">
        <w:rPr>
          <w:rFonts w:ascii="Calibri" w:hAnsi="Calibri" w:cs="Calibri"/>
          <w:color w:val="8064A2"/>
          <w:sz w:val="22"/>
          <w:szCs w:val="22"/>
        </w:rPr>
        <w:t xml:space="preserve">Doporučení: Hodnocení dopadů regulace představuje celý proces přípravy, vzniku a následného procesu schvalování návrhu právního předpisu, nikoli pouze zpracování </w:t>
      </w:r>
      <w:r w:rsidR="005C2F02">
        <w:rPr>
          <w:rFonts w:ascii="Calibri" w:hAnsi="Calibri" w:cs="Calibri"/>
          <w:color w:val="8064A2"/>
          <w:sz w:val="22"/>
          <w:szCs w:val="22"/>
        </w:rPr>
        <w:t>z</w:t>
      </w:r>
      <w:r w:rsidR="005C2F02" w:rsidRPr="008E042D">
        <w:rPr>
          <w:rFonts w:ascii="Calibri" w:hAnsi="Calibri" w:cs="Calibri"/>
          <w:color w:val="8064A2"/>
          <w:sz w:val="22"/>
          <w:szCs w:val="22"/>
        </w:rPr>
        <w:t xml:space="preserve">ávěrečné </w:t>
      </w:r>
      <w:r w:rsidRPr="008E042D">
        <w:rPr>
          <w:rFonts w:ascii="Calibri" w:hAnsi="Calibri" w:cs="Calibri"/>
          <w:color w:val="8064A2"/>
          <w:sz w:val="22"/>
          <w:szCs w:val="22"/>
        </w:rPr>
        <w:t>zprávy RIA</w:t>
      </w:r>
      <w:bookmarkEnd w:id="20"/>
      <w:bookmarkEnd w:id="21"/>
      <w:bookmarkEnd w:id="22"/>
      <w:bookmarkEnd w:id="23"/>
      <w:bookmarkEnd w:id="24"/>
      <w:bookmarkEnd w:id="25"/>
    </w:p>
    <w:p w:rsidR="00A17D2B" w:rsidRDefault="00A17D2B" w:rsidP="00312DD5">
      <w:pPr>
        <w:tabs>
          <w:tab w:val="left" w:pos="0"/>
        </w:tabs>
        <w:spacing w:before="120"/>
        <w:jc w:val="both"/>
      </w:pPr>
      <w:r w:rsidRPr="00A17D2B">
        <w:rPr>
          <w:rFonts w:cs="Calibri"/>
        </w:rPr>
        <w:t xml:space="preserve">Proces hodnocení dopadů regulace představuje komplexní proces. </w:t>
      </w:r>
      <w:r>
        <w:t xml:space="preserve">OECD definuje </w:t>
      </w:r>
      <w:r w:rsidRPr="00F20FFE">
        <w:t xml:space="preserve">RIA </w:t>
      </w:r>
      <w:r>
        <w:t>jako</w:t>
      </w:r>
      <w:r w:rsidRPr="00F20FFE">
        <w:t xml:space="preserve"> soustav</w:t>
      </w:r>
      <w:r>
        <w:t>u</w:t>
      </w:r>
      <w:r w:rsidRPr="00F20FFE">
        <w:t xml:space="preserve"> metod směřujících k systematickému hodnocení negativních a pozitivních dopadů variant navrhované </w:t>
      </w:r>
      <w:r>
        <w:t xml:space="preserve">regulace </w:t>
      </w:r>
      <w:r w:rsidRPr="00F20FFE">
        <w:t>(</w:t>
      </w:r>
      <w:r>
        <w:t>tzv. RIA</w:t>
      </w:r>
      <w:r w:rsidRPr="000E318F">
        <w:t xml:space="preserve"> </w:t>
      </w:r>
      <w:r w:rsidRPr="00F20FFE">
        <w:t>ex</w:t>
      </w:r>
      <w:r>
        <w:t>-</w:t>
      </w:r>
      <w:r w:rsidRPr="00F20FFE">
        <w:t>ante) či existující regulace</w:t>
      </w:r>
      <w:r>
        <w:t xml:space="preserve"> </w:t>
      </w:r>
      <w:r w:rsidRPr="00F20FFE">
        <w:t>(</w:t>
      </w:r>
      <w:r>
        <w:t>RIA</w:t>
      </w:r>
      <w:r w:rsidRPr="000E318F">
        <w:t xml:space="preserve"> </w:t>
      </w:r>
      <w:r w:rsidRPr="00F20FFE">
        <w:t>ex</w:t>
      </w:r>
      <w:r>
        <w:t>-</w:t>
      </w:r>
      <w:r w:rsidRPr="00F20FFE">
        <w:t xml:space="preserve">post). </w:t>
      </w:r>
      <w:r>
        <w:t xml:space="preserve">V České republice je vyžadováno provedení RIA před rozhodnutím o </w:t>
      </w:r>
      <w:r w:rsidRPr="000A7389">
        <w:t>legislativním způsobu řešení problému</w:t>
      </w:r>
      <w:r>
        <w:t xml:space="preserve">. </w:t>
      </w:r>
    </w:p>
    <w:p w:rsidR="00EF5E06" w:rsidRPr="00C35D56" w:rsidRDefault="00EF5E06" w:rsidP="00EF5E06">
      <w:pPr>
        <w:spacing w:before="120"/>
        <w:jc w:val="both"/>
        <w:rPr>
          <w:rFonts w:cs="Calibri"/>
        </w:rPr>
      </w:pPr>
      <w:r w:rsidRPr="00C35D56">
        <w:rPr>
          <w:rFonts w:cs="Calibri"/>
        </w:rPr>
        <w:t xml:space="preserve">RIA zdaleka </w:t>
      </w:r>
      <w:r w:rsidR="00B24F27">
        <w:rPr>
          <w:rFonts w:cs="Calibri"/>
        </w:rPr>
        <w:t xml:space="preserve">tedy </w:t>
      </w:r>
      <w:r w:rsidR="00E57A71">
        <w:rPr>
          <w:rFonts w:cs="Calibri"/>
        </w:rPr>
        <w:t>nepředstavuje</w:t>
      </w:r>
      <w:r w:rsidR="00E57A71" w:rsidRPr="00C35D56">
        <w:rPr>
          <w:rFonts w:cs="Calibri"/>
        </w:rPr>
        <w:t xml:space="preserve"> </w:t>
      </w:r>
      <w:r w:rsidRPr="00C35D56">
        <w:rPr>
          <w:rFonts w:cs="Calibri"/>
        </w:rPr>
        <w:t xml:space="preserve">jen výsledný dokument (věcný záměr zákona, respektive </w:t>
      </w:r>
      <w:r w:rsidR="00607CC0">
        <w:rPr>
          <w:rFonts w:cs="Calibri"/>
        </w:rPr>
        <w:t>z</w:t>
      </w:r>
      <w:r w:rsidR="00E57A71">
        <w:rPr>
          <w:rFonts w:cs="Calibri"/>
        </w:rPr>
        <w:t>ávěrečnou</w:t>
      </w:r>
      <w:r w:rsidR="00607CC0" w:rsidRPr="00C35D56">
        <w:rPr>
          <w:rFonts w:cs="Calibri"/>
        </w:rPr>
        <w:t xml:space="preserve"> </w:t>
      </w:r>
      <w:r w:rsidRPr="00C35D56">
        <w:rPr>
          <w:rFonts w:cs="Calibri"/>
        </w:rPr>
        <w:t>zpráv</w:t>
      </w:r>
      <w:r w:rsidR="00E57A71">
        <w:rPr>
          <w:rFonts w:cs="Calibri"/>
        </w:rPr>
        <w:t>u</w:t>
      </w:r>
      <w:r w:rsidRPr="00C35D56">
        <w:rPr>
          <w:rFonts w:cs="Calibri"/>
        </w:rPr>
        <w:t xml:space="preserve"> RIA apod.)</w:t>
      </w:r>
      <w:r w:rsidR="00E57A71">
        <w:rPr>
          <w:rFonts w:cs="Calibri"/>
        </w:rPr>
        <w:t>, v</w:t>
      </w:r>
      <w:r w:rsidRPr="00C35D56">
        <w:rPr>
          <w:rFonts w:cs="Calibri"/>
        </w:rPr>
        <w:t xml:space="preserve">ětšina zpracovatelů RIA však </w:t>
      </w:r>
      <w:r>
        <w:rPr>
          <w:rFonts w:cs="Calibri"/>
        </w:rPr>
        <w:t>takto omezeně RIA pojímá</w:t>
      </w:r>
      <w:r w:rsidR="008870E9">
        <w:rPr>
          <w:rFonts w:cs="Calibri"/>
        </w:rPr>
        <w:t xml:space="preserve"> </w:t>
      </w:r>
      <w:r w:rsidR="00B619DB">
        <w:rPr>
          <w:rFonts w:cs="Calibri"/>
        </w:rPr>
        <w:t>- snaží se pouze formálně naplnit požadavky dané Legislativními pravidly vlády a často zpracovávají závěrečnou zprávu RIA až před rozeslání</w:t>
      </w:r>
      <w:r w:rsidR="008870E9">
        <w:rPr>
          <w:rFonts w:cs="Calibri"/>
        </w:rPr>
        <w:t>m</w:t>
      </w:r>
      <w:r w:rsidR="00B619DB">
        <w:rPr>
          <w:rFonts w:cs="Calibri"/>
        </w:rPr>
        <w:t xml:space="preserve"> materiálu do připomínkového řízení, tedy až po sepsání návrhu právního předpisu.</w:t>
      </w:r>
      <w:r>
        <w:rPr>
          <w:rFonts w:cs="Calibri"/>
        </w:rPr>
        <w:t xml:space="preserve"> RIA</w:t>
      </w:r>
      <w:r w:rsidRPr="00C35D56">
        <w:rPr>
          <w:rFonts w:cs="Calibri"/>
        </w:rPr>
        <w:t xml:space="preserve"> </w:t>
      </w:r>
      <w:r w:rsidRPr="00EF2534">
        <w:rPr>
          <w:rFonts w:cs="Calibri"/>
        </w:rPr>
        <w:t>ve skutečnosti představuje celý proces vzniku regulace</w:t>
      </w:r>
      <w:r w:rsidRPr="00C35D56">
        <w:rPr>
          <w:rFonts w:cs="Calibri"/>
        </w:rPr>
        <w:t xml:space="preserve"> od identifikace problému, přes specifikaci možných variant řešení, posouzení jejich dopadů i při využití zpětné vazby z konzultací s dotčenými subjekty. </w:t>
      </w:r>
      <w:r w:rsidR="005C2F02">
        <w:rPr>
          <w:rFonts w:cs="Calibri"/>
        </w:rPr>
        <w:t xml:space="preserve">Z tohoto pohledu lze do procesu RIA zahrnout i zpracování nelegislativních materiálů v podobě koncepcí a strategií předkládaných vládě, které ale v návrhu řešení předurčují podobu následných věcných legislativních řešení. </w:t>
      </w:r>
      <w:r w:rsidRPr="00C35D56">
        <w:rPr>
          <w:rFonts w:cs="Calibri"/>
        </w:rPr>
        <w:t xml:space="preserve">Závěrečná zpráva RIA je </w:t>
      </w:r>
      <w:r w:rsidR="005C2F02">
        <w:rPr>
          <w:rFonts w:cs="Calibri"/>
        </w:rPr>
        <w:t xml:space="preserve">z tohoto pohledu </w:t>
      </w:r>
      <w:r w:rsidR="00AD1039">
        <w:rPr>
          <w:rFonts w:cs="Calibri"/>
        </w:rPr>
        <w:t xml:space="preserve">jen </w:t>
      </w:r>
      <w:r w:rsidR="008870E9">
        <w:rPr>
          <w:rFonts w:cs="Calibri"/>
        </w:rPr>
        <w:t xml:space="preserve">výsledným </w:t>
      </w:r>
      <w:r w:rsidRPr="00C35D56">
        <w:rPr>
          <w:rFonts w:cs="Calibri"/>
        </w:rPr>
        <w:t xml:space="preserve">analytickým dokumentem shrnujícím výsledky </w:t>
      </w:r>
      <w:r w:rsidR="005C2F02">
        <w:rPr>
          <w:rFonts w:cs="Calibri"/>
        </w:rPr>
        <w:t xml:space="preserve">celého předchozího </w:t>
      </w:r>
      <w:r w:rsidRPr="00C35D56">
        <w:rPr>
          <w:rFonts w:cs="Calibri"/>
        </w:rPr>
        <w:t xml:space="preserve">procesu ve fázi, kdy je návrh právního předpisu předkládán </w:t>
      </w:r>
      <w:r w:rsidR="00F56CC9">
        <w:rPr>
          <w:rFonts w:cs="Calibri"/>
        </w:rPr>
        <w:t xml:space="preserve">vládě </w:t>
      </w:r>
      <w:r w:rsidRPr="00C35D56">
        <w:rPr>
          <w:rFonts w:cs="Calibri"/>
        </w:rPr>
        <w:t>k posouzení a</w:t>
      </w:r>
      <w:r w:rsidR="008870E9">
        <w:rPr>
          <w:rFonts w:cs="Calibri"/>
        </w:rPr>
        <w:t> </w:t>
      </w:r>
      <w:r w:rsidRPr="00C35D56">
        <w:rPr>
          <w:rFonts w:cs="Calibri"/>
        </w:rPr>
        <w:t>schválení.</w:t>
      </w:r>
    </w:p>
    <w:p w:rsidR="00EF5E06" w:rsidRPr="008E042D" w:rsidRDefault="00EF5E06" w:rsidP="00EF5E06">
      <w:pPr>
        <w:pStyle w:val="Nadpis2"/>
        <w:numPr>
          <w:ilvl w:val="1"/>
          <w:numId w:val="1"/>
        </w:numPr>
        <w:spacing w:after="240"/>
        <w:jc w:val="both"/>
        <w:rPr>
          <w:rFonts w:ascii="Calibri" w:hAnsi="Calibri" w:cs="Calibri"/>
          <w:color w:val="8064A2"/>
          <w:sz w:val="22"/>
          <w:szCs w:val="22"/>
        </w:rPr>
      </w:pPr>
      <w:bookmarkStart w:id="26" w:name="_Toc344989948"/>
      <w:bookmarkStart w:id="27" w:name="_Toc346878647"/>
      <w:bookmarkStart w:id="28" w:name="_Toc346879272"/>
      <w:bookmarkStart w:id="29" w:name="_Toc379376191"/>
      <w:bookmarkStart w:id="30" w:name="_Toc381286071"/>
      <w:bookmarkStart w:id="31" w:name="_Toc381286104"/>
      <w:r w:rsidRPr="008E042D">
        <w:rPr>
          <w:rFonts w:ascii="Calibri" w:hAnsi="Calibri" w:cs="Calibri"/>
          <w:color w:val="8064A2"/>
          <w:sz w:val="22"/>
          <w:szCs w:val="22"/>
        </w:rPr>
        <w:t>Doporučení: Zpracování hodnocení dopadů regulace vyžaduje dostupnost relevantních dat a podkladových analýz, jejichž příprava může vyžadovat dodatečný čas, který je potřeba zohlednit při plánování harmonogramu zpracování návrhu</w:t>
      </w:r>
      <w:bookmarkEnd w:id="26"/>
      <w:bookmarkEnd w:id="27"/>
      <w:bookmarkEnd w:id="28"/>
      <w:bookmarkEnd w:id="29"/>
      <w:bookmarkEnd w:id="30"/>
      <w:bookmarkEnd w:id="31"/>
    </w:p>
    <w:p w:rsidR="00362EE3" w:rsidRDefault="00EF5E06" w:rsidP="00E4495D">
      <w:pPr>
        <w:spacing w:before="120"/>
        <w:jc w:val="both"/>
        <w:rPr>
          <w:rFonts w:cs="Calibri"/>
        </w:rPr>
      </w:pPr>
      <w:r w:rsidRPr="00C35D56">
        <w:rPr>
          <w:rFonts w:cs="Calibri"/>
        </w:rPr>
        <w:t xml:space="preserve">Zpracování plnohodnotné RIA zpravidla vyžaduje kvalitní podkladové analýzy a data. V řadě případů takové analýzy není schopen realizovat resort vlastními odbornými silami. </w:t>
      </w:r>
      <w:r w:rsidR="005C2F02">
        <w:rPr>
          <w:rFonts w:cs="Calibri"/>
        </w:rPr>
        <w:t>Analýza</w:t>
      </w:r>
      <w:r w:rsidR="005C2F02" w:rsidRPr="005B12B4">
        <w:rPr>
          <w:rFonts w:cs="Calibri"/>
        </w:rPr>
        <w:t xml:space="preserve"> dat a </w:t>
      </w:r>
      <w:r w:rsidR="005C2F02">
        <w:rPr>
          <w:rFonts w:cs="Calibri"/>
        </w:rPr>
        <w:t>současného stavu</w:t>
      </w:r>
      <w:r w:rsidR="005C2F02" w:rsidRPr="005B12B4">
        <w:rPr>
          <w:rFonts w:cs="Calibri"/>
        </w:rPr>
        <w:t xml:space="preserve"> jsou nezbytné </w:t>
      </w:r>
      <w:r w:rsidR="005C2F02">
        <w:rPr>
          <w:rFonts w:cs="Calibri"/>
        </w:rPr>
        <w:t>nejen pro samotné zpracování R</w:t>
      </w:r>
      <w:r w:rsidR="005C2F02" w:rsidRPr="005B12B4">
        <w:rPr>
          <w:rFonts w:cs="Calibri"/>
        </w:rPr>
        <w:t>I</w:t>
      </w:r>
      <w:r w:rsidR="005C2F02">
        <w:rPr>
          <w:rFonts w:cs="Calibri"/>
        </w:rPr>
        <w:t xml:space="preserve">A, ale mají dopad na samotnou kvalitu související </w:t>
      </w:r>
      <w:r w:rsidR="005C2F02" w:rsidRPr="005B12B4">
        <w:rPr>
          <w:rFonts w:cs="Calibri"/>
        </w:rPr>
        <w:t>právní úpravy</w:t>
      </w:r>
      <w:r w:rsidR="00362EE3">
        <w:rPr>
          <w:rFonts w:cs="Calibri"/>
        </w:rPr>
        <w:t>.</w:t>
      </w:r>
    </w:p>
    <w:p w:rsidR="0018632C" w:rsidRDefault="00E4495D" w:rsidP="00E4495D">
      <w:pPr>
        <w:spacing w:before="120"/>
        <w:jc w:val="both"/>
        <w:rPr>
          <w:rFonts w:cs="Calibri"/>
        </w:rPr>
      </w:pPr>
      <w:r>
        <w:rPr>
          <w:rFonts w:cs="Calibri"/>
        </w:rPr>
        <w:t xml:space="preserve">Na druhou stranu resorty velmi často disponují různými daty a analýzami </w:t>
      </w:r>
      <w:r w:rsidR="00F56529">
        <w:rPr>
          <w:rFonts w:cs="Calibri"/>
        </w:rPr>
        <w:t>zpracovávaný</w:t>
      </w:r>
      <w:r>
        <w:rPr>
          <w:rFonts w:cs="Calibri"/>
        </w:rPr>
        <w:t xml:space="preserve">mi vlastními </w:t>
      </w:r>
      <w:r w:rsidR="0018632C">
        <w:rPr>
          <w:rFonts w:cs="Calibri"/>
        </w:rPr>
        <w:t xml:space="preserve">odbory či </w:t>
      </w:r>
      <w:r>
        <w:rPr>
          <w:rFonts w:cs="Calibri"/>
        </w:rPr>
        <w:t xml:space="preserve">resortními výzkumnými ústavy, ale neumí </w:t>
      </w:r>
      <w:r w:rsidR="00F56529">
        <w:rPr>
          <w:rFonts w:cs="Calibri"/>
        </w:rPr>
        <w:t>či nemají zájem na tom, aby tato data byla při zpracování RIA</w:t>
      </w:r>
      <w:r>
        <w:rPr>
          <w:rFonts w:cs="Calibri"/>
        </w:rPr>
        <w:t xml:space="preserve"> </w:t>
      </w:r>
      <w:r w:rsidR="0018632C">
        <w:rPr>
          <w:rFonts w:cs="Calibri"/>
        </w:rPr>
        <w:t>plně využita</w:t>
      </w:r>
      <w:r>
        <w:rPr>
          <w:rFonts w:cs="Calibri"/>
        </w:rPr>
        <w:t xml:space="preserve">. Častým problémem je </w:t>
      </w:r>
      <w:r w:rsidR="0018632C">
        <w:rPr>
          <w:rFonts w:cs="Calibri"/>
        </w:rPr>
        <w:t>také</w:t>
      </w:r>
      <w:r w:rsidR="00F56529">
        <w:rPr>
          <w:rFonts w:cs="Calibri"/>
        </w:rPr>
        <w:t xml:space="preserve"> </w:t>
      </w:r>
      <w:r>
        <w:rPr>
          <w:rFonts w:cs="Calibri"/>
        </w:rPr>
        <w:t xml:space="preserve">absence </w:t>
      </w:r>
      <w:r w:rsidR="00B619DB">
        <w:rPr>
          <w:rFonts w:cs="Calibri"/>
        </w:rPr>
        <w:t>odpovídajícího</w:t>
      </w:r>
      <w:r>
        <w:rPr>
          <w:rFonts w:cs="Calibri"/>
        </w:rPr>
        <w:t xml:space="preserve"> mezinárodního srovnání (v rámci EU, OECD</w:t>
      </w:r>
      <w:r w:rsidR="00F56529">
        <w:rPr>
          <w:rFonts w:cs="Calibri"/>
        </w:rPr>
        <w:t>, či alespoň geograficky nejbližších sousedních zemí</w:t>
      </w:r>
      <w:r>
        <w:rPr>
          <w:rFonts w:cs="Calibri"/>
        </w:rPr>
        <w:t xml:space="preserve"> apod.)</w:t>
      </w:r>
      <w:r w:rsidR="00F56529">
        <w:rPr>
          <w:rFonts w:cs="Calibri"/>
        </w:rPr>
        <w:t>.</w:t>
      </w:r>
      <w:r>
        <w:rPr>
          <w:rFonts w:cs="Calibri"/>
        </w:rPr>
        <w:t xml:space="preserve"> </w:t>
      </w:r>
      <w:r w:rsidR="00B619DB">
        <w:rPr>
          <w:rFonts w:cs="Calibri"/>
        </w:rPr>
        <w:t xml:space="preserve">Pro tyto účely </w:t>
      </w:r>
      <w:r>
        <w:rPr>
          <w:rFonts w:cs="Calibri"/>
        </w:rPr>
        <w:t xml:space="preserve">je možno </w:t>
      </w:r>
      <w:r w:rsidR="00F21CE8">
        <w:rPr>
          <w:rFonts w:cs="Calibri"/>
        </w:rPr>
        <w:t xml:space="preserve">alespoň v některých případech </w:t>
      </w:r>
      <w:r>
        <w:rPr>
          <w:rFonts w:cs="Calibri"/>
        </w:rPr>
        <w:t xml:space="preserve">využít zpracovaných </w:t>
      </w:r>
      <w:r w:rsidR="00B619DB">
        <w:rPr>
          <w:rFonts w:cs="Calibri"/>
        </w:rPr>
        <w:t xml:space="preserve">hodnocení </w:t>
      </w:r>
      <w:r>
        <w:rPr>
          <w:rFonts w:cs="Calibri"/>
        </w:rPr>
        <w:t xml:space="preserve">dopadů </w:t>
      </w:r>
      <w:r w:rsidR="00B619DB">
        <w:rPr>
          <w:rFonts w:cs="Calibri"/>
        </w:rPr>
        <w:t>(</w:t>
      </w:r>
      <w:proofErr w:type="spellStart"/>
      <w:r w:rsidR="00B619DB" w:rsidRPr="00312DD5">
        <w:rPr>
          <w:rFonts w:cs="Calibri"/>
          <w:i/>
        </w:rPr>
        <w:t>impact</w:t>
      </w:r>
      <w:proofErr w:type="spellEnd"/>
      <w:r w:rsidR="00B619DB" w:rsidRPr="00312DD5">
        <w:rPr>
          <w:rFonts w:cs="Calibri"/>
          <w:i/>
        </w:rPr>
        <w:t xml:space="preserve"> </w:t>
      </w:r>
      <w:proofErr w:type="spellStart"/>
      <w:r w:rsidR="00B619DB" w:rsidRPr="00312DD5">
        <w:rPr>
          <w:rFonts w:cs="Calibri"/>
          <w:i/>
        </w:rPr>
        <w:t>assessment</w:t>
      </w:r>
      <w:r w:rsidR="008870E9">
        <w:rPr>
          <w:rFonts w:cs="Calibri"/>
        </w:rPr>
        <w:t>s</w:t>
      </w:r>
      <w:proofErr w:type="spellEnd"/>
      <w:r w:rsidR="00B619DB">
        <w:rPr>
          <w:rFonts w:cs="Calibri"/>
        </w:rPr>
        <w:t xml:space="preserve">) </w:t>
      </w:r>
      <w:r>
        <w:rPr>
          <w:rFonts w:cs="Calibri"/>
        </w:rPr>
        <w:t>Evropsk</w:t>
      </w:r>
      <w:r w:rsidR="00B619DB">
        <w:rPr>
          <w:rFonts w:cs="Calibri"/>
        </w:rPr>
        <w:t>ou</w:t>
      </w:r>
      <w:r>
        <w:rPr>
          <w:rFonts w:cs="Calibri"/>
        </w:rPr>
        <w:t xml:space="preserve"> komis</w:t>
      </w:r>
      <w:r w:rsidR="00B619DB">
        <w:rPr>
          <w:rFonts w:cs="Calibri"/>
        </w:rPr>
        <w:t>í</w:t>
      </w:r>
      <w:r>
        <w:rPr>
          <w:rFonts w:cs="Calibri"/>
        </w:rPr>
        <w:t xml:space="preserve">, která zpracovává dopadovou studii ke každému </w:t>
      </w:r>
      <w:r w:rsidR="005C2F02">
        <w:rPr>
          <w:rFonts w:cs="Calibri"/>
        </w:rPr>
        <w:t xml:space="preserve">návrhu </w:t>
      </w:r>
      <w:r>
        <w:rPr>
          <w:rFonts w:cs="Calibri"/>
        </w:rPr>
        <w:t>právní</w:t>
      </w:r>
      <w:r w:rsidR="005C2F02">
        <w:rPr>
          <w:rFonts w:cs="Calibri"/>
        </w:rPr>
        <w:t>ho</w:t>
      </w:r>
      <w:r>
        <w:rPr>
          <w:rFonts w:cs="Calibri"/>
        </w:rPr>
        <w:t xml:space="preserve"> aktu. </w:t>
      </w:r>
    </w:p>
    <w:p w:rsidR="00E4495D" w:rsidRPr="00C35D56" w:rsidRDefault="00F56529" w:rsidP="00EF5E06">
      <w:pPr>
        <w:spacing w:before="120"/>
        <w:jc w:val="both"/>
        <w:rPr>
          <w:rFonts w:cs="Calibri"/>
        </w:rPr>
      </w:pPr>
      <w:r w:rsidRPr="00C35D56">
        <w:rPr>
          <w:rFonts w:cs="Calibri"/>
        </w:rPr>
        <w:t xml:space="preserve">Doporučuje se proto, aby si resorty </w:t>
      </w:r>
      <w:r w:rsidRPr="0045276F">
        <w:rPr>
          <w:rFonts w:cs="Calibri"/>
        </w:rPr>
        <w:t>včas, v případech, kdy je příprava nového právního předpisu dlouhodobě plánována</w:t>
      </w:r>
      <w:r w:rsidR="0018632C" w:rsidRPr="0045276F">
        <w:rPr>
          <w:rFonts w:cs="Calibri"/>
        </w:rPr>
        <w:t xml:space="preserve"> a resort si je vědom absence disponibilních dat pro věcný a detailní popis problému a vyhodnocení dopadů variantního posouzení</w:t>
      </w:r>
      <w:r w:rsidR="008C36A7">
        <w:rPr>
          <w:rFonts w:cs="Calibri"/>
        </w:rPr>
        <w:t>,</w:t>
      </w:r>
      <w:r w:rsidRPr="003F29EE">
        <w:rPr>
          <w:rFonts w:cs="Calibri"/>
          <w:b/>
        </w:rPr>
        <w:t xml:space="preserve"> </w:t>
      </w:r>
      <w:r w:rsidRPr="00C35D56">
        <w:rPr>
          <w:rFonts w:cs="Calibri"/>
        </w:rPr>
        <w:t>externě zadávaly zpracování těchto podkladů</w:t>
      </w:r>
      <w:r w:rsidR="00362EE3">
        <w:rPr>
          <w:rFonts w:cs="Calibri"/>
        </w:rPr>
        <w:t>.</w:t>
      </w:r>
      <w:r w:rsidRPr="00C35D56">
        <w:rPr>
          <w:rFonts w:cs="Calibri"/>
        </w:rPr>
        <w:t xml:space="preserve"> </w:t>
      </w:r>
    </w:p>
    <w:p w:rsidR="00EF5E06" w:rsidRPr="008E042D" w:rsidRDefault="00EF5E06" w:rsidP="00EF5E06">
      <w:pPr>
        <w:pStyle w:val="Nadpis2"/>
        <w:numPr>
          <w:ilvl w:val="1"/>
          <w:numId w:val="1"/>
        </w:numPr>
        <w:jc w:val="both"/>
        <w:rPr>
          <w:rFonts w:ascii="Calibri" w:hAnsi="Calibri" w:cs="Calibri"/>
          <w:color w:val="8064A2"/>
          <w:sz w:val="22"/>
          <w:szCs w:val="22"/>
        </w:rPr>
      </w:pPr>
      <w:bookmarkStart w:id="32" w:name="_Toc344989949"/>
      <w:bookmarkStart w:id="33" w:name="_Toc346878648"/>
      <w:bookmarkStart w:id="34" w:name="_Toc346879273"/>
      <w:bookmarkStart w:id="35" w:name="_Toc379376192"/>
      <w:bookmarkStart w:id="36" w:name="_Toc381286072"/>
      <w:bookmarkStart w:id="37" w:name="_Toc381286105"/>
      <w:r w:rsidRPr="008E042D">
        <w:rPr>
          <w:rFonts w:ascii="Calibri" w:hAnsi="Calibri" w:cs="Calibri"/>
          <w:color w:val="8064A2"/>
          <w:sz w:val="22"/>
          <w:szCs w:val="22"/>
        </w:rPr>
        <w:t>Doporučení: Je nutné se vyvarovat formální definice variant</w:t>
      </w:r>
      <w:bookmarkEnd w:id="32"/>
      <w:bookmarkEnd w:id="33"/>
      <w:bookmarkEnd w:id="34"/>
      <w:bookmarkEnd w:id="35"/>
      <w:bookmarkEnd w:id="36"/>
      <w:bookmarkEnd w:id="37"/>
    </w:p>
    <w:p w:rsidR="00B163B8" w:rsidRDefault="006E3BEB" w:rsidP="00EF5E06">
      <w:pPr>
        <w:spacing w:before="120"/>
        <w:jc w:val="both"/>
        <w:rPr>
          <w:rFonts w:cs="Calibri"/>
        </w:rPr>
      </w:pPr>
      <w:r>
        <w:rPr>
          <w:rFonts w:cs="Calibri"/>
        </w:rPr>
        <w:lastRenderedPageBreak/>
        <w:t xml:space="preserve">Přezkum závěrečných zpráv RIA zpracovávaných v uplynulém období ukazuje, že zatímco tzv. nulová varianta je zpravidla zpracována na základní úrovni relativně adekvátně, je </w:t>
      </w:r>
      <w:r w:rsidR="00796638">
        <w:rPr>
          <w:rFonts w:cs="Calibri"/>
        </w:rPr>
        <w:t xml:space="preserve">přesto </w:t>
      </w:r>
      <w:r>
        <w:rPr>
          <w:rFonts w:cs="Calibri"/>
        </w:rPr>
        <w:t xml:space="preserve">poznamenána formalismem, </w:t>
      </w:r>
      <w:r w:rsidR="00F56529">
        <w:rPr>
          <w:rFonts w:cs="Calibri"/>
        </w:rPr>
        <w:t>kdy je</w:t>
      </w:r>
      <w:r w:rsidR="00796638">
        <w:rPr>
          <w:rFonts w:cs="Calibri"/>
        </w:rPr>
        <w:t xml:space="preserve"> zpravidla</w:t>
      </w:r>
      <w:r w:rsidR="00F56529">
        <w:rPr>
          <w:rFonts w:cs="Calibri"/>
        </w:rPr>
        <w:t xml:space="preserve"> postavena jako</w:t>
      </w:r>
      <w:r>
        <w:rPr>
          <w:rFonts w:cs="Calibri"/>
        </w:rPr>
        <w:t xml:space="preserve"> volba „nepřijmout“</w:t>
      </w:r>
      <w:r w:rsidR="00796638">
        <w:rPr>
          <w:rFonts w:cs="Calibri"/>
        </w:rPr>
        <w:t xml:space="preserve"> navržený právní předpis a tím </w:t>
      </w:r>
      <w:r w:rsidR="00F56529">
        <w:rPr>
          <w:rFonts w:cs="Calibri"/>
        </w:rPr>
        <w:t xml:space="preserve">zároveň </w:t>
      </w:r>
      <w:r>
        <w:rPr>
          <w:rFonts w:cs="Calibri"/>
        </w:rPr>
        <w:t>hned v úvodu negována, což nazn</w:t>
      </w:r>
      <w:r w:rsidR="00F56529">
        <w:rPr>
          <w:rFonts w:cs="Calibri"/>
        </w:rPr>
        <w:t xml:space="preserve">ačuje, že řešení není nestranné. </w:t>
      </w:r>
    </w:p>
    <w:p w:rsidR="0018632C" w:rsidRDefault="0018632C" w:rsidP="0018632C">
      <w:pPr>
        <w:spacing w:before="120"/>
        <w:jc w:val="both"/>
        <w:rPr>
          <w:rFonts w:cs="Calibri"/>
        </w:rPr>
      </w:pPr>
      <w:r>
        <w:rPr>
          <w:rFonts w:cs="Calibri"/>
        </w:rPr>
        <w:t xml:space="preserve">Dalším problémem je často jen velmi povrchní zpracování, kdy v zásadě není jasné, co nulová varianta obnáší. Pro vhodný popis nulové varianty je přitom možné využít věcně zpracovaný a detailními daty podložený popis problému a v příslušné části na něj pouze odkázat. </w:t>
      </w:r>
    </w:p>
    <w:p w:rsidR="0018632C" w:rsidRDefault="0018632C" w:rsidP="0018632C">
      <w:pPr>
        <w:spacing w:before="120"/>
        <w:jc w:val="both"/>
        <w:rPr>
          <w:rFonts w:cs="Calibri"/>
        </w:rPr>
      </w:pPr>
      <w:r>
        <w:rPr>
          <w:rFonts w:cs="Calibri"/>
        </w:rPr>
        <w:t>Při stanovování variant j</w:t>
      </w:r>
      <w:r w:rsidR="00B163B8" w:rsidRPr="00C35D56">
        <w:rPr>
          <w:rFonts w:cs="Calibri"/>
        </w:rPr>
        <w:t>e nutné se vyvarovat formální definic</w:t>
      </w:r>
      <w:r w:rsidR="00481F8D">
        <w:rPr>
          <w:rFonts w:cs="Calibri"/>
        </w:rPr>
        <w:t>i</w:t>
      </w:r>
      <w:r w:rsidR="00B163B8" w:rsidRPr="00C35D56">
        <w:rPr>
          <w:rFonts w:cs="Calibri"/>
        </w:rPr>
        <w:t xml:space="preserve"> variant (např. navržení varianty typu „</w:t>
      </w:r>
      <w:r w:rsidR="00B163B8" w:rsidRPr="00C35D56">
        <w:rPr>
          <w:rFonts w:cs="Calibri"/>
          <w:i/>
        </w:rPr>
        <w:t>novelizace stávajícího zákona</w:t>
      </w:r>
      <w:r w:rsidR="00B163B8" w:rsidRPr="00C35D56">
        <w:rPr>
          <w:rFonts w:cs="Calibri"/>
        </w:rPr>
        <w:t xml:space="preserve">“ oproti variantě „zcela </w:t>
      </w:r>
      <w:r w:rsidR="00B163B8" w:rsidRPr="00C35D56">
        <w:rPr>
          <w:rFonts w:cs="Calibri"/>
          <w:i/>
        </w:rPr>
        <w:t>nový zákon</w:t>
      </w:r>
      <w:r w:rsidR="008870E9">
        <w:rPr>
          <w:rFonts w:cs="Calibri"/>
        </w:rPr>
        <w:t>“)</w:t>
      </w:r>
      <w:r w:rsidR="00B163B8" w:rsidRPr="00C35D56">
        <w:rPr>
          <w:rFonts w:cs="Calibri"/>
        </w:rPr>
        <w:t xml:space="preserve"> namísto uvedení zvažovaných věcných variant řešení problému (popis řešení způsobem „A = 1.</w:t>
      </w:r>
      <w:r w:rsidR="00A917E2">
        <w:rPr>
          <w:rFonts w:cs="Calibri"/>
        </w:rPr>
        <w:t xml:space="preserve"> varianta“, či způsobem „B = 2. </w:t>
      </w:r>
      <w:r w:rsidR="00B163B8" w:rsidRPr="00C35D56">
        <w:rPr>
          <w:rFonts w:cs="Calibri"/>
        </w:rPr>
        <w:t xml:space="preserve">varianta“) bez ohledu na to, jakou formou toto řešení bude následně navrženo, tj. zda částečnou novelizací, či zcela novým návrhem právního předpisu. </w:t>
      </w:r>
      <w:r>
        <w:rPr>
          <w:rFonts w:cs="Calibri"/>
        </w:rPr>
        <w:t>Fo</w:t>
      </w:r>
      <w:r w:rsidR="00226A78">
        <w:rPr>
          <w:rFonts w:cs="Calibri"/>
        </w:rPr>
        <w:t>rmální tvorba nepřijatelných či </w:t>
      </w:r>
      <w:r>
        <w:rPr>
          <w:rFonts w:cs="Calibri"/>
        </w:rPr>
        <w:t xml:space="preserve">neracionálních variant („přijmout/ nepřijmout“) bez toho, aby nějakým srozumitelným způsobem popsaly věcnou podstatu řešení, </w:t>
      </w:r>
      <w:r w:rsidR="000C14EB">
        <w:rPr>
          <w:rFonts w:cs="Calibri"/>
        </w:rPr>
        <w:t xml:space="preserve">nebo </w:t>
      </w:r>
      <w:r w:rsidR="008870E9">
        <w:rPr>
          <w:rFonts w:cs="Calibri"/>
        </w:rPr>
        <w:t>způsobem postrádajícím</w:t>
      </w:r>
      <w:r w:rsidR="000C14EB">
        <w:rPr>
          <w:rFonts w:cs="Calibri"/>
        </w:rPr>
        <w:t xml:space="preserve"> </w:t>
      </w:r>
      <w:r>
        <w:rPr>
          <w:rFonts w:cs="Calibri"/>
        </w:rPr>
        <w:t xml:space="preserve">určitý </w:t>
      </w:r>
      <w:r w:rsidR="000C14EB">
        <w:rPr>
          <w:rFonts w:cs="Calibri"/>
        </w:rPr>
        <w:t>konkrétní věcný popis</w:t>
      </w:r>
      <w:r w:rsidR="008870E9">
        <w:rPr>
          <w:rFonts w:cs="Calibri"/>
        </w:rPr>
        <w:t xml:space="preserve"> problému a pouze </w:t>
      </w:r>
      <w:r>
        <w:rPr>
          <w:rFonts w:cs="Calibri"/>
        </w:rPr>
        <w:t>pro účely, aby byly vzápětí zamítnuty, není podstatou RIA.</w:t>
      </w:r>
    </w:p>
    <w:p w:rsidR="004737B6" w:rsidRPr="00C35D56" w:rsidRDefault="004737B6" w:rsidP="004737B6">
      <w:pPr>
        <w:spacing w:before="120"/>
        <w:jc w:val="both"/>
        <w:rPr>
          <w:rFonts w:cs="Calibri"/>
        </w:rPr>
      </w:pPr>
      <w:r w:rsidRPr="00C35D56">
        <w:rPr>
          <w:rFonts w:cs="Calibri"/>
        </w:rPr>
        <w:t xml:space="preserve">Smyslem návrhu variant v rámci RIA je představení zvažovaných věcných variant řešení, nikoliv schematické zdůvodnění potřeby implementace doporučené varianty řešení variantou navrhovaného právního předpisu oproti nulové variantě („nedělat nic“). Je vždy nutno zvážit a vyhodnotit varianty </w:t>
      </w:r>
      <w:r>
        <w:rPr>
          <w:rFonts w:cs="Calibri"/>
        </w:rPr>
        <w:t xml:space="preserve">neregulatorních řešení (např. formou </w:t>
      </w:r>
      <w:r w:rsidRPr="00C35D56">
        <w:rPr>
          <w:rFonts w:cs="Calibri"/>
        </w:rPr>
        <w:t>samoregulace</w:t>
      </w:r>
      <w:r>
        <w:rPr>
          <w:rFonts w:cs="Calibri"/>
        </w:rPr>
        <w:t>, informační kampaně apod.)</w:t>
      </w:r>
      <w:r w:rsidRPr="00C35D56">
        <w:rPr>
          <w:rFonts w:cs="Calibri"/>
        </w:rPr>
        <w:t xml:space="preserve"> a jejich proveditelnosti.</w:t>
      </w:r>
    </w:p>
    <w:p w:rsidR="00B163B8" w:rsidRPr="00C35D56" w:rsidRDefault="00B163B8" w:rsidP="00B163B8">
      <w:pPr>
        <w:spacing w:before="120"/>
        <w:jc w:val="both"/>
        <w:rPr>
          <w:rFonts w:cs="Calibri"/>
        </w:rPr>
      </w:pPr>
      <w:r w:rsidRPr="00C35D56">
        <w:rPr>
          <w:rFonts w:cs="Calibri"/>
        </w:rPr>
        <w:t>K jednomu návrhu</w:t>
      </w:r>
      <w:r w:rsidR="00362EE3">
        <w:rPr>
          <w:rFonts w:cs="Calibri"/>
        </w:rPr>
        <w:t xml:space="preserve"> právního předpisu</w:t>
      </w:r>
      <w:r w:rsidRPr="00C35D56">
        <w:rPr>
          <w:rFonts w:cs="Calibri"/>
        </w:rPr>
        <w:t xml:space="preserve"> tak </w:t>
      </w:r>
      <w:r w:rsidR="004737B6">
        <w:rPr>
          <w:rFonts w:cs="Calibri"/>
        </w:rPr>
        <w:t xml:space="preserve">může být </w:t>
      </w:r>
      <w:r w:rsidRPr="00C35D56">
        <w:rPr>
          <w:rFonts w:cs="Calibri"/>
        </w:rPr>
        <w:t xml:space="preserve">zpracováno několik </w:t>
      </w:r>
      <w:r w:rsidR="00362EE3">
        <w:rPr>
          <w:rFonts w:cs="Calibri"/>
        </w:rPr>
        <w:t>„</w:t>
      </w:r>
      <w:r w:rsidRPr="00C35D56">
        <w:rPr>
          <w:rFonts w:cs="Calibri"/>
        </w:rPr>
        <w:t>dílčích RIA</w:t>
      </w:r>
      <w:r w:rsidR="005C2F02">
        <w:rPr>
          <w:rFonts w:cs="Calibri"/>
        </w:rPr>
        <w:t>“</w:t>
      </w:r>
      <w:r w:rsidR="004737B6">
        <w:rPr>
          <w:rFonts w:cs="Calibri"/>
        </w:rPr>
        <w:t xml:space="preserve"> s variantami</w:t>
      </w:r>
      <w:r w:rsidRPr="00C35D56">
        <w:rPr>
          <w:rFonts w:cs="Calibri"/>
        </w:rPr>
        <w:t xml:space="preserve">, a to v závislosti na rozsahu řešených </w:t>
      </w:r>
      <w:r w:rsidR="008870E9">
        <w:rPr>
          <w:rFonts w:cs="Calibri"/>
        </w:rPr>
        <w:t xml:space="preserve">věcných </w:t>
      </w:r>
      <w:r w:rsidRPr="00C35D56">
        <w:rPr>
          <w:rFonts w:cs="Calibri"/>
        </w:rPr>
        <w:t>problémů</w:t>
      </w:r>
      <w:r w:rsidR="005C2F02">
        <w:rPr>
          <w:rFonts w:cs="Calibri"/>
        </w:rPr>
        <w:t xml:space="preserve"> rozpracovaných v závěrečné zprávě RIA</w:t>
      </w:r>
      <w:r w:rsidRPr="00C35D56">
        <w:rPr>
          <w:rFonts w:cs="Calibri"/>
        </w:rPr>
        <w:t xml:space="preserve">. </w:t>
      </w:r>
    </w:p>
    <w:p w:rsidR="00EF5E06" w:rsidRPr="00C35D56" w:rsidRDefault="004737B6" w:rsidP="00EF5E06">
      <w:pPr>
        <w:spacing w:before="120"/>
        <w:jc w:val="both"/>
        <w:rPr>
          <w:rFonts w:cs="Calibri"/>
        </w:rPr>
      </w:pPr>
      <w:r>
        <w:rPr>
          <w:rFonts w:cs="Calibri"/>
        </w:rPr>
        <w:t>Je nutné mít na paměti, že v</w:t>
      </w:r>
      <w:r w:rsidR="00EF5E06" w:rsidRPr="00C35D56">
        <w:rPr>
          <w:rFonts w:cs="Calibri"/>
        </w:rPr>
        <w:t xml:space="preserve">arianty řešení se odvíjí </w:t>
      </w:r>
      <w:r>
        <w:rPr>
          <w:rFonts w:cs="Calibri"/>
        </w:rPr>
        <w:t xml:space="preserve">vždy </w:t>
      </w:r>
      <w:r w:rsidR="00EF5E06" w:rsidRPr="00C35D56">
        <w:rPr>
          <w:rFonts w:cs="Calibri"/>
        </w:rPr>
        <w:t xml:space="preserve">od </w:t>
      </w:r>
      <w:r w:rsidR="00EF5E06" w:rsidRPr="00EF2534">
        <w:rPr>
          <w:rFonts w:cs="Calibri"/>
        </w:rPr>
        <w:t>předem stanovených cílů</w:t>
      </w:r>
      <w:r w:rsidR="00EF5E06" w:rsidRPr="00C35D56">
        <w:rPr>
          <w:rFonts w:cs="Calibri"/>
        </w:rPr>
        <w:t>, které mají objektivně nastavená měřítka jejich plnění (nejlépe kvantitativně, nebo alespoň kvalitativně)</w:t>
      </w:r>
      <w:r>
        <w:rPr>
          <w:rFonts w:cs="Calibri"/>
        </w:rPr>
        <w:t xml:space="preserve">, jichž lze později využít při přezkumu účinnosti dané právní normy v praxi (viz také bod </w:t>
      </w:r>
      <w:r w:rsidR="005C2F02">
        <w:rPr>
          <w:rFonts w:cs="Calibri"/>
        </w:rPr>
        <w:t>4</w:t>
      </w:r>
      <w:r>
        <w:rPr>
          <w:rFonts w:cs="Calibri"/>
        </w:rPr>
        <w:t>.6 níže)</w:t>
      </w:r>
      <w:r w:rsidR="008C36A7">
        <w:rPr>
          <w:rFonts w:cs="Calibri"/>
        </w:rPr>
        <w:t>.</w:t>
      </w:r>
    </w:p>
    <w:p w:rsidR="00EF5E06" w:rsidRPr="008E042D" w:rsidRDefault="00EF5E06" w:rsidP="00EF5E06">
      <w:pPr>
        <w:pStyle w:val="Nadpis2"/>
        <w:numPr>
          <w:ilvl w:val="1"/>
          <w:numId w:val="1"/>
        </w:numPr>
        <w:spacing w:after="240"/>
        <w:jc w:val="both"/>
        <w:rPr>
          <w:rFonts w:ascii="Calibri" w:hAnsi="Calibri" w:cs="Calibri"/>
          <w:color w:val="8064A2"/>
          <w:sz w:val="22"/>
          <w:szCs w:val="22"/>
        </w:rPr>
      </w:pPr>
      <w:bookmarkStart w:id="38" w:name="_Toc344989950"/>
      <w:bookmarkStart w:id="39" w:name="_Toc346878649"/>
      <w:bookmarkStart w:id="40" w:name="_Toc346879274"/>
      <w:bookmarkStart w:id="41" w:name="_Toc379376193"/>
      <w:bookmarkStart w:id="42" w:name="_Toc381286073"/>
      <w:bookmarkStart w:id="43" w:name="_Toc381286106"/>
      <w:r w:rsidRPr="008E042D">
        <w:rPr>
          <w:rFonts w:ascii="Calibri" w:hAnsi="Calibri" w:cs="Calibri"/>
          <w:color w:val="8064A2"/>
          <w:sz w:val="22"/>
          <w:szCs w:val="22"/>
        </w:rPr>
        <w:t>Doporučení: Věnovat pozornost přezkumu účinnosti regulace</w:t>
      </w:r>
      <w:bookmarkEnd w:id="38"/>
      <w:bookmarkEnd w:id="39"/>
      <w:bookmarkEnd w:id="40"/>
      <w:bookmarkEnd w:id="41"/>
      <w:bookmarkEnd w:id="42"/>
      <w:bookmarkEnd w:id="43"/>
    </w:p>
    <w:p w:rsidR="00FC7B2D" w:rsidRDefault="00EF5E06" w:rsidP="00EF5E06">
      <w:pPr>
        <w:jc w:val="both"/>
        <w:rPr>
          <w:rFonts w:cs="Calibri"/>
        </w:rPr>
      </w:pPr>
      <w:r w:rsidRPr="00C35D56">
        <w:rPr>
          <w:rFonts w:cs="Calibri"/>
        </w:rPr>
        <w:t>Posuzované RIA obsahují pouze formální informaci o plánovaném přezkumu navrhované regulace</w:t>
      </w:r>
      <w:r w:rsidR="00FC7B2D">
        <w:rPr>
          <w:rFonts w:cs="Calibri"/>
        </w:rPr>
        <w:t xml:space="preserve"> s odkazem na kompetenční zákon</w:t>
      </w:r>
      <w:r w:rsidRPr="00C35D56">
        <w:rPr>
          <w:rFonts w:cs="Calibri"/>
        </w:rPr>
        <w:t>. Tato část RIA musí být zpracovávána v </w:t>
      </w:r>
      <w:r w:rsidR="004B7131">
        <w:rPr>
          <w:rFonts w:cs="Calibri"/>
        </w:rPr>
        <w:t>z</w:t>
      </w:r>
      <w:r w:rsidR="004B7131" w:rsidRPr="00C35D56">
        <w:rPr>
          <w:rFonts w:cs="Calibri"/>
        </w:rPr>
        <w:t xml:space="preserve">ávěrečných </w:t>
      </w:r>
      <w:r w:rsidRPr="00C35D56">
        <w:rPr>
          <w:rFonts w:cs="Calibri"/>
        </w:rPr>
        <w:t>zprávách RIA tak, aby bylo zřejmé, na základě jakýc</w:t>
      </w:r>
      <w:r w:rsidR="00226A78">
        <w:rPr>
          <w:rFonts w:cs="Calibri"/>
        </w:rPr>
        <w:t xml:space="preserve">h ukazatelů bude v budoucnosti </w:t>
      </w:r>
      <w:r w:rsidRPr="00C35D56">
        <w:rPr>
          <w:rFonts w:cs="Calibri"/>
        </w:rPr>
        <w:t xml:space="preserve">posuzována účinnost navrhované regulace a v neposlední řadě musí být stanoven termín tohoto přezkumu. </w:t>
      </w:r>
      <w:r w:rsidR="00607CC0">
        <w:rPr>
          <w:rFonts w:cs="Calibri"/>
        </w:rPr>
        <w:t xml:space="preserve">Tudíž </w:t>
      </w:r>
      <w:r w:rsidR="00362EE3">
        <w:rPr>
          <w:rFonts w:cs="Calibri"/>
        </w:rPr>
        <w:t xml:space="preserve">závěrečná zpráva </w:t>
      </w:r>
      <w:r w:rsidR="008870E9">
        <w:rPr>
          <w:rFonts w:cs="Calibri"/>
        </w:rPr>
        <w:t xml:space="preserve">RIA </w:t>
      </w:r>
      <w:r w:rsidR="005C2F02">
        <w:rPr>
          <w:rFonts w:cs="Calibri"/>
        </w:rPr>
        <w:t xml:space="preserve">by vždy </w:t>
      </w:r>
      <w:r w:rsidR="00607CC0">
        <w:rPr>
          <w:rFonts w:cs="Calibri"/>
        </w:rPr>
        <w:t>měla</w:t>
      </w:r>
      <w:r w:rsidR="004B7131">
        <w:rPr>
          <w:rFonts w:cs="Calibri"/>
        </w:rPr>
        <w:t xml:space="preserve"> obsahovat alespoň stručný návrh ukazatelů, které by se měly k přezkumu účinnosti použít. Kritéria přezkumu</w:t>
      </w:r>
      <w:r w:rsidR="004B7131" w:rsidRPr="00C35D56">
        <w:rPr>
          <w:rFonts w:cs="Calibri"/>
        </w:rPr>
        <w:t xml:space="preserve"> </w:t>
      </w:r>
      <w:r w:rsidRPr="00C35D56">
        <w:rPr>
          <w:rFonts w:cs="Calibri"/>
        </w:rPr>
        <w:t>by se měl</w:t>
      </w:r>
      <w:r w:rsidR="00607CC0">
        <w:rPr>
          <w:rFonts w:cs="Calibri"/>
        </w:rPr>
        <w:t>a</w:t>
      </w:r>
      <w:r w:rsidRPr="00C35D56">
        <w:rPr>
          <w:rFonts w:cs="Calibri"/>
        </w:rPr>
        <w:t xml:space="preserve"> odvíjet od nastavení kvantifikovatelných indikátorů</w:t>
      </w:r>
      <w:r w:rsidR="001212FF">
        <w:rPr>
          <w:rFonts w:cs="Calibri"/>
        </w:rPr>
        <w:t xml:space="preserve"> propojených s cíli </w:t>
      </w:r>
      <w:r w:rsidR="004B7131">
        <w:rPr>
          <w:rFonts w:cs="Calibri"/>
        </w:rPr>
        <w:t>(plánovaných cílových hodnot)</w:t>
      </w:r>
      <w:r w:rsidRPr="00C35D56">
        <w:rPr>
          <w:rFonts w:cs="Calibri"/>
        </w:rPr>
        <w:t>, kterými je charakterizován cílový stav připravované</w:t>
      </w:r>
      <w:r w:rsidR="00362EE3">
        <w:rPr>
          <w:rFonts w:cs="Calibri"/>
        </w:rPr>
        <w:t>ho</w:t>
      </w:r>
      <w:r w:rsidRPr="00C35D56">
        <w:rPr>
          <w:rFonts w:cs="Calibri"/>
        </w:rPr>
        <w:t xml:space="preserve"> </w:t>
      </w:r>
      <w:r w:rsidR="005C2F02">
        <w:rPr>
          <w:rFonts w:cs="Calibri"/>
        </w:rPr>
        <w:t>návrh</w:t>
      </w:r>
      <w:r w:rsidR="00362EE3">
        <w:rPr>
          <w:rFonts w:cs="Calibri"/>
        </w:rPr>
        <w:t>u</w:t>
      </w:r>
      <w:r w:rsidR="005C2F02">
        <w:rPr>
          <w:rFonts w:cs="Calibri"/>
        </w:rPr>
        <w:t xml:space="preserve"> právního předpisu)</w:t>
      </w:r>
      <w:r w:rsidR="00FC7B2D">
        <w:rPr>
          <w:rFonts w:cs="Calibri"/>
        </w:rPr>
        <w:t xml:space="preserve">. </w:t>
      </w:r>
      <w:r w:rsidRPr="00C35D56">
        <w:rPr>
          <w:rFonts w:cs="Calibri"/>
        </w:rPr>
        <w:t xml:space="preserve"> </w:t>
      </w:r>
    </w:p>
    <w:p w:rsidR="00EF5E06" w:rsidRPr="00C35D56" w:rsidRDefault="00FC7B2D" w:rsidP="00EF5E06">
      <w:pPr>
        <w:jc w:val="both"/>
        <w:rPr>
          <w:rFonts w:cs="Calibri"/>
        </w:rPr>
      </w:pPr>
      <w:r>
        <w:rPr>
          <w:rFonts w:cs="Calibri"/>
        </w:rPr>
        <w:t>V této souvislosti je potřeba upozornit i na další</w:t>
      </w:r>
      <w:r w:rsidRPr="00FC7B2D">
        <w:rPr>
          <w:rFonts w:cs="Calibri"/>
        </w:rPr>
        <w:t xml:space="preserve"> předpoklad pro efektivní přezkum</w:t>
      </w:r>
      <w:r>
        <w:rPr>
          <w:rFonts w:cs="Calibri"/>
        </w:rPr>
        <w:t xml:space="preserve"> účinnosti právních předpisů, a to </w:t>
      </w:r>
      <w:r w:rsidR="008C36A7">
        <w:rPr>
          <w:rFonts w:cs="Calibri"/>
        </w:rPr>
        <w:t>provedení</w:t>
      </w:r>
      <w:r w:rsidRPr="00FC7B2D">
        <w:rPr>
          <w:rFonts w:cs="Calibri"/>
        </w:rPr>
        <w:t xml:space="preserve"> nezbytn</w:t>
      </w:r>
      <w:r w:rsidR="008C36A7">
        <w:rPr>
          <w:rFonts w:cs="Calibri"/>
        </w:rPr>
        <w:t>é</w:t>
      </w:r>
      <w:r w:rsidRPr="00FC7B2D">
        <w:rPr>
          <w:rFonts w:cs="Calibri"/>
        </w:rPr>
        <w:t xml:space="preserve"> aktualizac</w:t>
      </w:r>
      <w:r w:rsidR="008C36A7">
        <w:rPr>
          <w:rFonts w:cs="Calibri"/>
        </w:rPr>
        <w:t>e</w:t>
      </w:r>
      <w:r w:rsidRPr="00FC7B2D">
        <w:rPr>
          <w:rFonts w:cs="Calibri"/>
        </w:rPr>
        <w:t xml:space="preserve"> popisu a kvantifikace očekávaných dopadů, pokud byly pozměňovací</w:t>
      </w:r>
      <w:r>
        <w:rPr>
          <w:rFonts w:cs="Calibri"/>
        </w:rPr>
        <w:t>mi návrhy</w:t>
      </w:r>
      <w:r w:rsidRPr="00FC7B2D">
        <w:rPr>
          <w:rFonts w:cs="Calibri"/>
        </w:rPr>
        <w:t xml:space="preserve"> k vládním návrhům zákonů v rámci legislativního procesu </w:t>
      </w:r>
      <w:r w:rsidR="005C2F02">
        <w:rPr>
          <w:rFonts w:cs="Calibri"/>
        </w:rPr>
        <w:t xml:space="preserve">v Parlamentu ČR </w:t>
      </w:r>
      <w:r w:rsidRPr="00FC7B2D">
        <w:rPr>
          <w:rFonts w:cs="Calibri"/>
        </w:rPr>
        <w:t xml:space="preserve">změněny, a to </w:t>
      </w:r>
      <w:r w:rsidR="005C2F02">
        <w:rPr>
          <w:rFonts w:cs="Calibri"/>
        </w:rPr>
        <w:t>resortem či resorty</w:t>
      </w:r>
      <w:r w:rsidR="005C2F02" w:rsidRPr="00FC7B2D">
        <w:rPr>
          <w:rFonts w:cs="Calibri"/>
        </w:rPr>
        <w:t xml:space="preserve"> </w:t>
      </w:r>
      <w:r w:rsidR="005C2F02">
        <w:rPr>
          <w:rFonts w:cs="Calibri"/>
        </w:rPr>
        <w:t xml:space="preserve">zastupujícími vládu jako </w:t>
      </w:r>
      <w:r w:rsidR="005C2F02">
        <w:rPr>
          <w:rFonts w:cs="Calibri"/>
        </w:rPr>
        <w:lastRenderedPageBreak/>
        <w:t>předkladatele</w:t>
      </w:r>
      <w:r w:rsidRPr="00FC7B2D">
        <w:rPr>
          <w:rFonts w:cs="Calibri"/>
        </w:rPr>
        <w:t xml:space="preserve">, </w:t>
      </w:r>
      <w:r w:rsidR="005C2F02">
        <w:rPr>
          <w:rFonts w:cs="Calibri"/>
        </w:rPr>
        <w:t>které</w:t>
      </w:r>
      <w:r w:rsidR="005C2F02" w:rsidRPr="00FC7B2D">
        <w:rPr>
          <w:rFonts w:cs="Calibri"/>
        </w:rPr>
        <w:t xml:space="preserve"> </w:t>
      </w:r>
      <w:r w:rsidRPr="00FC7B2D">
        <w:rPr>
          <w:rFonts w:cs="Calibri"/>
        </w:rPr>
        <w:t>budou odpovědn</w:t>
      </w:r>
      <w:r w:rsidR="005C2F02">
        <w:rPr>
          <w:rFonts w:cs="Calibri"/>
        </w:rPr>
        <w:t>y</w:t>
      </w:r>
      <w:r w:rsidRPr="00FC7B2D">
        <w:rPr>
          <w:rFonts w:cs="Calibri"/>
        </w:rPr>
        <w:t xml:space="preserve"> za </w:t>
      </w:r>
      <w:r w:rsidR="009B1E79">
        <w:rPr>
          <w:rFonts w:cs="Calibri"/>
        </w:rPr>
        <w:t xml:space="preserve">následnou </w:t>
      </w:r>
      <w:r w:rsidRPr="00FC7B2D">
        <w:rPr>
          <w:rFonts w:cs="Calibri"/>
        </w:rPr>
        <w:t xml:space="preserve">implementaci </w:t>
      </w:r>
      <w:r w:rsidR="005C2F02">
        <w:rPr>
          <w:rFonts w:cs="Calibri"/>
        </w:rPr>
        <w:t xml:space="preserve">budoucího </w:t>
      </w:r>
      <w:r w:rsidRPr="00FC7B2D">
        <w:rPr>
          <w:rFonts w:cs="Calibri"/>
        </w:rPr>
        <w:t>schváleného právního předpisu. Jedná se o</w:t>
      </w:r>
      <w:r w:rsidR="009B1E79">
        <w:rPr>
          <w:rFonts w:cs="Calibri"/>
        </w:rPr>
        <w:t> </w:t>
      </w:r>
      <w:r w:rsidRPr="00FC7B2D">
        <w:rPr>
          <w:rFonts w:cs="Calibri"/>
        </w:rPr>
        <w:t>případné úpravy cílových hodnot a dále změn v očekávaném rozsahu a velikosti dopadů i ve vztahu k (případně) novým dotčeným subjektům. Tyto parametry by po úpravě měly sloužit jako výchozí vstupní hodnoty pro přezkum dosažených změn a měřitelných hodnot v rámci resortem zvoleného procesu přezkumu účinnosti.</w:t>
      </w:r>
      <w:r w:rsidR="009B1E79">
        <w:rPr>
          <w:rFonts w:cs="Calibri"/>
        </w:rPr>
        <w:t xml:space="preserve"> Obecně by resorty </w:t>
      </w:r>
      <w:r w:rsidR="009B1E79" w:rsidRPr="00C35D56">
        <w:rPr>
          <w:rFonts w:cs="Calibri"/>
        </w:rPr>
        <w:t xml:space="preserve">měly většinu již dříve zavedených regulací systematicky podrobovat </w:t>
      </w:r>
      <w:r w:rsidR="009B1E79">
        <w:rPr>
          <w:rFonts w:cs="Calibri"/>
        </w:rPr>
        <w:t>přezkumu účinnosti, přičemž b</w:t>
      </w:r>
      <w:r w:rsidR="00CC5771">
        <w:rPr>
          <w:rFonts w:cs="Calibri"/>
        </w:rPr>
        <w:t>ez pečlivě nastavených ukazatelů je</w:t>
      </w:r>
      <w:r w:rsidR="00226A78">
        <w:rPr>
          <w:rFonts w:cs="Calibri"/>
        </w:rPr>
        <w:t xml:space="preserve"> smysluplný přezkum účinnosti v </w:t>
      </w:r>
      <w:r w:rsidR="00CC5771">
        <w:rPr>
          <w:rFonts w:cs="Calibri"/>
        </w:rPr>
        <w:t>podstatě vyloučen.</w:t>
      </w:r>
    </w:p>
    <w:p w:rsidR="00EF5E06" w:rsidRPr="008E042D" w:rsidRDefault="00EF5E06" w:rsidP="00EF5E06">
      <w:pPr>
        <w:pStyle w:val="Nadpis2"/>
        <w:numPr>
          <w:ilvl w:val="1"/>
          <w:numId w:val="1"/>
        </w:numPr>
        <w:spacing w:after="240"/>
        <w:jc w:val="both"/>
        <w:rPr>
          <w:rFonts w:ascii="Calibri" w:hAnsi="Calibri" w:cs="Calibri"/>
          <w:color w:val="8064A2"/>
          <w:sz w:val="22"/>
          <w:szCs w:val="22"/>
        </w:rPr>
      </w:pPr>
      <w:bookmarkStart w:id="44" w:name="_Toc344989951"/>
      <w:bookmarkStart w:id="45" w:name="_Toc346878650"/>
      <w:bookmarkStart w:id="46" w:name="_Toc346879275"/>
      <w:bookmarkStart w:id="47" w:name="_Toc379376194"/>
      <w:bookmarkStart w:id="48" w:name="_Toc381286074"/>
      <w:bookmarkStart w:id="49" w:name="_Toc381286107"/>
      <w:r w:rsidRPr="008E042D">
        <w:rPr>
          <w:rFonts w:ascii="Calibri" w:hAnsi="Calibri" w:cs="Calibri"/>
          <w:color w:val="8064A2"/>
          <w:sz w:val="22"/>
          <w:szCs w:val="22"/>
        </w:rPr>
        <w:t>Doporučení: Věnovat pozornost pečlivému vyhodnocení konzultací v </w:t>
      </w:r>
      <w:r w:rsidR="00362EE3">
        <w:rPr>
          <w:rFonts w:ascii="Calibri" w:hAnsi="Calibri" w:cs="Calibri"/>
          <w:color w:val="8064A2"/>
          <w:sz w:val="22"/>
          <w:szCs w:val="22"/>
        </w:rPr>
        <w:t>z</w:t>
      </w:r>
      <w:r w:rsidRPr="008E042D">
        <w:rPr>
          <w:rFonts w:ascii="Calibri" w:hAnsi="Calibri" w:cs="Calibri"/>
          <w:color w:val="8064A2"/>
          <w:sz w:val="22"/>
          <w:szCs w:val="22"/>
        </w:rPr>
        <w:t>ávěrečné zprávě RIA</w:t>
      </w:r>
      <w:bookmarkEnd w:id="44"/>
      <w:bookmarkEnd w:id="45"/>
      <w:bookmarkEnd w:id="46"/>
      <w:bookmarkEnd w:id="47"/>
      <w:bookmarkEnd w:id="48"/>
      <w:bookmarkEnd w:id="49"/>
      <w:r w:rsidRPr="008E042D">
        <w:rPr>
          <w:rFonts w:ascii="Calibri" w:hAnsi="Calibri" w:cs="Calibri"/>
          <w:color w:val="8064A2"/>
          <w:sz w:val="22"/>
          <w:szCs w:val="22"/>
        </w:rPr>
        <w:t xml:space="preserve"> </w:t>
      </w:r>
    </w:p>
    <w:p w:rsidR="00EF5E06" w:rsidRDefault="00EF5E06" w:rsidP="00EF5E06">
      <w:pPr>
        <w:jc w:val="both"/>
        <w:rPr>
          <w:rFonts w:cs="Calibri"/>
        </w:rPr>
      </w:pPr>
      <w:r w:rsidRPr="00C35D56">
        <w:rPr>
          <w:rFonts w:cs="Calibri"/>
        </w:rPr>
        <w:t>Správná analýza problému a identifikace dotčených subjektů podle zvažovaných variant řešení je předpokladem pro včasné a cílené konzultace. Konzultace s dotče</w:t>
      </w:r>
      <w:r>
        <w:rPr>
          <w:rFonts w:cs="Calibri"/>
        </w:rPr>
        <w:t>nými subjekty (i potenciálně) jsou</w:t>
      </w:r>
      <w:r w:rsidRPr="00C35D56">
        <w:rPr>
          <w:rFonts w:cs="Calibri"/>
        </w:rPr>
        <w:t xml:space="preserve"> </w:t>
      </w:r>
      <w:r w:rsidRPr="00EF2534">
        <w:rPr>
          <w:rFonts w:cs="Calibri"/>
        </w:rPr>
        <w:t xml:space="preserve">vždy </w:t>
      </w:r>
      <w:r w:rsidR="00362EE3" w:rsidRPr="00EF2534">
        <w:rPr>
          <w:rFonts w:cs="Calibri"/>
        </w:rPr>
        <w:t>n</w:t>
      </w:r>
      <w:r w:rsidR="00362EE3" w:rsidRPr="00C35D56">
        <w:rPr>
          <w:rFonts w:cs="Calibri"/>
        </w:rPr>
        <w:t>ed</w:t>
      </w:r>
      <w:r w:rsidR="00362EE3">
        <w:rPr>
          <w:rFonts w:cs="Calibri"/>
        </w:rPr>
        <w:t>ílnou</w:t>
      </w:r>
      <w:r w:rsidR="00362EE3" w:rsidRPr="00C35D56">
        <w:rPr>
          <w:rFonts w:cs="Calibri"/>
        </w:rPr>
        <w:t xml:space="preserve"> </w:t>
      </w:r>
      <w:r w:rsidRPr="00C35D56">
        <w:rPr>
          <w:rFonts w:cs="Calibri"/>
        </w:rPr>
        <w:t>součástí procesu RIA. Proces těchto konzultací musí být dostatečně zdokumentován, aby bylo zřejmé, které dotčené subjekty byly konzultovány, jaké byly jejich výhrady k navrženým variantám</w:t>
      </w:r>
      <w:r w:rsidR="00967B45">
        <w:rPr>
          <w:rFonts w:cs="Calibri"/>
        </w:rPr>
        <w:t>.</w:t>
      </w:r>
      <w:r w:rsidRPr="00C35D56">
        <w:rPr>
          <w:rFonts w:cs="Calibri"/>
        </w:rPr>
        <w:t xml:space="preserve"> </w:t>
      </w:r>
      <w:r w:rsidR="00967B45">
        <w:rPr>
          <w:rFonts w:cs="Calibri"/>
        </w:rPr>
        <w:t>P</w:t>
      </w:r>
      <w:r w:rsidRPr="00C35D56">
        <w:rPr>
          <w:rFonts w:cs="Calibri"/>
        </w:rPr>
        <w:t>řinejmenším jedno kolo konzultací musí proběhnout k navrženým variantám</w:t>
      </w:r>
      <w:r w:rsidR="00135E53">
        <w:rPr>
          <w:rFonts w:cs="Calibri"/>
        </w:rPr>
        <w:t xml:space="preserve">, u nichž by subjekty oslovené v procesu konzultací měly </w:t>
      </w:r>
      <w:r w:rsidR="00967B45">
        <w:rPr>
          <w:rFonts w:cs="Calibri"/>
        </w:rPr>
        <w:t>mít možnost se v</w:t>
      </w:r>
      <w:r w:rsidR="00226A78">
        <w:rPr>
          <w:rFonts w:cs="Calibri"/>
        </w:rPr>
        <w:t>yjádřit k navrženým variantám a </w:t>
      </w:r>
      <w:r w:rsidR="00967B45">
        <w:rPr>
          <w:rFonts w:cs="Calibri"/>
        </w:rPr>
        <w:t>z vyhodnocení těch</w:t>
      </w:r>
      <w:r w:rsidR="00226A78">
        <w:rPr>
          <w:rFonts w:cs="Calibri"/>
        </w:rPr>
        <w:t xml:space="preserve">to konzultací musí být zřejmé, </w:t>
      </w:r>
      <w:r w:rsidRPr="00C35D56">
        <w:rPr>
          <w:rFonts w:cs="Calibri"/>
        </w:rPr>
        <w:t xml:space="preserve">zda byly jejich připomínky akceptovány, případně </w:t>
      </w:r>
      <w:r w:rsidR="009B1E79">
        <w:rPr>
          <w:rFonts w:cs="Calibri"/>
        </w:rPr>
        <w:t xml:space="preserve">uvést </w:t>
      </w:r>
      <w:r w:rsidRPr="00C35D56">
        <w:rPr>
          <w:rFonts w:cs="Calibri"/>
        </w:rPr>
        <w:t>věcné důvody</w:t>
      </w:r>
      <w:r w:rsidR="00F573D1">
        <w:rPr>
          <w:rFonts w:cs="Calibri"/>
        </w:rPr>
        <w:t>,</w:t>
      </w:r>
      <w:r w:rsidRPr="00C35D56">
        <w:rPr>
          <w:rFonts w:cs="Calibri"/>
        </w:rPr>
        <w:t xml:space="preserve"> proč nebyly. </w:t>
      </w:r>
      <w:r w:rsidR="00607CC0">
        <w:rPr>
          <w:rFonts w:cs="Calibri"/>
        </w:rPr>
        <w:t xml:space="preserve">Cílem konzultací, respektive připomínkového řízení není odstranit všechny </w:t>
      </w:r>
      <w:r w:rsidR="003D771F">
        <w:rPr>
          <w:rFonts w:cs="Calibri"/>
        </w:rPr>
        <w:t xml:space="preserve">možné </w:t>
      </w:r>
      <w:r w:rsidR="00607CC0">
        <w:rPr>
          <w:rFonts w:cs="Calibri"/>
        </w:rPr>
        <w:t xml:space="preserve">rozpory, ale vypořádat </w:t>
      </w:r>
      <w:r w:rsidR="003D771F">
        <w:rPr>
          <w:rFonts w:cs="Calibri"/>
        </w:rPr>
        <w:t xml:space="preserve">a odlišit ty </w:t>
      </w:r>
      <w:r w:rsidR="00607CC0">
        <w:rPr>
          <w:rFonts w:cs="Calibri"/>
        </w:rPr>
        <w:t>připomínky, které jsou motivovány úzkým skupinovým zájmem a</w:t>
      </w:r>
      <w:r w:rsidR="000C7C25">
        <w:rPr>
          <w:rFonts w:cs="Calibri"/>
        </w:rPr>
        <w:t> </w:t>
      </w:r>
      <w:r w:rsidR="00930F5F">
        <w:rPr>
          <w:rFonts w:cs="Calibri"/>
        </w:rPr>
        <w:t>ne</w:t>
      </w:r>
      <w:r w:rsidR="00607CC0">
        <w:rPr>
          <w:rFonts w:cs="Calibri"/>
        </w:rPr>
        <w:t>přispívají k</w:t>
      </w:r>
      <w:r w:rsidR="009B1E79">
        <w:rPr>
          <w:rFonts w:cs="Calibri"/>
        </w:rPr>
        <w:t> výsledné</w:t>
      </w:r>
      <w:r w:rsidR="00607CC0">
        <w:rPr>
          <w:rFonts w:cs="Calibri"/>
        </w:rPr>
        <w:t xml:space="preserve"> kvalitě regulace. Např. při konzultaci profesních sdružení je třeba </w:t>
      </w:r>
      <w:r w:rsidR="004737B6">
        <w:rPr>
          <w:rFonts w:cs="Calibri"/>
        </w:rPr>
        <w:t xml:space="preserve">vždy </w:t>
      </w:r>
      <w:r w:rsidR="00607CC0">
        <w:rPr>
          <w:rFonts w:cs="Calibri"/>
        </w:rPr>
        <w:t>rozli</w:t>
      </w:r>
      <w:r w:rsidR="00552697">
        <w:rPr>
          <w:rFonts w:cs="Calibri"/>
        </w:rPr>
        <w:t xml:space="preserve">šit, kdy připomínka směřuje ke zvýšení celkové kvality předkládané regulace a kdy je </w:t>
      </w:r>
      <w:r w:rsidR="004737B6">
        <w:rPr>
          <w:rFonts w:cs="Calibri"/>
        </w:rPr>
        <w:t xml:space="preserve">jde jen o partikulárně formulovaný </w:t>
      </w:r>
      <w:r w:rsidR="00552697">
        <w:rPr>
          <w:rFonts w:cs="Calibri"/>
        </w:rPr>
        <w:t>zájem sdružení</w:t>
      </w:r>
      <w:r w:rsidR="004737B6">
        <w:rPr>
          <w:rFonts w:cs="Calibri"/>
        </w:rPr>
        <w:t>, který má kupř. přinést konkurenční výhodu.</w:t>
      </w:r>
      <w:r w:rsidR="00552697">
        <w:rPr>
          <w:rFonts w:cs="Calibri"/>
        </w:rPr>
        <w:t xml:space="preserve"> U mezire</w:t>
      </w:r>
      <w:r w:rsidR="004737B6">
        <w:rPr>
          <w:rFonts w:cs="Calibri"/>
        </w:rPr>
        <w:t>sortních připomínkových řízení</w:t>
      </w:r>
      <w:r w:rsidR="00552697">
        <w:rPr>
          <w:rFonts w:cs="Calibri"/>
        </w:rPr>
        <w:t xml:space="preserve"> </w:t>
      </w:r>
      <w:r w:rsidR="00967B45">
        <w:rPr>
          <w:rFonts w:cs="Calibri"/>
        </w:rPr>
        <w:t>lze</w:t>
      </w:r>
      <w:r w:rsidR="004737B6">
        <w:rPr>
          <w:rFonts w:cs="Calibri"/>
        </w:rPr>
        <w:t xml:space="preserve"> očekávat, že </w:t>
      </w:r>
      <w:r w:rsidR="009B1E79">
        <w:rPr>
          <w:rFonts w:cs="Calibri"/>
        </w:rPr>
        <w:t xml:space="preserve">zástupci </w:t>
      </w:r>
      <w:r w:rsidR="004737B6">
        <w:rPr>
          <w:rFonts w:cs="Calibri"/>
        </w:rPr>
        <w:t xml:space="preserve">orgánů </w:t>
      </w:r>
      <w:r w:rsidR="00552697">
        <w:rPr>
          <w:rFonts w:cs="Calibri"/>
        </w:rPr>
        <w:t xml:space="preserve">státní správy </w:t>
      </w:r>
      <w:r w:rsidR="004737B6">
        <w:rPr>
          <w:rFonts w:cs="Calibri"/>
        </w:rPr>
        <w:t>stěží budou vyjadřovat otevřenou podporu krokům</w:t>
      </w:r>
      <w:r w:rsidR="00552697">
        <w:rPr>
          <w:rFonts w:cs="Calibri"/>
        </w:rPr>
        <w:t xml:space="preserve"> směřující</w:t>
      </w:r>
      <w:r w:rsidR="004737B6">
        <w:rPr>
          <w:rFonts w:cs="Calibri"/>
        </w:rPr>
        <w:t>m</w:t>
      </w:r>
      <w:r w:rsidR="00226A78">
        <w:rPr>
          <w:rFonts w:cs="Calibri"/>
        </w:rPr>
        <w:t xml:space="preserve"> k omezení jejich diskrece či </w:t>
      </w:r>
      <w:r w:rsidR="00552697">
        <w:rPr>
          <w:rFonts w:cs="Calibri"/>
        </w:rPr>
        <w:t>zvýšení efektivity na úkor jejich pracovního postavení</w:t>
      </w:r>
      <w:r w:rsidR="009B1E79">
        <w:rPr>
          <w:rFonts w:cs="Calibri"/>
        </w:rPr>
        <w:t xml:space="preserve"> a s tímto vědomím je nutné přistupovat k vypořádání takovýchto připomínek.</w:t>
      </w:r>
      <w:r w:rsidR="00552697">
        <w:rPr>
          <w:rFonts w:cs="Calibri"/>
        </w:rPr>
        <w:t xml:space="preserve"> </w:t>
      </w:r>
    </w:p>
    <w:p w:rsidR="001212FF" w:rsidRPr="00C35D56" w:rsidRDefault="00CC5771" w:rsidP="00EF5E06">
      <w:pPr>
        <w:jc w:val="both"/>
        <w:rPr>
          <w:rFonts w:cs="Calibri"/>
        </w:rPr>
      </w:pPr>
      <w:r>
        <w:rPr>
          <w:rFonts w:cs="Calibri"/>
        </w:rPr>
        <w:t>V rámci posuzován</w:t>
      </w:r>
      <w:r w:rsidR="003252AA">
        <w:rPr>
          <w:rFonts w:cs="Calibri"/>
        </w:rPr>
        <w:t>í</w:t>
      </w:r>
      <w:r>
        <w:rPr>
          <w:rFonts w:cs="Calibri"/>
        </w:rPr>
        <w:t xml:space="preserve"> kvality</w:t>
      </w:r>
      <w:r w:rsidR="001212FF">
        <w:rPr>
          <w:rFonts w:cs="Calibri"/>
        </w:rPr>
        <w:t xml:space="preserve"> zpracovaných závěrečných zpráv RIA </w:t>
      </w:r>
      <w:r>
        <w:rPr>
          <w:rFonts w:cs="Calibri"/>
        </w:rPr>
        <w:t xml:space="preserve">se </w:t>
      </w:r>
      <w:r w:rsidR="001212FF">
        <w:rPr>
          <w:rFonts w:cs="Calibri"/>
        </w:rPr>
        <w:t xml:space="preserve">nadále ukazuje, že z hlediska přehledu oslovených subjektů jsou </w:t>
      </w:r>
      <w:r>
        <w:rPr>
          <w:rFonts w:cs="Calibri"/>
        </w:rPr>
        <w:t xml:space="preserve">prováděné konzultace </w:t>
      </w:r>
      <w:r w:rsidR="001664A9">
        <w:rPr>
          <w:rFonts w:cs="Calibri"/>
        </w:rPr>
        <w:t xml:space="preserve">zpravidla nedostačující. Jedním z důvodů je fakt, že přehled subjektů je buď neúplný, tzn. v porovnání s očekávaným počtem a povahou skupin dotčených subjektů bylo k faktické konzultaci osloveno subjektů podstatně méně, případně je zpracovatel uvedl v tak </w:t>
      </w:r>
      <w:r w:rsidR="00967B45">
        <w:rPr>
          <w:rFonts w:cs="Calibri"/>
        </w:rPr>
        <w:t xml:space="preserve">agregované </w:t>
      </w:r>
      <w:r w:rsidR="001664A9">
        <w:rPr>
          <w:rFonts w:cs="Calibri"/>
        </w:rPr>
        <w:t>podobě, že vlastně není jasné, koho jednotlivě oslovil</w:t>
      </w:r>
      <w:r w:rsidR="006C46C3">
        <w:rPr>
          <w:rFonts w:cs="Calibri"/>
        </w:rPr>
        <w:t xml:space="preserve"> a s jakým výsledkem</w:t>
      </w:r>
      <w:r w:rsidR="001664A9">
        <w:rPr>
          <w:rFonts w:cs="Calibri"/>
        </w:rPr>
        <w:t xml:space="preserve">. </w:t>
      </w:r>
      <w:r w:rsidR="001212FF">
        <w:rPr>
          <w:rFonts w:cs="Calibri"/>
        </w:rPr>
        <w:t>Nejzávaznější typickou chybou je pak skutečnost, pokud zpracovatel v</w:t>
      </w:r>
      <w:r w:rsidR="00967B45">
        <w:rPr>
          <w:rFonts w:cs="Calibri"/>
        </w:rPr>
        <w:t xml:space="preserve"> závěrečné zprávě </w:t>
      </w:r>
      <w:r w:rsidR="001212FF">
        <w:rPr>
          <w:rFonts w:cs="Calibri"/>
        </w:rPr>
        <w:t>RIA vůbec neuvedl, jak s připomínkami naložil, popř. pouze uved</w:t>
      </w:r>
      <w:r w:rsidR="00967B45">
        <w:rPr>
          <w:rFonts w:cs="Calibri"/>
        </w:rPr>
        <w:t>l</w:t>
      </w:r>
      <w:r w:rsidR="001212FF">
        <w:rPr>
          <w:rFonts w:cs="Calibri"/>
        </w:rPr>
        <w:t>, že se jimi zabýval a zapracoval</w:t>
      </w:r>
      <w:r w:rsidR="00187755">
        <w:rPr>
          <w:rFonts w:cs="Calibri"/>
        </w:rPr>
        <w:t xml:space="preserve"> bez dalšího rozvedení</w:t>
      </w:r>
      <w:r w:rsidR="001212FF">
        <w:rPr>
          <w:rFonts w:cs="Calibri"/>
        </w:rPr>
        <w:t>.</w:t>
      </w:r>
    </w:p>
    <w:p w:rsidR="00EF5E06" w:rsidRPr="00C35D56" w:rsidRDefault="00EF5E06" w:rsidP="00EF5E06">
      <w:pPr>
        <w:keepLines/>
        <w:widowControl w:val="0"/>
        <w:jc w:val="both"/>
        <w:rPr>
          <w:rFonts w:cs="Calibri"/>
        </w:rPr>
      </w:pPr>
      <w:r w:rsidRPr="00C35D56">
        <w:rPr>
          <w:rFonts w:cs="Calibri"/>
        </w:rPr>
        <w:t xml:space="preserve">Je </w:t>
      </w:r>
      <w:r w:rsidR="00187755">
        <w:rPr>
          <w:rFonts w:cs="Calibri"/>
        </w:rPr>
        <w:t xml:space="preserve">proto nutné </w:t>
      </w:r>
      <w:r w:rsidRPr="00C35D56">
        <w:rPr>
          <w:rFonts w:cs="Calibri"/>
        </w:rPr>
        <w:t xml:space="preserve">se vždy zaměřit na pečlivou identifikaci dotčených subjektů a výběr jejich reprezentativních zástupců, </w:t>
      </w:r>
      <w:r w:rsidR="009B1E79">
        <w:rPr>
          <w:rFonts w:cs="Calibri"/>
        </w:rPr>
        <w:t xml:space="preserve">na </w:t>
      </w:r>
      <w:r w:rsidRPr="00C35D56">
        <w:rPr>
          <w:rFonts w:cs="Calibri"/>
        </w:rPr>
        <w:t>popis způsobu konzultace dotčených subjektů vč</w:t>
      </w:r>
      <w:r w:rsidR="00967B45">
        <w:rPr>
          <w:rFonts w:cs="Calibri"/>
        </w:rPr>
        <w:t>etně</w:t>
      </w:r>
      <w:r w:rsidRPr="00C35D56">
        <w:rPr>
          <w:rFonts w:cs="Calibri"/>
        </w:rPr>
        <w:t xml:space="preserve"> vyjádření jejich postoje k navrhovaným variantám řešení a </w:t>
      </w:r>
      <w:r w:rsidR="009B1E79">
        <w:rPr>
          <w:rFonts w:cs="Calibri"/>
        </w:rPr>
        <w:t xml:space="preserve">na </w:t>
      </w:r>
      <w:r w:rsidRPr="00C35D56">
        <w:rPr>
          <w:rFonts w:cs="Calibri"/>
        </w:rPr>
        <w:t xml:space="preserve">skutečnost, jak konzultace ovlivnily navrhovaná řešení. Okruh </w:t>
      </w:r>
      <w:r w:rsidRPr="00EF2534">
        <w:rPr>
          <w:rFonts w:cs="Calibri"/>
        </w:rPr>
        <w:t>dotčených subjektů se může lišit i podle navržených variant řešení</w:t>
      </w:r>
      <w:r w:rsidRPr="00C35D56">
        <w:rPr>
          <w:rFonts w:cs="Calibri"/>
        </w:rPr>
        <w:t xml:space="preserve"> (!). Pokud určité řešení, které bylo ze strany zájmových stran v konzultacích navrhováno, nemohlo být do věcného řešení zapracováno, je vždy potřeba vysvětlit důvody. </w:t>
      </w:r>
      <w:r w:rsidR="009B1E79">
        <w:rPr>
          <w:rFonts w:cs="Calibri"/>
        </w:rPr>
        <w:t>Jedná se mj. o vysvětlení a upozornění na věcné problémy a negativní dopady za účelem informování zákonodárců, pokud by daná témata a návrhy řešení byla opětovně vracena jako pozměňovací návrhy v rámci legislativního procesu v Parlamentu ČR.</w:t>
      </w:r>
    </w:p>
    <w:p w:rsidR="00EF5E06" w:rsidRPr="00C35D56" w:rsidRDefault="00EF5E06" w:rsidP="00EF5E06">
      <w:pPr>
        <w:spacing w:before="120"/>
        <w:jc w:val="both"/>
        <w:rPr>
          <w:rFonts w:cs="Calibri"/>
        </w:rPr>
      </w:pPr>
      <w:r w:rsidRPr="00C35D56">
        <w:rPr>
          <w:rFonts w:cs="Calibri"/>
        </w:rPr>
        <w:lastRenderedPageBreak/>
        <w:t xml:space="preserve">Dopady na dotčené subjekty musí být vždy vyhodnoceny v kontextu všech navržených variant </w:t>
      </w:r>
      <w:r w:rsidR="004737B6">
        <w:rPr>
          <w:rFonts w:cs="Calibri"/>
        </w:rPr>
        <w:t xml:space="preserve">vzájemně </w:t>
      </w:r>
      <w:r w:rsidRPr="00C35D56">
        <w:rPr>
          <w:rFonts w:cs="Calibri"/>
        </w:rPr>
        <w:t xml:space="preserve">srovnatelným způsobem </w:t>
      </w:r>
      <w:r w:rsidR="00930F5F">
        <w:rPr>
          <w:rFonts w:cs="Calibri"/>
        </w:rPr>
        <w:t xml:space="preserve">a shodnými </w:t>
      </w:r>
      <w:r w:rsidR="004737B6">
        <w:rPr>
          <w:rFonts w:cs="Calibri"/>
        </w:rPr>
        <w:t xml:space="preserve">kritérii, a to </w:t>
      </w:r>
      <w:r w:rsidRPr="00C35D56">
        <w:rPr>
          <w:rFonts w:cs="Calibri"/>
        </w:rPr>
        <w:t xml:space="preserve">ve smyslu </w:t>
      </w:r>
      <w:r w:rsidR="004737B6">
        <w:rPr>
          <w:rFonts w:cs="Calibri"/>
        </w:rPr>
        <w:t xml:space="preserve">jak očekávaných </w:t>
      </w:r>
      <w:r w:rsidRPr="00C35D56">
        <w:rPr>
          <w:rFonts w:cs="Calibri"/>
        </w:rPr>
        <w:t>přínosů</w:t>
      </w:r>
      <w:r w:rsidR="004737B6">
        <w:rPr>
          <w:rFonts w:cs="Calibri"/>
        </w:rPr>
        <w:t xml:space="preserve">, tak </w:t>
      </w:r>
      <w:r w:rsidRPr="00C35D56">
        <w:rPr>
          <w:rFonts w:cs="Calibri"/>
        </w:rPr>
        <w:t>i</w:t>
      </w:r>
      <w:r w:rsidR="008752CA">
        <w:rPr>
          <w:rFonts w:cs="Calibri"/>
        </w:rPr>
        <w:t> </w:t>
      </w:r>
      <w:r w:rsidRPr="00C35D56">
        <w:rPr>
          <w:rFonts w:cs="Calibri"/>
        </w:rPr>
        <w:t>negativních dopadů.</w:t>
      </w:r>
      <w:r w:rsidR="004737B6">
        <w:rPr>
          <w:rFonts w:cs="Calibri"/>
        </w:rPr>
        <w:t xml:space="preserve"> Rozsah </w:t>
      </w:r>
      <w:r w:rsidR="00B40753">
        <w:rPr>
          <w:rFonts w:cs="Calibri"/>
        </w:rPr>
        <w:t xml:space="preserve">i přínos </w:t>
      </w:r>
      <w:r w:rsidR="004737B6">
        <w:rPr>
          <w:rFonts w:cs="Calibri"/>
        </w:rPr>
        <w:t xml:space="preserve">těchto dopadů se pak může měnit u dotčených subjektů </w:t>
      </w:r>
      <w:r w:rsidR="00B40753">
        <w:rPr>
          <w:rFonts w:cs="Calibri"/>
        </w:rPr>
        <w:t>i </w:t>
      </w:r>
      <w:r w:rsidR="004737B6">
        <w:rPr>
          <w:rFonts w:cs="Calibri"/>
        </w:rPr>
        <w:t xml:space="preserve">podle jednotlivých variant. </w:t>
      </w:r>
    </w:p>
    <w:p w:rsidR="00EF5E06" w:rsidRPr="008E042D" w:rsidRDefault="00EF5E06" w:rsidP="00EF5E06">
      <w:pPr>
        <w:pStyle w:val="Nadpis2"/>
        <w:numPr>
          <w:ilvl w:val="1"/>
          <w:numId w:val="1"/>
        </w:numPr>
        <w:spacing w:after="240"/>
        <w:jc w:val="both"/>
        <w:rPr>
          <w:rFonts w:ascii="Calibri" w:hAnsi="Calibri" w:cs="Calibri"/>
          <w:color w:val="8064A2"/>
          <w:sz w:val="22"/>
          <w:szCs w:val="22"/>
        </w:rPr>
      </w:pPr>
      <w:bookmarkStart w:id="50" w:name="_Toc344989952"/>
      <w:bookmarkStart w:id="51" w:name="_Toc346878651"/>
      <w:bookmarkStart w:id="52" w:name="_Toc346879276"/>
      <w:bookmarkStart w:id="53" w:name="_Toc379376195"/>
      <w:bookmarkStart w:id="54" w:name="_Toc381286075"/>
      <w:bookmarkStart w:id="55" w:name="_Toc381286108"/>
      <w:r w:rsidRPr="008E042D">
        <w:rPr>
          <w:rFonts w:ascii="Calibri" w:hAnsi="Calibri" w:cs="Calibri"/>
          <w:color w:val="8064A2"/>
          <w:sz w:val="22"/>
          <w:szCs w:val="22"/>
        </w:rPr>
        <w:t xml:space="preserve">Doporučení: Zpracování RIA je nutné provádět i u transpozičních norem, vždy pak v případě transpozice směrnic s možností diskrece jako prevence proti přidávání nadbytečných ustanovení nad rámec požadavků legislativy EU (viz </w:t>
      </w:r>
      <w:proofErr w:type="spellStart"/>
      <w:r w:rsidRPr="008E042D">
        <w:rPr>
          <w:rFonts w:ascii="Calibri" w:hAnsi="Calibri" w:cs="Calibri"/>
          <w:color w:val="8064A2"/>
          <w:sz w:val="22"/>
          <w:szCs w:val="22"/>
        </w:rPr>
        <w:t>gold-plating</w:t>
      </w:r>
      <w:proofErr w:type="spellEnd"/>
      <w:r w:rsidRPr="008E042D">
        <w:rPr>
          <w:rFonts w:ascii="Calibri" w:hAnsi="Calibri" w:cs="Calibri"/>
          <w:color w:val="8064A2"/>
          <w:sz w:val="22"/>
          <w:szCs w:val="22"/>
        </w:rPr>
        <w:t>)</w:t>
      </w:r>
      <w:bookmarkEnd w:id="50"/>
      <w:bookmarkEnd w:id="51"/>
      <w:bookmarkEnd w:id="52"/>
      <w:bookmarkEnd w:id="53"/>
      <w:bookmarkEnd w:id="54"/>
      <w:bookmarkEnd w:id="55"/>
    </w:p>
    <w:p w:rsidR="00EF5E06" w:rsidRPr="003F29EE" w:rsidRDefault="00EF5E06" w:rsidP="00EF5E06">
      <w:pPr>
        <w:spacing w:before="120"/>
        <w:jc w:val="both"/>
        <w:rPr>
          <w:rFonts w:cs="Calibri"/>
        </w:rPr>
      </w:pPr>
      <w:r w:rsidRPr="003F29EE">
        <w:rPr>
          <w:rFonts w:cs="Calibri"/>
        </w:rPr>
        <w:t xml:space="preserve">Na hodnocení dopadů je třeba se zaměřit již v průběhu legislativního procesu na úrovni pracovních orgánů Rady EU. Cílem by mělo být průběžně vyhodnocovat možné ekonomické, sociální, společenské a environmentální dopady návrhů </w:t>
      </w:r>
      <w:r w:rsidR="00967B45">
        <w:rPr>
          <w:rFonts w:cs="Calibri"/>
        </w:rPr>
        <w:t xml:space="preserve">legislativních aktů </w:t>
      </w:r>
      <w:r w:rsidRPr="003F29EE">
        <w:rPr>
          <w:rFonts w:cs="Calibri"/>
        </w:rPr>
        <w:t xml:space="preserve">EU </w:t>
      </w:r>
      <w:r w:rsidR="00967B45">
        <w:rPr>
          <w:rFonts w:cs="Calibri"/>
        </w:rPr>
        <w:t>na</w:t>
      </w:r>
      <w:r w:rsidR="00967B45" w:rsidRPr="003F29EE">
        <w:rPr>
          <w:rFonts w:cs="Calibri"/>
        </w:rPr>
        <w:t> </w:t>
      </w:r>
      <w:r w:rsidRPr="003F29EE">
        <w:rPr>
          <w:rFonts w:cs="Calibri"/>
        </w:rPr>
        <w:t>ČR tak, aby uvedené hodnocení bylo s postupem konkretizace projednávaných návrhů promítnuto do přijímání národních pozic a díky tomu</w:t>
      </w:r>
      <w:r w:rsidR="009B1E79">
        <w:rPr>
          <w:rFonts w:cs="Calibri"/>
        </w:rPr>
        <w:t xml:space="preserve"> usilovat o ovlivňování</w:t>
      </w:r>
      <w:r w:rsidRPr="003F29EE">
        <w:rPr>
          <w:rFonts w:cs="Calibri"/>
        </w:rPr>
        <w:t xml:space="preserve"> návrh</w:t>
      </w:r>
      <w:r w:rsidR="009B1E79">
        <w:rPr>
          <w:rFonts w:cs="Calibri"/>
        </w:rPr>
        <w:t>u</w:t>
      </w:r>
      <w:r w:rsidRPr="003F29EE">
        <w:rPr>
          <w:rFonts w:cs="Calibri"/>
        </w:rPr>
        <w:t xml:space="preserve"> již ve fázi přípravy na úrovni EU. Re</w:t>
      </w:r>
      <w:r w:rsidR="00967B45">
        <w:rPr>
          <w:rFonts w:cs="Calibri"/>
        </w:rPr>
        <w:t>s</w:t>
      </w:r>
      <w:r w:rsidRPr="003F29EE">
        <w:rPr>
          <w:rFonts w:cs="Calibri"/>
        </w:rPr>
        <w:t>orty by</w:t>
      </w:r>
      <w:r>
        <w:rPr>
          <w:rFonts w:cs="Calibri"/>
        </w:rPr>
        <w:t xml:space="preserve"> se</w:t>
      </w:r>
      <w:r w:rsidRPr="003F29EE">
        <w:rPr>
          <w:rFonts w:cs="Calibri"/>
        </w:rPr>
        <w:t xml:space="preserve"> měly </w:t>
      </w:r>
      <w:r>
        <w:rPr>
          <w:rFonts w:cs="Calibri"/>
        </w:rPr>
        <w:t>zaměřit již</w:t>
      </w:r>
      <w:r w:rsidRPr="003F29EE">
        <w:rPr>
          <w:rFonts w:cs="Calibri"/>
        </w:rPr>
        <w:t xml:space="preserve"> ve fázi přípravy a projednávání rámcových pozic v rámci ČR </w:t>
      </w:r>
      <w:r>
        <w:rPr>
          <w:rFonts w:cs="Calibri"/>
        </w:rPr>
        <w:t xml:space="preserve">na přípravu a průběžnou aktualizaci </w:t>
      </w:r>
      <w:r w:rsidRPr="00D43A1F">
        <w:rPr>
          <w:rFonts w:cs="Calibri"/>
        </w:rPr>
        <w:t>hodnocení</w:t>
      </w:r>
      <w:r w:rsidRPr="003F29EE">
        <w:rPr>
          <w:rFonts w:cs="Calibri"/>
        </w:rPr>
        <w:t xml:space="preserve"> dopadů připravovaného návrhu</w:t>
      </w:r>
      <w:r>
        <w:rPr>
          <w:rFonts w:cs="Calibri"/>
        </w:rPr>
        <w:t xml:space="preserve"> v souladu s vývojem negociačního procesu</w:t>
      </w:r>
      <w:r w:rsidRPr="003F29EE">
        <w:rPr>
          <w:rFonts w:cs="Calibri"/>
        </w:rPr>
        <w:t xml:space="preserve">. </w:t>
      </w:r>
      <w:r>
        <w:rPr>
          <w:rFonts w:cs="Calibri"/>
        </w:rPr>
        <w:t>H</w:t>
      </w:r>
      <w:r w:rsidRPr="003F29EE">
        <w:rPr>
          <w:rFonts w:cs="Calibri"/>
        </w:rPr>
        <w:t xml:space="preserve">odnocení může být </w:t>
      </w:r>
      <w:r>
        <w:rPr>
          <w:rFonts w:cs="Calibri"/>
        </w:rPr>
        <w:t xml:space="preserve">také </w:t>
      </w:r>
      <w:r w:rsidRPr="003F29EE">
        <w:rPr>
          <w:rFonts w:cs="Calibri"/>
        </w:rPr>
        <w:t xml:space="preserve">využito pro </w:t>
      </w:r>
      <w:r>
        <w:rPr>
          <w:rFonts w:cs="Calibri"/>
        </w:rPr>
        <w:t xml:space="preserve">stanovení negociační strategie a následně ke </w:t>
      </w:r>
      <w:r w:rsidRPr="003F29EE">
        <w:rPr>
          <w:rFonts w:cs="Calibri"/>
        </w:rPr>
        <w:t xml:space="preserve">zdůvodnění výběru varianty implementace do právního řádu ČR. </w:t>
      </w:r>
    </w:p>
    <w:p w:rsidR="00EF5E06" w:rsidRPr="00C35D56" w:rsidRDefault="009B1E79" w:rsidP="00EF5E06">
      <w:pPr>
        <w:spacing w:before="120"/>
        <w:jc w:val="both"/>
        <w:rPr>
          <w:rFonts w:cs="Calibri"/>
        </w:rPr>
      </w:pPr>
      <w:r>
        <w:rPr>
          <w:rFonts w:cs="Calibri"/>
        </w:rPr>
        <w:t>U</w:t>
      </w:r>
      <w:r w:rsidRPr="00C35D56">
        <w:rPr>
          <w:rFonts w:cs="Calibri"/>
        </w:rPr>
        <w:t xml:space="preserve"> transpozičních norem </w:t>
      </w:r>
      <w:r>
        <w:rPr>
          <w:rFonts w:cs="Calibri"/>
        </w:rPr>
        <w:t>o</w:t>
      </w:r>
      <w:r w:rsidR="00EF5E06" w:rsidRPr="00C35D56">
        <w:rPr>
          <w:rFonts w:cs="Calibri"/>
        </w:rPr>
        <w:t xml:space="preserve">pakovaně dochází ke špatné aplikaci metodiky RIA. I když je v některých případech diskrece na národní úrovni minimální, není ve skutečnosti možné obecně tento argument používat ve prospěch toho, proč RIA </w:t>
      </w:r>
      <w:r w:rsidR="00967B45">
        <w:rPr>
          <w:rFonts w:cs="Calibri"/>
        </w:rPr>
        <w:t xml:space="preserve">nemá být </w:t>
      </w:r>
      <w:r>
        <w:rPr>
          <w:rFonts w:cs="Calibri"/>
        </w:rPr>
        <w:t>nezpracová</w:t>
      </w:r>
      <w:r w:rsidR="00967B45">
        <w:rPr>
          <w:rFonts w:cs="Calibri"/>
        </w:rPr>
        <w:t>na</w:t>
      </w:r>
      <w:r w:rsidR="00EF5E06" w:rsidRPr="00C35D56">
        <w:rPr>
          <w:rFonts w:cs="Calibri"/>
        </w:rPr>
        <w:t>. Návrh transpozice směrnic by měl být připravován a posuzován v souladu s metodikou RIA s ohledem na skutečnost, že směrnice zpravidla určuje jen cíl, který má členský stát sledovat, jinak ponechává prostor pro hledání řešení na národní úrovni. RIA v případě transpozičních norem není nástrojem pro zdůvodnění nutnosti transpozice (nulová varianta vs. navrhovaný předpis), ale nástrojem pro</w:t>
      </w:r>
      <w:r w:rsidR="00EF5E06">
        <w:rPr>
          <w:rFonts w:cs="Calibri"/>
        </w:rPr>
        <w:t>:</w:t>
      </w:r>
      <w:r w:rsidR="00EF5E06" w:rsidRPr="00C35D56">
        <w:rPr>
          <w:rFonts w:cs="Calibri"/>
        </w:rPr>
        <w:t xml:space="preserve"> </w:t>
      </w:r>
    </w:p>
    <w:p w:rsidR="00EF5E06" w:rsidRPr="00C35D56" w:rsidRDefault="00EF5E06" w:rsidP="00312DD5">
      <w:pPr>
        <w:pStyle w:val="Odstavecseseznamem"/>
        <w:numPr>
          <w:ilvl w:val="0"/>
          <w:numId w:val="5"/>
        </w:numPr>
        <w:spacing w:before="120"/>
        <w:jc w:val="both"/>
        <w:rPr>
          <w:rFonts w:cs="Calibri"/>
        </w:rPr>
      </w:pPr>
      <w:r w:rsidRPr="00C35D56">
        <w:rPr>
          <w:rFonts w:cs="Calibri"/>
        </w:rPr>
        <w:t xml:space="preserve">vyjasnění skutečné minimální úrovně požadované harmonizace, </w:t>
      </w:r>
    </w:p>
    <w:p w:rsidR="00EF5E06" w:rsidRPr="00C35D56" w:rsidRDefault="00EF5E06" w:rsidP="00312DD5">
      <w:pPr>
        <w:pStyle w:val="Odstavecseseznamem"/>
        <w:numPr>
          <w:ilvl w:val="0"/>
          <w:numId w:val="5"/>
        </w:numPr>
        <w:spacing w:before="120"/>
        <w:jc w:val="both"/>
        <w:rPr>
          <w:rFonts w:cs="Calibri"/>
        </w:rPr>
      </w:pPr>
      <w:r w:rsidRPr="00C35D56">
        <w:rPr>
          <w:rFonts w:cs="Calibri"/>
        </w:rPr>
        <w:t>hledání vhodného konkrétního způsobu implemen</w:t>
      </w:r>
      <w:r>
        <w:rPr>
          <w:rFonts w:cs="Calibri"/>
        </w:rPr>
        <w:t>tace harmonizačních opatření do tuzemského práva</w:t>
      </w:r>
      <w:r w:rsidRPr="00C35D56">
        <w:rPr>
          <w:rFonts w:cs="Calibri"/>
        </w:rPr>
        <w:t xml:space="preserve"> a </w:t>
      </w:r>
    </w:p>
    <w:p w:rsidR="00EF5E06" w:rsidRPr="00C35D56" w:rsidRDefault="00EF5E06" w:rsidP="00312DD5">
      <w:pPr>
        <w:pStyle w:val="Odstavecseseznamem"/>
        <w:numPr>
          <w:ilvl w:val="0"/>
          <w:numId w:val="5"/>
        </w:numPr>
        <w:spacing w:before="120"/>
        <w:jc w:val="both"/>
        <w:rPr>
          <w:rFonts w:cs="Calibri"/>
        </w:rPr>
      </w:pPr>
      <w:r w:rsidRPr="00C35D56">
        <w:rPr>
          <w:rFonts w:cs="Calibri"/>
        </w:rPr>
        <w:t xml:space="preserve">vyčíslení dopadů jednotlivých harmonizačních alternativ na dotčené subjekty. </w:t>
      </w:r>
    </w:p>
    <w:p w:rsidR="00EF5E06" w:rsidRPr="00C35D56" w:rsidRDefault="00EF5E06" w:rsidP="00EF5E06">
      <w:pPr>
        <w:spacing w:before="120"/>
        <w:jc w:val="both"/>
        <w:rPr>
          <w:rFonts w:cs="Calibri"/>
        </w:rPr>
      </w:pPr>
      <w:r w:rsidRPr="00C35D56">
        <w:rPr>
          <w:rFonts w:cs="Calibri"/>
        </w:rPr>
        <w:t>Jedná se rovněž o vhodnou příležitost k vyčíslení nákladů, které transpozicí nastanou</w:t>
      </w:r>
      <w:r w:rsidR="009B1E79">
        <w:rPr>
          <w:rFonts w:cs="Calibri"/>
        </w:rPr>
        <w:t>,</w:t>
      </w:r>
      <w:r w:rsidRPr="00C35D56">
        <w:rPr>
          <w:rFonts w:cs="Calibri"/>
        </w:rPr>
        <w:t xml:space="preserve"> oproti stávajícímu stavu obecně.</w:t>
      </w:r>
    </w:p>
    <w:p w:rsidR="00EF5E06" w:rsidRDefault="00EF5E06" w:rsidP="00EF5E06">
      <w:pPr>
        <w:jc w:val="both"/>
        <w:rPr>
          <w:rFonts w:cs="Calibri"/>
        </w:rPr>
      </w:pPr>
      <w:r w:rsidRPr="00C35D56">
        <w:rPr>
          <w:rFonts w:cs="Calibri"/>
        </w:rPr>
        <w:t>RIA se v takovém případě má zaměřit na charakteristiku a popis dopadů změn, pokud transpoziční předpis přináší nová pravidla a povinnosti, nebo mění dosud platná pravidla na národní úrovni. Smyslem je podat vysvětlení, zda transponovaná norma zavádí přísnější pravidla, než jsou zakotvena v národním právním řádu, a pokud jsou pravidla a povinnosti vyplývající z implementovaného předpisu pod úrovní současných požadavků v právním řádu, zvláště pečlivě zdůvodnit, proč je na národní úrovni navrhováno zachování pravidel nad rámec požadavků legislativy EU. Vodítkem by vždy měla být předem stanovená minimální úroveň implementace. Tento přístup by měl být zohledněn již při přípravě př</w:t>
      </w:r>
      <w:r>
        <w:rPr>
          <w:rFonts w:cs="Calibri"/>
        </w:rPr>
        <w:t xml:space="preserve">ehledu dopadů ve fázi přípravy </w:t>
      </w:r>
      <w:proofErr w:type="gramStart"/>
      <w:r>
        <w:rPr>
          <w:rFonts w:cs="Calibri"/>
        </w:rPr>
        <w:t>P</w:t>
      </w:r>
      <w:r w:rsidRPr="00C35D56">
        <w:rPr>
          <w:rFonts w:cs="Calibri"/>
        </w:rPr>
        <w:t>lánu. .</w:t>
      </w:r>
      <w:proofErr w:type="gramEnd"/>
      <w:r w:rsidRPr="00C35D56">
        <w:rPr>
          <w:rFonts w:cs="Calibri"/>
        </w:rPr>
        <w:t xml:space="preserve"> </w:t>
      </w:r>
    </w:p>
    <w:p w:rsidR="002E1D08" w:rsidRPr="00C35D56" w:rsidRDefault="00546403" w:rsidP="00546403">
      <w:pPr>
        <w:jc w:val="both"/>
        <w:rPr>
          <w:rFonts w:cs="Calibri"/>
        </w:rPr>
      </w:pPr>
      <w:r>
        <w:rPr>
          <w:rFonts w:cs="Calibri"/>
        </w:rPr>
        <w:t xml:space="preserve">Tyto </w:t>
      </w:r>
      <w:r w:rsidR="008752CA">
        <w:rPr>
          <w:rFonts w:cs="Calibri"/>
        </w:rPr>
        <w:t xml:space="preserve">shodné </w:t>
      </w:r>
      <w:r>
        <w:rPr>
          <w:rFonts w:cs="Calibri"/>
        </w:rPr>
        <w:t xml:space="preserve">principy a jejich respektování při transpozici jsou již </w:t>
      </w:r>
      <w:r w:rsidR="008752CA">
        <w:rPr>
          <w:rFonts w:cs="Calibri"/>
        </w:rPr>
        <w:t xml:space="preserve">současně </w:t>
      </w:r>
      <w:r>
        <w:rPr>
          <w:rFonts w:cs="Calibri"/>
        </w:rPr>
        <w:t>zakotveny v Metodických</w:t>
      </w:r>
      <w:r w:rsidR="002E1D08" w:rsidRPr="002E1D08">
        <w:rPr>
          <w:rFonts w:cs="Calibri"/>
        </w:rPr>
        <w:t xml:space="preserve"> pokyn</w:t>
      </w:r>
      <w:r>
        <w:rPr>
          <w:rFonts w:cs="Calibri"/>
        </w:rPr>
        <w:t>ech</w:t>
      </w:r>
      <w:r w:rsidR="002E1D08" w:rsidRPr="002E1D08">
        <w:rPr>
          <w:rFonts w:cs="Calibri"/>
        </w:rPr>
        <w:t xml:space="preserve"> pro zajišťování prací při plnění legislativních závazků vyplývajících z </w:t>
      </w:r>
      <w:r w:rsidR="002E1D08" w:rsidRPr="002E1D08">
        <w:rPr>
          <w:rFonts w:cs="Calibri"/>
        </w:rPr>
        <w:lastRenderedPageBreak/>
        <w:t>členství České republiky v</w:t>
      </w:r>
      <w:r w:rsidR="008752CA">
        <w:rPr>
          <w:rFonts w:cs="Calibri"/>
        </w:rPr>
        <w:t> </w:t>
      </w:r>
      <w:r w:rsidR="002E1D08" w:rsidRPr="002E1D08">
        <w:rPr>
          <w:rFonts w:cs="Calibri"/>
        </w:rPr>
        <w:t>Evropské unii</w:t>
      </w:r>
      <w:r>
        <w:rPr>
          <w:rFonts w:cs="Calibri"/>
        </w:rPr>
        <w:t xml:space="preserve">, schválených usnesením vlády </w:t>
      </w:r>
      <w:r w:rsidRPr="00546403">
        <w:rPr>
          <w:rFonts w:cs="Calibri"/>
        </w:rPr>
        <w:t>ze dne 12. října 2005 č.</w:t>
      </w:r>
      <w:r w:rsidR="008752CA">
        <w:rPr>
          <w:rFonts w:cs="Calibri"/>
        </w:rPr>
        <w:t> </w:t>
      </w:r>
      <w:r w:rsidRPr="00546403">
        <w:rPr>
          <w:rFonts w:cs="Calibri"/>
        </w:rPr>
        <w:t xml:space="preserve">1304 </w:t>
      </w:r>
      <w:r w:rsidR="008752CA">
        <w:rPr>
          <w:rFonts w:cs="Calibri"/>
        </w:rPr>
        <w:t>a změněných</w:t>
      </w:r>
      <w:r w:rsidRPr="00546403">
        <w:rPr>
          <w:rFonts w:cs="Calibri"/>
        </w:rPr>
        <w:t xml:space="preserve"> usnesením vlády ze dne 26. října 2009 č. 1344</w:t>
      </w:r>
      <w:r>
        <w:rPr>
          <w:rFonts w:cs="Calibri"/>
        </w:rPr>
        <w:t>,</w:t>
      </w:r>
      <w:r w:rsidR="006C46C3">
        <w:rPr>
          <w:rFonts w:cs="Calibri"/>
        </w:rPr>
        <w:t xml:space="preserve"> a to</w:t>
      </w:r>
      <w:r>
        <w:rPr>
          <w:rFonts w:cs="Calibri"/>
        </w:rPr>
        <w:t xml:space="preserve"> především v čl. 20 a</w:t>
      </w:r>
      <w:r w:rsidR="006C46C3">
        <w:rPr>
          <w:rFonts w:cs="Calibri"/>
        </w:rPr>
        <w:t> </w:t>
      </w:r>
      <w:r>
        <w:rPr>
          <w:rFonts w:cs="Calibri"/>
        </w:rPr>
        <w:t>20a.</w:t>
      </w:r>
    </w:p>
    <w:p w:rsidR="00EF5E06" w:rsidRPr="008E042D" w:rsidRDefault="00EF5E06" w:rsidP="00EF5E06">
      <w:pPr>
        <w:pStyle w:val="Nadpis2"/>
        <w:numPr>
          <w:ilvl w:val="1"/>
          <w:numId w:val="1"/>
        </w:numPr>
        <w:spacing w:after="240"/>
        <w:jc w:val="both"/>
        <w:rPr>
          <w:rFonts w:ascii="Calibri" w:hAnsi="Calibri" w:cs="Calibri"/>
          <w:color w:val="8064A2"/>
          <w:sz w:val="22"/>
          <w:szCs w:val="22"/>
        </w:rPr>
      </w:pPr>
      <w:bookmarkStart w:id="56" w:name="_Toc344989953"/>
      <w:bookmarkStart w:id="57" w:name="_Toc346878652"/>
      <w:bookmarkStart w:id="58" w:name="_Toc346879277"/>
      <w:bookmarkStart w:id="59" w:name="_Toc379376196"/>
      <w:bookmarkStart w:id="60" w:name="_Toc381286076"/>
      <w:bookmarkStart w:id="61" w:name="_Toc381286109"/>
      <w:r w:rsidRPr="008E042D">
        <w:rPr>
          <w:rFonts w:ascii="Calibri" w:hAnsi="Calibri" w:cs="Calibri"/>
          <w:color w:val="8064A2"/>
          <w:sz w:val="22"/>
          <w:szCs w:val="22"/>
        </w:rPr>
        <w:t>Doporučení: Předkladatelé by k navrhovanému řešení, které je zdůvodněno v </w:t>
      </w:r>
      <w:r w:rsidR="009B1E79">
        <w:rPr>
          <w:rFonts w:ascii="Calibri" w:hAnsi="Calibri" w:cs="Calibri"/>
          <w:color w:val="8064A2"/>
          <w:sz w:val="22"/>
          <w:szCs w:val="22"/>
        </w:rPr>
        <w:t>z</w:t>
      </w:r>
      <w:r w:rsidR="009B1E79" w:rsidRPr="008E042D">
        <w:rPr>
          <w:rFonts w:ascii="Calibri" w:hAnsi="Calibri" w:cs="Calibri"/>
          <w:color w:val="8064A2"/>
          <w:sz w:val="22"/>
          <w:szCs w:val="22"/>
        </w:rPr>
        <w:t xml:space="preserve">ávěrečné </w:t>
      </w:r>
      <w:r w:rsidRPr="008E042D">
        <w:rPr>
          <w:rFonts w:ascii="Calibri" w:hAnsi="Calibri" w:cs="Calibri"/>
          <w:color w:val="8064A2"/>
          <w:sz w:val="22"/>
          <w:szCs w:val="22"/>
        </w:rPr>
        <w:t>zprávě RIA, měli předkládat 1-2 stránkové shrnutí s přehlednou prezentací klíčových údajů, dat a zdůvodnění.</w:t>
      </w:r>
      <w:bookmarkEnd w:id="56"/>
      <w:bookmarkEnd w:id="57"/>
      <w:bookmarkEnd w:id="58"/>
      <w:r w:rsidR="002002F8">
        <w:rPr>
          <w:rFonts w:ascii="Calibri" w:hAnsi="Calibri" w:cs="Calibri"/>
          <w:color w:val="8064A2"/>
          <w:sz w:val="22"/>
          <w:szCs w:val="22"/>
        </w:rPr>
        <w:t xml:space="preserve"> – SPLNĚNO</w:t>
      </w:r>
      <w:bookmarkEnd w:id="59"/>
      <w:bookmarkEnd w:id="60"/>
      <w:bookmarkEnd w:id="61"/>
    </w:p>
    <w:p w:rsidR="00EF5E06" w:rsidRPr="00C35D56" w:rsidRDefault="00EF5E06" w:rsidP="00EF5E06">
      <w:pPr>
        <w:jc w:val="both"/>
        <w:rPr>
          <w:rFonts w:cs="Calibri"/>
        </w:rPr>
      </w:pPr>
      <w:r w:rsidRPr="00C35D56">
        <w:rPr>
          <w:rFonts w:cs="Calibri"/>
        </w:rPr>
        <w:t>K tomu, aby prezentace hlavních principů a ukazatelů dopadů navrhované regulace sloužila objektivnímu a informovanému rozhodování na úrovni Vlády ČR i Parlamentu ČR</w:t>
      </w:r>
      <w:r w:rsidR="00546403">
        <w:rPr>
          <w:rFonts w:cs="Calibri"/>
        </w:rPr>
        <w:t>, bylo jedním z dlouhodobých doporučení členů Komise RIA, potvr</w:t>
      </w:r>
      <w:r w:rsidR="008752CA">
        <w:rPr>
          <w:rFonts w:cs="Calibri"/>
        </w:rPr>
        <w:t xml:space="preserve">zené i jako doporučení ve Zprávě o účinnosti Obecných zásad RIA vzatých vládou na vědomí </w:t>
      </w:r>
      <w:r w:rsidR="008752CA" w:rsidRPr="00312DD5">
        <w:rPr>
          <w:rFonts w:cs="Calibri"/>
        </w:rPr>
        <w:t xml:space="preserve">dne 16. října 2013 usnesením </w:t>
      </w:r>
      <w:r w:rsidR="008B5394">
        <w:rPr>
          <w:rFonts w:cs="Calibri"/>
        </w:rPr>
        <w:t xml:space="preserve">vlády </w:t>
      </w:r>
      <w:r w:rsidR="008752CA" w:rsidRPr="00312DD5">
        <w:rPr>
          <w:rFonts w:cs="Calibri"/>
        </w:rPr>
        <w:t>č. 774</w:t>
      </w:r>
      <w:r w:rsidR="00546403">
        <w:rPr>
          <w:rFonts w:cs="Calibri"/>
        </w:rPr>
        <w:t xml:space="preserve">, </w:t>
      </w:r>
      <w:r w:rsidRPr="00C35D56">
        <w:rPr>
          <w:rFonts w:cs="Calibri"/>
        </w:rPr>
        <w:t xml:space="preserve">opatřovat </w:t>
      </w:r>
      <w:r w:rsidR="00245ADE">
        <w:rPr>
          <w:rFonts w:cs="Calibri"/>
        </w:rPr>
        <w:t>z</w:t>
      </w:r>
      <w:r w:rsidR="00245ADE" w:rsidRPr="00C35D56">
        <w:rPr>
          <w:rFonts w:cs="Calibri"/>
        </w:rPr>
        <w:t xml:space="preserve">ávěrečné </w:t>
      </w:r>
      <w:r w:rsidRPr="00C35D56">
        <w:rPr>
          <w:rFonts w:cs="Calibri"/>
        </w:rPr>
        <w:t>zprávy RIA sh</w:t>
      </w:r>
      <w:r w:rsidR="00226A78">
        <w:rPr>
          <w:rFonts w:cs="Calibri"/>
        </w:rPr>
        <w:t xml:space="preserve">rnutími </w:t>
      </w:r>
      <w:r w:rsidRPr="00C35D56">
        <w:rPr>
          <w:rFonts w:cs="Calibri"/>
        </w:rPr>
        <w:t>prezentací klíčových údajů z</w:t>
      </w:r>
      <w:r w:rsidR="00665D1B">
        <w:rPr>
          <w:rFonts w:cs="Calibri"/>
        </w:rPr>
        <w:t> </w:t>
      </w:r>
      <w:proofErr w:type="gramStart"/>
      <w:r w:rsidR="00665D1B">
        <w:rPr>
          <w:rFonts w:cs="Calibri"/>
        </w:rPr>
        <w:t>provedené</w:t>
      </w:r>
      <w:proofErr w:type="gramEnd"/>
      <w:r w:rsidR="00665D1B">
        <w:rPr>
          <w:rFonts w:cs="Calibri"/>
        </w:rPr>
        <w:t xml:space="preserve"> </w:t>
      </w:r>
      <w:r w:rsidRPr="00C35D56">
        <w:rPr>
          <w:rFonts w:cs="Calibri"/>
        </w:rPr>
        <w:t xml:space="preserve">RIA. </w:t>
      </w:r>
    </w:p>
    <w:p w:rsidR="00EF5E06" w:rsidRDefault="00EF5E06" w:rsidP="00EF5E06">
      <w:pPr>
        <w:jc w:val="both"/>
        <w:rPr>
          <w:rFonts w:cs="Calibri"/>
        </w:rPr>
      </w:pPr>
      <w:r w:rsidRPr="00C35D56">
        <w:rPr>
          <w:rFonts w:cs="Calibri"/>
        </w:rPr>
        <w:t xml:space="preserve">Cílem těchto shrnutí ve formě </w:t>
      </w:r>
      <w:r w:rsidR="00546403">
        <w:rPr>
          <w:rFonts w:cs="Calibri"/>
        </w:rPr>
        <w:t xml:space="preserve">stručného, ale </w:t>
      </w:r>
      <w:r w:rsidRPr="00C35D56">
        <w:rPr>
          <w:rFonts w:cs="Calibri"/>
        </w:rPr>
        <w:t xml:space="preserve">strukturovaného formuláře na úvod </w:t>
      </w:r>
      <w:r w:rsidR="006C46C3">
        <w:rPr>
          <w:rFonts w:cs="Calibri"/>
        </w:rPr>
        <w:t>z</w:t>
      </w:r>
      <w:r w:rsidR="006C46C3" w:rsidRPr="00C35D56">
        <w:rPr>
          <w:rFonts w:cs="Calibri"/>
        </w:rPr>
        <w:t xml:space="preserve">ávěrečné </w:t>
      </w:r>
      <w:r w:rsidRPr="00C35D56">
        <w:rPr>
          <w:rFonts w:cs="Calibri"/>
        </w:rPr>
        <w:t>zpráv</w:t>
      </w:r>
      <w:r>
        <w:rPr>
          <w:rFonts w:cs="Calibri"/>
        </w:rPr>
        <w:t>y</w:t>
      </w:r>
      <w:r w:rsidRPr="00C35D56">
        <w:rPr>
          <w:rFonts w:cs="Calibri"/>
        </w:rPr>
        <w:t xml:space="preserve"> RIA</w:t>
      </w:r>
      <w:r w:rsidR="009B1E79">
        <w:rPr>
          <w:rFonts w:cs="Calibri"/>
        </w:rPr>
        <w:t>,</w:t>
      </w:r>
      <w:r w:rsidRPr="00C35D56">
        <w:rPr>
          <w:rFonts w:cs="Calibri"/>
        </w:rPr>
        <w:t xml:space="preserve"> </w:t>
      </w:r>
      <w:r w:rsidR="008752CA">
        <w:rPr>
          <w:rFonts w:cs="Calibri"/>
        </w:rPr>
        <w:t xml:space="preserve">je </w:t>
      </w:r>
      <w:r w:rsidR="00546403">
        <w:rPr>
          <w:rFonts w:cs="Calibri"/>
        </w:rPr>
        <w:t xml:space="preserve">umožnit </w:t>
      </w:r>
      <w:r w:rsidRPr="00C35D56">
        <w:rPr>
          <w:rFonts w:cs="Calibri"/>
        </w:rPr>
        <w:t>rychl</w:t>
      </w:r>
      <w:r w:rsidR="00546403">
        <w:rPr>
          <w:rFonts w:cs="Calibri"/>
        </w:rPr>
        <w:t>ou</w:t>
      </w:r>
      <w:r w:rsidRPr="00C35D56">
        <w:rPr>
          <w:rFonts w:cs="Calibri"/>
        </w:rPr>
        <w:t xml:space="preserve"> orientac</w:t>
      </w:r>
      <w:r w:rsidR="00546403">
        <w:rPr>
          <w:rFonts w:cs="Calibri"/>
        </w:rPr>
        <w:t>i</w:t>
      </w:r>
      <w:r w:rsidRPr="00C35D56">
        <w:rPr>
          <w:rFonts w:cs="Calibri"/>
        </w:rPr>
        <w:t xml:space="preserve"> a prezentac</w:t>
      </w:r>
      <w:r w:rsidR="00546403">
        <w:rPr>
          <w:rFonts w:cs="Calibri"/>
        </w:rPr>
        <w:t xml:space="preserve">i </w:t>
      </w:r>
      <w:r w:rsidRPr="00C35D56">
        <w:rPr>
          <w:rFonts w:cs="Calibri"/>
        </w:rPr>
        <w:t xml:space="preserve">klíčových ukazatelů a závěrů, které </w:t>
      </w:r>
      <w:r w:rsidR="006C46C3">
        <w:rPr>
          <w:rFonts w:cs="Calibri"/>
        </w:rPr>
        <w:t>z</w:t>
      </w:r>
      <w:r w:rsidR="006C46C3" w:rsidRPr="00C35D56">
        <w:rPr>
          <w:rFonts w:cs="Calibri"/>
        </w:rPr>
        <w:t xml:space="preserve">ávěrečná </w:t>
      </w:r>
      <w:r w:rsidRPr="00C35D56">
        <w:rPr>
          <w:rFonts w:cs="Calibri"/>
        </w:rPr>
        <w:t>zpráva</w:t>
      </w:r>
      <w:r>
        <w:rPr>
          <w:rFonts w:cs="Calibri"/>
        </w:rPr>
        <w:t xml:space="preserve"> RIA</w:t>
      </w:r>
      <w:r w:rsidRPr="00C35D56">
        <w:rPr>
          <w:rFonts w:cs="Calibri"/>
        </w:rPr>
        <w:t xml:space="preserve"> přináší. Toto doporučení odráží praxi prezentace klíčových ukazatelů z hodnocení dopadů prezentovaných ve výsledných zprávách např. ve Velké Británii. </w:t>
      </w:r>
    </w:p>
    <w:p w:rsidR="008B5394" w:rsidRPr="00C35D56" w:rsidRDefault="003746E5" w:rsidP="00EF5E06">
      <w:pPr>
        <w:jc w:val="both"/>
        <w:rPr>
          <w:rFonts w:cs="Calibri"/>
        </w:rPr>
      </w:pPr>
      <w:r>
        <w:rPr>
          <w:rFonts w:cs="Calibri"/>
        </w:rPr>
        <w:t>Vláda ČR</w:t>
      </w:r>
      <w:r w:rsidR="00546403">
        <w:rPr>
          <w:rFonts w:cs="Calibri"/>
        </w:rPr>
        <w:t xml:space="preserve"> výše uvedené doporučení schválila</w:t>
      </w:r>
      <w:r>
        <w:rPr>
          <w:rFonts w:cs="Calibri"/>
        </w:rPr>
        <w:t xml:space="preserve"> v rámci novely Obecných zásad </w:t>
      </w:r>
      <w:r w:rsidR="00665D1B">
        <w:rPr>
          <w:rFonts w:cs="Calibri"/>
        </w:rPr>
        <w:t xml:space="preserve">přijaté </w:t>
      </w:r>
      <w:r>
        <w:rPr>
          <w:rFonts w:cs="Calibri"/>
        </w:rPr>
        <w:t xml:space="preserve">usnesením </w:t>
      </w:r>
      <w:r w:rsidR="008B5394">
        <w:rPr>
          <w:rFonts w:cs="Calibri"/>
        </w:rPr>
        <w:t xml:space="preserve">vlády </w:t>
      </w:r>
      <w:r>
        <w:rPr>
          <w:rFonts w:cs="Calibri"/>
        </w:rPr>
        <w:t xml:space="preserve">ze dne </w:t>
      </w:r>
      <w:r w:rsidR="003023F4">
        <w:rPr>
          <w:rFonts w:cs="Calibri"/>
        </w:rPr>
        <w:t>8.</w:t>
      </w:r>
      <w:r w:rsidR="008B5394">
        <w:rPr>
          <w:rFonts w:cs="Calibri"/>
        </w:rPr>
        <w:t xml:space="preserve"> ledna</w:t>
      </w:r>
      <w:r w:rsidR="003023F4">
        <w:rPr>
          <w:rFonts w:cs="Calibri"/>
        </w:rPr>
        <w:t xml:space="preserve"> 2014</w:t>
      </w:r>
      <w:r>
        <w:rPr>
          <w:rFonts w:cs="Calibri"/>
        </w:rPr>
        <w:t xml:space="preserve"> č. 26</w:t>
      </w:r>
      <w:r w:rsidR="00245ADE">
        <w:rPr>
          <w:rFonts w:cs="Calibri"/>
        </w:rPr>
        <w:t>.</w:t>
      </w:r>
      <w:r>
        <w:rPr>
          <w:rFonts w:cs="Calibri"/>
        </w:rPr>
        <w:t xml:space="preserve"> </w:t>
      </w:r>
      <w:r w:rsidR="008B5394">
        <w:rPr>
          <w:rFonts w:cs="Calibri"/>
        </w:rPr>
        <w:t xml:space="preserve">Z novely Obecných zásad vyplývá pro předkladatele návrhů zákonů </w:t>
      </w:r>
      <w:r w:rsidR="00665D1B">
        <w:rPr>
          <w:rFonts w:cs="Calibri"/>
        </w:rPr>
        <w:t xml:space="preserve">před předložením vládě </w:t>
      </w:r>
      <w:r w:rsidR="008B5394">
        <w:rPr>
          <w:rFonts w:cs="Calibri"/>
        </w:rPr>
        <w:t xml:space="preserve">povinnost připojit k závěrečné zprávě RIA krycí list, který obsahuje stručné shrnutí </w:t>
      </w:r>
      <w:r w:rsidR="003D227B">
        <w:rPr>
          <w:rFonts w:cs="Calibri"/>
        </w:rPr>
        <w:t>navrhované</w:t>
      </w:r>
      <w:r w:rsidR="008B5394" w:rsidRPr="008B5394">
        <w:rPr>
          <w:rFonts w:cs="Calibri"/>
        </w:rPr>
        <w:t xml:space="preserve"> varianty řešení</w:t>
      </w:r>
      <w:r w:rsidR="008B5394">
        <w:rPr>
          <w:rFonts w:cs="Calibri"/>
        </w:rPr>
        <w:t>. Jedná se o</w:t>
      </w:r>
      <w:r w:rsidR="008B5394" w:rsidRPr="008B5394">
        <w:rPr>
          <w:rFonts w:cs="Calibri"/>
        </w:rPr>
        <w:t xml:space="preserve"> 1-2 stránkov</w:t>
      </w:r>
      <w:r w:rsidR="008B5394">
        <w:rPr>
          <w:rFonts w:cs="Calibri"/>
        </w:rPr>
        <w:t xml:space="preserve">é </w:t>
      </w:r>
      <w:r w:rsidR="008B5394" w:rsidRPr="008B5394">
        <w:rPr>
          <w:rFonts w:cs="Calibri"/>
        </w:rPr>
        <w:t>shrnutí klíčových ukazatelů a charakteristiky agregovaných dopadů navrhovaného zákona (včetně předpokládan</w:t>
      </w:r>
      <w:r w:rsidR="008B5394">
        <w:rPr>
          <w:rFonts w:cs="Calibri"/>
        </w:rPr>
        <w:t>ého termínu nabytí účinnosti), přičemž ú</w:t>
      </w:r>
      <w:r w:rsidR="008B5394" w:rsidRPr="008B5394">
        <w:rPr>
          <w:rFonts w:cs="Calibri"/>
        </w:rPr>
        <w:t>činnost tohoto opatření je stanovena od 1.</w:t>
      </w:r>
      <w:r w:rsidR="003D227B">
        <w:rPr>
          <w:rFonts w:cs="Calibri"/>
        </w:rPr>
        <w:t> </w:t>
      </w:r>
      <w:r w:rsidR="008B5394" w:rsidRPr="008B5394">
        <w:rPr>
          <w:rFonts w:cs="Calibri"/>
        </w:rPr>
        <w:t>února 2014.</w:t>
      </w:r>
      <w:r w:rsidR="00546403">
        <w:rPr>
          <w:rFonts w:cs="Calibri"/>
        </w:rPr>
        <w:t xml:space="preserve"> </w:t>
      </w:r>
      <w:r w:rsidR="008B5394" w:rsidRPr="008B5394">
        <w:rPr>
          <w:rFonts w:cs="Calibri"/>
        </w:rPr>
        <w:t>Toto shrnutí má sloužit ke snadnější orientaci v textu zpracované</w:t>
      </w:r>
      <w:r w:rsidR="008B5394">
        <w:rPr>
          <w:rFonts w:cs="Calibri"/>
        </w:rPr>
        <w:t xml:space="preserve"> RIA k</w:t>
      </w:r>
      <w:r w:rsidR="003D227B">
        <w:rPr>
          <w:rFonts w:cs="Calibri"/>
        </w:rPr>
        <w:t> </w:t>
      </w:r>
      <w:r w:rsidR="008B5394" w:rsidRPr="008B5394">
        <w:rPr>
          <w:rFonts w:cs="Calibri"/>
        </w:rPr>
        <w:t>předkládané</w:t>
      </w:r>
      <w:r w:rsidR="008B5394">
        <w:rPr>
          <w:rFonts w:cs="Calibri"/>
        </w:rPr>
        <w:t>mu</w:t>
      </w:r>
      <w:r w:rsidR="008B5394" w:rsidRPr="008B5394">
        <w:rPr>
          <w:rFonts w:cs="Calibri"/>
        </w:rPr>
        <w:t xml:space="preserve"> návrhu zákona.</w:t>
      </w:r>
    </w:p>
    <w:p w:rsidR="002002F8" w:rsidRPr="002002F8" w:rsidRDefault="00EF5E06" w:rsidP="00AC3456">
      <w:pPr>
        <w:pStyle w:val="Nadpis2"/>
        <w:numPr>
          <w:ilvl w:val="1"/>
          <w:numId w:val="1"/>
        </w:numPr>
        <w:spacing w:after="240"/>
        <w:jc w:val="both"/>
        <w:rPr>
          <w:rFonts w:ascii="Calibri" w:hAnsi="Calibri" w:cs="Calibri"/>
          <w:color w:val="8064A2"/>
          <w:sz w:val="22"/>
          <w:szCs w:val="22"/>
        </w:rPr>
      </w:pPr>
      <w:bookmarkStart w:id="62" w:name="_Toc344989954"/>
      <w:bookmarkStart w:id="63" w:name="_Toc346878653"/>
      <w:bookmarkStart w:id="64" w:name="_Toc346879278"/>
      <w:bookmarkStart w:id="65" w:name="_Toc379376197"/>
      <w:bookmarkStart w:id="66" w:name="_Toc381286077"/>
      <w:bookmarkStart w:id="67" w:name="_Toc381286110"/>
      <w:r w:rsidRPr="002002F8">
        <w:rPr>
          <w:rFonts w:ascii="Calibri" w:hAnsi="Calibri" w:cs="Calibri"/>
          <w:color w:val="8064A2"/>
          <w:sz w:val="22"/>
          <w:szCs w:val="22"/>
        </w:rPr>
        <w:t>Doporučení: Gestoři mohou využívat možnost dobrovolných konzultací Komise RIA k metodickým otázkám zpracování hodnocení dopadů k připravovaným právním předpisům ve fázi jejich zpracování, nejlépe ve fázi před rozesláním do meziresortního připomínkového řízení.</w:t>
      </w:r>
      <w:bookmarkEnd w:id="62"/>
      <w:bookmarkEnd w:id="63"/>
      <w:bookmarkEnd w:id="64"/>
      <w:bookmarkEnd w:id="65"/>
      <w:bookmarkEnd w:id="66"/>
      <w:bookmarkEnd w:id="67"/>
    </w:p>
    <w:p w:rsidR="002002F8" w:rsidRPr="002002F8" w:rsidRDefault="002002F8" w:rsidP="002002F8">
      <w:pPr>
        <w:pStyle w:val="Nadpis2"/>
        <w:spacing w:after="240"/>
        <w:jc w:val="both"/>
        <w:rPr>
          <w:rFonts w:ascii="Calibri" w:hAnsi="Calibri" w:cs="Calibri"/>
          <w:b/>
          <w:bCs/>
          <w:sz w:val="22"/>
          <w:szCs w:val="22"/>
        </w:rPr>
      </w:pPr>
      <w:bookmarkStart w:id="68" w:name="_Toc379376198"/>
      <w:bookmarkStart w:id="69" w:name="_Toc381286078"/>
      <w:bookmarkStart w:id="70" w:name="_Toc381286111"/>
      <w:r w:rsidRPr="002002F8">
        <w:rPr>
          <w:rFonts w:ascii="Calibri" w:hAnsi="Calibri" w:cs="Calibri"/>
          <w:b/>
          <w:bCs/>
          <w:sz w:val="22"/>
          <w:szCs w:val="22"/>
        </w:rPr>
        <w:t xml:space="preserve">Komisi </w:t>
      </w:r>
      <w:r w:rsidR="003D227B">
        <w:rPr>
          <w:rFonts w:ascii="Calibri" w:hAnsi="Calibri" w:cs="Calibri"/>
          <w:b/>
          <w:bCs/>
          <w:sz w:val="22"/>
          <w:szCs w:val="22"/>
        </w:rPr>
        <w:t xml:space="preserve">RIA </w:t>
      </w:r>
      <w:r>
        <w:rPr>
          <w:rFonts w:ascii="Calibri" w:hAnsi="Calibri" w:cs="Calibri"/>
          <w:b/>
          <w:bCs/>
          <w:sz w:val="22"/>
          <w:szCs w:val="22"/>
        </w:rPr>
        <w:t>byly</w:t>
      </w:r>
      <w:r w:rsidRPr="002002F8">
        <w:rPr>
          <w:rFonts w:ascii="Calibri" w:hAnsi="Calibri" w:cs="Calibri"/>
          <w:b/>
          <w:bCs/>
          <w:sz w:val="22"/>
          <w:szCs w:val="22"/>
        </w:rPr>
        <w:t xml:space="preserve"> opakovaně předkládány předlohy, z nichž je na první pohled zjevné, že </w:t>
      </w:r>
      <w:r w:rsidR="003D227B">
        <w:rPr>
          <w:rFonts w:ascii="Calibri" w:hAnsi="Calibri" w:cs="Calibri"/>
          <w:b/>
          <w:bCs/>
          <w:sz w:val="22"/>
          <w:szCs w:val="22"/>
        </w:rPr>
        <w:t xml:space="preserve">závěrečná </w:t>
      </w:r>
      <w:r w:rsidRPr="002002F8">
        <w:rPr>
          <w:rFonts w:ascii="Calibri" w:hAnsi="Calibri" w:cs="Calibri"/>
          <w:b/>
          <w:bCs/>
          <w:sz w:val="22"/>
          <w:szCs w:val="22"/>
        </w:rPr>
        <w:t xml:space="preserve">zpráva RIA byla vytvořena ex post až poté, co </w:t>
      </w:r>
      <w:r w:rsidR="00DD2DE8">
        <w:rPr>
          <w:rFonts w:ascii="Calibri" w:hAnsi="Calibri" w:cs="Calibri"/>
          <w:b/>
          <w:bCs/>
          <w:sz w:val="22"/>
          <w:szCs w:val="22"/>
        </w:rPr>
        <w:t>byl zpracován</w:t>
      </w:r>
      <w:r w:rsidRPr="002002F8">
        <w:rPr>
          <w:rFonts w:ascii="Calibri" w:hAnsi="Calibri" w:cs="Calibri"/>
          <w:b/>
          <w:bCs/>
          <w:sz w:val="22"/>
          <w:szCs w:val="22"/>
        </w:rPr>
        <w:t xml:space="preserve"> celý </w:t>
      </w:r>
      <w:r w:rsidR="003D227B">
        <w:rPr>
          <w:rFonts w:ascii="Calibri" w:hAnsi="Calibri" w:cs="Calibri"/>
          <w:b/>
          <w:bCs/>
          <w:sz w:val="22"/>
          <w:szCs w:val="22"/>
        </w:rPr>
        <w:t>návrh právního předpisu.</w:t>
      </w:r>
      <w:r w:rsidRPr="002002F8">
        <w:rPr>
          <w:rFonts w:ascii="Calibri" w:hAnsi="Calibri" w:cs="Calibri"/>
          <w:b/>
          <w:bCs/>
          <w:sz w:val="22"/>
          <w:szCs w:val="22"/>
        </w:rPr>
        <w:t xml:space="preserve"> Pokud Komise </w:t>
      </w:r>
      <w:r w:rsidR="003D227B">
        <w:rPr>
          <w:rFonts w:ascii="Calibri" w:hAnsi="Calibri" w:cs="Calibri"/>
          <w:b/>
          <w:bCs/>
          <w:sz w:val="22"/>
          <w:szCs w:val="22"/>
        </w:rPr>
        <w:t xml:space="preserve">RIA </w:t>
      </w:r>
      <w:r w:rsidRPr="002002F8">
        <w:rPr>
          <w:rFonts w:ascii="Calibri" w:hAnsi="Calibri" w:cs="Calibri"/>
          <w:b/>
          <w:bCs/>
          <w:sz w:val="22"/>
          <w:szCs w:val="22"/>
        </w:rPr>
        <w:t>v</w:t>
      </w:r>
      <w:r>
        <w:rPr>
          <w:rFonts w:ascii="Calibri" w:hAnsi="Calibri" w:cs="Calibri"/>
          <w:b/>
          <w:bCs/>
          <w:sz w:val="22"/>
          <w:szCs w:val="22"/>
        </w:rPr>
        <w:t> </w:t>
      </w:r>
      <w:r w:rsidR="003D227B">
        <w:rPr>
          <w:rFonts w:ascii="Calibri" w:hAnsi="Calibri" w:cs="Calibri"/>
          <w:b/>
          <w:bCs/>
          <w:sz w:val="22"/>
          <w:szCs w:val="22"/>
        </w:rPr>
        <w:t>závěrečné</w:t>
      </w:r>
      <w:r w:rsidR="003D227B" w:rsidRPr="002002F8">
        <w:rPr>
          <w:rFonts w:ascii="Calibri" w:hAnsi="Calibri" w:cs="Calibri"/>
          <w:b/>
          <w:bCs/>
          <w:sz w:val="22"/>
          <w:szCs w:val="22"/>
        </w:rPr>
        <w:t xml:space="preserve"> </w:t>
      </w:r>
      <w:r w:rsidRPr="002002F8">
        <w:rPr>
          <w:rFonts w:ascii="Calibri" w:hAnsi="Calibri" w:cs="Calibri"/>
          <w:b/>
          <w:bCs/>
          <w:sz w:val="22"/>
          <w:szCs w:val="22"/>
        </w:rPr>
        <w:t xml:space="preserve">zprávě </w:t>
      </w:r>
      <w:r w:rsidR="003D227B">
        <w:rPr>
          <w:rFonts w:ascii="Calibri" w:hAnsi="Calibri" w:cs="Calibri"/>
          <w:b/>
          <w:bCs/>
          <w:sz w:val="22"/>
          <w:szCs w:val="22"/>
        </w:rPr>
        <w:t xml:space="preserve">RIA </w:t>
      </w:r>
      <w:r w:rsidRPr="002002F8">
        <w:rPr>
          <w:rFonts w:ascii="Calibri" w:hAnsi="Calibri" w:cs="Calibri"/>
          <w:b/>
          <w:bCs/>
          <w:sz w:val="22"/>
          <w:szCs w:val="22"/>
        </w:rPr>
        <w:t xml:space="preserve">odhalí závažné nedostatky, mající dopad </w:t>
      </w:r>
      <w:r w:rsidR="003D227B">
        <w:rPr>
          <w:rFonts w:ascii="Calibri" w:hAnsi="Calibri" w:cs="Calibri"/>
          <w:b/>
          <w:bCs/>
          <w:sz w:val="22"/>
          <w:szCs w:val="22"/>
        </w:rPr>
        <w:t>na</w:t>
      </w:r>
      <w:r w:rsidR="003D227B" w:rsidRPr="002002F8">
        <w:rPr>
          <w:rFonts w:ascii="Calibri" w:hAnsi="Calibri" w:cs="Calibri"/>
          <w:b/>
          <w:bCs/>
          <w:sz w:val="22"/>
          <w:szCs w:val="22"/>
        </w:rPr>
        <w:t xml:space="preserve"> </w:t>
      </w:r>
      <w:r w:rsidRPr="002002F8">
        <w:rPr>
          <w:rFonts w:ascii="Calibri" w:hAnsi="Calibri" w:cs="Calibri"/>
          <w:b/>
          <w:bCs/>
          <w:sz w:val="22"/>
          <w:szCs w:val="22"/>
        </w:rPr>
        <w:t xml:space="preserve">obsah </w:t>
      </w:r>
      <w:r w:rsidR="003D227B">
        <w:rPr>
          <w:rFonts w:ascii="Calibri" w:hAnsi="Calibri" w:cs="Calibri"/>
          <w:b/>
          <w:bCs/>
          <w:sz w:val="22"/>
          <w:szCs w:val="22"/>
        </w:rPr>
        <w:t>návrhu právního předpisu</w:t>
      </w:r>
      <w:r w:rsidRPr="002002F8">
        <w:rPr>
          <w:rFonts w:ascii="Calibri" w:hAnsi="Calibri" w:cs="Calibri"/>
          <w:b/>
          <w:bCs/>
          <w:sz w:val="22"/>
          <w:szCs w:val="22"/>
        </w:rPr>
        <w:t xml:space="preserve">, předkladatel již zpravidla není schopen na výhrady Komise </w:t>
      </w:r>
      <w:r w:rsidR="009B1E79">
        <w:rPr>
          <w:rFonts w:ascii="Calibri" w:hAnsi="Calibri" w:cs="Calibri"/>
          <w:b/>
          <w:bCs/>
          <w:sz w:val="22"/>
          <w:szCs w:val="22"/>
        </w:rPr>
        <w:t xml:space="preserve">RIA </w:t>
      </w:r>
      <w:r w:rsidRPr="002002F8">
        <w:rPr>
          <w:rFonts w:ascii="Calibri" w:hAnsi="Calibri" w:cs="Calibri"/>
          <w:b/>
          <w:bCs/>
          <w:sz w:val="22"/>
          <w:szCs w:val="22"/>
        </w:rPr>
        <w:t xml:space="preserve">adekvátně </w:t>
      </w:r>
      <w:r w:rsidR="003D227B">
        <w:rPr>
          <w:rFonts w:ascii="Calibri" w:hAnsi="Calibri" w:cs="Calibri"/>
          <w:b/>
          <w:bCs/>
          <w:sz w:val="22"/>
          <w:szCs w:val="22"/>
        </w:rPr>
        <w:t xml:space="preserve">v této fázi legislativního procesu </w:t>
      </w:r>
      <w:r w:rsidRPr="002002F8">
        <w:rPr>
          <w:rFonts w:ascii="Calibri" w:hAnsi="Calibri" w:cs="Calibri"/>
          <w:b/>
          <w:bCs/>
          <w:sz w:val="22"/>
          <w:szCs w:val="22"/>
        </w:rPr>
        <w:t xml:space="preserve">reagovat, jelikož by musel </w:t>
      </w:r>
      <w:r w:rsidR="003D227B">
        <w:rPr>
          <w:rFonts w:ascii="Calibri" w:hAnsi="Calibri" w:cs="Calibri"/>
          <w:b/>
          <w:bCs/>
          <w:sz w:val="22"/>
          <w:szCs w:val="22"/>
        </w:rPr>
        <w:t xml:space="preserve">přinejmenším opakovat </w:t>
      </w:r>
      <w:r w:rsidRPr="002002F8">
        <w:rPr>
          <w:rFonts w:ascii="Calibri" w:hAnsi="Calibri" w:cs="Calibri"/>
          <w:b/>
          <w:bCs/>
          <w:sz w:val="22"/>
          <w:szCs w:val="22"/>
        </w:rPr>
        <w:t xml:space="preserve">meziresortní připomínkové řízení. Komise upozorňuje na to, že "provádění" RIA toliko formálně a ex post popírá smysl celého opatření a představuje </w:t>
      </w:r>
      <w:r w:rsidR="009B1E79">
        <w:rPr>
          <w:rFonts w:ascii="Calibri" w:hAnsi="Calibri" w:cs="Calibri"/>
          <w:b/>
          <w:bCs/>
          <w:sz w:val="22"/>
          <w:szCs w:val="22"/>
        </w:rPr>
        <w:t>„</w:t>
      </w:r>
      <w:r w:rsidRPr="002002F8">
        <w:rPr>
          <w:rFonts w:ascii="Calibri" w:hAnsi="Calibri" w:cs="Calibri"/>
          <w:b/>
          <w:bCs/>
          <w:sz w:val="22"/>
          <w:szCs w:val="22"/>
        </w:rPr>
        <w:t>mrhání</w:t>
      </w:r>
      <w:r w:rsidR="009B1E79">
        <w:rPr>
          <w:rFonts w:ascii="Calibri" w:hAnsi="Calibri" w:cs="Calibri"/>
          <w:b/>
          <w:bCs/>
          <w:sz w:val="22"/>
          <w:szCs w:val="22"/>
        </w:rPr>
        <w:t>“</w:t>
      </w:r>
      <w:r w:rsidRPr="002002F8">
        <w:rPr>
          <w:rFonts w:ascii="Calibri" w:hAnsi="Calibri" w:cs="Calibri"/>
          <w:b/>
          <w:bCs/>
          <w:sz w:val="22"/>
          <w:szCs w:val="22"/>
        </w:rPr>
        <w:t xml:space="preserve"> zdroji a </w:t>
      </w:r>
      <w:r w:rsidR="003D227B">
        <w:rPr>
          <w:rFonts w:ascii="Calibri" w:hAnsi="Calibri" w:cs="Calibri"/>
          <w:b/>
          <w:bCs/>
          <w:sz w:val="22"/>
          <w:szCs w:val="22"/>
        </w:rPr>
        <w:t xml:space="preserve">zbytečnou </w:t>
      </w:r>
      <w:r w:rsidRPr="002002F8">
        <w:rPr>
          <w:rFonts w:ascii="Calibri" w:hAnsi="Calibri" w:cs="Calibri"/>
          <w:b/>
          <w:bCs/>
          <w:sz w:val="22"/>
          <w:szCs w:val="22"/>
        </w:rPr>
        <w:t>administrativní zátěž</w:t>
      </w:r>
      <w:r w:rsidR="009B1E79">
        <w:rPr>
          <w:rFonts w:ascii="Calibri" w:hAnsi="Calibri" w:cs="Calibri"/>
          <w:b/>
          <w:bCs/>
          <w:sz w:val="22"/>
          <w:szCs w:val="22"/>
        </w:rPr>
        <w:t xml:space="preserve"> pro úřady</w:t>
      </w:r>
      <w:r w:rsidRPr="002002F8">
        <w:rPr>
          <w:rFonts w:ascii="Calibri" w:hAnsi="Calibri" w:cs="Calibri"/>
          <w:b/>
          <w:bCs/>
          <w:sz w:val="22"/>
          <w:szCs w:val="22"/>
        </w:rPr>
        <w:t xml:space="preserve">, od níž však nelze očekávat reálné přínosy v podobě přijímání kvalitnějších, či alespoň méně </w:t>
      </w:r>
      <w:r w:rsidR="009B1E79">
        <w:rPr>
          <w:rFonts w:ascii="Calibri" w:hAnsi="Calibri" w:cs="Calibri"/>
          <w:b/>
          <w:bCs/>
          <w:sz w:val="22"/>
          <w:szCs w:val="22"/>
        </w:rPr>
        <w:t>„</w:t>
      </w:r>
      <w:r w:rsidRPr="002002F8">
        <w:rPr>
          <w:rFonts w:ascii="Calibri" w:hAnsi="Calibri" w:cs="Calibri"/>
          <w:b/>
          <w:bCs/>
          <w:sz w:val="22"/>
          <w:szCs w:val="22"/>
        </w:rPr>
        <w:t>škodlivých</w:t>
      </w:r>
      <w:r w:rsidR="009B1E79">
        <w:rPr>
          <w:rFonts w:ascii="Calibri" w:hAnsi="Calibri" w:cs="Calibri"/>
          <w:b/>
          <w:bCs/>
          <w:sz w:val="22"/>
          <w:szCs w:val="22"/>
        </w:rPr>
        <w:t>“</w:t>
      </w:r>
      <w:r w:rsidRPr="002002F8">
        <w:rPr>
          <w:rFonts w:ascii="Calibri" w:hAnsi="Calibri" w:cs="Calibri"/>
          <w:b/>
          <w:bCs/>
          <w:sz w:val="22"/>
          <w:szCs w:val="22"/>
        </w:rPr>
        <w:t xml:space="preserve"> právních předpisů.</w:t>
      </w:r>
      <w:bookmarkEnd w:id="68"/>
      <w:bookmarkEnd w:id="69"/>
      <w:bookmarkEnd w:id="70"/>
      <w:r w:rsidRPr="002002F8">
        <w:rPr>
          <w:rFonts w:ascii="Calibri" w:hAnsi="Calibri" w:cs="Calibri"/>
          <w:b/>
          <w:bCs/>
          <w:sz w:val="22"/>
          <w:szCs w:val="22"/>
        </w:rPr>
        <w:t xml:space="preserve"> </w:t>
      </w:r>
    </w:p>
    <w:p w:rsidR="007A1C4D" w:rsidRDefault="00EF5E06" w:rsidP="00EF5E06">
      <w:pPr>
        <w:jc w:val="both"/>
        <w:rPr>
          <w:rFonts w:cs="Calibri"/>
        </w:rPr>
      </w:pPr>
      <w:r w:rsidRPr="00C35D56">
        <w:rPr>
          <w:rFonts w:cs="Calibri"/>
        </w:rPr>
        <w:t xml:space="preserve">Statut </w:t>
      </w:r>
      <w:r w:rsidR="003D227B" w:rsidRPr="00C35D56">
        <w:rPr>
          <w:rFonts w:cs="Calibri"/>
        </w:rPr>
        <w:t>L</w:t>
      </w:r>
      <w:r w:rsidR="003D227B">
        <w:rPr>
          <w:rFonts w:cs="Calibri"/>
        </w:rPr>
        <w:t>egislativní rady vlády</w:t>
      </w:r>
      <w:r w:rsidR="003D227B" w:rsidRPr="00C35D56">
        <w:rPr>
          <w:rFonts w:cs="Calibri"/>
        </w:rPr>
        <w:t xml:space="preserve"> </w:t>
      </w:r>
      <w:r w:rsidRPr="00C35D56">
        <w:rPr>
          <w:rFonts w:cs="Calibri"/>
        </w:rPr>
        <w:t>stanovuje, že Komise RIA je oprávněna provádět konzultace RIA v</w:t>
      </w:r>
      <w:r w:rsidR="003D227B">
        <w:rPr>
          <w:rFonts w:cs="Calibri"/>
        </w:rPr>
        <w:t> </w:t>
      </w:r>
      <w:r w:rsidRPr="00C35D56">
        <w:rPr>
          <w:rFonts w:cs="Calibri"/>
        </w:rPr>
        <w:t xml:space="preserve">průběhu jejího zpracování </w:t>
      </w:r>
      <w:r>
        <w:rPr>
          <w:rFonts w:cs="Calibri"/>
        </w:rPr>
        <w:t>ministerstvy</w:t>
      </w:r>
      <w:r w:rsidRPr="00C35D56">
        <w:rPr>
          <w:rFonts w:cs="Calibri"/>
        </w:rPr>
        <w:t xml:space="preserve">. Tato praxe se v průběhu roku </w:t>
      </w:r>
      <w:r w:rsidR="000C7C25">
        <w:rPr>
          <w:rFonts w:cs="Calibri"/>
        </w:rPr>
        <w:t xml:space="preserve">2012 </w:t>
      </w:r>
      <w:r w:rsidRPr="00C35D56">
        <w:rPr>
          <w:rFonts w:cs="Calibri"/>
        </w:rPr>
        <w:t>osvědčila jako vhodný nástroj pro vyjasnění metodických a procesních nejasností zpracování RIA</w:t>
      </w:r>
      <w:r w:rsidR="003D227B">
        <w:rPr>
          <w:rFonts w:cs="Calibri"/>
        </w:rPr>
        <w:t>.</w:t>
      </w:r>
      <w:r w:rsidRPr="00C35D56">
        <w:rPr>
          <w:rFonts w:cs="Calibri"/>
        </w:rPr>
        <w:t xml:space="preserve"> </w:t>
      </w:r>
      <w:r w:rsidR="003D227B">
        <w:rPr>
          <w:rFonts w:cs="Calibri"/>
        </w:rPr>
        <w:t>S</w:t>
      </w:r>
      <w:r w:rsidRPr="00C35D56">
        <w:rPr>
          <w:rFonts w:cs="Calibri"/>
        </w:rPr>
        <w:t xml:space="preserve">oučasně </w:t>
      </w:r>
      <w:r w:rsidR="003D227B">
        <w:rPr>
          <w:rFonts w:cs="Calibri"/>
        </w:rPr>
        <w:t xml:space="preserve">je </w:t>
      </w:r>
      <w:r w:rsidRPr="00C35D56">
        <w:rPr>
          <w:rFonts w:cs="Calibri"/>
        </w:rPr>
        <w:t>předpoklad</w:t>
      </w:r>
      <w:r w:rsidR="003D227B">
        <w:rPr>
          <w:rFonts w:cs="Calibri"/>
        </w:rPr>
        <w:t xml:space="preserve">, že u průběžně „konzultovaných“ závěrečných zpráv RIA </w:t>
      </w:r>
      <w:r w:rsidR="007A1C4D">
        <w:rPr>
          <w:rFonts w:cs="Calibri"/>
        </w:rPr>
        <w:t xml:space="preserve">nebude závěrečná zpráva RIA následně vykazovat </w:t>
      </w:r>
      <w:r w:rsidR="007A1C4D" w:rsidRPr="00C35D56">
        <w:rPr>
          <w:rFonts w:cs="Calibri"/>
        </w:rPr>
        <w:t>závažn</w:t>
      </w:r>
      <w:r w:rsidR="007A1C4D">
        <w:rPr>
          <w:rFonts w:cs="Calibri"/>
        </w:rPr>
        <w:t>é</w:t>
      </w:r>
      <w:r w:rsidR="007A1C4D" w:rsidRPr="00C35D56">
        <w:rPr>
          <w:rFonts w:cs="Calibri"/>
        </w:rPr>
        <w:t xml:space="preserve"> </w:t>
      </w:r>
      <w:r w:rsidR="007A1C4D">
        <w:rPr>
          <w:rFonts w:cs="Calibri"/>
        </w:rPr>
        <w:t xml:space="preserve">nedostatky </w:t>
      </w:r>
      <w:r w:rsidR="00226A78">
        <w:rPr>
          <w:rFonts w:cs="Calibri"/>
        </w:rPr>
        <w:t>v rámci</w:t>
      </w:r>
      <w:r w:rsidR="003D227B">
        <w:rPr>
          <w:rFonts w:cs="Calibri"/>
        </w:rPr>
        <w:t xml:space="preserve"> řádného projednávání návrhu právního předpisu Komisí RIA před předložením vládě</w:t>
      </w:r>
      <w:r w:rsidRPr="00C35D56">
        <w:rPr>
          <w:rFonts w:cs="Calibri"/>
        </w:rPr>
        <w:t xml:space="preserve">. </w:t>
      </w:r>
    </w:p>
    <w:p w:rsidR="00EF5E06" w:rsidRDefault="00B4216F" w:rsidP="00EF5E06">
      <w:pPr>
        <w:jc w:val="both"/>
        <w:rPr>
          <w:rFonts w:cs="Calibri"/>
        </w:rPr>
      </w:pPr>
      <w:r>
        <w:rPr>
          <w:rFonts w:cs="Calibri"/>
        </w:rPr>
        <w:lastRenderedPageBreak/>
        <w:t>Velmi úspěšným příkladem z r. 2012 byla konzultace závěrečné zprávy RIA k věcnému návrhu zákona o kybernetické bezpečnosti</w:t>
      </w:r>
      <w:r w:rsidR="006A12F1">
        <w:rPr>
          <w:rFonts w:cs="Calibri"/>
        </w:rPr>
        <w:t>, která byla následně využita i při přípravě</w:t>
      </w:r>
      <w:r w:rsidR="008752CA">
        <w:rPr>
          <w:rFonts w:cs="Calibri"/>
        </w:rPr>
        <w:t xml:space="preserve"> n</w:t>
      </w:r>
      <w:r w:rsidR="008752CA" w:rsidRPr="008752CA">
        <w:rPr>
          <w:rFonts w:cs="Calibri"/>
        </w:rPr>
        <w:t>ávrh</w:t>
      </w:r>
      <w:r w:rsidR="008752CA">
        <w:rPr>
          <w:rFonts w:cs="Calibri"/>
        </w:rPr>
        <w:t>u</w:t>
      </w:r>
      <w:r w:rsidR="008752CA" w:rsidRPr="008752CA">
        <w:rPr>
          <w:rFonts w:cs="Calibri"/>
        </w:rPr>
        <w:t xml:space="preserve"> zákona o kybernetické bezpečnosti a o změně souvisejících zákonů (zákon o kybernetické bezpečnosti)</w:t>
      </w:r>
      <w:r w:rsidR="008752CA">
        <w:rPr>
          <w:rFonts w:cs="Calibri"/>
        </w:rPr>
        <w:t xml:space="preserve"> v r. 2013</w:t>
      </w:r>
      <w:r>
        <w:rPr>
          <w:rFonts w:cs="Calibri"/>
        </w:rPr>
        <w:t xml:space="preserve">. </w:t>
      </w:r>
      <w:r w:rsidR="000C7C25">
        <w:rPr>
          <w:rFonts w:cs="Calibri"/>
        </w:rPr>
        <w:t>Resorty této možnosti ale v průběhu roku 2013 nevyužívaly. Přitom včasn</w:t>
      </w:r>
      <w:r w:rsidR="008B5394">
        <w:rPr>
          <w:rFonts w:cs="Calibri"/>
        </w:rPr>
        <w:t>á</w:t>
      </w:r>
      <w:r w:rsidR="000C7C25">
        <w:rPr>
          <w:rFonts w:cs="Calibri"/>
        </w:rPr>
        <w:t xml:space="preserve"> konzultac</w:t>
      </w:r>
      <w:r w:rsidR="008B5394">
        <w:rPr>
          <w:rFonts w:cs="Calibri"/>
        </w:rPr>
        <w:t>e</w:t>
      </w:r>
      <w:r w:rsidR="000C7C25">
        <w:rPr>
          <w:rFonts w:cs="Calibri"/>
        </w:rPr>
        <w:t xml:space="preserve"> a vyjasnění hlavních principiálních i metodických otázek směřujících k definici problémů, nastavení cílů, posouzení variant řešení a jejich vyhodnocení </w:t>
      </w:r>
      <w:r w:rsidR="006C46C3">
        <w:rPr>
          <w:rFonts w:cs="Calibri"/>
        </w:rPr>
        <w:t>by pomohla</w:t>
      </w:r>
      <w:r w:rsidR="000C7C25">
        <w:rPr>
          <w:rFonts w:cs="Calibri"/>
        </w:rPr>
        <w:t xml:space="preserve"> včas vyjasnit nejzákladnější otázky a možné chyby mající dopad nejen na kvalitu zpracované RIA, ale především</w:t>
      </w:r>
      <w:r w:rsidR="00AC3456">
        <w:rPr>
          <w:rFonts w:cs="Calibri"/>
        </w:rPr>
        <w:t xml:space="preserve"> na</w:t>
      </w:r>
      <w:r w:rsidR="000C7C25">
        <w:rPr>
          <w:rFonts w:cs="Calibri"/>
        </w:rPr>
        <w:t xml:space="preserve"> samotnou věcnou a obsahovou kvalitu návrhů právních předpisů. </w:t>
      </w:r>
      <w:r w:rsidR="00AC3456">
        <w:rPr>
          <w:rFonts w:cs="Calibri"/>
        </w:rPr>
        <w:t>Tímto postupem by se mohlo eliminovat formální provádění RIA, kdy provedení RIA nemá vliv na výslednou podobu návrhu právního předpisu, jelikož se zpravidla zpracovává až po sepsání návrhu právního předpisu.</w:t>
      </w:r>
    </w:p>
    <w:p w:rsidR="002002F8" w:rsidRPr="00C35D56" w:rsidRDefault="002002F8" w:rsidP="002002F8">
      <w:pPr>
        <w:jc w:val="both"/>
        <w:rPr>
          <w:rFonts w:cs="Calibri"/>
        </w:rPr>
      </w:pPr>
      <w:r>
        <w:rPr>
          <w:rFonts w:cs="Calibri"/>
        </w:rPr>
        <w:t xml:space="preserve">Komise proto vyzývá resorty, aby </w:t>
      </w:r>
      <w:r w:rsidRPr="008D06BC">
        <w:rPr>
          <w:rFonts w:cs="Calibri"/>
        </w:rPr>
        <w:t xml:space="preserve">ještě před tím, než předkladatel </w:t>
      </w:r>
      <w:r w:rsidR="00803D5F">
        <w:rPr>
          <w:rFonts w:cs="Calibri"/>
        </w:rPr>
        <w:t>plánuje rozeslat</w:t>
      </w:r>
      <w:r w:rsidRPr="008D06BC">
        <w:rPr>
          <w:rFonts w:cs="Calibri"/>
        </w:rPr>
        <w:t xml:space="preserve"> svůj legislativní návrh do meziresortního připomínkového řízení</w:t>
      </w:r>
      <w:r w:rsidR="00803D5F">
        <w:rPr>
          <w:rFonts w:cs="Calibri"/>
        </w:rPr>
        <w:t>,</w:t>
      </w:r>
      <w:r w:rsidR="00DD2DE8">
        <w:rPr>
          <w:rFonts w:cs="Calibri"/>
        </w:rPr>
        <w:t xml:space="preserve"> využívala ve větší míře možnosti konzultací s Komisí RIA</w:t>
      </w:r>
      <w:r w:rsidRPr="008D06BC">
        <w:rPr>
          <w:rFonts w:cs="Calibri"/>
        </w:rPr>
        <w:t>. Takový postup by velmi pravděpodobně zvýšil účinnost metody RIA, a byl by konsistentní s praxí, která je uplatňována Evropskou komisí při tvorbě právních předpisů EU.</w:t>
      </w:r>
    </w:p>
    <w:p w:rsidR="00EF5E06" w:rsidRPr="008E042D" w:rsidRDefault="00EF5E06" w:rsidP="00EF5E06">
      <w:pPr>
        <w:pStyle w:val="Nadpis2"/>
        <w:numPr>
          <w:ilvl w:val="1"/>
          <w:numId w:val="1"/>
        </w:numPr>
        <w:spacing w:after="240"/>
        <w:jc w:val="both"/>
        <w:rPr>
          <w:rFonts w:ascii="Calibri" w:hAnsi="Calibri" w:cs="Calibri"/>
          <w:color w:val="8064A2"/>
          <w:sz w:val="22"/>
          <w:szCs w:val="22"/>
        </w:rPr>
      </w:pPr>
      <w:bookmarkStart w:id="71" w:name="_Toc344989955"/>
      <w:bookmarkStart w:id="72" w:name="_Toc346878654"/>
      <w:bookmarkStart w:id="73" w:name="_Toc346879279"/>
      <w:bookmarkStart w:id="74" w:name="_Toc379376199"/>
      <w:bookmarkStart w:id="75" w:name="_Toc381286079"/>
      <w:bookmarkStart w:id="76" w:name="_Toc381286112"/>
      <w:r w:rsidRPr="008E042D">
        <w:rPr>
          <w:rFonts w:ascii="Calibri" w:hAnsi="Calibri" w:cs="Calibri"/>
          <w:color w:val="8064A2"/>
          <w:sz w:val="22"/>
          <w:szCs w:val="22"/>
        </w:rPr>
        <w:t>Doporučení: Vytvořit systém vzdělávání k problematice RIA</w:t>
      </w:r>
      <w:bookmarkEnd w:id="71"/>
      <w:bookmarkEnd w:id="72"/>
      <w:bookmarkEnd w:id="73"/>
      <w:bookmarkEnd w:id="74"/>
      <w:bookmarkEnd w:id="75"/>
      <w:bookmarkEnd w:id="76"/>
      <w:r w:rsidR="003746E5">
        <w:rPr>
          <w:rFonts w:ascii="Calibri" w:hAnsi="Calibri" w:cs="Calibri"/>
          <w:color w:val="8064A2"/>
          <w:sz w:val="22"/>
          <w:szCs w:val="22"/>
        </w:rPr>
        <w:t xml:space="preserve"> </w:t>
      </w:r>
    </w:p>
    <w:p w:rsidR="00EF5E06" w:rsidRDefault="00EF5E06" w:rsidP="00EF5E06">
      <w:pPr>
        <w:jc w:val="both"/>
        <w:rPr>
          <w:rFonts w:cs="Calibri"/>
        </w:rPr>
      </w:pPr>
      <w:r>
        <w:rPr>
          <w:rFonts w:cs="Calibri"/>
        </w:rPr>
        <w:t>Na základě zkušeností Komise RIA,</w:t>
      </w:r>
      <w:r w:rsidRPr="00C35D56">
        <w:rPr>
          <w:rFonts w:cs="Calibri"/>
        </w:rPr>
        <w:t xml:space="preserve"> s ohledem na kvalitu předkládaných RIA a</w:t>
      </w:r>
      <w:r>
        <w:rPr>
          <w:rFonts w:cs="Calibri"/>
        </w:rPr>
        <w:t xml:space="preserve"> množství</w:t>
      </w:r>
      <w:r w:rsidRPr="00C35D56">
        <w:rPr>
          <w:rFonts w:cs="Calibri"/>
        </w:rPr>
        <w:t xml:space="preserve"> často se opakujících chyb je potřeba podpořit vytvoření uceleného systému vzdělávání v této oblasti, a to diferencovaně pro jednotlivé skupiny státní</w:t>
      </w:r>
      <w:r>
        <w:rPr>
          <w:rFonts w:cs="Calibri"/>
        </w:rPr>
        <w:t>ch</w:t>
      </w:r>
      <w:r w:rsidRPr="00C35D56">
        <w:rPr>
          <w:rFonts w:cs="Calibri"/>
        </w:rPr>
        <w:t xml:space="preserve"> zaměstnanců podílejících se na zpracovávání RIA (legislativci, věcně příslušní odborníci, analytici apod.)</w:t>
      </w:r>
      <w:r>
        <w:rPr>
          <w:rFonts w:cs="Calibri"/>
        </w:rPr>
        <w:t>.</w:t>
      </w:r>
      <w:r w:rsidRPr="00C35D56">
        <w:rPr>
          <w:rFonts w:cs="Calibri"/>
        </w:rPr>
        <w:t xml:space="preserve"> V</w:t>
      </w:r>
      <w:r w:rsidR="009268C5">
        <w:rPr>
          <w:rFonts w:cs="Calibri"/>
        </w:rPr>
        <w:t> </w:t>
      </w:r>
      <w:r w:rsidRPr="00C35D56">
        <w:rPr>
          <w:rFonts w:cs="Calibri"/>
        </w:rPr>
        <w:t>úvahu</w:t>
      </w:r>
      <w:r w:rsidR="009268C5">
        <w:rPr>
          <w:rFonts w:cs="Calibri"/>
        </w:rPr>
        <w:t xml:space="preserve"> dále</w:t>
      </w:r>
      <w:r w:rsidRPr="00C35D56">
        <w:rPr>
          <w:rFonts w:cs="Calibri"/>
        </w:rPr>
        <w:t xml:space="preserve"> připadá podpora vzniku předmětů či oborů na VŠ, studijní pobyty resortních expertů v zahraničí, financování návštěv zkušených expertů na </w:t>
      </w:r>
      <w:proofErr w:type="gramStart"/>
      <w:r w:rsidRPr="00C35D56">
        <w:rPr>
          <w:rFonts w:cs="Calibri"/>
        </w:rPr>
        <w:t>RIA</w:t>
      </w:r>
      <w:proofErr w:type="gramEnd"/>
      <w:r w:rsidRPr="00C35D56">
        <w:rPr>
          <w:rFonts w:cs="Calibri"/>
        </w:rPr>
        <w:t xml:space="preserve"> ze zahraničí, zveřejnění a propagace ukázkových profesionálně zpracovaných RIA.</w:t>
      </w:r>
      <w:r w:rsidR="00DD2DE8">
        <w:rPr>
          <w:rFonts w:cs="Calibri"/>
        </w:rPr>
        <w:t xml:space="preserve"> </w:t>
      </w:r>
    </w:p>
    <w:p w:rsidR="001664A9" w:rsidRDefault="003746E5" w:rsidP="003746E5">
      <w:pPr>
        <w:jc w:val="both"/>
        <w:rPr>
          <w:rFonts w:cs="Calibri"/>
        </w:rPr>
      </w:pPr>
      <w:r w:rsidRPr="003746E5">
        <w:rPr>
          <w:rFonts w:cs="Calibri"/>
        </w:rPr>
        <w:t>V rámci projektu spolufinancovaného ze Strukturálních fondů z Operačního programu Lidské zdroje a</w:t>
      </w:r>
      <w:r w:rsidR="001664A9">
        <w:rPr>
          <w:rFonts w:cs="Calibri"/>
        </w:rPr>
        <w:t> </w:t>
      </w:r>
      <w:r w:rsidRPr="003746E5">
        <w:rPr>
          <w:rFonts w:cs="Calibri"/>
        </w:rPr>
        <w:t xml:space="preserve">zaměstnanost (OP LZZ): „Vytvoření podmínek pro systematické zkvalitňování procesu hodnocení dopadů regulace (RIA)“ </w:t>
      </w:r>
      <w:r w:rsidR="00226A78">
        <w:rPr>
          <w:rFonts w:cs="Calibri"/>
        </w:rPr>
        <w:t>se</w:t>
      </w:r>
      <w:r w:rsidRPr="003746E5">
        <w:rPr>
          <w:rFonts w:cs="Calibri"/>
        </w:rPr>
        <w:t xml:space="preserve"> v průběhu roku 2013 </w:t>
      </w:r>
      <w:r w:rsidR="009268C5">
        <w:rPr>
          <w:rFonts w:cs="Calibri"/>
        </w:rPr>
        <w:t>začala připravovat realizace</w:t>
      </w:r>
      <w:r w:rsidRPr="003746E5">
        <w:rPr>
          <w:rFonts w:cs="Calibri"/>
        </w:rPr>
        <w:t xml:space="preserve"> e</w:t>
      </w:r>
      <w:r w:rsidRPr="003746E5">
        <w:rPr>
          <w:rFonts w:cs="Calibri"/>
        </w:rPr>
        <w:noBreakHyphen/>
      </w:r>
      <w:proofErr w:type="spellStart"/>
      <w:r w:rsidRPr="003746E5">
        <w:rPr>
          <w:rFonts w:cs="Calibri"/>
        </w:rPr>
        <w:t>learningového</w:t>
      </w:r>
      <w:proofErr w:type="spellEnd"/>
      <w:r w:rsidRPr="003746E5">
        <w:rPr>
          <w:rFonts w:cs="Calibri"/>
        </w:rPr>
        <w:t xml:space="preserve"> vzdělávacího programu v metodách RIA, který bude odpovídat potřebám a požadavkům </w:t>
      </w:r>
      <w:r w:rsidR="00AC3456">
        <w:rPr>
          <w:rFonts w:cs="Calibri"/>
        </w:rPr>
        <w:t xml:space="preserve">různých </w:t>
      </w:r>
      <w:r w:rsidR="00AC3456" w:rsidRPr="003746E5">
        <w:rPr>
          <w:rFonts w:cs="Calibri"/>
        </w:rPr>
        <w:t>cílov</w:t>
      </w:r>
      <w:r w:rsidR="00AC3456">
        <w:rPr>
          <w:rFonts w:cs="Calibri"/>
        </w:rPr>
        <w:t>ých</w:t>
      </w:r>
      <w:r w:rsidR="00AC3456" w:rsidRPr="003746E5">
        <w:rPr>
          <w:rFonts w:cs="Calibri"/>
        </w:rPr>
        <w:t xml:space="preserve"> </w:t>
      </w:r>
      <w:r w:rsidRPr="003746E5">
        <w:rPr>
          <w:rFonts w:cs="Calibri"/>
        </w:rPr>
        <w:t>skupin</w:t>
      </w:r>
      <w:r w:rsidR="00AC3456">
        <w:rPr>
          <w:rFonts w:cs="Calibri"/>
        </w:rPr>
        <w:t xml:space="preserve">. Jedná se nejen o </w:t>
      </w:r>
      <w:r w:rsidR="00AC3456" w:rsidRPr="003746E5">
        <w:rPr>
          <w:rFonts w:cs="Calibri"/>
        </w:rPr>
        <w:t>zpracovatel</w:t>
      </w:r>
      <w:r w:rsidR="00AC3456">
        <w:rPr>
          <w:rFonts w:cs="Calibri"/>
        </w:rPr>
        <w:t xml:space="preserve">e </w:t>
      </w:r>
      <w:r w:rsidRPr="003746E5">
        <w:rPr>
          <w:rFonts w:cs="Calibri"/>
        </w:rPr>
        <w:t>RIA na ústředních správních úřadech</w:t>
      </w:r>
      <w:r w:rsidR="00AC3456">
        <w:rPr>
          <w:rFonts w:cs="Calibri"/>
        </w:rPr>
        <w:t>, ale také o „čtenáře“ RIA z řad vrcholového managementu ústředních správních úřadů</w:t>
      </w:r>
      <w:r w:rsidRPr="003746E5">
        <w:rPr>
          <w:rFonts w:cs="Calibri"/>
        </w:rPr>
        <w:t xml:space="preserve">. </w:t>
      </w:r>
      <w:r w:rsidR="001664A9">
        <w:rPr>
          <w:rFonts w:cs="Calibri"/>
        </w:rPr>
        <w:t>Cílem kurz</w:t>
      </w:r>
      <w:r w:rsidR="00AC3456">
        <w:rPr>
          <w:rFonts w:cs="Calibri"/>
        </w:rPr>
        <w:t>u</w:t>
      </w:r>
      <w:r w:rsidR="001664A9">
        <w:rPr>
          <w:rFonts w:cs="Calibri"/>
        </w:rPr>
        <w:t xml:space="preserve"> je vytvoření systému vzdělávání e-</w:t>
      </w:r>
      <w:proofErr w:type="spellStart"/>
      <w:r w:rsidR="001664A9">
        <w:rPr>
          <w:rFonts w:cs="Calibri"/>
        </w:rPr>
        <w:t>learningovou</w:t>
      </w:r>
      <w:proofErr w:type="spellEnd"/>
      <w:r w:rsidR="001664A9">
        <w:rPr>
          <w:rFonts w:cs="Calibri"/>
        </w:rPr>
        <w:t xml:space="preserve"> formou, dále vytvoření portálu pro RIA poskytujícího komplexní informace o </w:t>
      </w:r>
      <w:proofErr w:type="gramStart"/>
      <w:r w:rsidR="001664A9">
        <w:rPr>
          <w:rFonts w:cs="Calibri"/>
        </w:rPr>
        <w:t>RIA</w:t>
      </w:r>
      <w:proofErr w:type="gramEnd"/>
      <w:r w:rsidR="001664A9">
        <w:rPr>
          <w:rFonts w:cs="Calibri"/>
        </w:rPr>
        <w:t xml:space="preserve"> a</w:t>
      </w:r>
      <w:r w:rsidR="00245ADE">
        <w:rPr>
          <w:rFonts w:cs="Calibri"/>
        </w:rPr>
        <w:t> </w:t>
      </w:r>
      <w:r w:rsidR="001664A9">
        <w:rPr>
          <w:rFonts w:cs="Calibri"/>
        </w:rPr>
        <w:t>obsahující</w:t>
      </w:r>
      <w:r w:rsidR="009268C5">
        <w:rPr>
          <w:rFonts w:cs="Calibri"/>
        </w:rPr>
        <w:t>ho</w:t>
      </w:r>
      <w:r w:rsidR="001664A9">
        <w:rPr>
          <w:rFonts w:cs="Calibri"/>
        </w:rPr>
        <w:t xml:space="preserve"> prvky elektronické podpory procesu RIA</w:t>
      </w:r>
      <w:r w:rsidR="00153195">
        <w:rPr>
          <w:rFonts w:cs="Calibri"/>
        </w:rPr>
        <w:t>.</w:t>
      </w:r>
      <w:r w:rsidR="001664A9">
        <w:rPr>
          <w:rFonts w:cs="Calibri"/>
        </w:rPr>
        <w:t xml:space="preserve"> Součástí </w:t>
      </w:r>
      <w:r w:rsidR="00153195">
        <w:rPr>
          <w:rFonts w:cs="Calibri"/>
        </w:rPr>
        <w:t xml:space="preserve">zavedení této podpory </w:t>
      </w:r>
      <w:r w:rsidR="001664A9">
        <w:rPr>
          <w:rFonts w:cs="Calibri"/>
        </w:rPr>
        <w:t xml:space="preserve">je </w:t>
      </w:r>
      <w:r w:rsidR="00153195">
        <w:rPr>
          <w:rFonts w:cs="Calibri"/>
        </w:rPr>
        <w:t xml:space="preserve">také </w:t>
      </w:r>
      <w:r w:rsidR="001664A9">
        <w:rPr>
          <w:rFonts w:cs="Calibri"/>
        </w:rPr>
        <w:t>předpoklad dalšího rozvíjení know-how pro zpracování RIA (mj. s cílem vytvoření vzorových RIA)</w:t>
      </w:r>
      <w:r w:rsidR="00AC3456">
        <w:rPr>
          <w:rFonts w:cs="Calibri"/>
        </w:rPr>
        <w:t>.</w:t>
      </w:r>
      <w:r w:rsidR="001664A9">
        <w:rPr>
          <w:rFonts w:cs="Calibri"/>
        </w:rPr>
        <w:t xml:space="preserve"> </w:t>
      </w:r>
    </w:p>
    <w:p w:rsidR="003746E5" w:rsidRPr="003746E5" w:rsidRDefault="003746E5" w:rsidP="003746E5">
      <w:pPr>
        <w:jc w:val="both"/>
        <w:rPr>
          <w:rFonts w:cs="Calibri"/>
        </w:rPr>
      </w:pPr>
      <w:r>
        <w:rPr>
          <w:rFonts w:cs="Calibri"/>
        </w:rPr>
        <w:t xml:space="preserve">Ukončení pilotní fáze </w:t>
      </w:r>
      <w:r w:rsidR="00AC3456">
        <w:rPr>
          <w:rFonts w:cs="Calibri"/>
        </w:rPr>
        <w:t xml:space="preserve">a </w:t>
      </w:r>
      <w:r>
        <w:rPr>
          <w:rFonts w:cs="Calibri"/>
        </w:rPr>
        <w:t>spuštění e-</w:t>
      </w:r>
      <w:proofErr w:type="spellStart"/>
      <w:r>
        <w:rPr>
          <w:rFonts w:cs="Calibri"/>
        </w:rPr>
        <w:t>learningového</w:t>
      </w:r>
      <w:proofErr w:type="spellEnd"/>
      <w:r>
        <w:rPr>
          <w:rFonts w:cs="Calibri"/>
        </w:rPr>
        <w:t xml:space="preserve"> programu</w:t>
      </w:r>
      <w:r w:rsidR="001664A9">
        <w:rPr>
          <w:rFonts w:cs="Calibri"/>
        </w:rPr>
        <w:t xml:space="preserve"> a webového portálu k problematice RIA</w:t>
      </w:r>
      <w:r>
        <w:rPr>
          <w:rFonts w:cs="Calibri"/>
        </w:rPr>
        <w:t xml:space="preserve"> se očekává v </w:t>
      </w:r>
      <w:r w:rsidR="00203F0C">
        <w:rPr>
          <w:rFonts w:cs="Calibri"/>
        </w:rPr>
        <w:t xml:space="preserve"> </w:t>
      </w:r>
      <w:r w:rsidR="009268C5">
        <w:rPr>
          <w:rFonts w:cs="Calibri"/>
        </w:rPr>
        <w:t xml:space="preserve">ne přelomu roku </w:t>
      </w:r>
      <w:r w:rsidR="00203F0C">
        <w:rPr>
          <w:rFonts w:cs="Calibri"/>
        </w:rPr>
        <w:t>2014</w:t>
      </w:r>
      <w:r w:rsidR="009268C5">
        <w:rPr>
          <w:rFonts w:cs="Calibri"/>
        </w:rPr>
        <w:t>/2015</w:t>
      </w:r>
      <w:r w:rsidR="00203F0C">
        <w:rPr>
          <w:rFonts w:cs="Calibri"/>
        </w:rPr>
        <w:t>.</w:t>
      </w:r>
      <w:r w:rsidRPr="003746E5">
        <w:rPr>
          <w:rFonts w:cs="Calibri"/>
        </w:rPr>
        <w:t xml:space="preserve"> </w:t>
      </w:r>
      <w:r w:rsidRPr="003746E5">
        <w:rPr>
          <w:rFonts w:cs="Calibri"/>
        </w:rPr>
        <w:cr/>
      </w:r>
    </w:p>
    <w:p w:rsidR="00607CC0" w:rsidRDefault="00607CC0">
      <w:pPr>
        <w:rPr>
          <w:rFonts w:cs="Calibri"/>
        </w:rPr>
      </w:pPr>
      <w:r>
        <w:rPr>
          <w:rFonts w:cs="Calibri"/>
        </w:rPr>
        <w:br w:type="page"/>
      </w:r>
    </w:p>
    <w:p w:rsidR="006A12F1" w:rsidRPr="00E43914" w:rsidRDefault="00117D0B" w:rsidP="00117D0B">
      <w:pPr>
        <w:pStyle w:val="Nadpis1"/>
        <w:jc w:val="both"/>
        <w:rPr>
          <w:rFonts w:ascii="Calibri" w:hAnsi="Calibri" w:cs="Calibri"/>
          <w:color w:val="5F497A"/>
        </w:rPr>
      </w:pPr>
      <w:bookmarkStart w:id="77" w:name="_Toc381286113"/>
      <w:r>
        <w:rPr>
          <w:rFonts w:ascii="Calibri" w:hAnsi="Calibri" w:cs="Calibri"/>
          <w:color w:val="5F497A"/>
        </w:rPr>
        <w:lastRenderedPageBreak/>
        <w:t xml:space="preserve">6 </w:t>
      </w:r>
      <w:r w:rsidR="00187755" w:rsidRPr="00E43914">
        <w:rPr>
          <w:rFonts w:ascii="Calibri" w:hAnsi="Calibri" w:cs="Calibri"/>
          <w:color w:val="5F497A"/>
        </w:rPr>
        <w:t xml:space="preserve">PŘÍLOHA - SEZNAM PROJEDNÁVANÝCH </w:t>
      </w:r>
      <w:proofErr w:type="gramStart"/>
      <w:r w:rsidR="00187755" w:rsidRPr="00E43914">
        <w:rPr>
          <w:rFonts w:ascii="Calibri" w:hAnsi="Calibri" w:cs="Calibri"/>
          <w:color w:val="5F497A"/>
        </w:rPr>
        <w:t xml:space="preserve">NÁVRHŮ </w:t>
      </w:r>
      <w:r w:rsidR="00F17EED">
        <w:rPr>
          <w:rFonts w:ascii="Calibri" w:hAnsi="Calibri" w:cs="Calibri"/>
          <w:color w:val="5F497A"/>
        </w:rPr>
        <w:t xml:space="preserve"> </w:t>
      </w:r>
      <w:r w:rsidR="00187755" w:rsidRPr="00E43914">
        <w:rPr>
          <w:rFonts w:ascii="Calibri" w:hAnsi="Calibri" w:cs="Calibri"/>
          <w:color w:val="5F497A"/>
        </w:rPr>
        <w:t>PRÁVNÍCH</w:t>
      </w:r>
      <w:proofErr w:type="gramEnd"/>
      <w:r w:rsidR="00187755" w:rsidRPr="00E43914">
        <w:rPr>
          <w:rFonts w:ascii="Calibri" w:hAnsi="Calibri" w:cs="Calibri"/>
          <w:color w:val="5F497A"/>
        </w:rPr>
        <w:t xml:space="preserve"> PŘEDPISŮ DLE PŘEDKLADATELE A</w:t>
      </w:r>
      <w:r w:rsidR="00E3183D" w:rsidRPr="00E43914">
        <w:rPr>
          <w:rFonts w:ascii="Calibri" w:hAnsi="Calibri" w:cs="Calibri"/>
          <w:color w:val="5F497A"/>
        </w:rPr>
        <w:t> </w:t>
      </w:r>
      <w:r w:rsidR="00187755" w:rsidRPr="00E43914">
        <w:rPr>
          <w:rFonts w:ascii="Calibri" w:hAnsi="Calibri" w:cs="Calibri"/>
          <w:color w:val="5F497A"/>
        </w:rPr>
        <w:t>VÝSLEDKU</w:t>
      </w:r>
      <w:bookmarkEnd w:id="77"/>
      <w:r w:rsidR="00187755" w:rsidRPr="00E43914">
        <w:rPr>
          <w:rFonts w:ascii="Calibri" w:hAnsi="Calibri" w:cs="Calibri"/>
          <w:color w:val="5F497A"/>
        </w:rPr>
        <w:t xml:space="preserve"> </w:t>
      </w:r>
    </w:p>
    <w:p w:rsidR="00187755" w:rsidRDefault="00187755">
      <w:pPr>
        <w:spacing w:after="0" w:line="240" w:lineRule="auto"/>
      </w:pPr>
    </w:p>
    <w:tbl>
      <w:tblPr>
        <w:tblW w:w="10632" w:type="dxa"/>
        <w:tblInd w:w="-497" w:type="dxa"/>
        <w:tblLayout w:type="fixed"/>
        <w:tblCellMar>
          <w:left w:w="70" w:type="dxa"/>
          <w:right w:w="70" w:type="dxa"/>
        </w:tblCellMar>
        <w:tblLook w:val="04A0" w:firstRow="1" w:lastRow="0" w:firstColumn="1" w:lastColumn="0" w:noHBand="0" w:noVBand="1"/>
      </w:tblPr>
      <w:tblGrid>
        <w:gridCol w:w="425"/>
        <w:gridCol w:w="709"/>
        <w:gridCol w:w="993"/>
        <w:gridCol w:w="2976"/>
        <w:gridCol w:w="851"/>
        <w:gridCol w:w="1134"/>
        <w:gridCol w:w="1134"/>
        <w:gridCol w:w="992"/>
        <w:gridCol w:w="1418"/>
      </w:tblGrid>
      <w:tr w:rsidR="009B1E79" w:rsidRPr="009A69A9" w:rsidTr="007D194D">
        <w:trPr>
          <w:trHeight w:val="885"/>
        </w:trPr>
        <w:tc>
          <w:tcPr>
            <w:tcW w:w="42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rsidR="006A12F1" w:rsidRPr="009A69A9" w:rsidRDefault="006A12F1" w:rsidP="00187755">
            <w:pPr>
              <w:spacing w:after="0" w:line="240" w:lineRule="auto"/>
              <w:jc w:val="center"/>
              <w:rPr>
                <w:rFonts w:asciiTheme="minorHAnsi" w:hAnsiTheme="minorHAnsi" w:cs="Arial"/>
                <w:b/>
                <w:bCs/>
                <w:sz w:val="16"/>
                <w:szCs w:val="16"/>
              </w:rPr>
            </w:pPr>
          </w:p>
        </w:tc>
        <w:tc>
          <w:tcPr>
            <w:tcW w:w="709"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6A12F1" w:rsidRPr="009A69A9" w:rsidRDefault="006A12F1" w:rsidP="00187755">
            <w:pPr>
              <w:spacing w:after="0" w:line="240" w:lineRule="auto"/>
              <w:jc w:val="center"/>
              <w:rPr>
                <w:rFonts w:asciiTheme="minorHAnsi" w:hAnsiTheme="minorHAnsi" w:cs="Arial"/>
                <w:b/>
                <w:bCs/>
                <w:sz w:val="16"/>
                <w:szCs w:val="16"/>
              </w:rPr>
            </w:pPr>
            <w:proofErr w:type="spellStart"/>
            <w:r w:rsidRPr="009A69A9">
              <w:rPr>
                <w:rFonts w:asciiTheme="minorHAnsi" w:hAnsiTheme="minorHAnsi" w:cs="Arial"/>
                <w:b/>
                <w:bCs/>
                <w:sz w:val="16"/>
                <w:szCs w:val="16"/>
              </w:rPr>
              <w:t>Předkl</w:t>
            </w:r>
            <w:proofErr w:type="spellEnd"/>
            <w:r w:rsidRPr="009A69A9">
              <w:rPr>
                <w:rFonts w:asciiTheme="minorHAnsi" w:hAnsiTheme="minorHAnsi" w:cs="Arial"/>
                <w:b/>
                <w:bCs/>
                <w:sz w:val="16"/>
                <w:szCs w:val="16"/>
              </w:rPr>
              <w:t>.</w:t>
            </w:r>
          </w:p>
        </w:tc>
        <w:tc>
          <w:tcPr>
            <w:tcW w:w="993"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6A12F1" w:rsidRPr="009A69A9" w:rsidRDefault="006A12F1"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Č. j. ÚV</w:t>
            </w:r>
          </w:p>
        </w:tc>
        <w:tc>
          <w:tcPr>
            <w:tcW w:w="2976"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6A12F1" w:rsidRPr="009A69A9" w:rsidRDefault="006A12F1"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Název</w:t>
            </w:r>
          </w:p>
        </w:tc>
        <w:tc>
          <w:tcPr>
            <w:tcW w:w="851"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6A12F1" w:rsidRPr="009A69A9" w:rsidRDefault="006A12F1"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Schváleno</w:t>
            </w:r>
          </w:p>
        </w:tc>
        <w:tc>
          <w:tcPr>
            <w:tcW w:w="1134"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6A12F1" w:rsidRPr="009A69A9" w:rsidRDefault="006A12F1"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Vráceno k dopracování</w:t>
            </w:r>
          </w:p>
        </w:tc>
        <w:tc>
          <w:tcPr>
            <w:tcW w:w="1134"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6A12F1" w:rsidRPr="009A69A9" w:rsidRDefault="006A12F1"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Vráceno k přepracování</w:t>
            </w:r>
          </w:p>
        </w:tc>
        <w:tc>
          <w:tcPr>
            <w:tcW w:w="992"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245ADE" w:rsidRPr="009A69A9" w:rsidRDefault="006A12F1"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 xml:space="preserve">Nedoporučeno </w:t>
            </w:r>
          </w:p>
          <w:p w:rsidR="006A12F1" w:rsidRPr="009A69A9" w:rsidRDefault="006A12F1"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ke schválení</w:t>
            </w:r>
          </w:p>
        </w:tc>
        <w:tc>
          <w:tcPr>
            <w:tcW w:w="1418"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6A12F1" w:rsidRPr="009A69A9" w:rsidRDefault="00187755" w:rsidP="00187755">
            <w:pPr>
              <w:spacing w:after="0" w:line="240" w:lineRule="auto"/>
              <w:jc w:val="center"/>
              <w:rPr>
                <w:rFonts w:asciiTheme="minorHAnsi" w:hAnsiTheme="minorHAnsi" w:cs="Arial"/>
                <w:b/>
                <w:bCs/>
                <w:sz w:val="16"/>
                <w:szCs w:val="16"/>
              </w:rPr>
            </w:pPr>
            <w:r w:rsidRPr="009A69A9">
              <w:rPr>
                <w:rFonts w:asciiTheme="minorHAnsi" w:hAnsiTheme="minorHAnsi" w:cs="Arial"/>
                <w:b/>
                <w:bCs/>
                <w:sz w:val="16"/>
                <w:szCs w:val="16"/>
              </w:rPr>
              <w:t>Výstup</w:t>
            </w:r>
          </w:p>
        </w:tc>
      </w:tr>
      <w:tr w:rsidR="00187755" w:rsidRPr="009A69A9" w:rsidTr="00A946FF">
        <w:trPr>
          <w:trHeight w:val="480"/>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rsidR="00187755" w:rsidRPr="009A69A9" w:rsidRDefault="00187755" w:rsidP="00187755">
            <w:pPr>
              <w:spacing w:after="0" w:line="240" w:lineRule="auto"/>
              <w:jc w:val="center"/>
              <w:rPr>
                <w:rFonts w:asciiTheme="minorHAnsi" w:hAnsiTheme="minorHAnsi" w:cs="Arial"/>
                <w:b/>
                <w:bCs/>
                <w:sz w:val="18"/>
                <w:szCs w:val="18"/>
              </w:rPr>
            </w:pPr>
            <w:r w:rsidRPr="009A69A9">
              <w:rPr>
                <w:rFonts w:asciiTheme="minorHAnsi" w:hAnsiTheme="minorHAnsi" w:cs="Arial"/>
                <w:b/>
                <w:bCs/>
                <w:sz w:val="18"/>
                <w:szCs w:val="18"/>
              </w:rPr>
              <w:t>Ministerstvo dopravy</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MD</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107/13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Návrh zákona, kterým se mění zákon č. 13/1997 Sb., o pozemních komunikacích,</w:t>
            </w:r>
            <w:r w:rsidR="00245ADE" w:rsidRPr="009A69A9">
              <w:rPr>
                <w:rFonts w:asciiTheme="minorHAnsi" w:hAnsiTheme="minorHAnsi" w:cs="Arial"/>
                <w:sz w:val="18"/>
                <w:szCs w:val="18"/>
              </w:rPr>
              <w:t xml:space="preserve"> </w:t>
            </w:r>
            <w:r w:rsidRPr="009A69A9">
              <w:rPr>
                <w:rFonts w:asciiTheme="minorHAnsi" w:hAnsiTheme="minorHAnsi" w:cs="Arial"/>
                <w:sz w:val="18"/>
                <w:szCs w:val="18"/>
              </w:rPr>
              <w:t>ve znění pozdějších předpisů, a zákon č. 361/2000 Sb., o provozu na pozemních komunikacích a o změnách některých zákonů (zákon o silničním provozu), ve znění pozdějších předpisů</w:t>
            </w:r>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E3183D"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262/2013</w:t>
            </w:r>
            <w:r w:rsidR="00981E5C" w:rsidRPr="009A69A9">
              <w:rPr>
                <w:rFonts w:asciiTheme="minorHAnsi" w:hAnsiTheme="minorHAnsi" w:cs="Arial"/>
                <w:sz w:val="18"/>
                <w:szCs w:val="18"/>
              </w:rPr>
              <w:t>.</w:t>
            </w:r>
          </w:p>
          <w:p w:rsidR="00981E5C" w:rsidRPr="009A69A9" w:rsidRDefault="00981E5C"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r w:rsidR="009B1E79">
              <w:rPr>
                <w:rFonts w:asciiTheme="minorHAnsi" w:hAnsiTheme="minorHAnsi" w:cs="Arial"/>
                <w:sz w:val="18"/>
                <w:szCs w:val="18"/>
              </w:rPr>
              <w:t>.</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MD</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207/13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18" w:history="1">
              <w:r w:rsidR="006A12F1" w:rsidRPr="009A69A9">
                <w:rPr>
                  <w:rFonts w:asciiTheme="minorHAnsi" w:hAnsiTheme="minorHAnsi" w:cs="Arial"/>
                  <w:sz w:val="18"/>
                  <w:szCs w:val="18"/>
                </w:rPr>
                <w:t>Návrh věcného záměru zákona o získávání a zdokonalování odborné způsobilosti k řízení motorových vozidel</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E3183D" w:rsidP="00E318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197/2013</w:t>
            </w:r>
            <w:r w:rsidR="00981E5C" w:rsidRPr="009A69A9">
              <w:rPr>
                <w:rFonts w:asciiTheme="minorHAnsi" w:hAnsiTheme="minorHAnsi" w:cs="Arial"/>
                <w:sz w:val="18"/>
                <w:szCs w:val="18"/>
              </w:rPr>
              <w:t>. Odesláno do PČR.</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MD</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19" w:anchor="RANGE!C66" w:history="1">
              <w:r w:rsidR="006A12F1" w:rsidRPr="009A69A9">
                <w:rPr>
                  <w:rFonts w:asciiTheme="minorHAnsi" w:hAnsiTheme="minorHAnsi" w:cs="Arial"/>
                  <w:sz w:val="18"/>
                  <w:szCs w:val="18"/>
                </w:rPr>
                <w:t xml:space="preserve">1040/12 </w:t>
              </w:r>
            </w:hyperlink>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Návrh zákona, kterým se mění zákon č. 49/1997 Sb., o civilním letectví a o změně a doplnění zákona č. 455/1991 Sb., o živnostenském podnikání (živnostenský zákon), ve znění pozdějších předpisů, ve znění pozdějších předpisů, a další související zákony</w:t>
            </w:r>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E3183D" w:rsidP="00E318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840/2013</w:t>
            </w:r>
            <w:r w:rsidR="00981E5C" w:rsidRPr="009A69A9">
              <w:rPr>
                <w:rFonts w:asciiTheme="minorHAnsi" w:hAnsiTheme="minorHAnsi" w:cs="Arial"/>
                <w:sz w:val="18"/>
                <w:szCs w:val="18"/>
              </w:rPr>
              <w:t>.</w:t>
            </w:r>
          </w:p>
          <w:p w:rsidR="00981E5C" w:rsidRPr="009A69A9" w:rsidRDefault="00981E5C" w:rsidP="00E318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p>
        </w:tc>
      </w:tr>
      <w:tr w:rsidR="00187755" w:rsidRPr="009A69A9" w:rsidTr="00A946FF">
        <w:trPr>
          <w:trHeight w:val="375"/>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s="Arial"/>
                <w:b/>
                <w:bCs/>
                <w:sz w:val="18"/>
                <w:szCs w:val="18"/>
              </w:rPr>
            </w:pPr>
            <w:r w:rsidRPr="009A69A9">
              <w:rPr>
                <w:rFonts w:asciiTheme="minorHAnsi" w:hAnsiTheme="minorHAnsi" w:cs="Arial"/>
                <w:b/>
                <w:bCs/>
                <w:sz w:val="18"/>
                <w:szCs w:val="18"/>
              </w:rPr>
              <w:t>Ministerstvo financí</w:t>
            </w:r>
          </w:p>
        </w:tc>
      </w:tr>
      <w:tr w:rsidR="009B1E79" w:rsidRPr="009A69A9" w:rsidTr="007D194D">
        <w:trPr>
          <w:trHeight w:val="96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1340/12</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0" w:history="1">
              <w:r w:rsidR="006A12F1" w:rsidRPr="009A69A9">
                <w:rPr>
                  <w:rFonts w:asciiTheme="minorHAnsi" w:hAnsiTheme="minorHAnsi" w:cs="Arial"/>
                  <w:sz w:val="18"/>
                  <w:szCs w:val="18"/>
                </w:rPr>
                <w:t>Návrh zákona o povinném značení lihu a návrh zákona, kterým se mění některé zákony v souvislosti s přijetím zákona o povinném značení lihu</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E3183D" w:rsidP="00E318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152/2013</w:t>
            </w:r>
            <w:r w:rsidR="00981E5C" w:rsidRPr="009A69A9">
              <w:rPr>
                <w:rFonts w:asciiTheme="minorHAnsi" w:hAnsiTheme="minorHAnsi" w:cs="Arial"/>
                <w:sz w:val="18"/>
                <w:szCs w:val="18"/>
              </w:rPr>
              <w:t xml:space="preserve">. </w:t>
            </w:r>
          </w:p>
          <w:p w:rsidR="00981E5C" w:rsidRPr="009A69A9" w:rsidRDefault="00981E5C" w:rsidP="00E318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p>
        </w:tc>
      </w:tr>
      <w:tr w:rsidR="009B1E79" w:rsidRPr="009A69A9" w:rsidTr="007D194D">
        <w:trPr>
          <w:trHeight w:val="96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1339/12</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1" w:history="1">
              <w:r w:rsidR="006A12F1" w:rsidRPr="009A69A9">
                <w:rPr>
                  <w:rFonts w:asciiTheme="minorHAnsi" w:hAnsiTheme="minorHAnsi" w:cs="Arial"/>
                  <w:sz w:val="18"/>
                  <w:szCs w:val="18"/>
                </w:rPr>
                <w:t>Návrh zákona, kterým se mění zákon č. 523/1992 Sb., o daňovém poradenství a Komoře daňových poradců České republiky,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E3183D"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Vláda materiál neprojednala.</w:t>
            </w:r>
          </w:p>
        </w:tc>
      </w:tr>
      <w:tr w:rsidR="009B1E79" w:rsidRPr="009A69A9" w:rsidTr="007D194D">
        <w:trPr>
          <w:trHeight w:val="12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1321/12</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2" w:history="1">
              <w:r w:rsidR="006A12F1" w:rsidRPr="009A69A9">
                <w:rPr>
                  <w:rFonts w:asciiTheme="minorHAnsi" w:hAnsiTheme="minorHAnsi" w:cs="Arial"/>
                  <w:sz w:val="18"/>
                  <w:szCs w:val="18"/>
                </w:rPr>
                <w:t>Návrh zákona o pravidlech pro výběr odborníků do funkcí ředitelů a členů dozorčích rad státních podniků a členů orgánů obchodních společností s majetkovou účastí státu a územních samosprávných celků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81E5C"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Předkladatelem staženo.</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1348/12</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3" w:history="1">
              <w:r w:rsidR="006A12F1" w:rsidRPr="009A69A9">
                <w:rPr>
                  <w:rFonts w:asciiTheme="minorHAnsi" w:hAnsiTheme="minorHAnsi" w:cs="Arial"/>
                  <w:sz w:val="18"/>
                  <w:szCs w:val="18"/>
                </w:rPr>
                <w:t>Návrh zákona, kterým se mění zákon č. 250/2000 Sb., o rozpočtových pravidlech územních rozpočtů,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981E5C"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217/2013. </w:t>
            </w:r>
          </w:p>
          <w:p w:rsidR="006A12F1"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p>
        </w:tc>
      </w:tr>
      <w:tr w:rsidR="009B1E79" w:rsidRPr="009A69A9" w:rsidTr="007D194D">
        <w:trPr>
          <w:trHeight w:val="3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151/13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4" w:history="1">
              <w:r w:rsidR="006A12F1" w:rsidRPr="009A69A9">
                <w:rPr>
                  <w:rFonts w:asciiTheme="minorHAnsi" w:hAnsiTheme="minorHAnsi" w:cs="Arial"/>
                  <w:sz w:val="18"/>
                  <w:szCs w:val="18"/>
                </w:rPr>
                <w:t>Návrh zákona o dani z nabytí nemovitých věcí</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981E5C"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260/2013. </w:t>
            </w:r>
          </w:p>
          <w:p w:rsidR="006A12F1"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r w:rsidR="009B1E79">
              <w:rPr>
                <w:rFonts w:asciiTheme="minorHAnsi" w:hAnsiTheme="minorHAnsi" w:cs="Arial"/>
                <w:sz w:val="18"/>
                <w:szCs w:val="18"/>
              </w:rPr>
              <w:t>.</w:t>
            </w:r>
          </w:p>
        </w:tc>
      </w:tr>
      <w:tr w:rsidR="009B1E79" w:rsidRPr="009A69A9" w:rsidTr="007D194D">
        <w:trPr>
          <w:trHeight w:val="144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lastRenderedPageBreak/>
              <w:t>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162/13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5" w:history="1">
              <w:r w:rsidR="006A12F1" w:rsidRPr="009A69A9">
                <w:rPr>
                  <w:rFonts w:asciiTheme="minorHAnsi" w:hAnsiTheme="minorHAnsi" w:cs="Arial"/>
                  <w:sz w:val="18"/>
                  <w:szCs w:val="18"/>
                </w:rPr>
                <w:t>Návrh zákona, kterým se mění zákon č. 284/2009 Sb., o platebním styku, ve znění pozdějších předpisů, a zákon č. 254/2004 Sb., o omezení plateb v hotovosti a o změně zákona č. 337/1992 Sb., o správě daní a poplatků, ve znění pozdějších předpisů, ve znění p</w:t>
              </w:r>
            </w:hyperlink>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81E5C"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307/2013. </w:t>
            </w:r>
          </w:p>
          <w:p w:rsidR="006A12F1"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r w:rsidR="009B1E79">
              <w:rPr>
                <w:rFonts w:asciiTheme="minorHAnsi" w:hAnsiTheme="minorHAnsi" w:cs="Arial"/>
                <w:sz w:val="18"/>
                <w:szCs w:val="18"/>
              </w:rPr>
              <w:t>.</w:t>
            </w:r>
          </w:p>
        </w:tc>
      </w:tr>
      <w:tr w:rsidR="009B1E79" w:rsidRPr="009A69A9" w:rsidTr="007D194D">
        <w:trPr>
          <w:trHeight w:val="48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6" w:anchor="RANGE!C61" w:history="1">
              <w:r w:rsidR="006A12F1" w:rsidRPr="009A69A9">
                <w:rPr>
                  <w:rFonts w:asciiTheme="minorHAnsi" w:hAnsiTheme="minorHAnsi" w:cs="Arial"/>
                  <w:sz w:val="18"/>
                  <w:szCs w:val="18"/>
                </w:rPr>
                <w:t>1006/12</w:t>
              </w:r>
            </w:hyperlink>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7" w:history="1">
              <w:r w:rsidR="006A12F1" w:rsidRPr="009A69A9">
                <w:rPr>
                  <w:rFonts w:asciiTheme="minorHAnsi" w:hAnsiTheme="minorHAnsi" w:cs="Arial"/>
                  <w:sz w:val="18"/>
                  <w:szCs w:val="18"/>
                </w:rPr>
                <w:t>Návrh nařízení vlády o investování investičních fondů a o technikách k jejich obhospodařování</w:t>
              </w:r>
            </w:hyperlink>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559/2013. </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8</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645/13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8" w:history="1">
              <w:r w:rsidR="006A12F1" w:rsidRPr="009A69A9">
                <w:rPr>
                  <w:rFonts w:asciiTheme="minorHAnsi" w:hAnsiTheme="minorHAnsi" w:cs="Arial"/>
                  <w:sz w:val="18"/>
                  <w:szCs w:val="18"/>
                </w:rPr>
                <w:t>Návrh zákona o řídicím a kontrolním systému ve veřejné správě a o změně některých zákonů (zákon o řídicím a kontrolním systému)</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Vláda neprojednala.</w:t>
            </w:r>
          </w:p>
        </w:tc>
      </w:tr>
      <w:tr w:rsidR="009B1E79" w:rsidRPr="009A69A9" w:rsidTr="007D194D">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9</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1338/13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návrhu zákona o vymáhání práv duševního vlastnictví orgány Celní správy České republiky</w:t>
            </w:r>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81E5C"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Vláda neprojednala.</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MF</w:t>
            </w:r>
          </w:p>
        </w:tc>
        <w:tc>
          <w:tcPr>
            <w:tcW w:w="993" w:type="dxa"/>
            <w:tcBorders>
              <w:top w:val="nil"/>
              <w:left w:val="nil"/>
              <w:bottom w:val="single" w:sz="4" w:space="0" w:color="auto"/>
              <w:right w:val="nil"/>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1339/13</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29" w:history="1">
              <w:r w:rsidR="006A12F1" w:rsidRPr="009A69A9">
                <w:rPr>
                  <w:rFonts w:asciiTheme="minorHAnsi" w:hAnsiTheme="minorHAnsi" w:cs="Arial"/>
                  <w:sz w:val="18"/>
                  <w:szCs w:val="18"/>
                </w:rPr>
                <w:t>Návrh nařízení vlády, kterým se mění nařízení vlády č. 243/2013 Sb., o investování investičních fondů a o technikách k jejich obhospodařování</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81E5C" w:rsidP="00981E5C">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43/2014.</w:t>
            </w:r>
          </w:p>
        </w:tc>
      </w:tr>
      <w:tr w:rsidR="00187755" w:rsidRPr="009A69A9" w:rsidTr="00A946FF">
        <w:trPr>
          <w:trHeight w:val="480"/>
        </w:trPr>
        <w:tc>
          <w:tcPr>
            <w:tcW w:w="10632" w:type="dxa"/>
            <w:gridSpan w:val="9"/>
            <w:tcBorders>
              <w:top w:val="single" w:sz="4" w:space="0" w:color="auto"/>
              <w:left w:val="single" w:sz="4" w:space="0" w:color="auto"/>
              <w:bottom w:val="single" w:sz="4" w:space="0" w:color="auto"/>
            </w:tcBorders>
            <w:shd w:val="clear" w:color="auto" w:fill="E5DFEC" w:themeFill="accent4" w:themeFillTint="33"/>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cs="Arial"/>
                <w:b/>
                <w:bCs/>
                <w:sz w:val="18"/>
                <w:szCs w:val="18"/>
              </w:rPr>
              <w:t>Ministerstvo kultury</w:t>
            </w:r>
          </w:p>
        </w:tc>
      </w:tr>
      <w:tr w:rsidR="009B1E79" w:rsidRPr="009A69A9" w:rsidTr="007D194D">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MK</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1332/12</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Návrh věcného záměru zákona o památkovém fondu</w:t>
            </w:r>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A563B" w:rsidP="00AA563B">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156/2013.</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MK</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264/13 (opětovně předloženo jako 1308/13)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0" w:history="1">
              <w:r w:rsidR="006A12F1" w:rsidRPr="009A69A9">
                <w:rPr>
                  <w:rFonts w:asciiTheme="minorHAnsi" w:hAnsiTheme="minorHAnsi" w:cs="Arial"/>
                  <w:sz w:val="18"/>
                  <w:szCs w:val="18"/>
                </w:rPr>
                <w:t>Návrh zákona, kterým se mění zákon č. 121/2000 Sb., o právu autorském, o právech souvisejících s právem autorským a o změně některých zákonů (autorský zákon), ve znění pozdějších předpisů, a zákon č. 151/1997 Sb., o oceňování majetku a o změně některých z</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A563B" w:rsidP="00AA563B">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284/2013.</w:t>
            </w:r>
          </w:p>
        </w:tc>
      </w:tr>
      <w:tr w:rsidR="00AA563B" w:rsidRPr="009A69A9" w:rsidTr="00A946FF">
        <w:trPr>
          <w:trHeight w:val="300"/>
        </w:trPr>
        <w:tc>
          <w:tcPr>
            <w:tcW w:w="10632" w:type="dxa"/>
            <w:gridSpan w:val="9"/>
            <w:tcBorders>
              <w:top w:val="single" w:sz="4" w:space="0" w:color="auto"/>
              <w:left w:val="single" w:sz="4" w:space="0" w:color="auto"/>
              <w:bottom w:val="single" w:sz="4" w:space="0" w:color="auto"/>
            </w:tcBorders>
            <w:shd w:val="clear" w:color="auto" w:fill="E5DFEC" w:themeFill="accent4" w:themeFillTint="33"/>
            <w:noWrap/>
            <w:vAlign w:val="center"/>
            <w:hideMark/>
          </w:tcPr>
          <w:p w:rsidR="00AA563B" w:rsidRPr="009A69A9" w:rsidRDefault="00AA563B" w:rsidP="00187755">
            <w:pPr>
              <w:spacing w:after="0" w:line="240" w:lineRule="auto"/>
              <w:jc w:val="center"/>
              <w:rPr>
                <w:rFonts w:asciiTheme="minorHAnsi" w:hAnsiTheme="minorHAnsi"/>
                <w:color w:val="000000"/>
                <w:sz w:val="18"/>
                <w:szCs w:val="18"/>
              </w:rPr>
            </w:pPr>
            <w:r w:rsidRPr="009A69A9">
              <w:rPr>
                <w:rFonts w:asciiTheme="minorHAnsi" w:hAnsiTheme="minorHAnsi" w:cs="Arial"/>
                <w:b/>
                <w:bCs/>
                <w:sz w:val="18"/>
                <w:szCs w:val="18"/>
              </w:rPr>
              <w:t>Místopředsedkyně vlády a předsedkyně LRV</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MLR</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480/13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1" w:history="1">
              <w:r w:rsidR="006A12F1" w:rsidRPr="009A69A9">
                <w:rPr>
                  <w:rFonts w:asciiTheme="minorHAnsi" w:hAnsiTheme="minorHAnsi" w:cs="Arial"/>
                  <w:sz w:val="18"/>
                  <w:szCs w:val="18"/>
                </w:rPr>
                <w:t>Návrh zákona, kterým se mění zákon č. 198/2009 Sb., o rovném zacházení a o právních prostředcích ochrany před diskriminací a o změně některých zákonů (antidiskriminační zákon), ve znění zákona č. 89/2012 Sb., a další související zákony</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A563B" w:rsidP="00187755">
            <w:pPr>
              <w:spacing w:after="0" w:line="240" w:lineRule="auto"/>
              <w:jc w:val="center"/>
              <w:rPr>
                <w:rFonts w:asciiTheme="minorHAnsi" w:hAnsiTheme="minorHAnsi"/>
                <w:color w:val="000000"/>
                <w:sz w:val="18"/>
                <w:szCs w:val="18"/>
              </w:rPr>
            </w:pPr>
            <w:r w:rsidRPr="009A69A9">
              <w:rPr>
                <w:rFonts w:asciiTheme="minorHAnsi" w:hAnsiTheme="minorHAnsi"/>
                <w:color w:val="000000"/>
                <w:sz w:val="18"/>
                <w:szCs w:val="18"/>
              </w:rPr>
              <w:t>Předkladatelem staženo.</w:t>
            </w:r>
          </w:p>
        </w:tc>
      </w:tr>
      <w:tr w:rsidR="00187755" w:rsidRPr="009A69A9" w:rsidTr="00A946FF">
        <w:trPr>
          <w:trHeight w:val="450"/>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cs="Arial"/>
                <w:b/>
                <w:bCs/>
                <w:sz w:val="18"/>
                <w:szCs w:val="18"/>
              </w:rPr>
              <w:t>Ministerstvo pro místní rozvoj</w:t>
            </w:r>
          </w:p>
        </w:tc>
      </w:tr>
      <w:tr w:rsidR="009B1E79" w:rsidRPr="009A69A9" w:rsidTr="007D194D">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MMR</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27/13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2" w:history="1">
              <w:r w:rsidR="006A12F1" w:rsidRPr="009A69A9">
                <w:rPr>
                  <w:rFonts w:asciiTheme="minorHAnsi" w:hAnsiTheme="minorHAnsi" w:cs="Arial"/>
                  <w:sz w:val="18"/>
                  <w:szCs w:val="18"/>
                </w:rPr>
                <w:t>Návrh věcného záměru zákona o podpoře rozvoje cestovního ruchu</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A563B"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Předkladatelem staženo</w:t>
            </w:r>
            <w:r w:rsidR="009B1E79">
              <w:rPr>
                <w:rFonts w:asciiTheme="minorHAnsi" w:hAnsiTheme="minorHAnsi" w:cs="Arial"/>
                <w:sz w:val="18"/>
                <w:szCs w:val="18"/>
              </w:rPr>
              <w:t>.</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MMR</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216/13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3" w:history="1">
              <w:r w:rsidR="006A12F1" w:rsidRPr="009A69A9">
                <w:rPr>
                  <w:rFonts w:asciiTheme="minorHAnsi" w:hAnsiTheme="minorHAnsi" w:cs="Arial"/>
                  <w:sz w:val="18"/>
                  <w:szCs w:val="18"/>
                </w:rPr>
                <w:t>Návrh zákona o převodu vlastnického práva k jednotkám některých bytových družstev, záležitostech s tím spojených a o změně zákona č. 219/2000 Sb., o majetku České republiky a jejím vystupování v právních vztazích, ve znění pozdějších předpisů, a zákona č.</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A563B" w:rsidP="00AA563B">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257/2013.</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MMR</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587/13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4" w:history="1">
              <w:r w:rsidR="006A12F1" w:rsidRPr="009A69A9">
                <w:rPr>
                  <w:rFonts w:asciiTheme="minorHAnsi" w:hAnsiTheme="minorHAnsi" w:cs="Arial"/>
                  <w:sz w:val="18"/>
                  <w:szCs w:val="18"/>
                </w:rPr>
                <w:t>Návrh zákona, kterým se mění zákon č. 248/2000 Sb., o podpoře regionálního rozvoje, ve znění pozdějších předpisů, a některé další zákony</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Vláda neprojednala.</w:t>
            </w:r>
          </w:p>
        </w:tc>
      </w:tr>
      <w:tr w:rsidR="009B1E79" w:rsidRPr="009A69A9" w:rsidTr="007D194D">
        <w:trPr>
          <w:trHeight w:val="120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lastRenderedPageBreak/>
              <w:t>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MMR</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577/13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AA563B">
            <w:pPr>
              <w:spacing w:after="0" w:line="240" w:lineRule="auto"/>
              <w:jc w:val="center"/>
              <w:rPr>
                <w:rFonts w:asciiTheme="minorHAnsi" w:hAnsiTheme="minorHAnsi" w:cs="Arial"/>
                <w:sz w:val="18"/>
                <w:szCs w:val="18"/>
              </w:rPr>
            </w:pPr>
            <w:hyperlink r:id="rId35" w:history="1">
              <w:r w:rsidR="006A12F1" w:rsidRPr="009A69A9">
                <w:rPr>
                  <w:rFonts w:asciiTheme="minorHAnsi" w:hAnsiTheme="minorHAnsi" w:cs="Arial"/>
                  <w:sz w:val="18"/>
                  <w:szCs w:val="18"/>
                </w:rPr>
                <w:t>Návrh nařízení vlády, kt</w:t>
              </w:r>
              <w:r w:rsidR="00AA563B" w:rsidRPr="009A69A9">
                <w:rPr>
                  <w:rFonts w:asciiTheme="minorHAnsi" w:hAnsiTheme="minorHAnsi" w:cs="Arial"/>
                  <w:sz w:val="18"/>
                  <w:szCs w:val="18"/>
                </w:rPr>
                <w:t xml:space="preserve">erým se mění nařízení vlády č. </w:t>
              </w:r>
              <w:r w:rsidR="006A12F1" w:rsidRPr="009A69A9">
                <w:rPr>
                  <w:rFonts w:asciiTheme="minorHAnsi" w:hAnsiTheme="minorHAnsi" w:cs="Arial"/>
                  <w:sz w:val="18"/>
                  <w:szCs w:val="18"/>
                </w:rPr>
                <w:t xml:space="preserve">468/2012 Sb., o použití prostředků Státního fondu rozvoje bydlení formou úvěrů poskytnutých právnickým a fyzickým osobám na opravy a modernizace domů                                            </w:t>
              </w:r>
            </w:hyperlink>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AA563B" w:rsidP="00AA563B">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587/2013.</w:t>
            </w:r>
          </w:p>
        </w:tc>
      </w:tr>
      <w:tr w:rsidR="009B1E79" w:rsidRPr="009A69A9" w:rsidTr="007D194D">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MMR</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633/13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6" w:history="1">
              <w:r w:rsidR="006A12F1" w:rsidRPr="009A69A9">
                <w:rPr>
                  <w:rFonts w:asciiTheme="minorHAnsi" w:hAnsiTheme="minorHAnsi" w:cs="Arial"/>
                  <w:sz w:val="18"/>
                  <w:szCs w:val="18"/>
                </w:rPr>
                <w:t>Návrh věcného záměru zákona o stavebních úřadech</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A563B"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Předkladatelem staženo.</w:t>
            </w:r>
          </w:p>
        </w:tc>
      </w:tr>
      <w:tr w:rsidR="009B1E79" w:rsidRPr="009A69A9" w:rsidTr="007D194D">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MMR</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1129/13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7" w:history="1">
              <w:r w:rsidR="006A12F1" w:rsidRPr="009A69A9">
                <w:rPr>
                  <w:rFonts w:asciiTheme="minorHAnsi" w:hAnsiTheme="minorHAnsi" w:cs="Arial"/>
                  <w:sz w:val="18"/>
                  <w:szCs w:val="18"/>
                </w:rPr>
                <w:t xml:space="preserve">Návrh nařízení vlády, kterým se upravují některé záležitosti související s bytovým spoluvlastnictvím </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A563B" w:rsidP="00AA563B">
            <w:pPr>
              <w:spacing w:after="0" w:line="240" w:lineRule="auto"/>
              <w:jc w:val="center"/>
              <w:rPr>
                <w:rFonts w:asciiTheme="minorHAnsi" w:hAnsiTheme="minorHAnsi" w:cs="Arial"/>
                <w:sz w:val="18"/>
                <w:szCs w:val="18"/>
              </w:rPr>
            </w:pPr>
            <w:r w:rsidRPr="009A69A9">
              <w:rPr>
                <w:rFonts w:asciiTheme="minorHAnsi" w:hAnsiTheme="minorHAnsi" w:cs="Arial"/>
                <w:sz w:val="18"/>
                <w:szCs w:val="18"/>
              </w:rPr>
              <w:t>Schváleno usnesením vlády č. 813/2013.</w:t>
            </w:r>
          </w:p>
        </w:tc>
      </w:tr>
      <w:tr w:rsidR="00187755" w:rsidRPr="009A69A9" w:rsidTr="007D194D">
        <w:trPr>
          <w:trHeight w:val="375"/>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cs="Arial"/>
                <w:b/>
                <w:bCs/>
                <w:sz w:val="18"/>
                <w:szCs w:val="18"/>
              </w:rPr>
              <w:t>Ministerstvo obrany</w:t>
            </w:r>
          </w:p>
        </w:tc>
      </w:tr>
      <w:tr w:rsidR="009B1E79" w:rsidRPr="009A69A9" w:rsidTr="007D194D">
        <w:trPr>
          <w:trHeight w:val="120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266/13 (opětovně předloženo jako 1095/13)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8" w:history="1">
              <w:r w:rsidR="006A12F1" w:rsidRPr="009A69A9">
                <w:rPr>
                  <w:rFonts w:asciiTheme="minorHAnsi" w:hAnsiTheme="minorHAnsi" w:cs="Arial"/>
                  <w:sz w:val="18"/>
                  <w:szCs w:val="18"/>
                </w:rPr>
                <w:t>Návrh věcného záměru zákona o službě vojáků v záloze a právních poměrech vojáků v záloze</w:t>
              </w:r>
            </w:hyperlink>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9A69A9" w:rsidP="00187755">
            <w:pPr>
              <w:spacing w:after="0" w:line="240" w:lineRule="auto"/>
              <w:jc w:val="center"/>
              <w:rPr>
                <w:rFonts w:asciiTheme="minorHAnsi" w:hAnsiTheme="minorHAnsi" w:cs="Arial"/>
                <w:sz w:val="18"/>
                <w:szCs w:val="18"/>
              </w:rPr>
            </w:pPr>
            <w:r>
              <w:rPr>
                <w:rFonts w:asciiTheme="minorHAnsi" w:hAnsiTheme="minorHAnsi" w:cs="Arial"/>
                <w:sz w:val="18"/>
                <w:szCs w:val="18"/>
              </w:rPr>
              <w:t>Předkladatelem staženo.</w:t>
            </w:r>
          </w:p>
        </w:tc>
      </w:tr>
      <w:tr w:rsidR="009B1E79" w:rsidRPr="009A69A9" w:rsidTr="007D194D">
        <w:trPr>
          <w:trHeight w:val="12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349/13 (opětovně předloženo jako 1096/13)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39" w:history="1">
              <w:r w:rsidR="006A12F1" w:rsidRPr="009A69A9">
                <w:rPr>
                  <w:rFonts w:asciiTheme="minorHAnsi" w:hAnsiTheme="minorHAnsi" w:cs="Arial"/>
                  <w:sz w:val="18"/>
                  <w:szCs w:val="18"/>
                </w:rPr>
                <w:t>Návrh zákona, kterým se mění zákon č. 170/2002 Sb., o válečných veteránech, ve znění pozdějších předpisů</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9A69A9">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330</w:t>
            </w:r>
            <w:r w:rsidRPr="009A69A9">
              <w:rPr>
                <w:rFonts w:asciiTheme="minorHAnsi" w:hAnsiTheme="minorHAnsi" w:cs="Arial"/>
                <w:sz w:val="18"/>
                <w:szCs w:val="18"/>
              </w:rPr>
              <w:t>/2013</w:t>
            </w:r>
            <w:r w:rsidR="009B1E79">
              <w:rPr>
                <w:rFonts w:asciiTheme="minorHAnsi" w:hAnsiTheme="minorHAnsi" w:cs="Arial"/>
                <w:sz w:val="18"/>
                <w:szCs w:val="18"/>
              </w:rPr>
              <w:t>.</w:t>
            </w:r>
          </w:p>
        </w:tc>
      </w:tr>
      <w:tr w:rsidR="009B1E79" w:rsidRPr="009A69A9" w:rsidTr="007D194D">
        <w:trPr>
          <w:trHeight w:val="495"/>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348/13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0" w:history="1">
              <w:r w:rsidR="006A12F1" w:rsidRPr="009A69A9">
                <w:rPr>
                  <w:rFonts w:asciiTheme="minorHAnsi" w:hAnsiTheme="minorHAnsi" w:cs="Arial"/>
                  <w:sz w:val="18"/>
                  <w:szCs w:val="18"/>
                </w:rPr>
                <w:t>Návrh zákona o služebním platu vojáků z povolání</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187755">
            <w:pPr>
              <w:spacing w:after="0" w:line="240" w:lineRule="auto"/>
              <w:jc w:val="center"/>
              <w:rPr>
                <w:rFonts w:asciiTheme="minorHAnsi" w:hAnsiTheme="minorHAnsi" w:cs="Arial"/>
                <w:sz w:val="18"/>
                <w:szCs w:val="18"/>
              </w:rPr>
            </w:pPr>
            <w:r>
              <w:rPr>
                <w:rFonts w:asciiTheme="minorHAnsi" w:hAnsiTheme="minorHAnsi" w:cs="Arial"/>
                <w:sz w:val="18"/>
                <w:szCs w:val="18"/>
              </w:rPr>
              <w:t>Materiál spojen s materiálem 1165/13 a schválen usnesením vlády č. 835/2013.</w:t>
            </w:r>
          </w:p>
        </w:tc>
      </w:tr>
      <w:tr w:rsidR="009B1E79" w:rsidRPr="009A69A9" w:rsidTr="007D194D">
        <w:trPr>
          <w:trHeight w:val="735"/>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350/13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1" w:history="1">
              <w:r w:rsidR="006A12F1" w:rsidRPr="009A69A9">
                <w:rPr>
                  <w:rFonts w:asciiTheme="minorHAnsi" w:hAnsiTheme="minorHAnsi" w:cs="Arial"/>
                  <w:sz w:val="18"/>
                  <w:szCs w:val="18"/>
                </w:rPr>
                <w:t>Návrh zákona, kterým se mění zákon č. 221/1999 Sb., o vojácích z povolání, ve znění pozdějších předpisů</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9A69A9" w:rsidRPr="009A69A9" w:rsidRDefault="009A69A9" w:rsidP="009A69A9">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386</w:t>
            </w:r>
            <w:r w:rsidRPr="009A69A9">
              <w:rPr>
                <w:rFonts w:asciiTheme="minorHAnsi" w:hAnsiTheme="minorHAnsi" w:cs="Arial"/>
                <w:sz w:val="18"/>
                <w:szCs w:val="18"/>
              </w:rPr>
              <w:t xml:space="preserve">/2013. </w:t>
            </w:r>
          </w:p>
          <w:p w:rsidR="006A12F1" w:rsidRPr="009A69A9" w:rsidRDefault="009A69A9" w:rsidP="009A69A9">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r w:rsidR="009B1E79">
              <w:rPr>
                <w:rFonts w:asciiTheme="minorHAnsi" w:hAnsiTheme="minorHAnsi" w:cs="Arial"/>
                <w:sz w:val="18"/>
                <w:szCs w:val="18"/>
              </w:rPr>
              <w:t>.</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1008/13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2" w:history="1">
              <w:r w:rsidR="006A12F1" w:rsidRPr="009A69A9">
                <w:rPr>
                  <w:rFonts w:asciiTheme="minorHAnsi" w:hAnsiTheme="minorHAnsi" w:cs="Arial"/>
                  <w:sz w:val="18"/>
                  <w:szCs w:val="18"/>
                </w:rPr>
                <w:t>Návrh zákona, kterým se mění zákon č. 585/2004 Sb., o branné povinnosti a jejím zajišťování, ve znění pozdějších předpisů, a související zákony</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863/2013.</w:t>
            </w:r>
          </w:p>
        </w:tc>
      </w:tr>
      <w:tr w:rsidR="009B1E79" w:rsidRPr="009A69A9" w:rsidTr="007D194D">
        <w:trPr>
          <w:trHeight w:val="3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1009/13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3" w:history="1">
              <w:r w:rsidR="006A12F1" w:rsidRPr="009A69A9">
                <w:rPr>
                  <w:rFonts w:asciiTheme="minorHAnsi" w:hAnsiTheme="minorHAnsi" w:cs="Arial"/>
                  <w:sz w:val="18"/>
                  <w:szCs w:val="18"/>
                </w:rPr>
                <w:t>Zákon o vojenském letectví</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Vláda neprojednala.</w:t>
            </w:r>
          </w:p>
        </w:tc>
      </w:tr>
      <w:tr w:rsidR="009B1E79" w:rsidRPr="009A69A9" w:rsidTr="007D194D">
        <w:trPr>
          <w:trHeight w:val="1267"/>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1010/13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4" w:history="1">
              <w:r w:rsidR="006A12F1" w:rsidRPr="009A69A9">
                <w:rPr>
                  <w:rFonts w:asciiTheme="minorHAnsi" w:hAnsiTheme="minorHAnsi" w:cs="Arial"/>
                  <w:sz w:val="18"/>
                  <w:szCs w:val="18"/>
                </w:rPr>
                <w:t>Návrh zákona o zrušení vojenského újezdu a změně hranic vojenských újezdů a o změně některých zákonů (zákon o změně hranic vojenských újezdů)</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9A69A9">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865/2013</w:t>
            </w:r>
            <w:r w:rsidR="009B1E79">
              <w:rPr>
                <w:rFonts w:asciiTheme="minorHAnsi" w:hAnsiTheme="minorHAnsi"/>
                <w:color w:val="000000"/>
                <w:sz w:val="18"/>
                <w:szCs w:val="18"/>
              </w:rPr>
              <w:t>.</w:t>
            </w:r>
          </w:p>
        </w:tc>
      </w:tr>
      <w:tr w:rsidR="00187755" w:rsidRPr="009A69A9" w:rsidTr="00A946FF">
        <w:trPr>
          <w:trHeight w:val="420"/>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Ministerstvo průmyslu a obchodu</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70/13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5" w:history="1">
              <w:r w:rsidR="006A12F1" w:rsidRPr="009A69A9">
                <w:rPr>
                  <w:rFonts w:asciiTheme="minorHAnsi" w:hAnsiTheme="minorHAnsi" w:cs="Arial"/>
                  <w:sz w:val="18"/>
                  <w:szCs w:val="18"/>
                </w:rPr>
                <w:t>Návrh zákona, kterým se mění zákon č. 455/1991 Sb., o živnostenském podnikání (živnostenský zákon), ve znění pozdějších předpisů</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9A69A9">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154/2013</w:t>
            </w:r>
            <w:r w:rsidR="009B1E79">
              <w:rPr>
                <w:rFonts w:asciiTheme="minorHAnsi" w:hAnsiTheme="minorHAnsi"/>
                <w:color w:val="000000"/>
                <w:sz w:val="18"/>
                <w:szCs w:val="18"/>
              </w:rPr>
              <w:t>.</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412/13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6" w:history="1">
              <w:r w:rsidR="006A12F1" w:rsidRPr="009A69A9">
                <w:rPr>
                  <w:rFonts w:asciiTheme="minorHAnsi" w:hAnsiTheme="minorHAnsi" w:cs="Arial"/>
                  <w:sz w:val="18"/>
                  <w:szCs w:val="18"/>
                </w:rPr>
                <w:t xml:space="preserve">Návrh zákona, kterým se mění zákon č. 47 2002 Sb., o podpoře malého a středního podnikání a o změně zákona č. 21969 Sb., o zřízení ministerstev a jiných ústředních orgánů státní správy České republiky, ve znění pozdějších předpisů </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Vláda neprojednala.</w:t>
            </w:r>
          </w:p>
        </w:tc>
      </w:tr>
      <w:tr w:rsidR="009B1E79" w:rsidRPr="009A69A9" w:rsidTr="007D194D">
        <w:trPr>
          <w:trHeight w:val="96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lastRenderedPageBreak/>
              <w:t>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449/13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7" w:history="1">
              <w:r w:rsidR="006A12F1" w:rsidRPr="009A69A9">
                <w:rPr>
                  <w:rFonts w:asciiTheme="minorHAnsi" w:hAnsiTheme="minorHAnsi" w:cs="Arial"/>
                  <w:sz w:val="18"/>
                  <w:szCs w:val="18"/>
                </w:rPr>
                <w:t>Návrh věcného záměru zákona, kterým se mění zákon č. 44/1988 Sb., o ochraně a využití nerostného bohatství (horní zákon), ve znění pozdějších předpisů, a některé další zákony  </w:t>
              </w:r>
            </w:hyperlink>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r w:rsidRPr="009A69A9">
              <w:rPr>
                <w:rFonts w:asciiTheme="minorHAnsi" w:hAnsiTheme="minorHAnsi"/>
                <w:color w:val="000000"/>
                <w:sz w:val="18"/>
                <w:szCs w:val="18"/>
              </w:rPr>
              <w:t>Předkladatelem staženo.</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MPO</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1362/13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8" w:history="1">
              <w:r w:rsidR="006A12F1" w:rsidRPr="009A69A9">
                <w:rPr>
                  <w:rFonts w:asciiTheme="minorHAnsi" w:hAnsiTheme="minorHAnsi" w:cs="Arial"/>
                  <w:sz w:val="18"/>
                  <w:szCs w:val="18"/>
                </w:rPr>
                <w:t>Návrh zákona, kterým se mění zákon č. 455/1991 Sb., o živnostenském podnikání (živnostenský zákon),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9A69A9" w:rsidP="009A69A9">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42/2013</w:t>
            </w:r>
            <w:r w:rsidR="009B1E79">
              <w:rPr>
                <w:rFonts w:asciiTheme="minorHAnsi" w:hAnsiTheme="minorHAnsi"/>
                <w:color w:val="000000"/>
                <w:sz w:val="18"/>
                <w:szCs w:val="18"/>
              </w:rPr>
              <w:t>.</w:t>
            </w:r>
          </w:p>
        </w:tc>
      </w:tr>
      <w:tr w:rsidR="009B1E79" w:rsidRPr="009A69A9" w:rsidTr="007D194D">
        <w:trPr>
          <w:trHeight w:val="96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MPO a ÚOHS</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565/13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49" w:history="1">
              <w:r w:rsidR="006A12F1" w:rsidRPr="009A69A9">
                <w:rPr>
                  <w:rFonts w:asciiTheme="minorHAnsi" w:hAnsiTheme="minorHAnsi" w:cs="Arial"/>
                  <w:sz w:val="18"/>
                  <w:szCs w:val="18"/>
                </w:rPr>
                <w:t xml:space="preserve">Návrh zákona, kterým se mění zákon č. 395/2009 Sb., o významné tržní síle při prodeji zemědělských a potravinářských produktů a jejím zneužití </w:t>
              </w:r>
            </w:hyperlink>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9A69A9"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Vláda neprojednala.</w:t>
            </w:r>
          </w:p>
        </w:tc>
      </w:tr>
      <w:tr w:rsidR="00021369" w:rsidRPr="009A69A9" w:rsidTr="00A946FF">
        <w:trPr>
          <w:trHeight w:val="450"/>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021369" w:rsidRPr="009A69A9" w:rsidRDefault="00021369"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Ministerstvo práce a sociálních věcí</w:t>
            </w:r>
          </w:p>
        </w:tc>
      </w:tr>
      <w:tr w:rsidR="009B1E79" w:rsidRPr="009A69A9" w:rsidTr="007D194D">
        <w:trPr>
          <w:trHeight w:val="12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MPSV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306/13 (opětovně předloženo jako 1381/13)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0" w:history="1">
              <w:r w:rsidR="006A12F1" w:rsidRPr="009A69A9">
                <w:rPr>
                  <w:rFonts w:asciiTheme="minorHAnsi" w:hAnsiTheme="minorHAnsi" w:cs="Arial"/>
                  <w:sz w:val="18"/>
                  <w:szCs w:val="18"/>
                </w:rPr>
                <w:t>Návrh zákona o poskytování služby péče o dítě v dětské skupině a o změně souvisejících zákonů</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02A3D" w:rsidP="00A02A3D">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372/2013.</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MPSV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483/13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F42566">
            <w:pPr>
              <w:spacing w:after="0" w:line="240" w:lineRule="auto"/>
              <w:jc w:val="center"/>
              <w:rPr>
                <w:rFonts w:asciiTheme="minorHAnsi" w:hAnsiTheme="minorHAnsi" w:cs="Arial"/>
                <w:sz w:val="18"/>
                <w:szCs w:val="18"/>
              </w:rPr>
            </w:pPr>
            <w:hyperlink r:id="rId51" w:history="1">
              <w:r w:rsidR="006A12F1" w:rsidRPr="009A69A9">
                <w:rPr>
                  <w:rFonts w:asciiTheme="minorHAnsi" w:hAnsiTheme="minorHAnsi" w:cs="Arial"/>
                  <w:sz w:val="18"/>
                  <w:szCs w:val="18"/>
                </w:rPr>
                <w:t>Návrh zákona, kterým se mění zákon č. 108/2006 Sb., o sociálních službách, ve znění pozdějších předpisů, zákon č. 329/2011 Sb., o poskytování dávek osobám se zdravotním postižením a o změně souvisejících zákonů,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02A3D" w:rsidP="00A02A3D">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393/2013.</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MPSV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678/13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F42566">
            <w:pPr>
              <w:spacing w:after="0" w:line="240" w:lineRule="auto"/>
              <w:jc w:val="center"/>
              <w:rPr>
                <w:rFonts w:asciiTheme="minorHAnsi" w:hAnsiTheme="minorHAnsi" w:cs="Arial"/>
                <w:sz w:val="18"/>
                <w:szCs w:val="18"/>
              </w:rPr>
            </w:pPr>
            <w:hyperlink r:id="rId52" w:history="1">
              <w:r w:rsidR="006A12F1" w:rsidRPr="009A69A9">
                <w:rPr>
                  <w:rFonts w:asciiTheme="minorHAnsi" w:hAnsiTheme="minorHAnsi" w:cs="Arial"/>
                  <w:sz w:val="18"/>
                  <w:szCs w:val="18"/>
                </w:rPr>
                <w:t>Návrh nařízení vlády, kterým se mění nařízení vlády č. 567/2006 Sb., o minimální mzdě, o nejnižších úrovních zaručené mzdy, o vymezení ztíženého pracovního prostředí a o výši příplatku ke mzdě za práci ve ztíženém pracovním prostředí, ve znění pozdějšíc</w:t>
              </w:r>
            </w:hyperlink>
            <w:r w:rsidR="00245ADE" w:rsidRPr="009A69A9">
              <w:rPr>
                <w:rFonts w:asciiTheme="minorHAnsi" w:hAnsiTheme="minorHAnsi" w:cs="Arial"/>
                <w:sz w:val="18"/>
                <w:szCs w:val="18"/>
              </w:rPr>
              <w:t>h předpisů</w:t>
            </w:r>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02A3D" w:rsidP="00A02A3D">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541/2013</w:t>
            </w:r>
            <w:r w:rsidR="009B1E79">
              <w:rPr>
                <w:rFonts w:asciiTheme="minorHAnsi" w:hAnsiTheme="minorHAnsi"/>
                <w:color w:val="000000"/>
                <w:sz w:val="18"/>
                <w:szCs w:val="18"/>
              </w:rPr>
              <w:t>.</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MPSV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888/13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3" w:history="1">
              <w:r w:rsidR="006A12F1" w:rsidRPr="009A69A9">
                <w:rPr>
                  <w:rFonts w:asciiTheme="minorHAnsi" w:hAnsiTheme="minorHAnsi" w:cs="Arial"/>
                  <w:sz w:val="18"/>
                  <w:szCs w:val="18"/>
                </w:rPr>
                <w:t xml:space="preserve">Návrh zákona, kterým se mění zákon č. 435/2004 Sb., o zaměstnanosti, ve znění pozdějších předpisů, zákon č. 582/1991 Sb., o organizaci a provádění sociálního zabezpečení, ve znění pozdějších předpisů, a zákon č. 251/2005 Sb., o inspekci práce, ve znění </w:t>
              </w:r>
              <w:proofErr w:type="gramStart"/>
              <w:r w:rsidR="006A12F1" w:rsidRPr="009A69A9">
                <w:rPr>
                  <w:rFonts w:asciiTheme="minorHAnsi" w:hAnsiTheme="minorHAnsi" w:cs="Arial"/>
                  <w:sz w:val="18"/>
                  <w:szCs w:val="18"/>
                </w:rPr>
                <w:t>po</w:t>
              </w:r>
              <w:proofErr w:type="gramEnd"/>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A02A3D" w:rsidP="00A02A3D">
            <w:pPr>
              <w:spacing w:after="0" w:line="240" w:lineRule="auto"/>
              <w:jc w:val="center"/>
              <w:rPr>
                <w:rFonts w:asciiTheme="minorHAnsi" w:hAnsiTheme="minorHAnsi"/>
                <w:color w:val="000000"/>
                <w:sz w:val="18"/>
                <w:szCs w:val="18"/>
              </w:rPr>
            </w:pPr>
            <w:r>
              <w:rPr>
                <w:rFonts w:asciiTheme="minorHAnsi" w:hAnsiTheme="minorHAnsi"/>
                <w:color w:val="000000"/>
                <w:sz w:val="18"/>
                <w:szCs w:val="18"/>
              </w:rPr>
              <w:t>Schváleno usnesením vlády č. 953/2013</w:t>
            </w:r>
            <w:r w:rsidR="009B1E79">
              <w:rPr>
                <w:rFonts w:asciiTheme="minorHAnsi" w:hAnsiTheme="minorHAnsi"/>
                <w:color w:val="000000"/>
                <w:sz w:val="18"/>
                <w:szCs w:val="18"/>
              </w:rPr>
              <w:t>.</w:t>
            </w:r>
          </w:p>
        </w:tc>
      </w:tr>
      <w:tr w:rsidR="00187755" w:rsidRPr="009A69A9" w:rsidTr="00A946FF">
        <w:trPr>
          <w:trHeight w:val="405"/>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Ministerstvo spravedlnosti</w:t>
            </w:r>
          </w:p>
        </w:tc>
      </w:tr>
      <w:tr w:rsidR="009B1E79" w:rsidRPr="009A69A9" w:rsidTr="007D194D">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MSp</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1349/12</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4" w:history="1">
              <w:r w:rsidR="006A12F1" w:rsidRPr="009A69A9">
                <w:rPr>
                  <w:rFonts w:asciiTheme="minorHAnsi" w:hAnsiTheme="minorHAnsi" w:cs="Arial"/>
                  <w:sz w:val="18"/>
                  <w:szCs w:val="18"/>
                </w:rPr>
                <w:t>Zákon o veřejných rejstřících právnických a fyzických osob</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A02A3D" w:rsidRPr="009A69A9" w:rsidRDefault="00A02A3D" w:rsidP="00A02A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225</w:t>
            </w:r>
            <w:r w:rsidRPr="009A69A9">
              <w:rPr>
                <w:rFonts w:asciiTheme="minorHAnsi" w:hAnsiTheme="minorHAnsi" w:cs="Arial"/>
                <w:sz w:val="18"/>
                <w:szCs w:val="18"/>
              </w:rPr>
              <w:t xml:space="preserve">/2013. </w:t>
            </w:r>
          </w:p>
          <w:p w:rsidR="006A12F1" w:rsidRPr="009A69A9" w:rsidRDefault="00A02A3D" w:rsidP="00A02A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Odesláno do PČR</w:t>
            </w:r>
            <w:r w:rsidR="009B1E79">
              <w:rPr>
                <w:rFonts w:asciiTheme="minorHAnsi" w:hAnsiTheme="minorHAnsi" w:cs="Arial"/>
                <w:sz w:val="18"/>
                <w:szCs w:val="18"/>
              </w:rPr>
              <w:t>.</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MSp</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43/13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5" w:history="1">
              <w:r w:rsidR="006A12F1" w:rsidRPr="009A69A9">
                <w:rPr>
                  <w:rFonts w:asciiTheme="minorHAnsi" w:hAnsiTheme="minorHAnsi" w:cs="Arial"/>
                  <w:sz w:val="18"/>
                  <w:szCs w:val="18"/>
                </w:rPr>
                <w:t>Návrh zákona, kterým se mění zákon č. 182/2006 Sb., o úpadku a způsobech jeho řešení (insolvenční zákon), ve znění pozdějších předpisů, a zákon č. 312/2006 Sb., o insolvenčních správcích,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A02A3D" w:rsidRPr="009A69A9" w:rsidRDefault="00A02A3D" w:rsidP="00A02A3D">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125</w:t>
            </w:r>
            <w:r w:rsidRPr="009A69A9">
              <w:rPr>
                <w:rFonts w:asciiTheme="minorHAnsi" w:hAnsiTheme="minorHAnsi" w:cs="Arial"/>
                <w:sz w:val="18"/>
                <w:szCs w:val="18"/>
              </w:rPr>
              <w:t xml:space="preserve">/2013. </w:t>
            </w:r>
          </w:p>
          <w:p w:rsidR="006A12F1" w:rsidRPr="009A69A9" w:rsidRDefault="006A12F1" w:rsidP="00187755">
            <w:pPr>
              <w:spacing w:after="0" w:line="240" w:lineRule="auto"/>
              <w:jc w:val="center"/>
              <w:rPr>
                <w:rFonts w:asciiTheme="minorHAnsi" w:hAnsiTheme="minorHAnsi" w:cs="Arial"/>
                <w:sz w:val="18"/>
                <w:szCs w:val="18"/>
              </w:rPr>
            </w:pPr>
          </w:p>
        </w:tc>
      </w:tr>
      <w:tr w:rsidR="009B1E79" w:rsidRPr="009A69A9" w:rsidTr="000D700D">
        <w:trPr>
          <w:trHeight w:val="197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lastRenderedPageBreak/>
              <w:t>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MSp</w:t>
            </w:r>
            <w:proofErr w:type="spellEnd"/>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166/13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6" w:history="1">
              <w:r w:rsidR="006A12F1" w:rsidRPr="009A69A9">
                <w:rPr>
                  <w:rFonts w:asciiTheme="minorHAnsi" w:hAnsiTheme="minorHAnsi" w:cs="Arial"/>
                  <w:sz w:val="18"/>
                  <w:szCs w:val="18"/>
                </w:rPr>
                <w:t>Návrh zákona, kterým se mění zákon č. 40/2009 Sb., trestní zákoník, ve znění pozdějších předpisů, zákon č. 141/1961 Sb., o trestním řízení soudním (trestní řád), ve znění pozdějších předpisů, a zákon č. 418/2011 Sb., o trestní odpovědnosti právnických osob</w:t>
              </w:r>
            </w:hyperlink>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F93849" w:rsidP="00F93849">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263</w:t>
            </w:r>
            <w:r w:rsidRPr="009A69A9">
              <w:rPr>
                <w:rFonts w:asciiTheme="minorHAnsi" w:hAnsiTheme="minorHAnsi" w:cs="Arial"/>
                <w:sz w:val="18"/>
                <w:szCs w:val="18"/>
              </w:rPr>
              <w:t>/2013</w:t>
            </w:r>
            <w:r>
              <w:rPr>
                <w:rFonts w:asciiTheme="minorHAnsi" w:hAnsiTheme="minorHAnsi" w:cs="Arial"/>
                <w:sz w:val="18"/>
                <w:szCs w:val="18"/>
              </w:rPr>
              <w:t>. Odesláno do PČR.</w:t>
            </w:r>
          </w:p>
        </w:tc>
      </w:tr>
      <w:tr w:rsidR="009B1E79" w:rsidRPr="009A69A9" w:rsidTr="000D700D">
        <w:trPr>
          <w:trHeight w:val="1686"/>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MSp</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592/13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7" w:history="1">
              <w:r w:rsidR="006A12F1" w:rsidRPr="009A69A9">
                <w:rPr>
                  <w:rFonts w:asciiTheme="minorHAnsi" w:hAnsiTheme="minorHAnsi" w:cs="Arial"/>
                  <w:sz w:val="18"/>
                  <w:szCs w:val="18"/>
                </w:rPr>
                <w:t>Návrh zákona, kterým se mění zákon č. 40/2009 Sb., trestní zákoník, ve znění pozdějších předpisů, a zákon č. 169/1999 Sb., o výkonu trestu odnětí svobody a o změně některých souvisejících zákonů,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F93849" w:rsidP="00F93849">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557</w:t>
            </w:r>
            <w:r w:rsidRPr="009A69A9">
              <w:rPr>
                <w:rFonts w:asciiTheme="minorHAnsi" w:hAnsiTheme="minorHAnsi" w:cs="Arial"/>
                <w:sz w:val="18"/>
                <w:szCs w:val="18"/>
              </w:rPr>
              <w:t>/2013</w:t>
            </w:r>
            <w:r>
              <w:rPr>
                <w:rFonts w:asciiTheme="minorHAnsi" w:hAnsiTheme="minorHAnsi" w:cs="Arial"/>
                <w:sz w:val="18"/>
                <w:szCs w:val="18"/>
              </w:rPr>
              <w:t xml:space="preserve">. </w:t>
            </w:r>
          </w:p>
        </w:tc>
      </w:tr>
      <w:tr w:rsidR="009B1E79" w:rsidRPr="009A69A9" w:rsidTr="007D194D">
        <w:trPr>
          <w:trHeight w:val="48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MSp</w:t>
            </w:r>
            <w:proofErr w:type="spellEnd"/>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705/13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8" w:history="1">
              <w:r w:rsidR="006A12F1" w:rsidRPr="009A69A9">
                <w:rPr>
                  <w:rFonts w:asciiTheme="minorHAnsi" w:hAnsiTheme="minorHAnsi" w:cs="Arial"/>
                  <w:sz w:val="18"/>
                  <w:szCs w:val="18"/>
                </w:rPr>
                <w:t>Návrh věcného záměru zákona o zajištění právní pomoci</w:t>
              </w:r>
            </w:hyperlink>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Vláda neprojednala.</w:t>
            </w:r>
          </w:p>
        </w:tc>
      </w:tr>
      <w:tr w:rsidR="009B1E79" w:rsidRPr="009A69A9" w:rsidTr="007D194D">
        <w:trPr>
          <w:trHeight w:val="1215"/>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MSp</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754/13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59" w:history="1">
              <w:r w:rsidR="006A12F1" w:rsidRPr="009A69A9">
                <w:rPr>
                  <w:rFonts w:asciiTheme="minorHAnsi" w:hAnsiTheme="minorHAnsi" w:cs="Arial"/>
                  <w:sz w:val="18"/>
                  <w:szCs w:val="18"/>
                </w:rPr>
                <w:t>Návrh zákona, kterým se mění zákon č. 141/1961 Sb., o trestním řízení soudním (trestní řád), ve znění pozdějších předpisů, a zákon č. 273/2008 Sb., o Policii České republiky, ve znění pozdějších předpisů</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F93849" w:rsidP="00F93849">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868</w:t>
            </w:r>
            <w:r w:rsidRPr="009A69A9">
              <w:rPr>
                <w:rFonts w:asciiTheme="minorHAnsi" w:hAnsiTheme="minorHAnsi" w:cs="Arial"/>
                <w:sz w:val="18"/>
                <w:szCs w:val="18"/>
              </w:rPr>
              <w:t>/2013</w:t>
            </w:r>
            <w:r>
              <w:rPr>
                <w:rFonts w:asciiTheme="minorHAnsi" w:hAnsiTheme="minorHAnsi" w:cs="Arial"/>
                <w:sz w:val="18"/>
                <w:szCs w:val="18"/>
              </w:rPr>
              <w:t>.</w:t>
            </w:r>
          </w:p>
        </w:tc>
      </w:tr>
      <w:tr w:rsidR="00187755" w:rsidRPr="009A69A9" w:rsidTr="00A946FF">
        <w:trPr>
          <w:trHeight w:val="510"/>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Ministerstvo školství, mládeže a tělovýchovy</w:t>
            </w:r>
          </w:p>
        </w:tc>
      </w:tr>
      <w:tr w:rsidR="009B1E79" w:rsidRPr="009A69A9" w:rsidTr="000D700D">
        <w:trPr>
          <w:trHeight w:val="1202"/>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MŠMT</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1266/13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Návrh zákona, kterým se mění zákon č. 111/1998 Sb., o vysokých školách a o změně a doplnění dalších zákonů (zákon o vysokých školách), ve znění pozdějších předpisů</w:t>
            </w:r>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Vláda návrh schválila.</w:t>
            </w:r>
          </w:p>
        </w:tc>
      </w:tr>
      <w:tr w:rsidR="00187755" w:rsidRPr="009A69A9" w:rsidTr="00A946FF">
        <w:trPr>
          <w:trHeight w:val="405"/>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rsidR="00187755" w:rsidRPr="009A69A9" w:rsidRDefault="00187755" w:rsidP="00187755">
            <w:pPr>
              <w:spacing w:after="0" w:line="240" w:lineRule="auto"/>
              <w:jc w:val="center"/>
              <w:rPr>
                <w:rFonts w:asciiTheme="minorHAnsi" w:hAnsiTheme="minorHAnsi" w:cs="Arial"/>
                <w:b/>
                <w:sz w:val="18"/>
                <w:szCs w:val="18"/>
              </w:rPr>
            </w:pPr>
            <w:r w:rsidRPr="009A69A9">
              <w:rPr>
                <w:rFonts w:asciiTheme="minorHAnsi" w:hAnsiTheme="minorHAnsi" w:cs="Arial"/>
                <w:b/>
                <w:sz w:val="18"/>
                <w:szCs w:val="18"/>
              </w:rPr>
              <w:t>Ministerstvo vnitra</w:t>
            </w:r>
          </w:p>
        </w:tc>
      </w:tr>
      <w:tr w:rsidR="009B1E79" w:rsidRPr="009A69A9" w:rsidTr="000D700D">
        <w:trPr>
          <w:trHeight w:val="969"/>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36/13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0" w:history="1">
              <w:r w:rsidR="006A12F1" w:rsidRPr="009A69A9">
                <w:rPr>
                  <w:rFonts w:asciiTheme="minorHAnsi" w:hAnsiTheme="minorHAnsi" w:cs="Arial"/>
                  <w:sz w:val="18"/>
                  <w:szCs w:val="18"/>
                </w:rPr>
                <w:t>Návrh zákona o soukromé bezpečnostní činnosti a soukromé bezpečnostní službě a o změně souvisejících zákonů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Vláda neprojednala.</w:t>
            </w:r>
          </w:p>
        </w:tc>
      </w:tr>
      <w:tr w:rsidR="009B1E79" w:rsidRPr="009A69A9" w:rsidTr="000D700D">
        <w:trPr>
          <w:trHeight w:val="827"/>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51/13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1" w:history="1">
              <w:r w:rsidR="006A12F1" w:rsidRPr="009A69A9">
                <w:rPr>
                  <w:rFonts w:asciiTheme="minorHAnsi" w:hAnsiTheme="minorHAnsi" w:cs="Arial"/>
                  <w:sz w:val="18"/>
                  <w:szCs w:val="18"/>
                </w:rPr>
                <w:t>Návrh věcného záměru zákona o odpovědnosti za přestupky a řízení o nich (zákon o přestupcích)</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229</w:t>
            </w:r>
            <w:r w:rsidRPr="009A69A9">
              <w:rPr>
                <w:rFonts w:asciiTheme="minorHAnsi" w:hAnsiTheme="minorHAnsi" w:cs="Arial"/>
                <w:sz w:val="18"/>
                <w:szCs w:val="18"/>
              </w:rPr>
              <w:t>/2013</w:t>
            </w:r>
            <w:r>
              <w:rPr>
                <w:rFonts w:asciiTheme="minorHAnsi" w:hAnsiTheme="minorHAnsi" w:cs="Arial"/>
                <w:sz w:val="18"/>
                <w:szCs w:val="18"/>
              </w:rPr>
              <w:t>.</w:t>
            </w:r>
          </w:p>
        </w:tc>
      </w:tr>
      <w:tr w:rsidR="009B1E79" w:rsidRPr="009A69A9" w:rsidTr="000D700D">
        <w:trPr>
          <w:trHeight w:val="1941"/>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241/13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A3420D">
            <w:pPr>
              <w:spacing w:after="0" w:line="240" w:lineRule="auto"/>
              <w:jc w:val="center"/>
              <w:rPr>
                <w:rFonts w:asciiTheme="minorHAnsi" w:hAnsiTheme="minorHAnsi" w:cs="Arial"/>
                <w:sz w:val="18"/>
                <w:szCs w:val="18"/>
              </w:rPr>
            </w:pPr>
            <w:hyperlink r:id="rId62" w:history="1">
              <w:r w:rsidR="006A12F1" w:rsidRPr="009A69A9">
                <w:rPr>
                  <w:rFonts w:asciiTheme="minorHAnsi" w:hAnsiTheme="minorHAnsi" w:cs="Arial"/>
                  <w:sz w:val="18"/>
                  <w:szCs w:val="18"/>
                </w:rPr>
                <w:t>Návrh zákona, kterým se mění zákon č. 133/2000 Sb., o evidenci obyvatel a rodných číslech a o změně některých zákonů (zákon o evidenci obyvatel), ve znění pozdějších předpisů, zákon č. 328/1999 Sb., o občanských průkaze</w:t>
              </w:r>
              <w:r w:rsidR="000D700D">
                <w:rPr>
                  <w:rFonts w:asciiTheme="minorHAnsi" w:hAnsiTheme="minorHAnsi" w:cs="Arial"/>
                  <w:sz w:val="18"/>
                  <w:szCs w:val="18"/>
                </w:rPr>
                <w:t>ch, ve znění pozdějších předpisů</w:t>
              </w:r>
              <w:r w:rsidR="006A12F1" w:rsidRPr="009A69A9">
                <w:rPr>
                  <w:rFonts w:asciiTheme="minorHAnsi" w:hAnsiTheme="minorHAnsi" w:cs="Arial"/>
                  <w:sz w:val="18"/>
                  <w:szCs w:val="18"/>
                </w:rPr>
                <w:t xml:space="preserve"> </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226</w:t>
            </w:r>
            <w:r w:rsidRPr="009A69A9">
              <w:rPr>
                <w:rFonts w:asciiTheme="minorHAnsi" w:hAnsiTheme="minorHAnsi" w:cs="Arial"/>
                <w:sz w:val="18"/>
                <w:szCs w:val="18"/>
              </w:rPr>
              <w:t>/2013</w:t>
            </w:r>
            <w:r>
              <w:rPr>
                <w:rFonts w:asciiTheme="minorHAnsi" w:hAnsiTheme="minorHAnsi" w:cs="Arial"/>
                <w:sz w:val="18"/>
                <w:szCs w:val="18"/>
              </w:rPr>
              <w:t>.Odesláno do PČR</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375/13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3" w:history="1">
              <w:r w:rsidR="006A12F1" w:rsidRPr="009A69A9">
                <w:rPr>
                  <w:rFonts w:asciiTheme="minorHAnsi" w:hAnsiTheme="minorHAnsi" w:cs="Arial"/>
                  <w:sz w:val="18"/>
                  <w:szCs w:val="18"/>
                </w:rPr>
                <w:t>Návrh zákona, kterým se mění zákon č. 200/1990 Sb., o přestupcích, ve znění pozdějších předpisů, a některé další zákony</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s="Arial"/>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471</w:t>
            </w:r>
            <w:r w:rsidRPr="009A69A9">
              <w:rPr>
                <w:rFonts w:asciiTheme="minorHAnsi" w:hAnsiTheme="minorHAnsi" w:cs="Arial"/>
                <w:sz w:val="18"/>
                <w:szCs w:val="18"/>
              </w:rPr>
              <w:t>/2013</w:t>
            </w:r>
            <w:r>
              <w:rPr>
                <w:rFonts w:asciiTheme="minorHAnsi" w:hAnsiTheme="minorHAnsi" w:cs="Arial"/>
                <w:sz w:val="18"/>
                <w:szCs w:val="18"/>
              </w:rPr>
              <w:t>.Odesláno do PČR</w:t>
            </w:r>
            <w:r w:rsidR="00F81434">
              <w:rPr>
                <w:rFonts w:asciiTheme="minorHAnsi" w:hAnsiTheme="minorHAnsi" w:cs="Arial"/>
                <w:sz w:val="18"/>
                <w:szCs w:val="18"/>
              </w:rPr>
              <w:t>.</w:t>
            </w:r>
          </w:p>
        </w:tc>
      </w:tr>
      <w:tr w:rsidR="009B1E79" w:rsidRPr="009A69A9" w:rsidTr="000D700D">
        <w:trPr>
          <w:trHeight w:val="6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381/13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4" w:history="1">
              <w:r w:rsidR="006A12F1" w:rsidRPr="009A69A9">
                <w:rPr>
                  <w:rFonts w:asciiTheme="minorHAnsi" w:hAnsiTheme="minorHAnsi" w:cs="Arial"/>
                  <w:sz w:val="18"/>
                  <w:szCs w:val="18"/>
                </w:rPr>
                <w:t>Návrh zákona o státních úřednících</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418"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6D7D8A">
            <w:pPr>
              <w:spacing w:after="0" w:line="240" w:lineRule="auto"/>
              <w:jc w:val="center"/>
              <w:rPr>
                <w:rFonts w:asciiTheme="minorHAnsi" w:hAnsiTheme="minorHAnsi"/>
                <w:color w:val="000000"/>
                <w:sz w:val="18"/>
                <w:szCs w:val="18"/>
              </w:rPr>
            </w:pPr>
            <w:r w:rsidRPr="009A69A9">
              <w:rPr>
                <w:rFonts w:asciiTheme="minorHAnsi" w:hAnsiTheme="minorHAnsi"/>
                <w:color w:val="000000"/>
                <w:sz w:val="18"/>
                <w:szCs w:val="18"/>
              </w:rPr>
              <w:t>Vláda</w:t>
            </w:r>
            <w:r w:rsidR="006D7D8A">
              <w:rPr>
                <w:rFonts w:asciiTheme="minorHAnsi" w:hAnsiTheme="minorHAnsi"/>
                <w:color w:val="000000"/>
                <w:sz w:val="18"/>
                <w:szCs w:val="18"/>
              </w:rPr>
              <w:t xml:space="preserve"> návrh schválila. Odesláno do PČR</w:t>
            </w:r>
            <w:r w:rsidRPr="009A69A9">
              <w:rPr>
                <w:rFonts w:asciiTheme="minorHAnsi" w:hAnsiTheme="minorHAnsi"/>
                <w:color w:val="000000"/>
                <w:sz w:val="18"/>
                <w:szCs w:val="18"/>
              </w:rPr>
              <w:t>.</w:t>
            </w:r>
          </w:p>
        </w:tc>
      </w:tr>
      <w:tr w:rsidR="009B1E79" w:rsidRPr="009A69A9" w:rsidTr="000D700D">
        <w:trPr>
          <w:trHeight w:val="553"/>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lastRenderedPageBreak/>
              <w:t>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384/13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5" w:history="1">
              <w:r w:rsidR="006A12F1" w:rsidRPr="009A69A9">
                <w:rPr>
                  <w:rFonts w:asciiTheme="minorHAnsi" w:hAnsiTheme="minorHAnsi" w:cs="Arial"/>
                  <w:sz w:val="18"/>
                  <w:szCs w:val="18"/>
                </w:rPr>
                <w:t>Návrh zákona, kterým se mění zákon č. 106/1999 Sb., o svobodném přístupu k informacím, ve znění pozdějších předpisů, a zákon č. 123/1998 Sb., o právu na informace o životním prostředí, ve znění pozdějších předpisů</w:t>
              </w:r>
            </w:hyperlink>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D7D8A"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Vláda neprojednala.</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459/13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6" w:history="1">
              <w:r w:rsidR="006A12F1" w:rsidRPr="009A69A9">
                <w:rPr>
                  <w:rFonts w:asciiTheme="minorHAnsi" w:hAnsiTheme="minorHAnsi" w:cs="Arial"/>
                  <w:sz w:val="18"/>
                  <w:szCs w:val="18"/>
                </w:rPr>
                <w:t>Návrh zákona, kterým se mění zákon č. 634/2004 Sb., o správních poplatcích, ve znění pozdějších předpisů, a zákon č. 361/2000 Sb., o provozu na pozemních komunikacích a o změnách některých zákonů (zákon o silničním provozu),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435</w:t>
            </w:r>
            <w:r w:rsidRPr="009A69A9">
              <w:rPr>
                <w:rFonts w:asciiTheme="minorHAnsi" w:hAnsiTheme="minorHAnsi" w:cs="Arial"/>
                <w:sz w:val="18"/>
                <w:szCs w:val="18"/>
              </w:rPr>
              <w:t>/2013</w:t>
            </w:r>
            <w:r>
              <w:rPr>
                <w:rFonts w:asciiTheme="minorHAnsi" w:hAnsiTheme="minorHAnsi" w:cs="Arial"/>
                <w:sz w:val="18"/>
                <w:szCs w:val="18"/>
              </w:rPr>
              <w:t>.Odesláno do PČR</w:t>
            </w:r>
            <w:r w:rsidR="00F81434">
              <w:rPr>
                <w:rFonts w:asciiTheme="minorHAnsi" w:hAnsiTheme="minorHAnsi" w:cs="Arial"/>
                <w:sz w:val="18"/>
                <w:szCs w:val="18"/>
              </w:rPr>
              <w:t>.</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8</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7" w:anchor="RANGE!C3" w:history="1">
              <w:r w:rsidR="006A12F1" w:rsidRPr="009A69A9">
                <w:rPr>
                  <w:rFonts w:asciiTheme="minorHAnsi" w:hAnsiTheme="minorHAnsi" w:cs="Arial"/>
                  <w:sz w:val="18"/>
                  <w:szCs w:val="18"/>
                </w:rPr>
                <w:t>1133/13 navazuje na 2/12</w:t>
              </w:r>
            </w:hyperlink>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8" w:history="1">
              <w:r w:rsidR="006A12F1" w:rsidRPr="009A69A9">
                <w:rPr>
                  <w:rFonts w:asciiTheme="minorHAnsi" w:hAnsiTheme="minorHAnsi" w:cs="Arial"/>
                  <w:sz w:val="18"/>
                  <w:szCs w:val="18"/>
                </w:rPr>
                <w:t>Návrh zákona, kterým se mění zákon č. 326/1999 Sb., o pobytu cizinců na území České republiky a o změně některých zákonů, ve znění pozdějších předpisů, zákon č. 435/2004 Sb., o zaměstnanosti, ve znění pozdějších předpisů, a další související zákony</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866</w:t>
            </w:r>
            <w:r w:rsidRPr="009A69A9">
              <w:rPr>
                <w:rFonts w:asciiTheme="minorHAnsi" w:hAnsiTheme="minorHAnsi" w:cs="Arial"/>
                <w:sz w:val="18"/>
                <w:szCs w:val="18"/>
              </w:rPr>
              <w:t>/2013</w:t>
            </w:r>
            <w:r>
              <w:rPr>
                <w:rFonts w:asciiTheme="minorHAnsi" w:hAnsiTheme="minorHAnsi" w:cs="Arial"/>
                <w:sz w:val="18"/>
                <w:szCs w:val="18"/>
              </w:rPr>
              <w:t>.</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9</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MV</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1255/13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69" w:history="1">
              <w:r w:rsidR="006A12F1" w:rsidRPr="009A69A9">
                <w:rPr>
                  <w:rFonts w:asciiTheme="minorHAnsi" w:hAnsiTheme="minorHAnsi" w:cs="Arial"/>
                  <w:sz w:val="18"/>
                  <w:szCs w:val="18"/>
                </w:rPr>
                <w:t>Návrh zákona, kterým se mění zákon č. 198/2002 sb., o dobrovolnické službě a o změně některých zákonů (zákon o dobrovolnické službě)</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932</w:t>
            </w:r>
            <w:r w:rsidRPr="009A69A9">
              <w:rPr>
                <w:rFonts w:asciiTheme="minorHAnsi" w:hAnsiTheme="minorHAnsi" w:cs="Arial"/>
                <w:sz w:val="18"/>
                <w:szCs w:val="18"/>
              </w:rPr>
              <w:t>/2013</w:t>
            </w:r>
            <w:r>
              <w:rPr>
                <w:rFonts w:asciiTheme="minorHAnsi" w:hAnsiTheme="minorHAnsi" w:cs="Arial"/>
                <w:sz w:val="18"/>
                <w:szCs w:val="18"/>
              </w:rPr>
              <w:t>.</w:t>
            </w:r>
          </w:p>
        </w:tc>
      </w:tr>
      <w:tr w:rsidR="00187755" w:rsidRPr="009A69A9" w:rsidTr="00A946FF">
        <w:trPr>
          <w:trHeight w:val="420"/>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Ministerstvo zdravotnictví</w:t>
            </w:r>
          </w:p>
        </w:tc>
      </w:tr>
      <w:tr w:rsidR="009B1E79" w:rsidRPr="009A69A9" w:rsidTr="007D194D">
        <w:trPr>
          <w:trHeight w:val="12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MZd</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366/13 opětovně předloženo jako 1138/13)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0" w:history="1">
              <w:r w:rsidR="006A12F1" w:rsidRPr="009A69A9">
                <w:rPr>
                  <w:rFonts w:asciiTheme="minorHAnsi" w:hAnsiTheme="minorHAnsi" w:cs="Arial"/>
                  <w:sz w:val="18"/>
                  <w:szCs w:val="18"/>
                </w:rPr>
                <w:t>Návrh zákona, kterým se mění zákon č. 48/1997 Sb., o veřejném zdravotním pojištění a o změně a doplnění některých souvisejících zákonů, ve znění pozdějších předpisů, a další související zákony</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371</w:t>
            </w:r>
            <w:r w:rsidRPr="009A69A9">
              <w:rPr>
                <w:rFonts w:asciiTheme="minorHAnsi" w:hAnsiTheme="minorHAnsi" w:cs="Arial"/>
                <w:sz w:val="18"/>
                <w:szCs w:val="18"/>
              </w:rPr>
              <w:t>/2013</w:t>
            </w:r>
            <w:r>
              <w:rPr>
                <w:rFonts w:asciiTheme="minorHAnsi" w:hAnsiTheme="minorHAnsi" w:cs="Arial"/>
                <w:sz w:val="18"/>
                <w:szCs w:val="18"/>
              </w:rPr>
              <w:t>. Odesláno do PČR.</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MZd</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442/13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1" w:history="1">
              <w:r w:rsidR="006A12F1" w:rsidRPr="009A69A9">
                <w:rPr>
                  <w:rFonts w:asciiTheme="minorHAnsi" w:hAnsiTheme="minorHAnsi" w:cs="Arial"/>
                  <w:sz w:val="18"/>
                  <w:szCs w:val="18"/>
                </w:rPr>
                <w:t>Návrh zákona o zdravotnických prostředcích a o změně některých souvisejících zákonů (zákon o zdravotnických prostředcích)</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6D7D8A">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515</w:t>
            </w:r>
            <w:r w:rsidRPr="009A69A9">
              <w:rPr>
                <w:rFonts w:asciiTheme="minorHAnsi" w:hAnsiTheme="minorHAnsi" w:cs="Arial"/>
                <w:sz w:val="18"/>
                <w:szCs w:val="18"/>
              </w:rPr>
              <w:t>/2013</w:t>
            </w:r>
            <w:r>
              <w:rPr>
                <w:rFonts w:asciiTheme="minorHAnsi" w:hAnsiTheme="minorHAnsi" w:cs="Arial"/>
                <w:sz w:val="18"/>
                <w:szCs w:val="18"/>
              </w:rPr>
              <w:t xml:space="preserve">. </w:t>
            </w:r>
          </w:p>
        </w:tc>
      </w:tr>
      <w:tr w:rsidR="009B1E79" w:rsidRPr="009A69A9" w:rsidTr="007D194D">
        <w:trPr>
          <w:trHeight w:val="12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MZd</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591/13 (opětovně předloženo jako 895/13)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2" w:history="1">
              <w:r w:rsidR="006A12F1" w:rsidRPr="009A69A9">
                <w:rPr>
                  <w:rFonts w:asciiTheme="minorHAnsi" w:hAnsiTheme="minorHAnsi" w:cs="Arial"/>
                  <w:sz w:val="18"/>
                  <w:szCs w:val="18"/>
                </w:rPr>
                <w:t>Návrh nařízení vlády, kterým se stanoví vyměřovací základ u osoby, za kterou je plátcem pojistného na všeobecné zdravotní pojištění stát</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Vláda projednala bez usnesení.</w:t>
            </w:r>
          </w:p>
        </w:tc>
      </w:tr>
      <w:tr w:rsidR="009B1E79" w:rsidRPr="009A69A9" w:rsidTr="007D194D">
        <w:trPr>
          <w:trHeight w:val="96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MZd</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910/13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3" w:history="1">
              <w:r w:rsidR="006A12F1" w:rsidRPr="009A69A9">
                <w:rPr>
                  <w:rFonts w:asciiTheme="minorHAnsi" w:hAnsiTheme="minorHAnsi" w:cs="Arial"/>
                  <w:sz w:val="18"/>
                  <w:szCs w:val="18"/>
                </w:rPr>
                <w:t>Návrh zákona, kterým se mění zákon č. 258/2000 Sb., o ochraně veřejného zdraví a o změně některých souvisejících zákonů, ve znění pozdějších předpisů, a další související zákony</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6D7D8A"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Vláda neprojednala.</w:t>
            </w:r>
          </w:p>
        </w:tc>
      </w:tr>
      <w:tr w:rsidR="00187755" w:rsidRPr="009A69A9" w:rsidTr="00A946FF">
        <w:trPr>
          <w:trHeight w:val="450"/>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Ministerstvo zemědělství</w:t>
            </w:r>
          </w:p>
        </w:tc>
      </w:tr>
      <w:tr w:rsidR="009B1E79" w:rsidRPr="009A69A9" w:rsidTr="000D700D">
        <w:trPr>
          <w:trHeight w:val="12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MZe</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44/13 (opětovně předloženo jako 1297/13)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4" w:history="1">
              <w:r w:rsidR="006A12F1" w:rsidRPr="009A69A9">
                <w:rPr>
                  <w:rFonts w:asciiTheme="minorHAnsi" w:hAnsiTheme="minorHAnsi" w:cs="Arial"/>
                  <w:sz w:val="18"/>
                  <w:szCs w:val="18"/>
                </w:rPr>
                <w:t>Návrh zákona, kterým se mění zákon č. 146/2002 Sb., o Státní zemědělské a potravinářské inspekci a o změně některých souvisejících zákonů, ve znění pozdějších předpisů</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773A71" w:rsidP="00773A71">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172</w:t>
            </w:r>
            <w:r w:rsidRPr="009A69A9">
              <w:rPr>
                <w:rFonts w:asciiTheme="minorHAnsi" w:hAnsiTheme="minorHAnsi" w:cs="Arial"/>
                <w:sz w:val="18"/>
                <w:szCs w:val="18"/>
              </w:rPr>
              <w:t>/2013</w:t>
            </w:r>
            <w:r>
              <w:rPr>
                <w:rFonts w:asciiTheme="minorHAnsi" w:hAnsiTheme="minorHAnsi" w:cs="Arial"/>
                <w:sz w:val="18"/>
                <w:szCs w:val="18"/>
              </w:rPr>
              <w:t>. Odesláno do PČR.</w:t>
            </w:r>
          </w:p>
        </w:tc>
      </w:tr>
      <w:tr w:rsidR="009B1E79" w:rsidRPr="009A69A9" w:rsidTr="000D700D">
        <w:trPr>
          <w:trHeight w:val="144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lastRenderedPageBreak/>
              <w:t>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MZe</w:t>
            </w:r>
            <w:proofErr w:type="spellEnd"/>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101/13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5" w:history="1">
              <w:r w:rsidR="006A12F1" w:rsidRPr="009A69A9">
                <w:rPr>
                  <w:rFonts w:asciiTheme="minorHAnsi" w:hAnsiTheme="minorHAnsi" w:cs="Arial"/>
                  <w:sz w:val="18"/>
                  <w:szCs w:val="18"/>
                </w:rPr>
                <w:t xml:space="preserve">Návrh zákona, kterým se mění zákon č. 147/2002 Sb., o Ústředním kontrolním a zkušebním ústavu zemědělském a o změně některých souvisejících zákonů (zákon o Ústředním kontrolním a zkušebním ústavu zemědělském), ve znění </w:t>
              </w:r>
              <w:r w:rsidR="006A12F1" w:rsidRPr="007D194D">
                <w:rPr>
                  <w:rFonts w:asciiTheme="minorHAnsi" w:hAnsiTheme="minorHAnsi" w:cs="Arial"/>
                  <w:sz w:val="18"/>
                  <w:szCs w:val="18"/>
                </w:rPr>
                <w:t>pozdějších</w:t>
              </w:r>
              <w:r w:rsidR="006A12F1" w:rsidRPr="009A69A9">
                <w:rPr>
                  <w:rFonts w:asciiTheme="minorHAnsi" w:hAnsiTheme="minorHAnsi" w:cs="Arial"/>
                  <w:sz w:val="18"/>
                  <w:szCs w:val="18"/>
                </w:rPr>
                <w:t xml:space="preserve"> předpisů, zákon č. 326/20</w:t>
              </w:r>
            </w:hyperlink>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773A71" w:rsidP="00773A71">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153</w:t>
            </w:r>
            <w:r w:rsidRPr="009A69A9">
              <w:rPr>
                <w:rFonts w:asciiTheme="minorHAnsi" w:hAnsiTheme="minorHAnsi" w:cs="Arial"/>
                <w:sz w:val="18"/>
                <w:szCs w:val="18"/>
              </w:rPr>
              <w:t>/2013</w:t>
            </w:r>
            <w:r>
              <w:rPr>
                <w:rFonts w:asciiTheme="minorHAnsi" w:hAnsiTheme="minorHAnsi" w:cs="Arial"/>
                <w:sz w:val="18"/>
                <w:szCs w:val="18"/>
              </w:rPr>
              <w:t xml:space="preserve">. </w:t>
            </w:r>
          </w:p>
        </w:tc>
      </w:tr>
      <w:tr w:rsidR="009B1E79" w:rsidRPr="009A69A9" w:rsidTr="007D194D">
        <w:trPr>
          <w:trHeight w:val="120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MZe</w:t>
            </w:r>
            <w:proofErr w:type="spellEnd"/>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209/13 (opětovně předloženo jako 1293/13)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6" w:history="1">
              <w:r w:rsidR="006A12F1" w:rsidRPr="009A69A9">
                <w:rPr>
                  <w:rFonts w:asciiTheme="minorHAnsi" w:hAnsiTheme="minorHAnsi" w:cs="Arial"/>
                  <w:sz w:val="18"/>
                  <w:szCs w:val="18"/>
                </w:rPr>
                <w:t>Návrh zákona, kterým se mění zákon č. 110/1997 Sb., o potravinách a tabákových výrobcích a o změně a doplnění některých souvisejících zákonů, ve znění pozdějších předpisů, a další související zákony</w:t>
              </w:r>
            </w:hyperlink>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773A71" w:rsidP="00773A71">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306</w:t>
            </w:r>
            <w:r w:rsidRPr="009A69A9">
              <w:rPr>
                <w:rFonts w:asciiTheme="minorHAnsi" w:hAnsiTheme="minorHAnsi" w:cs="Arial"/>
                <w:sz w:val="18"/>
                <w:szCs w:val="18"/>
              </w:rPr>
              <w:t>/2013</w:t>
            </w:r>
            <w:r>
              <w:rPr>
                <w:rFonts w:asciiTheme="minorHAnsi" w:hAnsiTheme="minorHAnsi" w:cs="Arial"/>
                <w:sz w:val="18"/>
                <w:szCs w:val="18"/>
              </w:rPr>
              <w:t>. Odesláno PČR.</w:t>
            </w:r>
          </w:p>
        </w:tc>
      </w:tr>
      <w:tr w:rsidR="009B1E79" w:rsidRPr="009A69A9" w:rsidTr="007D194D">
        <w:trPr>
          <w:trHeight w:val="1408"/>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roofErr w:type="spellStart"/>
            <w:r w:rsidRPr="009A69A9">
              <w:rPr>
                <w:rFonts w:asciiTheme="minorHAnsi" w:hAnsiTheme="minorHAnsi" w:cs="Arial"/>
                <w:sz w:val="18"/>
                <w:szCs w:val="18"/>
              </w:rPr>
              <w:t>MZe</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707/13</w:t>
            </w:r>
          </w:p>
        </w:tc>
        <w:tc>
          <w:tcPr>
            <w:tcW w:w="2976" w:type="dxa"/>
            <w:tcBorders>
              <w:top w:val="nil"/>
              <w:left w:val="nil"/>
              <w:bottom w:val="single" w:sz="4" w:space="0" w:color="auto"/>
              <w:right w:val="single" w:sz="4" w:space="0" w:color="auto"/>
            </w:tcBorders>
            <w:shd w:val="clear" w:color="auto" w:fill="auto"/>
            <w:vAlign w:val="center"/>
            <w:hideMark/>
          </w:tcPr>
          <w:p w:rsidR="006A12F1" w:rsidRDefault="002C2DDE" w:rsidP="00187755">
            <w:pPr>
              <w:spacing w:after="0" w:line="240" w:lineRule="auto"/>
              <w:jc w:val="center"/>
              <w:rPr>
                <w:rFonts w:asciiTheme="minorHAnsi" w:hAnsiTheme="minorHAnsi" w:cs="Arial"/>
                <w:sz w:val="18"/>
                <w:szCs w:val="18"/>
              </w:rPr>
            </w:pPr>
            <w:hyperlink r:id="rId77" w:history="1">
              <w:r w:rsidR="006A12F1" w:rsidRPr="009A69A9">
                <w:rPr>
                  <w:rFonts w:asciiTheme="minorHAnsi" w:hAnsiTheme="minorHAnsi" w:cs="Arial"/>
                  <w:sz w:val="18"/>
                  <w:szCs w:val="18"/>
                </w:rPr>
                <w:t>Návrh zákona, kterým se mění nařízení vlády č. 197/2005 Sb., o stanovení podmínek poskytnutí dotace na provádění opatření ke zlepšení obecných podmínek pro produkci včelařských produktů a jejich uvádění na trh, ve znění pozdějších předpisů</w:t>
              </w:r>
            </w:hyperlink>
          </w:p>
          <w:p w:rsidR="00F81434" w:rsidRDefault="00F81434" w:rsidP="00187755">
            <w:pPr>
              <w:spacing w:after="0" w:line="240" w:lineRule="auto"/>
              <w:jc w:val="center"/>
              <w:rPr>
                <w:rFonts w:asciiTheme="minorHAnsi" w:hAnsiTheme="minorHAnsi" w:cs="Arial"/>
                <w:sz w:val="18"/>
                <w:szCs w:val="18"/>
              </w:rPr>
            </w:pPr>
          </w:p>
          <w:p w:rsidR="00F81434" w:rsidRDefault="00F81434" w:rsidP="00187755">
            <w:pPr>
              <w:spacing w:after="0" w:line="240" w:lineRule="auto"/>
              <w:jc w:val="center"/>
              <w:rPr>
                <w:rFonts w:asciiTheme="minorHAnsi" w:hAnsiTheme="minorHAnsi" w:cs="Arial"/>
                <w:sz w:val="18"/>
                <w:szCs w:val="18"/>
              </w:rPr>
            </w:pPr>
          </w:p>
          <w:p w:rsidR="00F81434" w:rsidRDefault="00F81434" w:rsidP="00187755">
            <w:pPr>
              <w:spacing w:after="0" w:line="240" w:lineRule="auto"/>
              <w:jc w:val="center"/>
              <w:rPr>
                <w:rFonts w:asciiTheme="minorHAnsi" w:hAnsiTheme="minorHAnsi" w:cs="Arial"/>
                <w:sz w:val="18"/>
                <w:szCs w:val="18"/>
              </w:rPr>
            </w:pPr>
          </w:p>
          <w:p w:rsidR="00F81434" w:rsidRPr="009A69A9" w:rsidRDefault="00F81434" w:rsidP="00187755">
            <w:pPr>
              <w:spacing w:after="0" w:line="240" w:lineRule="auto"/>
              <w:jc w:val="center"/>
              <w:rPr>
                <w:rFonts w:asciiTheme="minorHAnsi" w:hAnsiTheme="minorHAnsi" w:cs="Arial"/>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773A71" w:rsidP="00773A71">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560</w:t>
            </w:r>
            <w:r w:rsidRPr="009A69A9">
              <w:rPr>
                <w:rFonts w:asciiTheme="minorHAnsi" w:hAnsiTheme="minorHAnsi" w:cs="Arial"/>
                <w:sz w:val="18"/>
                <w:szCs w:val="18"/>
              </w:rPr>
              <w:t>/2013</w:t>
            </w:r>
            <w:r>
              <w:rPr>
                <w:rFonts w:asciiTheme="minorHAnsi" w:hAnsiTheme="minorHAnsi" w:cs="Arial"/>
                <w:sz w:val="18"/>
                <w:szCs w:val="18"/>
              </w:rPr>
              <w:t xml:space="preserve">. </w:t>
            </w:r>
          </w:p>
        </w:tc>
      </w:tr>
      <w:tr w:rsidR="00187755" w:rsidRPr="009A69A9" w:rsidTr="00A946FF">
        <w:trPr>
          <w:trHeight w:val="521"/>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Ministerstvo životního prostředí</w:t>
            </w:r>
          </w:p>
        </w:tc>
      </w:tr>
      <w:tr w:rsidR="009B1E79" w:rsidRPr="009A69A9" w:rsidTr="007D194D">
        <w:trPr>
          <w:trHeight w:val="96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MŽP</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273/13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8" w:history="1">
              <w:r w:rsidR="006A12F1" w:rsidRPr="009A69A9">
                <w:rPr>
                  <w:rFonts w:asciiTheme="minorHAnsi" w:hAnsiTheme="minorHAnsi" w:cs="Arial"/>
                  <w:sz w:val="18"/>
                  <w:szCs w:val="18"/>
                </w:rPr>
                <w:t>Návrh zákona o vyhlášení Národního parku Šumava a o změně zákona č. 114/1992 Sb., o ochraně přírody a krajiny, ve znění pozdějších předpisů</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773A71" w:rsidP="00773A71">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285</w:t>
            </w:r>
            <w:r w:rsidRPr="009A69A9">
              <w:rPr>
                <w:rFonts w:asciiTheme="minorHAnsi" w:hAnsiTheme="minorHAnsi" w:cs="Arial"/>
                <w:sz w:val="18"/>
                <w:szCs w:val="18"/>
              </w:rPr>
              <w:t>/2013</w:t>
            </w:r>
            <w:r>
              <w:rPr>
                <w:rFonts w:asciiTheme="minorHAnsi" w:hAnsiTheme="minorHAnsi" w:cs="Arial"/>
                <w:sz w:val="18"/>
                <w:szCs w:val="18"/>
              </w:rPr>
              <w:t>. Odesláno do PČR.</w:t>
            </w:r>
          </w:p>
        </w:tc>
      </w:tr>
      <w:tr w:rsidR="009B1E79" w:rsidRPr="009A69A9" w:rsidTr="007D194D">
        <w:trPr>
          <w:trHeight w:val="120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MŽP</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518/13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79" w:history="1">
              <w:r w:rsidR="006A12F1" w:rsidRPr="009A69A9">
                <w:rPr>
                  <w:rFonts w:asciiTheme="minorHAnsi" w:hAnsiTheme="minorHAnsi" w:cs="Arial"/>
                  <w:sz w:val="18"/>
                  <w:szCs w:val="18"/>
                </w:rPr>
                <w:t xml:space="preserve">Návrh, kterým se mění zákon č. 334/1992 Sb., o ochraně zemědělského půdního fondu, ve znění pozdějších předpisů, a zákon č. 388/1991 Sb., o Státním fondu životního prostředí České republiky, ve znění pozdějších předpisů   </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773A71" w:rsidP="00773A71">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914</w:t>
            </w:r>
            <w:r w:rsidRPr="009A69A9">
              <w:rPr>
                <w:rFonts w:asciiTheme="minorHAnsi" w:hAnsiTheme="minorHAnsi" w:cs="Arial"/>
                <w:sz w:val="18"/>
                <w:szCs w:val="18"/>
              </w:rPr>
              <w:t>/2013</w:t>
            </w:r>
            <w:r>
              <w:rPr>
                <w:rFonts w:asciiTheme="minorHAnsi" w:hAnsiTheme="minorHAnsi" w:cs="Arial"/>
                <w:sz w:val="18"/>
                <w:szCs w:val="18"/>
              </w:rPr>
              <w:t xml:space="preserve">. </w:t>
            </w:r>
          </w:p>
        </w:tc>
      </w:tr>
      <w:tr w:rsidR="009B1E79" w:rsidRPr="009A69A9" w:rsidTr="007D194D">
        <w:trPr>
          <w:trHeight w:val="144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MŽP</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626/13 (opětovně předloženo jako 1282/13)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80" w:history="1">
              <w:r w:rsidR="006A12F1" w:rsidRPr="009A69A9">
                <w:rPr>
                  <w:rFonts w:asciiTheme="minorHAnsi" w:hAnsiTheme="minorHAnsi" w:cs="Arial"/>
                  <w:sz w:val="18"/>
                  <w:szCs w:val="18"/>
                </w:rPr>
                <w:t xml:space="preserve">Zákon, kterým se mění zákon č. 350/2011 Sb., o chemických látkách a chemických směsích   a o změně některých zákonů (chemický zákon), zákon č. 59/2006 Sb., o prevenci závažných havárií způsobených vybranými nebezpečnými chemickými látkami nebo chemickými </w:t>
              </w:r>
            </w:hyperlink>
          </w:p>
        </w:tc>
        <w:tc>
          <w:tcPr>
            <w:tcW w:w="851"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773A71" w:rsidP="00773A71">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516</w:t>
            </w:r>
            <w:r w:rsidRPr="009A69A9">
              <w:rPr>
                <w:rFonts w:asciiTheme="minorHAnsi" w:hAnsiTheme="minorHAnsi" w:cs="Arial"/>
                <w:sz w:val="18"/>
                <w:szCs w:val="18"/>
              </w:rPr>
              <w:t>/2013</w:t>
            </w:r>
            <w:r>
              <w:rPr>
                <w:rFonts w:asciiTheme="minorHAnsi" w:hAnsiTheme="minorHAnsi" w:cs="Arial"/>
                <w:sz w:val="18"/>
                <w:szCs w:val="18"/>
              </w:rPr>
              <w:t>. Odesláno do PČR.</w:t>
            </w:r>
            <w:r w:rsidR="00F27B67">
              <w:rPr>
                <w:rFonts w:asciiTheme="minorHAnsi" w:hAnsiTheme="minorHAnsi" w:cs="Arial"/>
                <w:sz w:val="18"/>
                <w:szCs w:val="18"/>
              </w:rPr>
              <w:t xml:space="preserve"> (Opětovné usnesení č. 915/2013).</w:t>
            </w:r>
          </w:p>
        </w:tc>
      </w:tr>
      <w:tr w:rsidR="009B1E79" w:rsidRPr="009A69A9" w:rsidTr="007D194D">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4</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MŽP</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663/13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81" w:history="1">
              <w:r w:rsidR="006A12F1" w:rsidRPr="009A69A9">
                <w:rPr>
                  <w:rFonts w:asciiTheme="minorHAnsi" w:hAnsiTheme="minorHAnsi" w:cs="Arial"/>
                  <w:sz w:val="18"/>
                  <w:szCs w:val="18"/>
                </w:rPr>
                <w:t>Návrh nařízení vlády o stanovení národního seznamu evropsky významných lokalit</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F27B67" w:rsidP="00F27B67">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642</w:t>
            </w:r>
            <w:r w:rsidRPr="009A69A9">
              <w:rPr>
                <w:rFonts w:asciiTheme="minorHAnsi" w:hAnsiTheme="minorHAnsi" w:cs="Arial"/>
                <w:sz w:val="18"/>
                <w:szCs w:val="18"/>
              </w:rPr>
              <w:t>/2013</w:t>
            </w:r>
            <w:r w:rsidR="00F81434">
              <w:rPr>
                <w:rFonts w:asciiTheme="minorHAnsi" w:hAnsiTheme="minorHAnsi" w:cs="Arial"/>
                <w:sz w:val="18"/>
                <w:szCs w:val="18"/>
              </w:rPr>
              <w:t>.</w:t>
            </w:r>
          </w:p>
        </w:tc>
      </w:tr>
      <w:tr w:rsidR="009B1E79" w:rsidRPr="009A69A9" w:rsidTr="007D194D">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5</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MŽP</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1260/13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82" w:history="1">
              <w:r w:rsidR="006A12F1" w:rsidRPr="009A69A9">
                <w:rPr>
                  <w:rFonts w:asciiTheme="minorHAnsi" w:hAnsiTheme="minorHAnsi" w:cs="Arial"/>
                  <w:sz w:val="18"/>
                  <w:szCs w:val="18"/>
                </w:rPr>
                <w:t>Návrh nařízení vlády o vyhlášení CHKO Kokořínsko - Máchův kraj a stanovení jejich bližších ochranných podmínek</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F27B67" w:rsidP="00187755">
            <w:pPr>
              <w:spacing w:after="0" w:line="240" w:lineRule="auto"/>
              <w:jc w:val="center"/>
              <w:rPr>
                <w:rFonts w:asciiTheme="minorHAnsi" w:hAnsiTheme="minorHAnsi"/>
                <w:color w:val="000000"/>
                <w:sz w:val="18"/>
                <w:szCs w:val="18"/>
              </w:rPr>
            </w:pPr>
            <w:r>
              <w:rPr>
                <w:rFonts w:asciiTheme="minorHAnsi" w:hAnsiTheme="minorHAnsi"/>
                <w:color w:val="000000"/>
                <w:sz w:val="18"/>
                <w:szCs w:val="18"/>
              </w:rPr>
              <w:t>Vláda neprojednala.</w:t>
            </w:r>
          </w:p>
        </w:tc>
      </w:tr>
      <w:tr w:rsidR="00187755" w:rsidRPr="009A69A9" w:rsidTr="00A946FF">
        <w:trPr>
          <w:trHeight w:val="405"/>
        </w:trPr>
        <w:tc>
          <w:tcPr>
            <w:tcW w:w="1063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r w:rsidRPr="009A69A9">
              <w:rPr>
                <w:rFonts w:asciiTheme="minorHAnsi" w:hAnsiTheme="minorHAnsi"/>
                <w:b/>
                <w:bCs/>
                <w:color w:val="000000"/>
                <w:sz w:val="18"/>
                <w:szCs w:val="18"/>
              </w:rPr>
              <w:t>Předseda vlády</w:t>
            </w:r>
          </w:p>
        </w:tc>
      </w:tr>
      <w:tr w:rsidR="009B1E79" w:rsidRPr="009A69A9" w:rsidTr="007D194D">
        <w:trPr>
          <w:trHeight w:val="735"/>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NBÚ</w:t>
            </w:r>
          </w:p>
        </w:tc>
        <w:tc>
          <w:tcPr>
            <w:tcW w:w="993"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753/13</w:t>
            </w:r>
          </w:p>
        </w:tc>
        <w:tc>
          <w:tcPr>
            <w:tcW w:w="2976" w:type="dxa"/>
            <w:tcBorders>
              <w:top w:val="nil"/>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83" w:history="1">
              <w:r w:rsidR="006A12F1" w:rsidRPr="009A69A9">
                <w:rPr>
                  <w:rFonts w:asciiTheme="minorHAnsi" w:hAnsiTheme="minorHAnsi" w:cs="Arial"/>
                  <w:sz w:val="18"/>
                  <w:szCs w:val="18"/>
                </w:rPr>
                <w:t>Návrh zákona o kybernetické bezpečnosti a o změně souvisejících zákonů (zákon o kybernetické bezpečnosti)</w:t>
              </w:r>
            </w:hyperlink>
          </w:p>
        </w:tc>
        <w:tc>
          <w:tcPr>
            <w:tcW w:w="851"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6A12F1" w:rsidRPr="009A69A9" w:rsidRDefault="00F27B67" w:rsidP="00F27B67">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2/2014.</w:t>
            </w:r>
          </w:p>
        </w:tc>
      </w:tr>
      <w:tr w:rsidR="009B1E79" w:rsidRPr="009A69A9" w:rsidTr="007D194D">
        <w:trPr>
          <w:trHeight w:val="144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lastRenderedPageBreak/>
              <w:t>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RVVI</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316/13</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6A12F1" w:rsidRPr="009A69A9" w:rsidRDefault="002C2DDE" w:rsidP="00187755">
            <w:pPr>
              <w:spacing w:after="0" w:line="240" w:lineRule="auto"/>
              <w:jc w:val="center"/>
              <w:rPr>
                <w:rFonts w:asciiTheme="minorHAnsi" w:hAnsiTheme="minorHAnsi" w:cs="Arial"/>
                <w:sz w:val="18"/>
                <w:szCs w:val="18"/>
              </w:rPr>
            </w:pPr>
            <w:hyperlink r:id="rId84" w:history="1">
              <w:r w:rsidR="006A12F1" w:rsidRPr="009A69A9">
                <w:rPr>
                  <w:rFonts w:asciiTheme="minorHAnsi" w:hAnsiTheme="minorHAnsi" w:cs="Arial"/>
                  <w:sz w:val="18"/>
                  <w:szCs w:val="18"/>
                </w:rPr>
                <w:t>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w:t>
              </w:r>
            </w:hyperlink>
            <w:r w:rsidR="00187755" w:rsidRPr="009A69A9">
              <w:rPr>
                <w:rFonts w:asciiTheme="minorHAnsi" w:hAnsiTheme="minorHAnsi" w:cs="Arial"/>
                <w:sz w:val="18"/>
                <w:szCs w:val="18"/>
              </w:rPr>
              <w:t>pisů</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r w:rsidRPr="009A69A9">
              <w:rPr>
                <w:rFonts w:asciiTheme="minorHAnsi" w:hAnsiTheme="minorHAnsi" w:cs="Arial"/>
                <w:sz w:val="18"/>
                <w:szCs w:val="18"/>
              </w:rPr>
              <w:t>x</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6A12F1" w:rsidP="00187755">
            <w:pPr>
              <w:spacing w:after="0" w:line="240" w:lineRule="auto"/>
              <w:jc w:val="center"/>
              <w:rPr>
                <w:rFonts w:asciiTheme="minorHAnsi" w:hAnsiTheme="minorHAnsi" w:cs="Arial"/>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A12F1" w:rsidRPr="009A69A9" w:rsidRDefault="00F27B67" w:rsidP="00F27B67">
            <w:pPr>
              <w:spacing w:after="0" w:line="240" w:lineRule="auto"/>
              <w:jc w:val="center"/>
              <w:rPr>
                <w:rFonts w:asciiTheme="minorHAnsi" w:hAnsiTheme="minorHAnsi"/>
                <w:color w:val="000000"/>
                <w:sz w:val="18"/>
                <w:szCs w:val="18"/>
              </w:rPr>
            </w:pPr>
            <w:r w:rsidRPr="009A69A9">
              <w:rPr>
                <w:rFonts w:asciiTheme="minorHAnsi" w:hAnsiTheme="minorHAnsi" w:cs="Arial"/>
                <w:sz w:val="18"/>
                <w:szCs w:val="18"/>
              </w:rPr>
              <w:t xml:space="preserve">Schváleno usnesením vlády č. </w:t>
            </w:r>
            <w:r>
              <w:rPr>
                <w:rFonts w:asciiTheme="minorHAnsi" w:hAnsiTheme="minorHAnsi" w:cs="Arial"/>
                <w:sz w:val="18"/>
                <w:szCs w:val="18"/>
              </w:rPr>
              <w:t>335/</w:t>
            </w:r>
            <w:r w:rsidRPr="009A69A9">
              <w:rPr>
                <w:rFonts w:asciiTheme="minorHAnsi" w:hAnsiTheme="minorHAnsi" w:cs="Arial"/>
                <w:sz w:val="18"/>
                <w:szCs w:val="18"/>
              </w:rPr>
              <w:t>2013</w:t>
            </w:r>
          </w:p>
        </w:tc>
      </w:tr>
      <w:tr w:rsidR="009B1E79" w:rsidRPr="009A69A9" w:rsidTr="007D194D">
        <w:trPr>
          <w:cantSplit/>
          <w:trHeight w:val="1134"/>
        </w:trPr>
        <w:tc>
          <w:tcPr>
            <w:tcW w:w="425" w:type="dxa"/>
            <w:tcBorders>
              <w:top w:val="single" w:sz="4" w:space="0" w:color="auto"/>
              <w:left w:val="single" w:sz="4" w:space="0" w:color="auto"/>
              <w:bottom w:val="single" w:sz="4" w:space="0" w:color="auto"/>
              <w:right w:val="single" w:sz="4" w:space="0" w:color="auto"/>
            </w:tcBorders>
            <w:shd w:val="clear" w:color="auto" w:fill="CCC0D9" w:themeFill="accent4" w:themeFillTint="66"/>
            <w:textDirection w:val="btLr"/>
            <w:vAlign w:val="center"/>
            <w:hideMark/>
          </w:tcPr>
          <w:p w:rsidR="00187755" w:rsidRPr="009A69A9" w:rsidRDefault="00021369" w:rsidP="00A946FF">
            <w:pPr>
              <w:spacing w:after="0" w:line="240" w:lineRule="auto"/>
              <w:ind w:left="113" w:right="113"/>
              <w:jc w:val="center"/>
              <w:rPr>
                <w:rFonts w:asciiTheme="minorHAnsi" w:hAnsiTheme="minorHAnsi" w:cs="Arial"/>
                <w:b/>
                <w:bCs/>
                <w:sz w:val="18"/>
                <w:szCs w:val="18"/>
              </w:rPr>
            </w:pPr>
            <w:r w:rsidRPr="009A69A9">
              <w:rPr>
                <w:rFonts w:asciiTheme="minorHAnsi" w:hAnsiTheme="minorHAnsi" w:cs="Arial"/>
                <w:b/>
                <w:bCs/>
                <w:sz w:val="18"/>
                <w:szCs w:val="18"/>
              </w:rPr>
              <w:t>Celkem</w:t>
            </w:r>
          </w:p>
        </w:tc>
        <w:tc>
          <w:tcPr>
            <w:tcW w:w="709"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187755" w:rsidRPr="009A69A9" w:rsidRDefault="00187755" w:rsidP="00187755">
            <w:pPr>
              <w:spacing w:after="0" w:line="240" w:lineRule="auto"/>
              <w:jc w:val="center"/>
              <w:rPr>
                <w:rFonts w:asciiTheme="minorHAnsi" w:hAnsiTheme="minorHAnsi" w:cs="Arial"/>
                <w:sz w:val="18"/>
                <w:szCs w:val="18"/>
              </w:rPr>
            </w:pPr>
          </w:p>
        </w:tc>
        <w:tc>
          <w:tcPr>
            <w:tcW w:w="993"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187755" w:rsidRPr="009A69A9" w:rsidRDefault="00187755" w:rsidP="00187755">
            <w:pPr>
              <w:spacing w:after="0" w:line="240" w:lineRule="auto"/>
              <w:jc w:val="center"/>
              <w:rPr>
                <w:rFonts w:asciiTheme="minorHAnsi" w:hAnsiTheme="minorHAnsi" w:cs="Arial"/>
                <w:sz w:val="18"/>
                <w:szCs w:val="18"/>
              </w:rPr>
            </w:pPr>
          </w:p>
        </w:tc>
        <w:tc>
          <w:tcPr>
            <w:tcW w:w="2976"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187755" w:rsidRPr="009A69A9" w:rsidRDefault="00187755" w:rsidP="00187755">
            <w:pPr>
              <w:spacing w:after="0" w:line="240" w:lineRule="auto"/>
              <w:jc w:val="center"/>
              <w:rPr>
                <w:rFonts w:asciiTheme="minorHAnsi" w:hAnsiTheme="minorHAnsi" w:cs="Arial"/>
                <w:sz w:val="18"/>
                <w:szCs w:val="18"/>
              </w:rPr>
            </w:pPr>
          </w:p>
        </w:tc>
        <w:tc>
          <w:tcPr>
            <w:tcW w:w="851"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187755" w:rsidRPr="009A69A9" w:rsidRDefault="00187755" w:rsidP="00187755">
            <w:pPr>
              <w:spacing w:after="0" w:line="240" w:lineRule="auto"/>
              <w:jc w:val="center"/>
              <w:rPr>
                <w:rFonts w:asciiTheme="minorHAnsi" w:hAnsiTheme="minorHAnsi"/>
                <w:b/>
                <w:bCs/>
                <w:sz w:val="18"/>
                <w:szCs w:val="18"/>
              </w:rPr>
            </w:pPr>
            <w:r w:rsidRPr="009A69A9">
              <w:rPr>
                <w:rFonts w:asciiTheme="minorHAnsi" w:hAnsiTheme="minorHAnsi"/>
                <w:b/>
                <w:bCs/>
                <w:sz w:val="18"/>
                <w:szCs w:val="18"/>
              </w:rPr>
              <w:t>18</w:t>
            </w:r>
          </w:p>
        </w:tc>
        <w:tc>
          <w:tcPr>
            <w:tcW w:w="1134"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187755" w:rsidRPr="009A69A9" w:rsidRDefault="00187755" w:rsidP="00187755">
            <w:pPr>
              <w:spacing w:after="0" w:line="240" w:lineRule="auto"/>
              <w:jc w:val="center"/>
              <w:rPr>
                <w:rFonts w:asciiTheme="minorHAnsi" w:hAnsiTheme="minorHAnsi"/>
                <w:b/>
                <w:bCs/>
                <w:sz w:val="18"/>
                <w:szCs w:val="18"/>
              </w:rPr>
            </w:pPr>
            <w:r w:rsidRPr="009A69A9">
              <w:rPr>
                <w:rFonts w:asciiTheme="minorHAnsi" w:hAnsiTheme="minorHAnsi"/>
                <w:b/>
                <w:bCs/>
                <w:sz w:val="18"/>
                <w:szCs w:val="18"/>
              </w:rPr>
              <w:t>36</w:t>
            </w:r>
          </w:p>
        </w:tc>
        <w:tc>
          <w:tcPr>
            <w:tcW w:w="1134"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187755" w:rsidRPr="009A69A9" w:rsidRDefault="00187755" w:rsidP="00187755">
            <w:pPr>
              <w:spacing w:after="0" w:line="240" w:lineRule="auto"/>
              <w:jc w:val="center"/>
              <w:rPr>
                <w:rFonts w:asciiTheme="minorHAnsi" w:hAnsiTheme="minorHAnsi"/>
                <w:b/>
                <w:bCs/>
                <w:sz w:val="18"/>
                <w:szCs w:val="18"/>
              </w:rPr>
            </w:pPr>
            <w:r w:rsidRPr="009A69A9">
              <w:rPr>
                <w:rFonts w:asciiTheme="minorHAnsi" w:hAnsiTheme="minorHAnsi"/>
                <w:b/>
                <w:bCs/>
                <w:sz w:val="18"/>
                <w:szCs w:val="18"/>
              </w:rPr>
              <w:t>9</w:t>
            </w:r>
          </w:p>
        </w:tc>
        <w:tc>
          <w:tcPr>
            <w:tcW w:w="992" w:type="dxa"/>
            <w:tcBorders>
              <w:top w:val="single" w:sz="4" w:space="0" w:color="auto"/>
              <w:left w:val="nil"/>
              <w:bottom w:val="single" w:sz="4" w:space="0" w:color="auto"/>
              <w:right w:val="single" w:sz="4" w:space="0" w:color="auto"/>
            </w:tcBorders>
            <w:shd w:val="clear" w:color="auto" w:fill="CCC0D9" w:themeFill="accent4" w:themeFillTint="66"/>
            <w:vAlign w:val="center"/>
            <w:hideMark/>
          </w:tcPr>
          <w:p w:rsidR="00187755" w:rsidRPr="009A69A9" w:rsidRDefault="00187755" w:rsidP="00187755">
            <w:pPr>
              <w:spacing w:after="0" w:line="240" w:lineRule="auto"/>
              <w:jc w:val="center"/>
              <w:rPr>
                <w:rFonts w:asciiTheme="minorHAnsi" w:hAnsiTheme="minorHAnsi"/>
                <w:b/>
                <w:bCs/>
                <w:sz w:val="18"/>
                <w:szCs w:val="18"/>
              </w:rPr>
            </w:pPr>
            <w:r w:rsidRPr="009A69A9">
              <w:rPr>
                <w:rFonts w:asciiTheme="minorHAnsi" w:hAnsiTheme="minorHAnsi"/>
                <w:b/>
                <w:bCs/>
                <w:sz w:val="18"/>
                <w:szCs w:val="18"/>
              </w:rPr>
              <w:t>6</w:t>
            </w:r>
          </w:p>
        </w:tc>
        <w:tc>
          <w:tcPr>
            <w:tcW w:w="1418" w:type="dxa"/>
            <w:tcBorders>
              <w:top w:val="single" w:sz="4" w:space="0" w:color="auto"/>
              <w:left w:val="nil"/>
              <w:bottom w:val="single" w:sz="4" w:space="0" w:color="auto"/>
              <w:right w:val="single" w:sz="4" w:space="0" w:color="auto"/>
            </w:tcBorders>
            <w:shd w:val="clear" w:color="auto" w:fill="CCC0D9" w:themeFill="accent4" w:themeFillTint="66"/>
            <w:noWrap/>
            <w:vAlign w:val="center"/>
            <w:hideMark/>
          </w:tcPr>
          <w:p w:rsidR="00187755" w:rsidRPr="009A69A9" w:rsidRDefault="00187755" w:rsidP="00187755">
            <w:pPr>
              <w:spacing w:after="0" w:line="240" w:lineRule="auto"/>
              <w:jc w:val="center"/>
              <w:rPr>
                <w:rFonts w:asciiTheme="minorHAnsi" w:hAnsiTheme="minorHAnsi"/>
                <w:color w:val="000000"/>
                <w:sz w:val="18"/>
                <w:szCs w:val="18"/>
              </w:rPr>
            </w:pPr>
          </w:p>
        </w:tc>
      </w:tr>
    </w:tbl>
    <w:p w:rsidR="00EF5E06" w:rsidRPr="00EF5E06" w:rsidRDefault="00EF5E06"/>
    <w:sectPr w:rsidR="00EF5E06" w:rsidRPr="00EF5E06" w:rsidSect="008B6961">
      <w:headerReference w:type="default" r:id="rId85"/>
      <w:footerReference w:type="default" r:id="rId8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55B" w:rsidRDefault="0090255B" w:rsidP="00EF5E06">
      <w:pPr>
        <w:spacing w:after="0" w:line="240" w:lineRule="auto"/>
      </w:pPr>
      <w:r>
        <w:separator/>
      </w:r>
    </w:p>
  </w:endnote>
  <w:endnote w:type="continuationSeparator" w:id="0">
    <w:p w:rsidR="0090255B" w:rsidRDefault="0090255B" w:rsidP="00EF5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DE" w:rsidRDefault="002C2DDE">
    <w:pPr>
      <w:pStyle w:val="Zpat"/>
      <w:jc w:val="center"/>
    </w:pPr>
    <w:r>
      <w:fldChar w:fldCharType="begin"/>
    </w:r>
    <w:r>
      <w:instrText>PAGE   \* MERGEFORMAT</w:instrText>
    </w:r>
    <w:r>
      <w:fldChar w:fldCharType="separate"/>
    </w:r>
    <w:r w:rsidR="009323BB">
      <w:rPr>
        <w:noProof/>
      </w:rPr>
      <w:t>2</w:t>
    </w:r>
    <w:r>
      <w:fldChar w:fldCharType="end"/>
    </w:r>
  </w:p>
  <w:p w:rsidR="002C2DDE" w:rsidRDefault="002C2DD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55B" w:rsidRDefault="0090255B" w:rsidP="00EF5E06">
      <w:pPr>
        <w:spacing w:after="0" w:line="240" w:lineRule="auto"/>
      </w:pPr>
      <w:r>
        <w:separator/>
      </w:r>
    </w:p>
  </w:footnote>
  <w:footnote w:type="continuationSeparator" w:id="0">
    <w:p w:rsidR="0090255B" w:rsidRDefault="0090255B" w:rsidP="00EF5E06">
      <w:pPr>
        <w:spacing w:after="0" w:line="240" w:lineRule="auto"/>
      </w:pPr>
      <w:r>
        <w:continuationSeparator/>
      </w:r>
    </w:p>
  </w:footnote>
  <w:footnote w:id="1">
    <w:p w:rsidR="002C2DDE" w:rsidRDefault="002C2DDE" w:rsidP="00203F0C">
      <w:pPr>
        <w:pStyle w:val="Textpoznpodarou"/>
        <w:jc w:val="both"/>
      </w:pPr>
      <w:r>
        <w:rPr>
          <w:rStyle w:val="Znakapoznpodarou"/>
        </w:rPr>
        <w:footnoteRef/>
      </w:r>
      <w:r>
        <w:t xml:space="preserve"> Novela Obecných zásad nabyla účinnosti k 1. 2. 2014.</w:t>
      </w:r>
    </w:p>
  </w:footnote>
  <w:footnote w:id="2">
    <w:p w:rsidR="002C2DDE" w:rsidRDefault="002C2DDE" w:rsidP="003023F4">
      <w:pPr>
        <w:pStyle w:val="Textpoznpodarou"/>
        <w:jc w:val="both"/>
      </w:pPr>
      <w:r>
        <w:rPr>
          <w:rStyle w:val="Znakapoznpodarou"/>
        </w:rPr>
        <w:footnoteRef/>
      </w:r>
      <w:r>
        <w:t xml:space="preserve"> </w:t>
      </w:r>
      <w:r w:rsidRPr="00B64676">
        <w:rPr>
          <w:i/>
        </w:rPr>
        <w:t xml:space="preserve">Pozn.: </w:t>
      </w:r>
      <w:r>
        <w:rPr>
          <w:i/>
        </w:rPr>
        <w:t>Do celkového počtu zpracovaných stanovisek nebyly započteny opakovaně předložené návrhy v průběhu roku 2013, ke kterým bylo již zpracováno stanovisko Komise RIA a u kterých došlo v průběhu roku pouze k výměně a opětovnému předložení návrhu materiálu z důvodu změny na pozici předkládajícího člena vlády bez obsahové změny. Tato situace nastala v r. 2013 u 11 návrhů.</w:t>
      </w:r>
      <w:r>
        <w:t xml:space="preserve"> </w:t>
      </w:r>
    </w:p>
  </w:footnote>
  <w:footnote w:id="3">
    <w:p w:rsidR="002C2DDE" w:rsidRDefault="002C2DDE">
      <w:pPr>
        <w:pStyle w:val="Textpoznpodarou"/>
      </w:pPr>
      <w:r>
        <w:rPr>
          <w:rStyle w:val="Znakapoznpodarou"/>
        </w:rPr>
        <w:footnoteRef/>
      </w:r>
      <w:r>
        <w:t xml:space="preserve"> </w:t>
      </w:r>
      <w:r w:rsidRPr="00312DD5">
        <w:rPr>
          <w:sz w:val="16"/>
          <w:szCs w:val="16"/>
        </w:rPr>
        <w:t>V</w:t>
      </w:r>
      <w:r>
        <w:rPr>
          <w:sz w:val="16"/>
          <w:szCs w:val="16"/>
        </w:rPr>
        <w:t>e 4</w:t>
      </w:r>
      <w:r w:rsidRPr="00312DD5">
        <w:rPr>
          <w:sz w:val="16"/>
          <w:szCs w:val="16"/>
        </w:rPr>
        <w:t xml:space="preserve"> případech nebylo žádosti o udělení výjimky v r. 2013 vyhověno, za rok 2013 bylo podáno celkově </w:t>
      </w:r>
      <w:r>
        <w:rPr>
          <w:sz w:val="16"/>
          <w:szCs w:val="16"/>
        </w:rPr>
        <w:t xml:space="preserve">41 </w:t>
      </w:r>
      <w:r w:rsidRPr="00312DD5">
        <w:rPr>
          <w:sz w:val="16"/>
          <w:szCs w:val="16"/>
        </w:rPr>
        <w:t>žádostí o výjimku.</w:t>
      </w:r>
      <w:r>
        <w:t xml:space="preserve"> </w:t>
      </w:r>
    </w:p>
    <w:p w:rsidR="002C2DDE" w:rsidRDefault="002C2DDE">
      <w:pPr>
        <w:pStyle w:val="Textpoznpodarou"/>
      </w:pPr>
    </w:p>
  </w:footnote>
  <w:footnote w:id="4">
    <w:p w:rsidR="002C2DDE" w:rsidRPr="002A3A9A" w:rsidRDefault="002C2DDE" w:rsidP="002A3A9A">
      <w:pPr>
        <w:pStyle w:val="Textpoznpodarou"/>
        <w:jc w:val="both"/>
      </w:pPr>
      <w:r w:rsidRPr="002A3A9A">
        <w:rPr>
          <w:rStyle w:val="Znakapoznpodarou"/>
        </w:rPr>
        <w:footnoteRef/>
      </w:r>
      <w:r w:rsidRPr="002A3A9A">
        <w:rPr>
          <w:rStyle w:val="Znakapoznpodarou"/>
        </w:rPr>
        <w:t xml:space="preserve"> </w:t>
      </w:r>
      <w:r w:rsidRPr="008D2236">
        <w:rPr>
          <w:sz w:val="16"/>
          <w:szCs w:val="16"/>
        </w:rPr>
        <w:t>Procent</w:t>
      </w:r>
      <w:r>
        <w:rPr>
          <w:sz w:val="16"/>
          <w:szCs w:val="16"/>
        </w:rPr>
        <w:t xml:space="preserve">uální </w:t>
      </w:r>
      <w:r w:rsidRPr="008D2236">
        <w:rPr>
          <w:sz w:val="16"/>
          <w:szCs w:val="16"/>
        </w:rPr>
        <w:t>vyjádření vztaženo k celkovému počtu návrhů právních předpisů předložených resortem v kalendářním roce.</w:t>
      </w:r>
    </w:p>
    <w:p w:rsidR="002C2DDE" w:rsidRPr="002A3A9A" w:rsidRDefault="002C2DDE" w:rsidP="002A3A9A">
      <w:pPr>
        <w:pStyle w:val="Textpoznpodarou"/>
        <w:jc w:val="both"/>
        <w:rPr>
          <w:rStyle w:val="Znakapoznpodarou"/>
        </w:rPr>
      </w:pPr>
    </w:p>
  </w:footnote>
  <w:footnote w:id="5">
    <w:p w:rsidR="002C2DDE" w:rsidRDefault="002C2DDE" w:rsidP="002A3A9A">
      <w:pPr>
        <w:pStyle w:val="Textpoznpodarou"/>
        <w:jc w:val="both"/>
      </w:pPr>
      <w:r>
        <w:rPr>
          <w:rStyle w:val="Znakapoznpodarou"/>
        </w:rPr>
        <w:footnoteRef/>
      </w:r>
      <w:r>
        <w:t xml:space="preserve"> </w:t>
      </w:r>
      <w:r w:rsidRPr="002A3A9A">
        <w:rPr>
          <w:sz w:val="16"/>
          <w:szCs w:val="16"/>
        </w:rPr>
        <w:t>Při nízkém celkovém počtu návrhů přidělených k projednání v Komisi RIA může být procentuální podíl výsledných stanovisek pro jednotlivé resorty zavádějící, větší vypovídací hodnotu má procentní vyjádření tedy především u těch resortů, u kterých bylo projednáno alespoň 3 a více návrhů právních předpisů v Komisi RIA (viz 5. sloupec tabulky výše).</w:t>
      </w:r>
    </w:p>
  </w:footnote>
  <w:footnote w:id="6">
    <w:p w:rsidR="002C2DDE" w:rsidRDefault="002C2DDE">
      <w:pPr>
        <w:pStyle w:val="Textpoznpodarou"/>
      </w:pPr>
      <w:r>
        <w:rPr>
          <w:rStyle w:val="Znakapoznpodarou"/>
        </w:rPr>
        <w:footnoteRef/>
      </w:r>
      <w:r>
        <w:t xml:space="preserve"> Vysvětlení rozdílu viz Tabulka č.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DE" w:rsidRDefault="002C2DDE">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71AB"/>
    <w:multiLevelType w:val="multilevel"/>
    <w:tmpl w:val="2A42ACD6"/>
    <w:lvl w:ilvl="0">
      <w:start w:val="1"/>
      <w:numFmt w:val="decimal"/>
      <w:lvlText w:val="%1"/>
      <w:lvlJc w:val="left"/>
      <w:pPr>
        <w:ind w:left="432" w:hanging="432"/>
      </w:pPr>
      <w:rPr>
        <w:rFonts w:ascii="Arial" w:hAnsi="Arial" w:cs="Arial"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5B57570"/>
    <w:multiLevelType w:val="hybridMultilevel"/>
    <w:tmpl w:val="71E032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55151B3"/>
    <w:multiLevelType w:val="multilevel"/>
    <w:tmpl w:val="27D45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065A4B"/>
    <w:multiLevelType w:val="hybridMultilevel"/>
    <w:tmpl w:val="C43814FE"/>
    <w:lvl w:ilvl="0" w:tplc="DF6E121A">
      <w:start w:val="1"/>
      <w:numFmt w:val="low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E8E2187"/>
    <w:multiLevelType w:val="hybridMultilevel"/>
    <w:tmpl w:val="56489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AF55889"/>
    <w:multiLevelType w:val="hybridMultilevel"/>
    <w:tmpl w:val="70A623A0"/>
    <w:lvl w:ilvl="0" w:tplc="04050001">
      <w:start w:val="1"/>
      <w:numFmt w:val="bullet"/>
      <w:lvlText w:val=""/>
      <w:lvlJc w:val="left"/>
      <w:pPr>
        <w:ind w:left="1080" w:hanging="72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20214DE"/>
    <w:multiLevelType w:val="hybridMultilevel"/>
    <w:tmpl w:val="80AE1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8DB4EE7"/>
    <w:multiLevelType w:val="multilevel"/>
    <w:tmpl w:val="8FEA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6"/>
  </w:num>
  <w:num w:numId="5">
    <w:abstractNumId w:val="5"/>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C40"/>
    <w:rsid w:val="00005D42"/>
    <w:rsid w:val="00007E1B"/>
    <w:rsid w:val="00021369"/>
    <w:rsid w:val="00031627"/>
    <w:rsid w:val="000324A9"/>
    <w:rsid w:val="00065329"/>
    <w:rsid w:val="000703CC"/>
    <w:rsid w:val="00086B70"/>
    <w:rsid w:val="000A7975"/>
    <w:rsid w:val="000C14EB"/>
    <w:rsid w:val="000C2242"/>
    <w:rsid w:val="000C7C25"/>
    <w:rsid w:val="000D700D"/>
    <w:rsid w:val="000E6A18"/>
    <w:rsid w:val="00117D0B"/>
    <w:rsid w:val="001212FF"/>
    <w:rsid w:val="001268BF"/>
    <w:rsid w:val="00135E53"/>
    <w:rsid w:val="00143905"/>
    <w:rsid w:val="001501E9"/>
    <w:rsid w:val="00153195"/>
    <w:rsid w:val="00154789"/>
    <w:rsid w:val="001664A9"/>
    <w:rsid w:val="001772F5"/>
    <w:rsid w:val="0018632C"/>
    <w:rsid w:val="00187755"/>
    <w:rsid w:val="001D2D6C"/>
    <w:rsid w:val="001D7288"/>
    <w:rsid w:val="001E1060"/>
    <w:rsid w:val="001E5E30"/>
    <w:rsid w:val="001F5DBC"/>
    <w:rsid w:val="002002F8"/>
    <w:rsid w:val="00203F0C"/>
    <w:rsid w:val="00213D15"/>
    <w:rsid w:val="00226A78"/>
    <w:rsid w:val="0023024D"/>
    <w:rsid w:val="00245ADE"/>
    <w:rsid w:val="002541AF"/>
    <w:rsid w:val="0025709C"/>
    <w:rsid w:val="00257AD7"/>
    <w:rsid w:val="00277DD7"/>
    <w:rsid w:val="002A3A9A"/>
    <w:rsid w:val="002A73C6"/>
    <w:rsid w:val="002C2DDE"/>
    <w:rsid w:val="002E1D08"/>
    <w:rsid w:val="002E2502"/>
    <w:rsid w:val="002E27FA"/>
    <w:rsid w:val="002F2057"/>
    <w:rsid w:val="003023F4"/>
    <w:rsid w:val="00302F85"/>
    <w:rsid w:val="00312DD5"/>
    <w:rsid w:val="003252AA"/>
    <w:rsid w:val="00342995"/>
    <w:rsid w:val="0034429C"/>
    <w:rsid w:val="00362EE3"/>
    <w:rsid w:val="00363E82"/>
    <w:rsid w:val="003746E5"/>
    <w:rsid w:val="00380386"/>
    <w:rsid w:val="00386503"/>
    <w:rsid w:val="003C4671"/>
    <w:rsid w:val="003D227B"/>
    <w:rsid w:val="003D771F"/>
    <w:rsid w:val="003E02E8"/>
    <w:rsid w:val="003E7E2F"/>
    <w:rsid w:val="003F7490"/>
    <w:rsid w:val="00400157"/>
    <w:rsid w:val="00406054"/>
    <w:rsid w:val="00441324"/>
    <w:rsid w:val="0045276F"/>
    <w:rsid w:val="004737B6"/>
    <w:rsid w:val="00475E0A"/>
    <w:rsid w:val="00481F8D"/>
    <w:rsid w:val="004A3A1B"/>
    <w:rsid w:val="004A5EB4"/>
    <w:rsid w:val="004A7EFC"/>
    <w:rsid w:val="004B5D29"/>
    <w:rsid w:val="004B7131"/>
    <w:rsid w:val="004C300A"/>
    <w:rsid w:val="004E184A"/>
    <w:rsid w:val="004F5BB6"/>
    <w:rsid w:val="00515910"/>
    <w:rsid w:val="00524006"/>
    <w:rsid w:val="00533E02"/>
    <w:rsid w:val="00546403"/>
    <w:rsid w:val="00552697"/>
    <w:rsid w:val="0057247D"/>
    <w:rsid w:val="00572BF7"/>
    <w:rsid w:val="005808E9"/>
    <w:rsid w:val="00581DEF"/>
    <w:rsid w:val="0058283B"/>
    <w:rsid w:val="00582EF5"/>
    <w:rsid w:val="0058362E"/>
    <w:rsid w:val="00587D46"/>
    <w:rsid w:val="00596F97"/>
    <w:rsid w:val="005B400A"/>
    <w:rsid w:val="005C2F02"/>
    <w:rsid w:val="005D2CB7"/>
    <w:rsid w:val="005D5722"/>
    <w:rsid w:val="005F4348"/>
    <w:rsid w:val="0060133E"/>
    <w:rsid w:val="00607CC0"/>
    <w:rsid w:val="00625986"/>
    <w:rsid w:val="00632659"/>
    <w:rsid w:val="00640304"/>
    <w:rsid w:val="00642CA9"/>
    <w:rsid w:val="00647EE8"/>
    <w:rsid w:val="00665D1B"/>
    <w:rsid w:val="00672E84"/>
    <w:rsid w:val="00683E3B"/>
    <w:rsid w:val="006846BB"/>
    <w:rsid w:val="006A12F1"/>
    <w:rsid w:val="006A20CF"/>
    <w:rsid w:val="006C46C3"/>
    <w:rsid w:val="006D31FD"/>
    <w:rsid w:val="006D6A59"/>
    <w:rsid w:val="006D71D4"/>
    <w:rsid w:val="006D7D8A"/>
    <w:rsid w:val="006E3BEB"/>
    <w:rsid w:val="006F6307"/>
    <w:rsid w:val="00706A2D"/>
    <w:rsid w:val="007102B5"/>
    <w:rsid w:val="0072070D"/>
    <w:rsid w:val="00735A67"/>
    <w:rsid w:val="007442C0"/>
    <w:rsid w:val="007511D7"/>
    <w:rsid w:val="0075750B"/>
    <w:rsid w:val="00760148"/>
    <w:rsid w:val="00773A71"/>
    <w:rsid w:val="00796638"/>
    <w:rsid w:val="007A1C4D"/>
    <w:rsid w:val="007A7966"/>
    <w:rsid w:val="007B2556"/>
    <w:rsid w:val="007B545E"/>
    <w:rsid w:val="007B5C7C"/>
    <w:rsid w:val="007C109C"/>
    <w:rsid w:val="007D194D"/>
    <w:rsid w:val="00803D5F"/>
    <w:rsid w:val="00806257"/>
    <w:rsid w:val="00860D19"/>
    <w:rsid w:val="00861671"/>
    <w:rsid w:val="00865F13"/>
    <w:rsid w:val="008752CA"/>
    <w:rsid w:val="008757F9"/>
    <w:rsid w:val="00885609"/>
    <w:rsid w:val="00885743"/>
    <w:rsid w:val="00886C3B"/>
    <w:rsid w:val="008870E9"/>
    <w:rsid w:val="008A0BCE"/>
    <w:rsid w:val="008B250D"/>
    <w:rsid w:val="008B5394"/>
    <w:rsid w:val="008B6961"/>
    <w:rsid w:val="008C36A7"/>
    <w:rsid w:val="008D06BC"/>
    <w:rsid w:val="008D2236"/>
    <w:rsid w:val="008D46E2"/>
    <w:rsid w:val="008F04BE"/>
    <w:rsid w:val="008F49C9"/>
    <w:rsid w:val="0090255B"/>
    <w:rsid w:val="00923410"/>
    <w:rsid w:val="009268C5"/>
    <w:rsid w:val="00930DD6"/>
    <w:rsid w:val="00930F5F"/>
    <w:rsid w:val="009323BB"/>
    <w:rsid w:val="009421A5"/>
    <w:rsid w:val="00967B45"/>
    <w:rsid w:val="00972E26"/>
    <w:rsid w:val="00981E5C"/>
    <w:rsid w:val="009A69A9"/>
    <w:rsid w:val="009A7057"/>
    <w:rsid w:val="009B1E79"/>
    <w:rsid w:val="00A02A3D"/>
    <w:rsid w:val="00A17D2B"/>
    <w:rsid w:val="00A21A8A"/>
    <w:rsid w:val="00A26021"/>
    <w:rsid w:val="00A2768F"/>
    <w:rsid w:val="00A3006C"/>
    <w:rsid w:val="00A30255"/>
    <w:rsid w:val="00A3420D"/>
    <w:rsid w:val="00A917E2"/>
    <w:rsid w:val="00A92107"/>
    <w:rsid w:val="00A946FF"/>
    <w:rsid w:val="00A94F10"/>
    <w:rsid w:val="00AA563B"/>
    <w:rsid w:val="00AC0F8A"/>
    <w:rsid w:val="00AC3456"/>
    <w:rsid w:val="00AC38A2"/>
    <w:rsid w:val="00AC51CA"/>
    <w:rsid w:val="00AC62E3"/>
    <w:rsid w:val="00AD1039"/>
    <w:rsid w:val="00B048DE"/>
    <w:rsid w:val="00B14048"/>
    <w:rsid w:val="00B15C07"/>
    <w:rsid w:val="00B163B8"/>
    <w:rsid w:val="00B24F27"/>
    <w:rsid w:val="00B40753"/>
    <w:rsid w:val="00B4216F"/>
    <w:rsid w:val="00B619DB"/>
    <w:rsid w:val="00B64676"/>
    <w:rsid w:val="00B74958"/>
    <w:rsid w:val="00BB62AC"/>
    <w:rsid w:val="00BB6416"/>
    <w:rsid w:val="00BB77B6"/>
    <w:rsid w:val="00BC28C1"/>
    <w:rsid w:val="00BE030C"/>
    <w:rsid w:val="00BE4C60"/>
    <w:rsid w:val="00BF14F1"/>
    <w:rsid w:val="00BF3A20"/>
    <w:rsid w:val="00BF60EE"/>
    <w:rsid w:val="00C205D4"/>
    <w:rsid w:val="00C30009"/>
    <w:rsid w:val="00C47613"/>
    <w:rsid w:val="00C512E4"/>
    <w:rsid w:val="00C56DE8"/>
    <w:rsid w:val="00C573CB"/>
    <w:rsid w:val="00C61A86"/>
    <w:rsid w:val="00C70B09"/>
    <w:rsid w:val="00C73F69"/>
    <w:rsid w:val="00C74000"/>
    <w:rsid w:val="00C75E4B"/>
    <w:rsid w:val="00C866BB"/>
    <w:rsid w:val="00CA0929"/>
    <w:rsid w:val="00CC0221"/>
    <w:rsid w:val="00CC1284"/>
    <w:rsid w:val="00CC5771"/>
    <w:rsid w:val="00CE118A"/>
    <w:rsid w:val="00CE3F38"/>
    <w:rsid w:val="00D06C40"/>
    <w:rsid w:val="00D106B2"/>
    <w:rsid w:val="00D2187F"/>
    <w:rsid w:val="00D22352"/>
    <w:rsid w:val="00D24581"/>
    <w:rsid w:val="00D2478F"/>
    <w:rsid w:val="00D32943"/>
    <w:rsid w:val="00D34F04"/>
    <w:rsid w:val="00D56EB0"/>
    <w:rsid w:val="00D74F36"/>
    <w:rsid w:val="00D97726"/>
    <w:rsid w:val="00DA3DCC"/>
    <w:rsid w:val="00DB617C"/>
    <w:rsid w:val="00DB7695"/>
    <w:rsid w:val="00DD2D9A"/>
    <w:rsid w:val="00DD2DE8"/>
    <w:rsid w:val="00DE5D69"/>
    <w:rsid w:val="00E07479"/>
    <w:rsid w:val="00E13105"/>
    <w:rsid w:val="00E3183D"/>
    <w:rsid w:val="00E43914"/>
    <w:rsid w:val="00E4495D"/>
    <w:rsid w:val="00E57A71"/>
    <w:rsid w:val="00E6022C"/>
    <w:rsid w:val="00E70652"/>
    <w:rsid w:val="00EC61BE"/>
    <w:rsid w:val="00ED4544"/>
    <w:rsid w:val="00ED665E"/>
    <w:rsid w:val="00EF2534"/>
    <w:rsid w:val="00EF5E06"/>
    <w:rsid w:val="00F100F8"/>
    <w:rsid w:val="00F10126"/>
    <w:rsid w:val="00F17EED"/>
    <w:rsid w:val="00F21CE8"/>
    <w:rsid w:val="00F27B67"/>
    <w:rsid w:val="00F30F55"/>
    <w:rsid w:val="00F36B50"/>
    <w:rsid w:val="00F42566"/>
    <w:rsid w:val="00F42ECE"/>
    <w:rsid w:val="00F46523"/>
    <w:rsid w:val="00F556A5"/>
    <w:rsid w:val="00F56529"/>
    <w:rsid w:val="00F56CC9"/>
    <w:rsid w:val="00F573D1"/>
    <w:rsid w:val="00F81434"/>
    <w:rsid w:val="00F93849"/>
    <w:rsid w:val="00FB2179"/>
    <w:rsid w:val="00FC4F4C"/>
    <w:rsid w:val="00FC7B2D"/>
    <w:rsid w:val="00FD75ED"/>
    <w:rsid w:val="00FF4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A0929"/>
  </w:style>
  <w:style w:type="paragraph" w:styleId="Nadpis1">
    <w:name w:val="heading 1"/>
    <w:basedOn w:val="Normln"/>
    <w:next w:val="Normln"/>
    <w:link w:val="Nadpis1Char"/>
    <w:uiPriority w:val="9"/>
    <w:qFormat/>
    <w:rsid w:val="00CA0929"/>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CA0929"/>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CA0929"/>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CA0929"/>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CA0929"/>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CA0929"/>
    <w:pPr>
      <w:shd w:val="clear" w:color="auto" w:fill="FFFFFF" w:themeFill="background1"/>
      <w:spacing w:after="0" w:line="271" w:lineRule="auto"/>
      <w:outlineLvl w:val="5"/>
    </w:pPr>
    <w:rPr>
      <w:b/>
      <w:bCs/>
      <w:color w:val="595959" w:themeColor="text1" w:themeTint="A6"/>
      <w:spacing w:val="5"/>
    </w:rPr>
  </w:style>
  <w:style w:type="paragraph" w:styleId="Nadpis7">
    <w:name w:val="heading 7"/>
    <w:basedOn w:val="Normln"/>
    <w:next w:val="Normln"/>
    <w:link w:val="Nadpis7Char"/>
    <w:uiPriority w:val="9"/>
    <w:unhideWhenUsed/>
    <w:qFormat/>
    <w:rsid w:val="00CA0929"/>
    <w:pPr>
      <w:spacing w:after="0"/>
      <w:outlineLvl w:val="6"/>
    </w:pPr>
    <w:rPr>
      <w:b/>
      <w:bCs/>
      <w:i/>
      <w:iCs/>
      <w:color w:val="5A5A5A" w:themeColor="text1" w:themeTint="A5"/>
      <w:sz w:val="20"/>
      <w:szCs w:val="20"/>
    </w:rPr>
  </w:style>
  <w:style w:type="paragraph" w:styleId="Nadpis8">
    <w:name w:val="heading 8"/>
    <w:basedOn w:val="Normln"/>
    <w:next w:val="Normln"/>
    <w:link w:val="Nadpis8Char"/>
    <w:uiPriority w:val="9"/>
    <w:unhideWhenUsed/>
    <w:qFormat/>
    <w:rsid w:val="00CA0929"/>
    <w:pPr>
      <w:spacing w:after="0"/>
      <w:outlineLvl w:val="7"/>
    </w:pPr>
    <w:rPr>
      <w:b/>
      <w:bCs/>
      <w:color w:val="7F7F7F" w:themeColor="text1" w:themeTint="80"/>
      <w:sz w:val="20"/>
      <w:szCs w:val="20"/>
    </w:rPr>
  </w:style>
  <w:style w:type="paragraph" w:styleId="Nadpis9">
    <w:name w:val="heading 9"/>
    <w:basedOn w:val="Normln"/>
    <w:next w:val="Normln"/>
    <w:link w:val="Nadpis9Char"/>
    <w:uiPriority w:val="9"/>
    <w:unhideWhenUsed/>
    <w:qFormat/>
    <w:rsid w:val="00CA0929"/>
    <w:pPr>
      <w:spacing w:after="0" w:line="271" w:lineRule="auto"/>
      <w:outlineLvl w:val="8"/>
    </w:pPr>
    <w:rPr>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0929"/>
    <w:rPr>
      <w:smallCaps/>
      <w:spacing w:val="5"/>
      <w:sz w:val="36"/>
      <w:szCs w:val="36"/>
    </w:rPr>
  </w:style>
  <w:style w:type="character" w:customStyle="1" w:styleId="Nadpis2Char">
    <w:name w:val="Nadpis 2 Char"/>
    <w:basedOn w:val="Standardnpsmoodstavce"/>
    <w:link w:val="Nadpis2"/>
    <w:uiPriority w:val="9"/>
    <w:rsid w:val="00CA0929"/>
    <w:rPr>
      <w:smallCaps/>
      <w:sz w:val="28"/>
      <w:szCs w:val="28"/>
    </w:rPr>
  </w:style>
  <w:style w:type="character" w:customStyle="1" w:styleId="Nadpis3Char">
    <w:name w:val="Nadpis 3 Char"/>
    <w:basedOn w:val="Standardnpsmoodstavce"/>
    <w:link w:val="Nadpis3"/>
    <w:uiPriority w:val="9"/>
    <w:rsid w:val="00CA0929"/>
    <w:rPr>
      <w:i/>
      <w:iCs/>
      <w:smallCaps/>
      <w:spacing w:val="5"/>
      <w:sz w:val="26"/>
      <w:szCs w:val="26"/>
    </w:rPr>
  </w:style>
  <w:style w:type="character" w:customStyle="1" w:styleId="Nadpis4Char">
    <w:name w:val="Nadpis 4 Char"/>
    <w:basedOn w:val="Standardnpsmoodstavce"/>
    <w:link w:val="Nadpis4"/>
    <w:uiPriority w:val="9"/>
    <w:rsid w:val="00CA0929"/>
    <w:rPr>
      <w:b/>
      <w:bCs/>
      <w:spacing w:val="5"/>
      <w:sz w:val="24"/>
      <w:szCs w:val="24"/>
    </w:rPr>
  </w:style>
  <w:style w:type="character" w:customStyle="1" w:styleId="Nadpis5Char">
    <w:name w:val="Nadpis 5 Char"/>
    <w:basedOn w:val="Standardnpsmoodstavce"/>
    <w:link w:val="Nadpis5"/>
    <w:uiPriority w:val="9"/>
    <w:rsid w:val="00CA0929"/>
    <w:rPr>
      <w:i/>
      <w:iCs/>
      <w:sz w:val="24"/>
      <w:szCs w:val="24"/>
    </w:rPr>
  </w:style>
  <w:style w:type="character" w:customStyle="1" w:styleId="Nadpis6Char">
    <w:name w:val="Nadpis 6 Char"/>
    <w:basedOn w:val="Standardnpsmoodstavce"/>
    <w:link w:val="Nadpis6"/>
    <w:uiPriority w:val="9"/>
    <w:rsid w:val="00CA0929"/>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rsid w:val="00CA0929"/>
    <w:rPr>
      <w:b/>
      <w:bCs/>
      <w:i/>
      <w:iCs/>
      <w:color w:val="5A5A5A" w:themeColor="text1" w:themeTint="A5"/>
      <w:sz w:val="20"/>
      <w:szCs w:val="20"/>
    </w:rPr>
  </w:style>
  <w:style w:type="character" w:customStyle="1" w:styleId="Nadpis8Char">
    <w:name w:val="Nadpis 8 Char"/>
    <w:basedOn w:val="Standardnpsmoodstavce"/>
    <w:link w:val="Nadpis8"/>
    <w:uiPriority w:val="9"/>
    <w:rsid w:val="00CA0929"/>
    <w:rPr>
      <w:b/>
      <w:bCs/>
      <w:color w:val="7F7F7F" w:themeColor="text1" w:themeTint="80"/>
      <w:sz w:val="20"/>
      <w:szCs w:val="20"/>
    </w:rPr>
  </w:style>
  <w:style w:type="character" w:customStyle="1" w:styleId="Nadpis9Char">
    <w:name w:val="Nadpis 9 Char"/>
    <w:basedOn w:val="Standardnpsmoodstavce"/>
    <w:link w:val="Nadpis9"/>
    <w:uiPriority w:val="9"/>
    <w:rsid w:val="00CA0929"/>
    <w:rPr>
      <w:b/>
      <w:bCs/>
      <w:i/>
      <w:iCs/>
      <w:color w:val="7F7F7F" w:themeColor="text1" w:themeTint="80"/>
      <w:sz w:val="18"/>
      <w:szCs w:val="18"/>
    </w:rPr>
  </w:style>
  <w:style w:type="character" w:styleId="Hypertextovodkaz">
    <w:name w:val="Hyperlink"/>
    <w:uiPriority w:val="99"/>
    <w:unhideWhenUsed/>
    <w:rsid w:val="00D06C40"/>
    <w:rPr>
      <w:color w:val="0000FF"/>
      <w:u w:val="single"/>
    </w:rPr>
  </w:style>
  <w:style w:type="paragraph" w:styleId="Obsah1">
    <w:name w:val="toc 1"/>
    <w:basedOn w:val="Normln"/>
    <w:next w:val="Normln"/>
    <w:autoRedefine/>
    <w:uiPriority w:val="39"/>
    <w:rsid w:val="00B74958"/>
    <w:pPr>
      <w:tabs>
        <w:tab w:val="left" w:pos="440"/>
        <w:tab w:val="right" w:leader="dot" w:pos="9062"/>
      </w:tabs>
      <w:spacing w:before="360" w:after="0"/>
    </w:pPr>
    <w:rPr>
      <w:rFonts w:ascii="Arial" w:hAnsi="Arial" w:cs="Arial"/>
      <w:b/>
      <w:bCs/>
      <w:caps/>
      <w:noProof/>
      <w:sz w:val="24"/>
      <w:szCs w:val="24"/>
    </w:rPr>
  </w:style>
  <w:style w:type="paragraph" w:styleId="Obsah2">
    <w:name w:val="toc 2"/>
    <w:basedOn w:val="Normln"/>
    <w:next w:val="Normln"/>
    <w:autoRedefine/>
    <w:uiPriority w:val="39"/>
    <w:rsid w:val="00D06C40"/>
    <w:pPr>
      <w:spacing w:before="240" w:after="0"/>
    </w:pPr>
    <w:rPr>
      <w:rFonts w:cs="Calibri"/>
      <w:b/>
      <w:bCs/>
      <w:sz w:val="20"/>
      <w:szCs w:val="20"/>
    </w:rPr>
  </w:style>
  <w:style w:type="paragraph" w:styleId="Bezmezer">
    <w:name w:val="No Spacing"/>
    <w:basedOn w:val="Normln"/>
    <w:link w:val="BezmezerChar"/>
    <w:uiPriority w:val="1"/>
    <w:qFormat/>
    <w:rsid w:val="00CA0929"/>
    <w:pPr>
      <w:spacing w:after="0" w:line="240" w:lineRule="auto"/>
    </w:pPr>
  </w:style>
  <w:style w:type="character" w:customStyle="1" w:styleId="BezmezerChar">
    <w:name w:val="Bez mezer Char"/>
    <w:link w:val="Bezmezer"/>
    <w:uiPriority w:val="1"/>
    <w:rsid w:val="00D06C40"/>
  </w:style>
  <w:style w:type="paragraph" w:styleId="Nadpisobsahu">
    <w:name w:val="TOC Heading"/>
    <w:basedOn w:val="Nadpis1"/>
    <w:next w:val="Normln"/>
    <w:uiPriority w:val="39"/>
    <w:unhideWhenUsed/>
    <w:qFormat/>
    <w:rsid w:val="00CA0929"/>
    <w:pPr>
      <w:outlineLvl w:val="9"/>
    </w:pPr>
    <w:rPr>
      <w:lang w:bidi="en-US"/>
    </w:rPr>
  </w:style>
  <w:style w:type="paragraph" w:styleId="Textbubliny">
    <w:name w:val="Balloon Text"/>
    <w:basedOn w:val="Normln"/>
    <w:link w:val="TextbublinyChar"/>
    <w:uiPriority w:val="99"/>
    <w:semiHidden/>
    <w:unhideWhenUsed/>
    <w:rsid w:val="00D06C40"/>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06C40"/>
    <w:rPr>
      <w:rFonts w:ascii="Tahoma" w:eastAsia="Times New Roman" w:hAnsi="Tahoma" w:cs="Tahoma"/>
      <w:sz w:val="16"/>
      <w:szCs w:val="16"/>
    </w:rPr>
  </w:style>
  <w:style w:type="paragraph" w:styleId="Zhlav">
    <w:name w:val="header"/>
    <w:basedOn w:val="Normln"/>
    <w:link w:val="ZhlavChar"/>
    <w:uiPriority w:val="99"/>
    <w:unhideWhenUsed/>
    <w:rsid w:val="00EF5E06"/>
    <w:pPr>
      <w:tabs>
        <w:tab w:val="center" w:pos="4536"/>
        <w:tab w:val="right" w:pos="9072"/>
      </w:tabs>
      <w:spacing w:after="0" w:line="240" w:lineRule="auto"/>
    </w:pPr>
  </w:style>
  <w:style w:type="character" w:customStyle="1" w:styleId="ZhlavChar">
    <w:name w:val="Záhlaví Char"/>
    <w:link w:val="Zhlav"/>
    <w:uiPriority w:val="99"/>
    <w:rsid w:val="00EF5E06"/>
    <w:rPr>
      <w:rFonts w:ascii="Calibri" w:eastAsia="Times New Roman" w:hAnsi="Calibri" w:cs="Times New Roman"/>
    </w:rPr>
  </w:style>
  <w:style w:type="paragraph" w:styleId="Zpat">
    <w:name w:val="footer"/>
    <w:basedOn w:val="Normln"/>
    <w:link w:val="ZpatChar"/>
    <w:uiPriority w:val="99"/>
    <w:unhideWhenUsed/>
    <w:rsid w:val="00EF5E06"/>
    <w:pPr>
      <w:tabs>
        <w:tab w:val="center" w:pos="4536"/>
        <w:tab w:val="right" w:pos="9072"/>
      </w:tabs>
      <w:spacing w:after="0" w:line="240" w:lineRule="auto"/>
    </w:pPr>
  </w:style>
  <w:style w:type="character" w:customStyle="1" w:styleId="ZpatChar">
    <w:name w:val="Zápatí Char"/>
    <w:link w:val="Zpat"/>
    <w:uiPriority w:val="99"/>
    <w:rsid w:val="00EF5E06"/>
    <w:rPr>
      <w:rFonts w:ascii="Calibri" w:eastAsia="Times New Roman" w:hAnsi="Calibri" w:cs="Times New Roman"/>
    </w:rPr>
  </w:style>
  <w:style w:type="paragraph" w:styleId="Odstavecseseznamem">
    <w:name w:val="List Paragraph"/>
    <w:basedOn w:val="Normln"/>
    <w:uiPriority w:val="34"/>
    <w:qFormat/>
    <w:rsid w:val="00CA0929"/>
    <w:pPr>
      <w:ind w:left="720"/>
      <w:contextualSpacing/>
    </w:pPr>
  </w:style>
  <w:style w:type="paragraph" w:styleId="Textpoznpodarou">
    <w:name w:val="footnote text"/>
    <w:basedOn w:val="Normln"/>
    <w:link w:val="TextpoznpodarouChar"/>
    <w:rsid w:val="00EF5E06"/>
    <w:pPr>
      <w:spacing w:after="0" w:line="240" w:lineRule="auto"/>
    </w:pPr>
    <w:rPr>
      <w:sz w:val="20"/>
      <w:szCs w:val="20"/>
    </w:rPr>
  </w:style>
  <w:style w:type="character" w:customStyle="1" w:styleId="TextpoznpodarouChar">
    <w:name w:val="Text pozn. pod čarou Char"/>
    <w:link w:val="Textpoznpodarou"/>
    <w:rsid w:val="00EF5E06"/>
    <w:rPr>
      <w:rFonts w:ascii="Calibri" w:eastAsia="Times New Roman" w:hAnsi="Calibri" w:cs="Times New Roman"/>
      <w:sz w:val="20"/>
      <w:szCs w:val="20"/>
    </w:rPr>
  </w:style>
  <w:style w:type="character" w:styleId="Znakapoznpodarou">
    <w:name w:val="footnote reference"/>
    <w:rsid w:val="00EF5E06"/>
    <w:rPr>
      <w:vertAlign w:val="superscript"/>
    </w:rPr>
  </w:style>
  <w:style w:type="character" w:styleId="Odkaznakoment">
    <w:name w:val="annotation reference"/>
    <w:uiPriority w:val="99"/>
    <w:semiHidden/>
    <w:unhideWhenUsed/>
    <w:rsid w:val="008D06BC"/>
    <w:rPr>
      <w:sz w:val="16"/>
      <w:szCs w:val="16"/>
    </w:rPr>
  </w:style>
  <w:style w:type="paragraph" w:styleId="Textkomente">
    <w:name w:val="annotation text"/>
    <w:basedOn w:val="Normln"/>
    <w:link w:val="TextkomenteChar"/>
    <w:uiPriority w:val="99"/>
    <w:semiHidden/>
    <w:unhideWhenUsed/>
    <w:rsid w:val="008D06BC"/>
    <w:pPr>
      <w:spacing w:line="240" w:lineRule="auto"/>
    </w:pPr>
    <w:rPr>
      <w:sz w:val="20"/>
      <w:szCs w:val="20"/>
    </w:rPr>
  </w:style>
  <w:style w:type="character" w:customStyle="1" w:styleId="TextkomenteChar">
    <w:name w:val="Text komentáře Char"/>
    <w:link w:val="Textkomente"/>
    <w:uiPriority w:val="99"/>
    <w:semiHidden/>
    <w:rsid w:val="008D06BC"/>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8D06BC"/>
    <w:rPr>
      <w:b/>
      <w:bCs/>
    </w:rPr>
  </w:style>
  <w:style w:type="character" w:customStyle="1" w:styleId="PedmtkomenteChar">
    <w:name w:val="Předmět komentáře Char"/>
    <w:link w:val="Pedmtkomente"/>
    <w:uiPriority w:val="99"/>
    <w:semiHidden/>
    <w:rsid w:val="008D06BC"/>
    <w:rPr>
      <w:rFonts w:ascii="Calibri" w:eastAsia="Times New Roman" w:hAnsi="Calibri" w:cs="Times New Roman"/>
      <w:b/>
      <w:bCs/>
      <w:sz w:val="20"/>
      <w:szCs w:val="20"/>
    </w:rPr>
  </w:style>
  <w:style w:type="paragraph" w:styleId="Normlnweb">
    <w:name w:val="Normal (Web)"/>
    <w:basedOn w:val="Normln"/>
    <w:uiPriority w:val="99"/>
    <w:unhideWhenUsed/>
    <w:rsid w:val="001E1060"/>
    <w:pPr>
      <w:spacing w:before="100" w:beforeAutospacing="1" w:after="100" w:afterAutospacing="1" w:line="240" w:lineRule="auto"/>
    </w:pPr>
    <w:rPr>
      <w:rFonts w:ascii="Times New Roman" w:hAnsi="Times New Roman"/>
      <w:sz w:val="24"/>
      <w:szCs w:val="24"/>
    </w:rPr>
  </w:style>
  <w:style w:type="paragraph" w:customStyle="1" w:styleId="CharCharCharChar">
    <w:name w:val="Char Char Char Char"/>
    <w:basedOn w:val="Normln"/>
    <w:rsid w:val="000E6A18"/>
    <w:pPr>
      <w:spacing w:after="160" w:line="240" w:lineRule="exact"/>
    </w:pPr>
    <w:rPr>
      <w:rFonts w:ascii="Verdana" w:hAnsi="Verdana"/>
      <w:sz w:val="20"/>
      <w:szCs w:val="20"/>
      <w:lang w:val="en-US"/>
    </w:rPr>
  </w:style>
  <w:style w:type="paragraph" w:customStyle="1" w:styleId="CharCharCharChar0">
    <w:name w:val="Char Char Char Char"/>
    <w:basedOn w:val="Normln"/>
    <w:rsid w:val="003746E5"/>
    <w:pPr>
      <w:spacing w:after="160" w:line="240" w:lineRule="exact"/>
    </w:pPr>
    <w:rPr>
      <w:rFonts w:ascii="Verdana" w:hAnsi="Verdana"/>
      <w:sz w:val="20"/>
      <w:szCs w:val="20"/>
      <w:lang w:val="en-US"/>
    </w:rPr>
  </w:style>
  <w:style w:type="table" w:styleId="Mkatabulky">
    <w:name w:val="Table Grid"/>
    <w:basedOn w:val="Normlntabulka"/>
    <w:uiPriority w:val="59"/>
    <w:rsid w:val="007601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uiPriority w:val="22"/>
    <w:qFormat/>
    <w:rsid w:val="00CA0929"/>
    <w:rPr>
      <w:b/>
      <w:bCs/>
    </w:rPr>
  </w:style>
  <w:style w:type="character" w:customStyle="1" w:styleId="apple-converted-space">
    <w:name w:val="apple-converted-space"/>
    <w:basedOn w:val="Standardnpsmoodstavce"/>
    <w:rsid w:val="008752CA"/>
  </w:style>
  <w:style w:type="paragraph" w:styleId="Revize">
    <w:name w:val="Revision"/>
    <w:hidden/>
    <w:uiPriority w:val="99"/>
    <w:semiHidden/>
    <w:rsid w:val="008870E9"/>
    <w:rPr>
      <w:rFonts w:eastAsia="Times New Roman"/>
      <w:lang w:eastAsia="en-US"/>
    </w:rPr>
  </w:style>
  <w:style w:type="character" w:styleId="Zvraznn">
    <w:name w:val="Emphasis"/>
    <w:uiPriority w:val="20"/>
    <w:qFormat/>
    <w:rsid w:val="00CA0929"/>
    <w:rPr>
      <w:b/>
      <w:bCs/>
      <w:i/>
      <w:iCs/>
      <w:spacing w:val="10"/>
    </w:rPr>
  </w:style>
  <w:style w:type="paragraph" w:styleId="Nzev">
    <w:name w:val="Title"/>
    <w:basedOn w:val="Normln"/>
    <w:next w:val="Normln"/>
    <w:link w:val="NzevChar"/>
    <w:uiPriority w:val="10"/>
    <w:qFormat/>
    <w:rsid w:val="00CA0929"/>
    <w:pPr>
      <w:spacing w:after="300" w:line="240" w:lineRule="auto"/>
      <w:contextualSpacing/>
    </w:pPr>
    <w:rPr>
      <w:smallCaps/>
      <w:sz w:val="52"/>
      <w:szCs w:val="52"/>
    </w:rPr>
  </w:style>
  <w:style w:type="character" w:customStyle="1" w:styleId="NzevChar">
    <w:name w:val="Název Char"/>
    <w:basedOn w:val="Standardnpsmoodstavce"/>
    <w:link w:val="Nzev"/>
    <w:uiPriority w:val="10"/>
    <w:rsid w:val="00CA0929"/>
    <w:rPr>
      <w:smallCaps/>
      <w:sz w:val="52"/>
      <w:szCs w:val="52"/>
    </w:rPr>
  </w:style>
  <w:style w:type="paragraph" w:styleId="Podtitul">
    <w:name w:val="Subtitle"/>
    <w:basedOn w:val="Normln"/>
    <w:next w:val="Normln"/>
    <w:link w:val="PodtitulChar"/>
    <w:uiPriority w:val="11"/>
    <w:qFormat/>
    <w:rsid w:val="00CA0929"/>
    <w:rPr>
      <w:i/>
      <w:iCs/>
      <w:smallCaps/>
      <w:spacing w:val="10"/>
      <w:sz w:val="28"/>
      <w:szCs w:val="28"/>
    </w:rPr>
  </w:style>
  <w:style w:type="character" w:customStyle="1" w:styleId="PodtitulChar">
    <w:name w:val="Podtitul Char"/>
    <w:basedOn w:val="Standardnpsmoodstavce"/>
    <w:link w:val="Podtitul"/>
    <w:uiPriority w:val="11"/>
    <w:rsid w:val="00CA0929"/>
    <w:rPr>
      <w:i/>
      <w:iCs/>
      <w:smallCaps/>
      <w:spacing w:val="10"/>
      <w:sz w:val="28"/>
      <w:szCs w:val="28"/>
    </w:rPr>
  </w:style>
  <w:style w:type="paragraph" w:styleId="Citt">
    <w:name w:val="Quote"/>
    <w:basedOn w:val="Normln"/>
    <w:next w:val="Normln"/>
    <w:link w:val="CittChar"/>
    <w:uiPriority w:val="29"/>
    <w:qFormat/>
    <w:rsid w:val="00CA0929"/>
    <w:rPr>
      <w:i/>
      <w:iCs/>
    </w:rPr>
  </w:style>
  <w:style w:type="character" w:customStyle="1" w:styleId="CittChar">
    <w:name w:val="Citát Char"/>
    <w:basedOn w:val="Standardnpsmoodstavce"/>
    <w:link w:val="Citt"/>
    <w:uiPriority w:val="29"/>
    <w:rsid w:val="00CA0929"/>
    <w:rPr>
      <w:i/>
      <w:iCs/>
    </w:rPr>
  </w:style>
  <w:style w:type="paragraph" w:styleId="Vrazncitt">
    <w:name w:val="Intense Quote"/>
    <w:basedOn w:val="Normln"/>
    <w:next w:val="Normln"/>
    <w:link w:val="VrazncittChar"/>
    <w:uiPriority w:val="30"/>
    <w:qFormat/>
    <w:rsid w:val="00CA0929"/>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rsid w:val="00CA0929"/>
    <w:rPr>
      <w:i/>
      <w:iCs/>
    </w:rPr>
  </w:style>
  <w:style w:type="character" w:styleId="Zdraznnjemn">
    <w:name w:val="Subtle Emphasis"/>
    <w:uiPriority w:val="19"/>
    <w:qFormat/>
    <w:rsid w:val="00CA0929"/>
    <w:rPr>
      <w:i/>
      <w:iCs/>
    </w:rPr>
  </w:style>
  <w:style w:type="character" w:styleId="Zdraznnintenzivn">
    <w:name w:val="Intense Emphasis"/>
    <w:uiPriority w:val="21"/>
    <w:qFormat/>
    <w:rsid w:val="00CA0929"/>
    <w:rPr>
      <w:b/>
      <w:bCs/>
      <w:i/>
      <w:iCs/>
    </w:rPr>
  </w:style>
  <w:style w:type="character" w:styleId="Odkazjemn">
    <w:name w:val="Subtle Reference"/>
    <w:basedOn w:val="Standardnpsmoodstavce"/>
    <w:uiPriority w:val="31"/>
    <w:qFormat/>
    <w:rsid w:val="00CA0929"/>
    <w:rPr>
      <w:smallCaps/>
    </w:rPr>
  </w:style>
  <w:style w:type="character" w:styleId="Odkazintenzivn">
    <w:name w:val="Intense Reference"/>
    <w:uiPriority w:val="32"/>
    <w:qFormat/>
    <w:rsid w:val="00CA0929"/>
    <w:rPr>
      <w:b/>
      <w:bCs/>
      <w:smallCaps/>
    </w:rPr>
  </w:style>
  <w:style w:type="character" w:styleId="Nzevknihy">
    <w:name w:val="Book Title"/>
    <w:basedOn w:val="Standardnpsmoodstavce"/>
    <w:uiPriority w:val="33"/>
    <w:qFormat/>
    <w:rsid w:val="00CA0929"/>
    <w:rPr>
      <w:i/>
      <w:i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A0929"/>
  </w:style>
  <w:style w:type="paragraph" w:styleId="Nadpis1">
    <w:name w:val="heading 1"/>
    <w:basedOn w:val="Normln"/>
    <w:next w:val="Normln"/>
    <w:link w:val="Nadpis1Char"/>
    <w:uiPriority w:val="9"/>
    <w:qFormat/>
    <w:rsid w:val="00CA0929"/>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CA0929"/>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CA0929"/>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CA0929"/>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CA0929"/>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CA0929"/>
    <w:pPr>
      <w:shd w:val="clear" w:color="auto" w:fill="FFFFFF" w:themeFill="background1"/>
      <w:spacing w:after="0" w:line="271" w:lineRule="auto"/>
      <w:outlineLvl w:val="5"/>
    </w:pPr>
    <w:rPr>
      <w:b/>
      <w:bCs/>
      <w:color w:val="595959" w:themeColor="text1" w:themeTint="A6"/>
      <w:spacing w:val="5"/>
    </w:rPr>
  </w:style>
  <w:style w:type="paragraph" w:styleId="Nadpis7">
    <w:name w:val="heading 7"/>
    <w:basedOn w:val="Normln"/>
    <w:next w:val="Normln"/>
    <w:link w:val="Nadpis7Char"/>
    <w:uiPriority w:val="9"/>
    <w:unhideWhenUsed/>
    <w:qFormat/>
    <w:rsid w:val="00CA0929"/>
    <w:pPr>
      <w:spacing w:after="0"/>
      <w:outlineLvl w:val="6"/>
    </w:pPr>
    <w:rPr>
      <w:b/>
      <w:bCs/>
      <w:i/>
      <w:iCs/>
      <w:color w:val="5A5A5A" w:themeColor="text1" w:themeTint="A5"/>
      <w:sz w:val="20"/>
      <w:szCs w:val="20"/>
    </w:rPr>
  </w:style>
  <w:style w:type="paragraph" w:styleId="Nadpis8">
    <w:name w:val="heading 8"/>
    <w:basedOn w:val="Normln"/>
    <w:next w:val="Normln"/>
    <w:link w:val="Nadpis8Char"/>
    <w:uiPriority w:val="9"/>
    <w:unhideWhenUsed/>
    <w:qFormat/>
    <w:rsid w:val="00CA0929"/>
    <w:pPr>
      <w:spacing w:after="0"/>
      <w:outlineLvl w:val="7"/>
    </w:pPr>
    <w:rPr>
      <w:b/>
      <w:bCs/>
      <w:color w:val="7F7F7F" w:themeColor="text1" w:themeTint="80"/>
      <w:sz w:val="20"/>
      <w:szCs w:val="20"/>
    </w:rPr>
  </w:style>
  <w:style w:type="paragraph" w:styleId="Nadpis9">
    <w:name w:val="heading 9"/>
    <w:basedOn w:val="Normln"/>
    <w:next w:val="Normln"/>
    <w:link w:val="Nadpis9Char"/>
    <w:uiPriority w:val="9"/>
    <w:unhideWhenUsed/>
    <w:qFormat/>
    <w:rsid w:val="00CA0929"/>
    <w:pPr>
      <w:spacing w:after="0" w:line="271" w:lineRule="auto"/>
      <w:outlineLvl w:val="8"/>
    </w:pPr>
    <w:rPr>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0929"/>
    <w:rPr>
      <w:smallCaps/>
      <w:spacing w:val="5"/>
      <w:sz w:val="36"/>
      <w:szCs w:val="36"/>
    </w:rPr>
  </w:style>
  <w:style w:type="character" w:customStyle="1" w:styleId="Nadpis2Char">
    <w:name w:val="Nadpis 2 Char"/>
    <w:basedOn w:val="Standardnpsmoodstavce"/>
    <w:link w:val="Nadpis2"/>
    <w:uiPriority w:val="9"/>
    <w:rsid w:val="00CA0929"/>
    <w:rPr>
      <w:smallCaps/>
      <w:sz w:val="28"/>
      <w:szCs w:val="28"/>
    </w:rPr>
  </w:style>
  <w:style w:type="character" w:customStyle="1" w:styleId="Nadpis3Char">
    <w:name w:val="Nadpis 3 Char"/>
    <w:basedOn w:val="Standardnpsmoodstavce"/>
    <w:link w:val="Nadpis3"/>
    <w:uiPriority w:val="9"/>
    <w:rsid w:val="00CA0929"/>
    <w:rPr>
      <w:i/>
      <w:iCs/>
      <w:smallCaps/>
      <w:spacing w:val="5"/>
      <w:sz w:val="26"/>
      <w:szCs w:val="26"/>
    </w:rPr>
  </w:style>
  <w:style w:type="character" w:customStyle="1" w:styleId="Nadpis4Char">
    <w:name w:val="Nadpis 4 Char"/>
    <w:basedOn w:val="Standardnpsmoodstavce"/>
    <w:link w:val="Nadpis4"/>
    <w:uiPriority w:val="9"/>
    <w:rsid w:val="00CA0929"/>
    <w:rPr>
      <w:b/>
      <w:bCs/>
      <w:spacing w:val="5"/>
      <w:sz w:val="24"/>
      <w:szCs w:val="24"/>
    </w:rPr>
  </w:style>
  <w:style w:type="character" w:customStyle="1" w:styleId="Nadpis5Char">
    <w:name w:val="Nadpis 5 Char"/>
    <w:basedOn w:val="Standardnpsmoodstavce"/>
    <w:link w:val="Nadpis5"/>
    <w:uiPriority w:val="9"/>
    <w:rsid w:val="00CA0929"/>
    <w:rPr>
      <w:i/>
      <w:iCs/>
      <w:sz w:val="24"/>
      <w:szCs w:val="24"/>
    </w:rPr>
  </w:style>
  <w:style w:type="character" w:customStyle="1" w:styleId="Nadpis6Char">
    <w:name w:val="Nadpis 6 Char"/>
    <w:basedOn w:val="Standardnpsmoodstavce"/>
    <w:link w:val="Nadpis6"/>
    <w:uiPriority w:val="9"/>
    <w:rsid w:val="00CA0929"/>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rsid w:val="00CA0929"/>
    <w:rPr>
      <w:b/>
      <w:bCs/>
      <w:i/>
      <w:iCs/>
      <w:color w:val="5A5A5A" w:themeColor="text1" w:themeTint="A5"/>
      <w:sz w:val="20"/>
      <w:szCs w:val="20"/>
    </w:rPr>
  </w:style>
  <w:style w:type="character" w:customStyle="1" w:styleId="Nadpis8Char">
    <w:name w:val="Nadpis 8 Char"/>
    <w:basedOn w:val="Standardnpsmoodstavce"/>
    <w:link w:val="Nadpis8"/>
    <w:uiPriority w:val="9"/>
    <w:rsid w:val="00CA0929"/>
    <w:rPr>
      <w:b/>
      <w:bCs/>
      <w:color w:val="7F7F7F" w:themeColor="text1" w:themeTint="80"/>
      <w:sz w:val="20"/>
      <w:szCs w:val="20"/>
    </w:rPr>
  </w:style>
  <w:style w:type="character" w:customStyle="1" w:styleId="Nadpis9Char">
    <w:name w:val="Nadpis 9 Char"/>
    <w:basedOn w:val="Standardnpsmoodstavce"/>
    <w:link w:val="Nadpis9"/>
    <w:uiPriority w:val="9"/>
    <w:rsid w:val="00CA0929"/>
    <w:rPr>
      <w:b/>
      <w:bCs/>
      <w:i/>
      <w:iCs/>
      <w:color w:val="7F7F7F" w:themeColor="text1" w:themeTint="80"/>
      <w:sz w:val="18"/>
      <w:szCs w:val="18"/>
    </w:rPr>
  </w:style>
  <w:style w:type="character" w:styleId="Hypertextovodkaz">
    <w:name w:val="Hyperlink"/>
    <w:uiPriority w:val="99"/>
    <w:unhideWhenUsed/>
    <w:rsid w:val="00D06C40"/>
    <w:rPr>
      <w:color w:val="0000FF"/>
      <w:u w:val="single"/>
    </w:rPr>
  </w:style>
  <w:style w:type="paragraph" w:styleId="Obsah1">
    <w:name w:val="toc 1"/>
    <w:basedOn w:val="Normln"/>
    <w:next w:val="Normln"/>
    <w:autoRedefine/>
    <w:uiPriority w:val="39"/>
    <w:rsid w:val="00B74958"/>
    <w:pPr>
      <w:tabs>
        <w:tab w:val="left" w:pos="440"/>
        <w:tab w:val="right" w:leader="dot" w:pos="9062"/>
      </w:tabs>
      <w:spacing w:before="360" w:after="0"/>
    </w:pPr>
    <w:rPr>
      <w:rFonts w:ascii="Arial" w:hAnsi="Arial" w:cs="Arial"/>
      <w:b/>
      <w:bCs/>
      <w:caps/>
      <w:noProof/>
      <w:sz w:val="24"/>
      <w:szCs w:val="24"/>
    </w:rPr>
  </w:style>
  <w:style w:type="paragraph" w:styleId="Obsah2">
    <w:name w:val="toc 2"/>
    <w:basedOn w:val="Normln"/>
    <w:next w:val="Normln"/>
    <w:autoRedefine/>
    <w:uiPriority w:val="39"/>
    <w:rsid w:val="00D06C40"/>
    <w:pPr>
      <w:spacing w:before="240" w:after="0"/>
    </w:pPr>
    <w:rPr>
      <w:rFonts w:cs="Calibri"/>
      <w:b/>
      <w:bCs/>
      <w:sz w:val="20"/>
      <w:szCs w:val="20"/>
    </w:rPr>
  </w:style>
  <w:style w:type="paragraph" w:styleId="Bezmezer">
    <w:name w:val="No Spacing"/>
    <w:basedOn w:val="Normln"/>
    <w:link w:val="BezmezerChar"/>
    <w:uiPriority w:val="1"/>
    <w:qFormat/>
    <w:rsid w:val="00CA0929"/>
    <w:pPr>
      <w:spacing w:after="0" w:line="240" w:lineRule="auto"/>
    </w:pPr>
  </w:style>
  <w:style w:type="character" w:customStyle="1" w:styleId="BezmezerChar">
    <w:name w:val="Bez mezer Char"/>
    <w:link w:val="Bezmezer"/>
    <w:uiPriority w:val="1"/>
    <w:rsid w:val="00D06C40"/>
  </w:style>
  <w:style w:type="paragraph" w:styleId="Nadpisobsahu">
    <w:name w:val="TOC Heading"/>
    <w:basedOn w:val="Nadpis1"/>
    <w:next w:val="Normln"/>
    <w:uiPriority w:val="39"/>
    <w:unhideWhenUsed/>
    <w:qFormat/>
    <w:rsid w:val="00CA0929"/>
    <w:pPr>
      <w:outlineLvl w:val="9"/>
    </w:pPr>
    <w:rPr>
      <w:lang w:bidi="en-US"/>
    </w:rPr>
  </w:style>
  <w:style w:type="paragraph" w:styleId="Textbubliny">
    <w:name w:val="Balloon Text"/>
    <w:basedOn w:val="Normln"/>
    <w:link w:val="TextbublinyChar"/>
    <w:uiPriority w:val="99"/>
    <w:semiHidden/>
    <w:unhideWhenUsed/>
    <w:rsid w:val="00D06C40"/>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06C40"/>
    <w:rPr>
      <w:rFonts w:ascii="Tahoma" w:eastAsia="Times New Roman" w:hAnsi="Tahoma" w:cs="Tahoma"/>
      <w:sz w:val="16"/>
      <w:szCs w:val="16"/>
    </w:rPr>
  </w:style>
  <w:style w:type="paragraph" w:styleId="Zhlav">
    <w:name w:val="header"/>
    <w:basedOn w:val="Normln"/>
    <w:link w:val="ZhlavChar"/>
    <w:uiPriority w:val="99"/>
    <w:unhideWhenUsed/>
    <w:rsid w:val="00EF5E06"/>
    <w:pPr>
      <w:tabs>
        <w:tab w:val="center" w:pos="4536"/>
        <w:tab w:val="right" w:pos="9072"/>
      </w:tabs>
      <w:spacing w:after="0" w:line="240" w:lineRule="auto"/>
    </w:pPr>
  </w:style>
  <w:style w:type="character" w:customStyle="1" w:styleId="ZhlavChar">
    <w:name w:val="Záhlaví Char"/>
    <w:link w:val="Zhlav"/>
    <w:uiPriority w:val="99"/>
    <w:rsid w:val="00EF5E06"/>
    <w:rPr>
      <w:rFonts w:ascii="Calibri" w:eastAsia="Times New Roman" w:hAnsi="Calibri" w:cs="Times New Roman"/>
    </w:rPr>
  </w:style>
  <w:style w:type="paragraph" w:styleId="Zpat">
    <w:name w:val="footer"/>
    <w:basedOn w:val="Normln"/>
    <w:link w:val="ZpatChar"/>
    <w:uiPriority w:val="99"/>
    <w:unhideWhenUsed/>
    <w:rsid w:val="00EF5E06"/>
    <w:pPr>
      <w:tabs>
        <w:tab w:val="center" w:pos="4536"/>
        <w:tab w:val="right" w:pos="9072"/>
      </w:tabs>
      <w:spacing w:after="0" w:line="240" w:lineRule="auto"/>
    </w:pPr>
  </w:style>
  <w:style w:type="character" w:customStyle="1" w:styleId="ZpatChar">
    <w:name w:val="Zápatí Char"/>
    <w:link w:val="Zpat"/>
    <w:uiPriority w:val="99"/>
    <w:rsid w:val="00EF5E06"/>
    <w:rPr>
      <w:rFonts w:ascii="Calibri" w:eastAsia="Times New Roman" w:hAnsi="Calibri" w:cs="Times New Roman"/>
    </w:rPr>
  </w:style>
  <w:style w:type="paragraph" w:styleId="Odstavecseseznamem">
    <w:name w:val="List Paragraph"/>
    <w:basedOn w:val="Normln"/>
    <w:uiPriority w:val="34"/>
    <w:qFormat/>
    <w:rsid w:val="00CA0929"/>
    <w:pPr>
      <w:ind w:left="720"/>
      <w:contextualSpacing/>
    </w:pPr>
  </w:style>
  <w:style w:type="paragraph" w:styleId="Textpoznpodarou">
    <w:name w:val="footnote text"/>
    <w:basedOn w:val="Normln"/>
    <w:link w:val="TextpoznpodarouChar"/>
    <w:rsid w:val="00EF5E06"/>
    <w:pPr>
      <w:spacing w:after="0" w:line="240" w:lineRule="auto"/>
    </w:pPr>
    <w:rPr>
      <w:sz w:val="20"/>
      <w:szCs w:val="20"/>
    </w:rPr>
  </w:style>
  <w:style w:type="character" w:customStyle="1" w:styleId="TextpoznpodarouChar">
    <w:name w:val="Text pozn. pod čarou Char"/>
    <w:link w:val="Textpoznpodarou"/>
    <w:rsid w:val="00EF5E06"/>
    <w:rPr>
      <w:rFonts w:ascii="Calibri" w:eastAsia="Times New Roman" w:hAnsi="Calibri" w:cs="Times New Roman"/>
      <w:sz w:val="20"/>
      <w:szCs w:val="20"/>
    </w:rPr>
  </w:style>
  <w:style w:type="character" w:styleId="Znakapoznpodarou">
    <w:name w:val="footnote reference"/>
    <w:rsid w:val="00EF5E06"/>
    <w:rPr>
      <w:vertAlign w:val="superscript"/>
    </w:rPr>
  </w:style>
  <w:style w:type="character" w:styleId="Odkaznakoment">
    <w:name w:val="annotation reference"/>
    <w:uiPriority w:val="99"/>
    <w:semiHidden/>
    <w:unhideWhenUsed/>
    <w:rsid w:val="008D06BC"/>
    <w:rPr>
      <w:sz w:val="16"/>
      <w:szCs w:val="16"/>
    </w:rPr>
  </w:style>
  <w:style w:type="paragraph" w:styleId="Textkomente">
    <w:name w:val="annotation text"/>
    <w:basedOn w:val="Normln"/>
    <w:link w:val="TextkomenteChar"/>
    <w:uiPriority w:val="99"/>
    <w:semiHidden/>
    <w:unhideWhenUsed/>
    <w:rsid w:val="008D06BC"/>
    <w:pPr>
      <w:spacing w:line="240" w:lineRule="auto"/>
    </w:pPr>
    <w:rPr>
      <w:sz w:val="20"/>
      <w:szCs w:val="20"/>
    </w:rPr>
  </w:style>
  <w:style w:type="character" w:customStyle="1" w:styleId="TextkomenteChar">
    <w:name w:val="Text komentáře Char"/>
    <w:link w:val="Textkomente"/>
    <w:uiPriority w:val="99"/>
    <w:semiHidden/>
    <w:rsid w:val="008D06BC"/>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8D06BC"/>
    <w:rPr>
      <w:b/>
      <w:bCs/>
    </w:rPr>
  </w:style>
  <w:style w:type="character" w:customStyle="1" w:styleId="PedmtkomenteChar">
    <w:name w:val="Předmět komentáře Char"/>
    <w:link w:val="Pedmtkomente"/>
    <w:uiPriority w:val="99"/>
    <w:semiHidden/>
    <w:rsid w:val="008D06BC"/>
    <w:rPr>
      <w:rFonts w:ascii="Calibri" w:eastAsia="Times New Roman" w:hAnsi="Calibri" w:cs="Times New Roman"/>
      <w:b/>
      <w:bCs/>
      <w:sz w:val="20"/>
      <w:szCs w:val="20"/>
    </w:rPr>
  </w:style>
  <w:style w:type="paragraph" w:styleId="Normlnweb">
    <w:name w:val="Normal (Web)"/>
    <w:basedOn w:val="Normln"/>
    <w:uiPriority w:val="99"/>
    <w:unhideWhenUsed/>
    <w:rsid w:val="001E1060"/>
    <w:pPr>
      <w:spacing w:before="100" w:beforeAutospacing="1" w:after="100" w:afterAutospacing="1" w:line="240" w:lineRule="auto"/>
    </w:pPr>
    <w:rPr>
      <w:rFonts w:ascii="Times New Roman" w:hAnsi="Times New Roman"/>
      <w:sz w:val="24"/>
      <w:szCs w:val="24"/>
    </w:rPr>
  </w:style>
  <w:style w:type="paragraph" w:customStyle="1" w:styleId="CharCharCharChar">
    <w:name w:val="Char Char Char Char"/>
    <w:basedOn w:val="Normln"/>
    <w:rsid w:val="000E6A18"/>
    <w:pPr>
      <w:spacing w:after="160" w:line="240" w:lineRule="exact"/>
    </w:pPr>
    <w:rPr>
      <w:rFonts w:ascii="Verdana" w:hAnsi="Verdana"/>
      <w:sz w:val="20"/>
      <w:szCs w:val="20"/>
      <w:lang w:val="en-US"/>
    </w:rPr>
  </w:style>
  <w:style w:type="paragraph" w:customStyle="1" w:styleId="CharCharCharChar0">
    <w:name w:val="Char Char Char Char"/>
    <w:basedOn w:val="Normln"/>
    <w:rsid w:val="003746E5"/>
    <w:pPr>
      <w:spacing w:after="160" w:line="240" w:lineRule="exact"/>
    </w:pPr>
    <w:rPr>
      <w:rFonts w:ascii="Verdana" w:hAnsi="Verdana"/>
      <w:sz w:val="20"/>
      <w:szCs w:val="20"/>
      <w:lang w:val="en-US"/>
    </w:rPr>
  </w:style>
  <w:style w:type="table" w:styleId="Mkatabulky">
    <w:name w:val="Table Grid"/>
    <w:basedOn w:val="Normlntabulka"/>
    <w:uiPriority w:val="59"/>
    <w:rsid w:val="007601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uiPriority w:val="22"/>
    <w:qFormat/>
    <w:rsid w:val="00CA0929"/>
    <w:rPr>
      <w:b/>
      <w:bCs/>
    </w:rPr>
  </w:style>
  <w:style w:type="character" w:customStyle="1" w:styleId="apple-converted-space">
    <w:name w:val="apple-converted-space"/>
    <w:basedOn w:val="Standardnpsmoodstavce"/>
    <w:rsid w:val="008752CA"/>
  </w:style>
  <w:style w:type="paragraph" w:styleId="Revize">
    <w:name w:val="Revision"/>
    <w:hidden/>
    <w:uiPriority w:val="99"/>
    <w:semiHidden/>
    <w:rsid w:val="008870E9"/>
    <w:rPr>
      <w:rFonts w:eastAsia="Times New Roman"/>
      <w:lang w:eastAsia="en-US"/>
    </w:rPr>
  </w:style>
  <w:style w:type="character" w:styleId="Zvraznn">
    <w:name w:val="Emphasis"/>
    <w:uiPriority w:val="20"/>
    <w:qFormat/>
    <w:rsid w:val="00CA0929"/>
    <w:rPr>
      <w:b/>
      <w:bCs/>
      <w:i/>
      <w:iCs/>
      <w:spacing w:val="10"/>
    </w:rPr>
  </w:style>
  <w:style w:type="paragraph" w:styleId="Nzev">
    <w:name w:val="Title"/>
    <w:basedOn w:val="Normln"/>
    <w:next w:val="Normln"/>
    <w:link w:val="NzevChar"/>
    <w:uiPriority w:val="10"/>
    <w:qFormat/>
    <w:rsid w:val="00CA0929"/>
    <w:pPr>
      <w:spacing w:after="300" w:line="240" w:lineRule="auto"/>
      <w:contextualSpacing/>
    </w:pPr>
    <w:rPr>
      <w:smallCaps/>
      <w:sz w:val="52"/>
      <w:szCs w:val="52"/>
    </w:rPr>
  </w:style>
  <w:style w:type="character" w:customStyle="1" w:styleId="NzevChar">
    <w:name w:val="Název Char"/>
    <w:basedOn w:val="Standardnpsmoodstavce"/>
    <w:link w:val="Nzev"/>
    <w:uiPriority w:val="10"/>
    <w:rsid w:val="00CA0929"/>
    <w:rPr>
      <w:smallCaps/>
      <w:sz w:val="52"/>
      <w:szCs w:val="52"/>
    </w:rPr>
  </w:style>
  <w:style w:type="paragraph" w:styleId="Podtitul">
    <w:name w:val="Subtitle"/>
    <w:basedOn w:val="Normln"/>
    <w:next w:val="Normln"/>
    <w:link w:val="PodtitulChar"/>
    <w:uiPriority w:val="11"/>
    <w:qFormat/>
    <w:rsid w:val="00CA0929"/>
    <w:rPr>
      <w:i/>
      <w:iCs/>
      <w:smallCaps/>
      <w:spacing w:val="10"/>
      <w:sz w:val="28"/>
      <w:szCs w:val="28"/>
    </w:rPr>
  </w:style>
  <w:style w:type="character" w:customStyle="1" w:styleId="PodtitulChar">
    <w:name w:val="Podtitul Char"/>
    <w:basedOn w:val="Standardnpsmoodstavce"/>
    <w:link w:val="Podtitul"/>
    <w:uiPriority w:val="11"/>
    <w:rsid w:val="00CA0929"/>
    <w:rPr>
      <w:i/>
      <w:iCs/>
      <w:smallCaps/>
      <w:spacing w:val="10"/>
      <w:sz w:val="28"/>
      <w:szCs w:val="28"/>
    </w:rPr>
  </w:style>
  <w:style w:type="paragraph" w:styleId="Citt">
    <w:name w:val="Quote"/>
    <w:basedOn w:val="Normln"/>
    <w:next w:val="Normln"/>
    <w:link w:val="CittChar"/>
    <w:uiPriority w:val="29"/>
    <w:qFormat/>
    <w:rsid w:val="00CA0929"/>
    <w:rPr>
      <w:i/>
      <w:iCs/>
    </w:rPr>
  </w:style>
  <w:style w:type="character" w:customStyle="1" w:styleId="CittChar">
    <w:name w:val="Citát Char"/>
    <w:basedOn w:val="Standardnpsmoodstavce"/>
    <w:link w:val="Citt"/>
    <w:uiPriority w:val="29"/>
    <w:rsid w:val="00CA0929"/>
    <w:rPr>
      <w:i/>
      <w:iCs/>
    </w:rPr>
  </w:style>
  <w:style w:type="paragraph" w:styleId="Vrazncitt">
    <w:name w:val="Intense Quote"/>
    <w:basedOn w:val="Normln"/>
    <w:next w:val="Normln"/>
    <w:link w:val="VrazncittChar"/>
    <w:uiPriority w:val="30"/>
    <w:qFormat/>
    <w:rsid w:val="00CA0929"/>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rsid w:val="00CA0929"/>
    <w:rPr>
      <w:i/>
      <w:iCs/>
    </w:rPr>
  </w:style>
  <w:style w:type="character" w:styleId="Zdraznnjemn">
    <w:name w:val="Subtle Emphasis"/>
    <w:uiPriority w:val="19"/>
    <w:qFormat/>
    <w:rsid w:val="00CA0929"/>
    <w:rPr>
      <w:i/>
      <w:iCs/>
    </w:rPr>
  </w:style>
  <w:style w:type="character" w:styleId="Zdraznnintenzivn">
    <w:name w:val="Intense Emphasis"/>
    <w:uiPriority w:val="21"/>
    <w:qFormat/>
    <w:rsid w:val="00CA0929"/>
    <w:rPr>
      <w:b/>
      <w:bCs/>
      <w:i/>
      <w:iCs/>
    </w:rPr>
  </w:style>
  <w:style w:type="character" w:styleId="Odkazjemn">
    <w:name w:val="Subtle Reference"/>
    <w:basedOn w:val="Standardnpsmoodstavce"/>
    <w:uiPriority w:val="31"/>
    <w:qFormat/>
    <w:rsid w:val="00CA0929"/>
    <w:rPr>
      <w:smallCaps/>
    </w:rPr>
  </w:style>
  <w:style w:type="character" w:styleId="Odkazintenzivn">
    <w:name w:val="Intense Reference"/>
    <w:uiPriority w:val="32"/>
    <w:qFormat/>
    <w:rsid w:val="00CA0929"/>
    <w:rPr>
      <w:b/>
      <w:bCs/>
      <w:smallCaps/>
    </w:rPr>
  </w:style>
  <w:style w:type="character" w:styleId="Nzevknihy">
    <w:name w:val="Book Title"/>
    <w:basedOn w:val="Standardnpsmoodstavce"/>
    <w:uiPriority w:val="33"/>
    <w:qFormat/>
    <w:rsid w:val="00CA0929"/>
    <w:rPr>
      <w:i/>
      <w:i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29254">
      <w:bodyDiv w:val="1"/>
      <w:marLeft w:val="0"/>
      <w:marRight w:val="0"/>
      <w:marTop w:val="0"/>
      <w:marBottom w:val="0"/>
      <w:divBdr>
        <w:top w:val="none" w:sz="0" w:space="0" w:color="auto"/>
        <w:left w:val="none" w:sz="0" w:space="0" w:color="auto"/>
        <w:bottom w:val="none" w:sz="0" w:space="0" w:color="auto"/>
        <w:right w:val="none" w:sz="0" w:space="0" w:color="auto"/>
      </w:divBdr>
    </w:div>
    <w:div w:id="209847455">
      <w:bodyDiv w:val="1"/>
      <w:marLeft w:val="0"/>
      <w:marRight w:val="0"/>
      <w:marTop w:val="0"/>
      <w:marBottom w:val="0"/>
      <w:divBdr>
        <w:top w:val="none" w:sz="0" w:space="0" w:color="auto"/>
        <w:left w:val="none" w:sz="0" w:space="0" w:color="auto"/>
        <w:bottom w:val="none" w:sz="0" w:space="0" w:color="auto"/>
        <w:right w:val="none" w:sz="0" w:space="0" w:color="auto"/>
      </w:divBdr>
    </w:div>
    <w:div w:id="472060953">
      <w:bodyDiv w:val="1"/>
      <w:marLeft w:val="0"/>
      <w:marRight w:val="0"/>
      <w:marTop w:val="0"/>
      <w:marBottom w:val="0"/>
      <w:divBdr>
        <w:top w:val="none" w:sz="0" w:space="0" w:color="auto"/>
        <w:left w:val="none" w:sz="0" w:space="0" w:color="auto"/>
        <w:bottom w:val="none" w:sz="0" w:space="0" w:color="auto"/>
        <w:right w:val="none" w:sz="0" w:space="0" w:color="auto"/>
      </w:divBdr>
    </w:div>
    <w:div w:id="725026372">
      <w:bodyDiv w:val="1"/>
      <w:marLeft w:val="0"/>
      <w:marRight w:val="0"/>
      <w:marTop w:val="0"/>
      <w:marBottom w:val="0"/>
      <w:divBdr>
        <w:top w:val="none" w:sz="0" w:space="0" w:color="auto"/>
        <w:left w:val="none" w:sz="0" w:space="0" w:color="auto"/>
        <w:bottom w:val="none" w:sz="0" w:space="0" w:color="auto"/>
        <w:right w:val="none" w:sz="0" w:space="0" w:color="auto"/>
      </w:divBdr>
    </w:div>
    <w:div w:id="828709532">
      <w:bodyDiv w:val="1"/>
      <w:marLeft w:val="0"/>
      <w:marRight w:val="0"/>
      <w:marTop w:val="0"/>
      <w:marBottom w:val="0"/>
      <w:divBdr>
        <w:top w:val="none" w:sz="0" w:space="0" w:color="auto"/>
        <w:left w:val="none" w:sz="0" w:space="0" w:color="auto"/>
        <w:bottom w:val="none" w:sz="0" w:space="0" w:color="auto"/>
        <w:right w:val="none" w:sz="0" w:space="0" w:color="auto"/>
      </w:divBdr>
    </w:div>
    <w:div w:id="1285424449">
      <w:bodyDiv w:val="1"/>
      <w:marLeft w:val="0"/>
      <w:marRight w:val="0"/>
      <w:marTop w:val="0"/>
      <w:marBottom w:val="0"/>
      <w:divBdr>
        <w:top w:val="none" w:sz="0" w:space="0" w:color="auto"/>
        <w:left w:val="none" w:sz="0" w:space="0" w:color="auto"/>
        <w:bottom w:val="none" w:sz="0" w:space="0" w:color="auto"/>
        <w:right w:val="none" w:sz="0" w:space="0" w:color="auto"/>
      </w:divBdr>
    </w:div>
    <w:div w:id="1292325385">
      <w:bodyDiv w:val="1"/>
      <w:marLeft w:val="0"/>
      <w:marRight w:val="0"/>
      <w:marTop w:val="0"/>
      <w:marBottom w:val="0"/>
      <w:divBdr>
        <w:top w:val="none" w:sz="0" w:space="0" w:color="auto"/>
        <w:left w:val="none" w:sz="0" w:space="0" w:color="auto"/>
        <w:bottom w:val="none" w:sz="0" w:space="0" w:color="auto"/>
        <w:right w:val="none" w:sz="0" w:space="0" w:color="auto"/>
      </w:divBdr>
    </w:div>
    <w:div w:id="158256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hyperlink" Target="https://kormoran.vlada.cz/e-vlada/eklep.nsf/0/0AD922B72CB3E7A7C1257A9F00284551?Opendocument" TargetMode="External"/><Relationship Id="rId26" Type="http://schemas.openxmlformats.org/officeDocument/2006/relationships/hyperlink" Target="file:///C:\Users\pecka\AppData\Local\Microsoft\Windows\Temporary%20Internet%20Files\Content.MSO\DF7AE2DA.xlsx" TargetMode="External"/><Relationship Id="rId39" Type="http://schemas.openxmlformats.org/officeDocument/2006/relationships/hyperlink" Target="https://racek.vlada.cz/e-vlada/eklep.nsf/0/F3BE00100154F6A7C1257B0B005D1E19?Opendocument" TargetMode="External"/><Relationship Id="rId21" Type="http://schemas.openxmlformats.org/officeDocument/2006/relationships/hyperlink" Target="https://racek.vlada.cz/e-vlada/eklep.nsf/0/F324E267BD0B09EDC1257A98005A2920?Opendocument" TargetMode="External"/><Relationship Id="rId34" Type="http://schemas.openxmlformats.org/officeDocument/2006/relationships/hyperlink" Target="https://kormoran.vlada.cz/e-vlada/eklep.nsf/html/KORN98BF5CMI.html" TargetMode="External"/><Relationship Id="rId42" Type="http://schemas.openxmlformats.org/officeDocument/2006/relationships/hyperlink" Target="https://kormoran.odok.cz/odok/eklep3.nsf/form_Material.xsp?documentId=25305E" TargetMode="External"/><Relationship Id="rId47" Type="http://schemas.openxmlformats.org/officeDocument/2006/relationships/hyperlink" Target="https://kormoran.vlada.cz/e-vlada/eklep.nsf/0/CD1119E8DC887847C1257AD4002F22ED?Opendocument" TargetMode="External"/><Relationship Id="rId50" Type="http://schemas.openxmlformats.org/officeDocument/2006/relationships/hyperlink" Target="https://kormoran.vlada.cz/e-vlada/eklep.nsf/0/8661A3AF81A44B9FC1257AF70038DCF6?Opendocument" TargetMode="External"/><Relationship Id="rId55" Type="http://schemas.openxmlformats.org/officeDocument/2006/relationships/hyperlink" Target="https://racek.vlada.cz/e-vlada/eklep.nsf/0/AA88252A8F893B63C1257A9500552942?Opendocument" TargetMode="External"/><Relationship Id="rId63" Type="http://schemas.openxmlformats.org/officeDocument/2006/relationships/hyperlink" Target="https://kormoran.vlada.cz/e-vlada/eklep.nsf/0/F7632CC17BD889DBC1257B1900515E6A?Opendocument" TargetMode="External"/><Relationship Id="rId68" Type="http://schemas.openxmlformats.org/officeDocument/2006/relationships/hyperlink" Target="https://kormoran.odok.cz/odok/eklep3.nsf/form_Material.xsp?documentId=2599E2" TargetMode="External"/><Relationship Id="rId76" Type="http://schemas.openxmlformats.org/officeDocument/2006/relationships/hyperlink" Target="https://kormoran.vlada.cz/e-vlada/eklep.nsf/0/795F49B887D25C1AC1257AAE00531F37?Opendocument" TargetMode="External"/><Relationship Id="rId84" Type="http://schemas.openxmlformats.org/officeDocument/2006/relationships/hyperlink" Target="https://kormoran.vlada.cz/e-vlada/eklep.nsf/0/98C88A6D9A810A07C1257A4100454E93?Opendocument" TargetMode="External"/><Relationship Id="rId7" Type="http://schemas.openxmlformats.org/officeDocument/2006/relationships/footnotes" Target="footnotes.xml"/><Relationship Id="rId71" Type="http://schemas.openxmlformats.org/officeDocument/2006/relationships/hyperlink" Target="https://kormoran.vlada.cz/e-vlada/eklep.nsf/0/526603587B82F4C5C1257B09002D794D?Opendocument" TargetMode="External"/><Relationship Id="rId2" Type="http://schemas.openxmlformats.org/officeDocument/2006/relationships/numbering" Target="numbering.xml"/><Relationship Id="rId16" Type="http://schemas.openxmlformats.org/officeDocument/2006/relationships/chart" Target="charts/chart3.xml"/><Relationship Id="rId29" Type="http://schemas.openxmlformats.org/officeDocument/2006/relationships/hyperlink" Target="https://kormoran.odok.cz/odok/eklep3.nsf/form_Material.xsp?documentId=2C4A6E" TargetMode="External"/><Relationship Id="rId11" Type="http://schemas.openxmlformats.org/officeDocument/2006/relationships/diagramQuickStyle" Target="diagrams/quickStyle1.xml"/><Relationship Id="rId24" Type="http://schemas.openxmlformats.org/officeDocument/2006/relationships/hyperlink" Target="https://kormoran.vlada.cz/e-vlada/eklep.nsf/0/ED408945C5E8EF30C1257ACC005F2C0D?Opendocument" TargetMode="External"/><Relationship Id="rId32" Type="http://schemas.openxmlformats.org/officeDocument/2006/relationships/hyperlink" Target="https://racek.vlada.cz/e-vlada/eklep.nsf/0/5591645EAB33A270C12577CE004C7473?Opendocument" TargetMode="External"/><Relationship Id="rId37" Type="http://schemas.openxmlformats.org/officeDocument/2006/relationships/hyperlink" Target="https://kormoran.odok.cz/odok/eklep3.nsf/form_Material.xsp?documentId=29660E" TargetMode="External"/><Relationship Id="rId40" Type="http://schemas.openxmlformats.org/officeDocument/2006/relationships/hyperlink" Target="https://kormoran.vlada.cz/e-vlada/eklep.nsf" TargetMode="External"/><Relationship Id="rId45" Type="http://schemas.openxmlformats.org/officeDocument/2006/relationships/hyperlink" Target="https://racek.vlada.cz/e-vlada/eklep.nsf/0/84CE2668B5E67BB4C1257ABF0031FBDC?Opendocument" TargetMode="External"/><Relationship Id="rId53" Type="http://schemas.openxmlformats.org/officeDocument/2006/relationships/hyperlink" Target="https://kormoran.odok.cz/odok/eklep3.nsf/form_Material.xsp?documentId=24EAB6" TargetMode="External"/><Relationship Id="rId58" Type="http://schemas.openxmlformats.org/officeDocument/2006/relationships/hyperlink" Target="https://kormoran.vlada.cz/e-vlada/eklep.nsf/0/49FA66109A8EE0B2C1257B9000476AFC?Opendocument" TargetMode="External"/><Relationship Id="rId66" Type="http://schemas.openxmlformats.org/officeDocument/2006/relationships/hyperlink" Target="https://kormoran.vlada.cz/e-vlada/eklep.nsf/0/4187BAE69B7CCDA5C1257B13004A8859?Opendocument" TargetMode="External"/><Relationship Id="rId74" Type="http://schemas.openxmlformats.org/officeDocument/2006/relationships/hyperlink" Target="https://racek.vlada.cz/e-vlada/eklep.nsf/0/D3EE1B5940B84AAEC1257AB4002CEA10?Opendocument" TargetMode="External"/><Relationship Id="rId79" Type="http://schemas.openxmlformats.org/officeDocument/2006/relationships/hyperlink" Target="https://kormoran.vlada.cz/e-vlada/eklep.nsf/0/73421D307855F735C12578CA00344F08?Opendocument"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racek.vlada.cz/e-vlada/eklep.nsf/0/65083156EF316DE2C1257AB0002F6AB9?Opendocument" TargetMode="External"/><Relationship Id="rId82" Type="http://schemas.openxmlformats.org/officeDocument/2006/relationships/hyperlink" Target="https://kormoran.odok.cz/odok/eklep3.nsf/form_Material.xsp?documentId=2CF05A" TargetMode="External"/><Relationship Id="rId19" Type="http://schemas.openxmlformats.org/officeDocument/2006/relationships/hyperlink" Target="file:///C:\Users\pecka\AppData\Local\Microsoft\Windows\Temporary%20Internet%20Files\Content.MSO\DF7AE2DA.xlsx" TargetMode="Externa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chart" Target="charts/chart1.xml"/><Relationship Id="rId22" Type="http://schemas.openxmlformats.org/officeDocument/2006/relationships/hyperlink" Target="https://racek.vlada.cz/e-vlada/eklep.nsf/0/94A33CB6681EF3FDC1257A640057774F?Opendocument" TargetMode="External"/><Relationship Id="rId27" Type="http://schemas.openxmlformats.org/officeDocument/2006/relationships/hyperlink" Target="https://kormoran.vlada.cz/e-vlada/eklep.nsf/0/CD40CF0AE0941E46C1257A860052AE18?Opendocument" TargetMode="External"/><Relationship Id="rId30" Type="http://schemas.openxmlformats.org/officeDocument/2006/relationships/hyperlink" Target="https://racek.vlada.cz/e-vlada/eklep.nsf/0/96FB2F408E2F3730C1257AED004F314E?Opendocument" TargetMode="External"/><Relationship Id="rId35" Type="http://schemas.openxmlformats.org/officeDocument/2006/relationships/hyperlink" Target="https://racek.vlada.cz/e-vlada/eklep.nsf/html/KORN988JPVJ7.html" TargetMode="External"/><Relationship Id="rId43" Type="http://schemas.openxmlformats.org/officeDocument/2006/relationships/hyperlink" Target="https://kormoran.odok.cz/odok/eklep3.nsf/form_Material.xsp?documentId=1AF722" TargetMode="External"/><Relationship Id="rId48" Type="http://schemas.openxmlformats.org/officeDocument/2006/relationships/hyperlink" Target="https://kormoran.odok.cz/odok/eklep3.nsf/form_Material.xsp?documentId=2B0C6E" TargetMode="External"/><Relationship Id="rId56" Type="http://schemas.openxmlformats.org/officeDocument/2006/relationships/hyperlink" Target="https://kormoran.vlada.cz/e-vlada/eklep.nsf/0/EAE8796EACDD3320C1257AB60045EE16?Opendocument" TargetMode="External"/><Relationship Id="rId64" Type="http://schemas.openxmlformats.org/officeDocument/2006/relationships/hyperlink" Target="https://kormoran.vlada.cz/e-vlada/eklep.nsf/0/01A41B5B410B6351C1257AFE004CF648?Opendocument" TargetMode="External"/><Relationship Id="rId69" Type="http://schemas.openxmlformats.org/officeDocument/2006/relationships/hyperlink" Target="https://kormoran.odok.cz/odok/eklep3.nsf/form_Material.xsp?documentId=25C962" TargetMode="External"/><Relationship Id="rId77" Type="http://schemas.openxmlformats.org/officeDocument/2006/relationships/hyperlink" Target="https://kormoran.vlada.cz/e-vlada/eklep.nsf/0/C29533021FA672F3C1257B6A001F699D?Opendocument" TargetMode="External"/><Relationship Id="rId8" Type="http://schemas.openxmlformats.org/officeDocument/2006/relationships/endnotes" Target="endnotes.xml"/><Relationship Id="rId51" Type="http://schemas.openxmlformats.org/officeDocument/2006/relationships/hyperlink" Target="https://kormoran.vlada.cz/e-vlada/eklep.nsf/0/15B176BD48F878A7C1257B2F003CD64C?Opendocument" TargetMode="External"/><Relationship Id="rId72" Type="http://schemas.openxmlformats.org/officeDocument/2006/relationships/hyperlink" Target="https://kormoran.vlada.cz/e-vlada/eklep.nsf/html/KORN987DD76M.html" TargetMode="External"/><Relationship Id="rId80" Type="http://schemas.openxmlformats.org/officeDocument/2006/relationships/hyperlink" Target="https://kormoran.vlada.cz/e-vlada/eklep.nsf/0/C690DD0C6EDC4DDEC1257B55005A2551?Opendocument"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chart" Target="charts/chart4.xml"/><Relationship Id="rId25" Type="http://schemas.openxmlformats.org/officeDocument/2006/relationships/hyperlink" Target="https://kormoran.vlada.cz/e-vlada/eklep.nsf/0/37892CD2EEC6965CC1257AC500599E53?Opendocument" TargetMode="External"/><Relationship Id="rId33" Type="http://schemas.openxmlformats.org/officeDocument/2006/relationships/hyperlink" Target="https://racek.vlada.cz/e-vlada/eklep.nsf/0/5597FF2C520AE5F8C1257AA0003DB893?Opendocument" TargetMode="External"/><Relationship Id="rId38" Type="http://schemas.openxmlformats.org/officeDocument/2006/relationships/hyperlink" Target="https://kormoran.vlada.cz/e-vlada/eklep.nsf/0/6DCADD47D8DFD87BC1257B04003192E1?Opendocument" TargetMode="External"/><Relationship Id="rId46" Type="http://schemas.openxmlformats.org/officeDocument/2006/relationships/hyperlink" Target="https://kormoran.vlada.cz/e-vlada/eklep.nsf/0/5936AF33C4D86D4FC1257AA20047180A?Opendocument" TargetMode="External"/><Relationship Id="rId59" Type="http://schemas.openxmlformats.org/officeDocument/2006/relationships/hyperlink" Target="https://kormoran.vlada.cz/e-vlada/eklep.nsf/0/48FDEE8AEF1E21E8C1257B5F003E29E5?Opendocument" TargetMode="External"/><Relationship Id="rId67" Type="http://schemas.openxmlformats.org/officeDocument/2006/relationships/hyperlink" Target="file:///C:\Users\pecka\AppData\Local\Microsoft\Windows\Temporary%20Internet%20Files\Content.MSO\DF7AE2DA.xlsx" TargetMode="External"/><Relationship Id="rId20" Type="http://schemas.openxmlformats.org/officeDocument/2006/relationships/hyperlink" Target="https://kormoran.vlada.cz/e-vlada/eklep.nsf/0/0B09875481FC2753C1257A59004A745B?Opendocument" TargetMode="External"/><Relationship Id="rId41" Type="http://schemas.openxmlformats.org/officeDocument/2006/relationships/hyperlink" Target="https://kormoran.vlada.cz/e-vlada/eklep.nsf/0/89F1449E25132BAEC1257AB700501F2D?Opendocument" TargetMode="External"/><Relationship Id="rId54" Type="http://schemas.openxmlformats.org/officeDocument/2006/relationships/hyperlink" Target="https://racek.vlada.cz/e-vlada/eklep.nsf/0/1190FA99577E1631C1257A84005170FB?Opendocument" TargetMode="External"/><Relationship Id="rId62" Type="http://schemas.openxmlformats.org/officeDocument/2006/relationships/hyperlink" Target="https://kormoran.vlada.cz/e-vlada/eklep.nsf/0/12EC9F9221910760C1257AB40033C357?Opendocument" TargetMode="External"/><Relationship Id="rId70" Type="http://schemas.openxmlformats.org/officeDocument/2006/relationships/hyperlink" Target="https://kormoran.vlada.cz/e-vlada/eklep.nsf/0/E9682F7E97A6FE1AC1257B1600519B63?Opendocument" TargetMode="External"/><Relationship Id="rId75" Type="http://schemas.openxmlformats.org/officeDocument/2006/relationships/hyperlink" Target="https://racek.vlada.cz/e-vlada/eklep.nsf/0/268959AA6C3AE9CDC1257A9C0037C205?Opendocument" TargetMode="External"/><Relationship Id="rId83" Type="http://schemas.openxmlformats.org/officeDocument/2006/relationships/hyperlink" Target="https://kormoran.vlada.cz/e-vlada/eklep.nsf/0/B26F3213E34D4E94C1257B4E004C4E81?Opendocument"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yperlink" Target="https://racek.vlada.cz/e-vlada/eklep.nsf/0/32F09237BABAD085C1257A9B0043A73C?Opendocument" TargetMode="External"/><Relationship Id="rId28" Type="http://schemas.openxmlformats.org/officeDocument/2006/relationships/hyperlink" Target="https://kormoran.vlada.cz/e-vlada/eklep.nsf/0/FD652333BBBA3562C1257B66004E8D2E?Opendocument" TargetMode="External"/><Relationship Id="rId36" Type="http://schemas.openxmlformats.org/officeDocument/2006/relationships/hyperlink" Target="https://kormoran.vlada.cz/e-vlada/eklep.nsf/0/8A9EC7BE51425290C1257AFB00518177?Opendocument" TargetMode="External"/><Relationship Id="rId49" Type="http://schemas.openxmlformats.org/officeDocument/2006/relationships/hyperlink" Target="https://kormoran.vlada.cz/e-vlada/eklep.nsf/0/FA65D85F93AD90DCC1257B5100404EAA?Opendocument" TargetMode="External"/><Relationship Id="rId57" Type="http://schemas.openxmlformats.org/officeDocument/2006/relationships/hyperlink" Target="https://kormoran.vlada.cz/e-vlada/eklep.nsf/html/RACK987CW3S0.html" TargetMode="External"/><Relationship Id="rId10" Type="http://schemas.openxmlformats.org/officeDocument/2006/relationships/diagramLayout" Target="diagrams/layout1.xml"/><Relationship Id="rId31" Type="http://schemas.openxmlformats.org/officeDocument/2006/relationships/hyperlink" Target="https://kormoran.vlada.cz/e-vlada/eklep.nsf/0/E57DB7BFE8EE50E2C1257B3B006DEB32?Opendocument" TargetMode="External"/><Relationship Id="rId44" Type="http://schemas.openxmlformats.org/officeDocument/2006/relationships/hyperlink" Target="https://kormoran.odok.cz/odok/eklep3.nsf/form_Material.xsp?documentId=2515FE" TargetMode="External"/><Relationship Id="rId52" Type="http://schemas.openxmlformats.org/officeDocument/2006/relationships/hyperlink" Target="https://kormoran.vlada.cz/e-vlada/eklep.nsf/0/5EA0129A8FC9B9DCC1257B75002A22B6?Opendocument" TargetMode="External"/><Relationship Id="rId60" Type="http://schemas.openxmlformats.org/officeDocument/2006/relationships/hyperlink" Target="https://racek.vlada.cz/e-vlada/eklep.nsf/0/79D43A0618C1E49FC125789C003FEE67?Opendocument" TargetMode="External"/><Relationship Id="rId65" Type="http://schemas.openxmlformats.org/officeDocument/2006/relationships/hyperlink" Target="https://kormoran.vlada.cz/e-vlada/eklep.nsf/0/093227D0D19DDD19C1257A860037D221?Opendocument" TargetMode="External"/><Relationship Id="rId73" Type="http://schemas.openxmlformats.org/officeDocument/2006/relationships/hyperlink" Target="https://kormoran.odok.cz/odok/eklep3.nsf/form_Material.xsp?documentId=25089A" TargetMode="External"/><Relationship Id="rId78" Type="http://schemas.openxmlformats.org/officeDocument/2006/relationships/hyperlink" Target="https://racek.vlada.cz/e-vlada/eklep.nsf/0/B1328CE49B13C166C1257A4C004E4590?Opendocument" TargetMode="External"/><Relationship Id="rId81" Type="http://schemas.openxmlformats.org/officeDocument/2006/relationships/hyperlink" Target="https://kormoran.vlada.cz/e-vlada/eklep.nsf/0/FD00BB51A018F1CFC1257A28003F1B0F?Opendocument" TargetMode="External"/><Relationship Id="rId86"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FS\OVL\ORR\Pracovn&#237;%20komise%20pro%20hodnocen&#237;%20dopad&#367;%20regulace\jedn&#225;n&#237;%20PK%20RIA%20podle%20data\2013\19_12_2013\souhrn%20leg.%202013%20tabulky%20a%20grafy_final.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FS\OVL\ORR\Pracovn&#237;%20komise%20pro%20hodnocen&#237;%20dopad&#367;%20regulace\jedn&#225;n&#237;%20PK%20RIA%20podle%20data\2013\19_12_2013\souhrn%20leg.%202013%20tabulky%20a%20grafy_final.xls"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S\OVL\ORR\Pracovn&#237;%20komise%20pro%20hodnocen&#237;%20dopad&#367;%20regulace\jedn&#225;n&#237;%20PK%20RIA%20podle%20data\2013\19_12_2013\souhrn%20leg.%202013%20tabulky%20a%20grafy_final.xls"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FS\OVL\ORR\Pracovn&#237;%20komise%20pro%20hodnocen&#237;%20dopad&#367;%20regulace\jedn&#225;n&#237;%20PK%20RIA%20podle%20data\14_12_2012\v&#253;ro&#269;n&#237;%20zpr&#225;va\souhrn%20leg.%202012%20tabulky%20a%20grafy.xls"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Počet </a:t>
            </a:r>
            <a:r>
              <a:rPr lang="cs-CZ"/>
              <a:t>vládních </a:t>
            </a:r>
            <a:r>
              <a:rPr lang="en-US"/>
              <a:t>návrhů právních předpisů celkem</a:t>
            </a:r>
            <a:r>
              <a:rPr lang="cs-CZ"/>
              <a:t> v r. 2013 :</a:t>
            </a:r>
            <a:r>
              <a:rPr lang="cs-CZ" baseline="0"/>
              <a:t> 176</a:t>
            </a:r>
            <a:r>
              <a:rPr lang="cs-CZ"/>
              <a:t> </a:t>
            </a:r>
            <a:endParaRPr lang="en-US"/>
          </a:p>
        </c:rich>
      </c:tx>
      <c:overlay val="0"/>
    </c:title>
    <c:autoTitleDeleted val="0"/>
    <c:view3D>
      <c:rotX val="50"/>
      <c:rotY val="0"/>
      <c:rAngAx val="0"/>
      <c:perspective val="70"/>
    </c:view3D>
    <c:floor>
      <c:thickness val="0"/>
    </c:floor>
    <c:sideWall>
      <c:thickness val="0"/>
    </c:sideWall>
    <c:backWall>
      <c:thickness val="0"/>
    </c:backWall>
    <c:plotArea>
      <c:layout/>
      <c:pie3DChart>
        <c:varyColors val="1"/>
        <c:ser>
          <c:idx val="0"/>
          <c:order val="0"/>
          <c:tx>
            <c:strRef>
              <c:f>List1!$B$1</c:f>
              <c:strCache>
                <c:ptCount val="1"/>
                <c:pt idx="0">
                  <c:v>Počet návrhů právních předpisů celkem</c:v>
                </c:pt>
              </c:strCache>
            </c:strRef>
          </c:tx>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Lbls>
            <c:dLbl>
              <c:idx val="8"/>
              <c:layout>
                <c:manualLayout>
                  <c:x val="-2.3917780691911288E-2"/>
                  <c:y val="1.590792176231004E-2"/>
                </c:manualLayout>
              </c:layout>
              <c:dLblPos val="bestFit"/>
              <c:showLegendKey val="0"/>
              <c:showVal val="1"/>
              <c:showCatName val="1"/>
              <c:showSerName val="0"/>
              <c:showPercent val="0"/>
              <c:showBubbleSize val="0"/>
              <c:separator> </c:separator>
            </c:dLbl>
            <c:dLbl>
              <c:idx val="14"/>
              <c:layout>
                <c:manualLayout>
                  <c:x val="-5.3238525692762981E-2"/>
                  <c:y val="-5.3895202336253653E-2"/>
                </c:manualLayout>
              </c:layout>
              <c:dLblPos val="bestFit"/>
              <c:showLegendKey val="0"/>
              <c:showVal val="1"/>
              <c:showCatName val="1"/>
              <c:showSerName val="0"/>
              <c:showPercent val="0"/>
              <c:showBubbleSize val="0"/>
              <c:separator> </c:separator>
            </c:dLbl>
            <c:dLbl>
              <c:idx val="15"/>
              <c:layout>
                <c:manualLayout>
                  <c:x val="4.7196462157808025E-2"/>
                  <c:y val="-6.2714914711414257E-2"/>
                </c:manualLayout>
              </c:layout>
              <c:dLblPos val="bestFit"/>
              <c:showLegendKey val="0"/>
              <c:showVal val="1"/>
              <c:showCatName val="1"/>
              <c:showSerName val="0"/>
              <c:showPercent val="0"/>
              <c:showBubbleSize val="0"/>
              <c:separator> </c:separator>
            </c:dLbl>
            <c:dLbl>
              <c:idx val="16"/>
              <c:layout>
                <c:manualLayout>
                  <c:x val="3.1364649600523917E-2"/>
                  <c:y val="-1.1539075573110376E-2"/>
                </c:manualLayout>
              </c:layout>
              <c:dLblPos val="bestFit"/>
              <c:showLegendKey val="0"/>
              <c:showVal val="1"/>
              <c:showCatName val="1"/>
              <c:showSerName val="0"/>
              <c:showPercent val="0"/>
              <c:showBubbleSize val="0"/>
              <c:separator> </c:separator>
            </c:dLbl>
            <c:spPr>
              <a:scene3d>
                <a:camera prst="orthographicFront"/>
                <a:lightRig rig="threePt" dir="t"/>
              </a:scene3d>
              <a:sp3d>
                <a:bevelT prst="angle"/>
              </a:sp3d>
            </c:spPr>
            <c:txPr>
              <a:bodyPr/>
              <a:lstStyle/>
              <a:p>
                <a:pPr>
                  <a:defRPr b="1"/>
                </a:pPr>
                <a:endParaRPr lang="cs-CZ"/>
              </a:p>
            </c:txPr>
            <c:dLblPos val="bestFit"/>
            <c:showLegendKey val="0"/>
            <c:showVal val="1"/>
            <c:showCatName val="1"/>
            <c:showSerName val="0"/>
            <c:showPercent val="0"/>
            <c:showBubbleSize val="0"/>
            <c:separator> </c:separator>
            <c:showLeaderLines val="1"/>
          </c:dLbls>
          <c:cat>
            <c:strRef>
              <c:f>List1!$A$2:$A$18</c:f>
              <c:strCache>
                <c:ptCount val="17"/>
                <c:pt idx="0">
                  <c:v>MD</c:v>
                </c:pt>
                <c:pt idx="1">
                  <c:v>MF</c:v>
                </c:pt>
                <c:pt idx="2">
                  <c:v>MK</c:v>
                </c:pt>
                <c:pt idx="3">
                  <c:v>MMR</c:v>
                </c:pt>
                <c:pt idx="4">
                  <c:v>MO</c:v>
                </c:pt>
                <c:pt idx="5">
                  <c:v>MPO</c:v>
                </c:pt>
                <c:pt idx="6">
                  <c:v>MPSV</c:v>
                </c:pt>
                <c:pt idx="7">
                  <c:v>MSp</c:v>
                </c:pt>
                <c:pt idx="8">
                  <c:v>MŠMT</c:v>
                </c:pt>
                <c:pt idx="9">
                  <c:v>MV</c:v>
                </c:pt>
                <c:pt idx="10">
                  <c:v>MZd</c:v>
                </c:pt>
                <c:pt idx="11">
                  <c:v>MZe</c:v>
                </c:pt>
                <c:pt idx="12">
                  <c:v>MŽP</c:v>
                </c:pt>
                <c:pt idx="13">
                  <c:v>NBÚ</c:v>
                </c:pt>
                <c:pt idx="14">
                  <c:v>SÚJB</c:v>
                </c:pt>
                <c:pt idx="15">
                  <c:v>PV (RVVI)</c:v>
                </c:pt>
                <c:pt idx="16">
                  <c:v>MLR</c:v>
                </c:pt>
              </c:strCache>
            </c:strRef>
          </c:cat>
          <c:val>
            <c:numRef>
              <c:f>List1!$B$2:$B$18</c:f>
              <c:numCache>
                <c:formatCode>General</c:formatCode>
                <c:ptCount val="17"/>
                <c:pt idx="0">
                  <c:v>6</c:v>
                </c:pt>
                <c:pt idx="1">
                  <c:v>25</c:v>
                </c:pt>
                <c:pt idx="2">
                  <c:v>2</c:v>
                </c:pt>
                <c:pt idx="3">
                  <c:v>12</c:v>
                </c:pt>
                <c:pt idx="4">
                  <c:v>17</c:v>
                </c:pt>
                <c:pt idx="5">
                  <c:v>21</c:v>
                </c:pt>
                <c:pt idx="6">
                  <c:v>13</c:v>
                </c:pt>
                <c:pt idx="7">
                  <c:v>13</c:v>
                </c:pt>
                <c:pt idx="8">
                  <c:v>2</c:v>
                </c:pt>
                <c:pt idx="9">
                  <c:v>23</c:v>
                </c:pt>
                <c:pt idx="10">
                  <c:v>14</c:v>
                </c:pt>
                <c:pt idx="11">
                  <c:v>14</c:v>
                </c:pt>
                <c:pt idx="12">
                  <c:v>9</c:v>
                </c:pt>
                <c:pt idx="13">
                  <c:v>1</c:v>
                </c:pt>
                <c:pt idx="14">
                  <c:v>1</c:v>
                </c:pt>
                <c:pt idx="15">
                  <c:v>2</c:v>
                </c:pt>
                <c:pt idx="16">
                  <c:v>1</c:v>
                </c:pt>
              </c:numCache>
            </c:numRef>
          </c:val>
        </c:ser>
        <c:ser>
          <c:idx val="1"/>
          <c:order val="1"/>
          <c:tx>
            <c:strRef>
              <c:f>List1!$A$1</c:f>
              <c:strCache>
                <c:ptCount val="1"/>
                <c:pt idx="0">
                  <c:v>Předkladatel</c:v>
                </c:pt>
              </c:strCache>
            </c:strRef>
          </c:tx>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cat>
            <c:strRef>
              <c:f>List1!$A$2:$A$18</c:f>
              <c:strCache>
                <c:ptCount val="17"/>
                <c:pt idx="0">
                  <c:v>MD</c:v>
                </c:pt>
                <c:pt idx="1">
                  <c:v>MF</c:v>
                </c:pt>
                <c:pt idx="2">
                  <c:v>MK</c:v>
                </c:pt>
                <c:pt idx="3">
                  <c:v>MMR</c:v>
                </c:pt>
                <c:pt idx="4">
                  <c:v>MO</c:v>
                </c:pt>
                <c:pt idx="5">
                  <c:v>MPO</c:v>
                </c:pt>
                <c:pt idx="6">
                  <c:v>MPSV</c:v>
                </c:pt>
                <c:pt idx="7">
                  <c:v>MSp</c:v>
                </c:pt>
                <c:pt idx="8">
                  <c:v>MŠMT</c:v>
                </c:pt>
                <c:pt idx="9">
                  <c:v>MV</c:v>
                </c:pt>
                <c:pt idx="10">
                  <c:v>MZd</c:v>
                </c:pt>
                <c:pt idx="11">
                  <c:v>MZe</c:v>
                </c:pt>
                <c:pt idx="12">
                  <c:v>MŽP</c:v>
                </c:pt>
                <c:pt idx="13">
                  <c:v>NBÚ</c:v>
                </c:pt>
                <c:pt idx="14">
                  <c:v>SÚJB</c:v>
                </c:pt>
                <c:pt idx="15">
                  <c:v>PV (RVVI)</c:v>
                </c:pt>
                <c:pt idx="16">
                  <c:v>MLR</c:v>
                </c:pt>
              </c:strCache>
            </c:strRef>
          </c:cat>
          <c:val>
            <c:numRef>
              <c:f>List1!$A$2:$A$18</c:f>
              <c:numCache>
                <c:formatCode>General</c:formatCode>
                <c:ptCount val="17"/>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numCache>
            </c:numRef>
          </c:val>
        </c:ser>
        <c:dLbls>
          <c:showLegendKey val="0"/>
          <c:showVal val="0"/>
          <c:showCatName val="0"/>
          <c:showSerName val="0"/>
          <c:showPercent val="0"/>
          <c:showBubbleSize val="0"/>
          <c:showLeaderLines val="1"/>
        </c:dLbls>
      </c:pie3DChart>
      <c:spPr>
        <a:noFill/>
        <a:ln w="25400">
          <a:noFill/>
        </a:ln>
      </c:spPr>
    </c:plotArea>
    <c:legend>
      <c:legendPos val="r"/>
      <c:overlay val="0"/>
      <c:txPr>
        <a:bodyPr/>
        <a:lstStyle/>
        <a:p>
          <a:pPr rtl="0">
            <a:defRPr/>
          </a:pPr>
          <a:endParaRPr lang="cs-CZ"/>
        </a:p>
      </c:txPr>
    </c:legend>
    <c:plotVisOnly val="1"/>
    <c:dispBlanksAs val="gap"/>
    <c:showDLblsOverMax val="0"/>
  </c:chart>
  <c:spPr>
    <a:scene3d>
      <a:camera prst="orthographicFront"/>
      <a:lightRig rig="threePt" dir="t"/>
    </a:scene3d>
    <a:sp3d>
      <a:bevelT/>
    </a:sp3d>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List1!$B$1</c:f>
              <c:strCache>
                <c:ptCount val="1"/>
                <c:pt idx="0">
                  <c:v>Počet návrhů právních předpisů celkem</c:v>
                </c:pt>
              </c:strCache>
            </c:strRef>
          </c:tx>
          <c:invertIfNegative val="0"/>
          <c:dLbls>
            <c:showLegendKey val="0"/>
            <c:showVal val="1"/>
            <c:showCatName val="0"/>
            <c:showSerName val="0"/>
            <c:showPercent val="0"/>
            <c:showBubbleSize val="0"/>
            <c:showLeaderLines val="0"/>
          </c:dLbls>
          <c:cat>
            <c:strRef>
              <c:f>List1!$A$2:$A$18</c:f>
              <c:strCache>
                <c:ptCount val="17"/>
                <c:pt idx="0">
                  <c:v>MD</c:v>
                </c:pt>
                <c:pt idx="1">
                  <c:v>MF</c:v>
                </c:pt>
                <c:pt idx="2">
                  <c:v>MK</c:v>
                </c:pt>
                <c:pt idx="3">
                  <c:v>MMR</c:v>
                </c:pt>
                <c:pt idx="4">
                  <c:v>MO</c:v>
                </c:pt>
                <c:pt idx="5">
                  <c:v>MPO</c:v>
                </c:pt>
                <c:pt idx="6">
                  <c:v>MPSV</c:v>
                </c:pt>
                <c:pt idx="7">
                  <c:v>MSp</c:v>
                </c:pt>
                <c:pt idx="8">
                  <c:v>MŠMT</c:v>
                </c:pt>
                <c:pt idx="9">
                  <c:v>MV</c:v>
                </c:pt>
                <c:pt idx="10">
                  <c:v>MZd</c:v>
                </c:pt>
                <c:pt idx="11">
                  <c:v>MZe</c:v>
                </c:pt>
                <c:pt idx="12">
                  <c:v>MŽP</c:v>
                </c:pt>
                <c:pt idx="13">
                  <c:v>NBÚ</c:v>
                </c:pt>
                <c:pt idx="14">
                  <c:v>SÚJB</c:v>
                </c:pt>
                <c:pt idx="15">
                  <c:v>PV (RVVI)</c:v>
                </c:pt>
                <c:pt idx="16">
                  <c:v>MLR</c:v>
                </c:pt>
              </c:strCache>
            </c:strRef>
          </c:cat>
          <c:val>
            <c:numRef>
              <c:f>List1!$B$2:$B$18</c:f>
              <c:numCache>
                <c:formatCode>General</c:formatCode>
                <c:ptCount val="17"/>
                <c:pt idx="0">
                  <c:v>6</c:v>
                </c:pt>
                <c:pt idx="1">
                  <c:v>25</c:v>
                </c:pt>
                <c:pt idx="2">
                  <c:v>2</c:v>
                </c:pt>
                <c:pt idx="3">
                  <c:v>12</c:v>
                </c:pt>
                <c:pt idx="4">
                  <c:v>17</c:v>
                </c:pt>
                <c:pt idx="5">
                  <c:v>21</c:v>
                </c:pt>
                <c:pt idx="6">
                  <c:v>13</c:v>
                </c:pt>
                <c:pt idx="7">
                  <c:v>13</c:v>
                </c:pt>
                <c:pt idx="8">
                  <c:v>2</c:v>
                </c:pt>
                <c:pt idx="9">
                  <c:v>23</c:v>
                </c:pt>
                <c:pt idx="10">
                  <c:v>14</c:v>
                </c:pt>
                <c:pt idx="11">
                  <c:v>14</c:v>
                </c:pt>
                <c:pt idx="12">
                  <c:v>9</c:v>
                </c:pt>
                <c:pt idx="13">
                  <c:v>1</c:v>
                </c:pt>
                <c:pt idx="14">
                  <c:v>1</c:v>
                </c:pt>
                <c:pt idx="15">
                  <c:v>2</c:v>
                </c:pt>
                <c:pt idx="16">
                  <c:v>1</c:v>
                </c:pt>
              </c:numCache>
            </c:numRef>
          </c:val>
        </c:ser>
        <c:ser>
          <c:idx val="1"/>
          <c:order val="1"/>
          <c:tx>
            <c:strRef>
              <c:f>List1!$D$1</c:f>
              <c:strCache>
                <c:ptCount val="1"/>
                <c:pt idx="0">
                  <c:v>Z toho návrhy předložené s RIA</c:v>
                </c:pt>
              </c:strCache>
            </c:strRef>
          </c:tx>
          <c:spPr>
            <a:solidFill>
              <a:srgbClr val="92D050"/>
            </a:solidFill>
          </c:spPr>
          <c:invertIfNegative val="0"/>
          <c:dLbls>
            <c:showLegendKey val="0"/>
            <c:showVal val="1"/>
            <c:showCatName val="0"/>
            <c:showSerName val="0"/>
            <c:showPercent val="0"/>
            <c:showBubbleSize val="0"/>
            <c:showLeaderLines val="0"/>
          </c:dLbls>
          <c:cat>
            <c:strRef>
              <c:f>List1!$A$2:$A$18</c:f>
              <c:strCache>
                <c:ptCount val="17"/>
                <c:pt idx="0">
                  <c:v>MD</c:v>
                </c:pt>
                <c:pt idx="1">
                  <c:v>MF</c:v>
                </c:pt>
                <c:pt idx="2">
                  <c:v>MK</c:v>
                </c:pt>
                <c:pt idx="3">
                  <c:v>MMR</c:v>
                </c:pt>
                <c:pt idx="4">
                  <c:v>MO</c:v>
                </c:pt>
                <c:pt idx="5">
                  <c:v>MPO</c:v>
                </c:pt>
                <c:pt idx="6">
                  <c:v>MPSV</c:v>
                </c:pt>
                <c:pt idx="7">
                  <c:v>MSp</c:v>
                </c:pt>
                <c:pt idx="8">
                  <c:v>MŠMT</c:v>
                </c:pt>
                <c:pt idx="9">
                  <c:v>MV</c:v>
                </c:pt>
                <c:pt idx="10">
                  <c:v>MZd</c:v>
                </c:pt>
                <c:pt idx="11">
                  <c:v>MZe</c:v>
                </c:pt>
                <c:pt idx="12">
                  <c:v>MŽP</c:v>
                </c:pt>
                <c:pt idx="13">
                  <c:v>NBÚ</c:v>
                </c:pt>
                <c:pt idx="14">
                  <c:v>SÚJB</c:v>
                </c:pt>
                <c:pt idx="15">
                  <c:v>PV (RVVI)</c:v>
                </c:pt>
                <c:pt idx="16">
                  <c:v>MLR</c:v>
                </c:pt>
              </c:strCache>
            </c:strRef>
          </c:cat>
          <c:val>
            <c:numRef>
              <c:f>List1!$D$2:$D$18</c:f>
              <c:numCache>
                <c:formatCode>General</c:formatCode>
                <c:ptCount val="17"/>
                <c:pt idx="0">
                  <c:v>4</c:v>
                </c:pt>
                <c:pt idx="1">
                  <c:v>13</c:v>
                </c:pt>
                <c:pt idx="2">
                  <c:v>2</c:v>
                </c:pt>
                <c:pt idx="3">
                  <c:v>9</c:v>
                </c:pt>
                <c:pt idx="4">
                  <c:v>10</c:v>
                </c:pt>
                <c:pt idx="5">
                  <c:v>11</c:v>
                </c:pt>
                <c:pt idx="6">
                  <c:v>8</c:v>
                </c:pt>
                <c:pt idx="7">
                  <c:v>7</c:v>
                </c:pt>
                <c:pt idx="8">
                  <c:v>2</c:v>
                </c:pt>
                <c:pt idx="9">
                  <c:v>12</c:v>
                </c:pt>
                <c:pt idx="10">
                  <c:v>7</c:v>
                </c:pt>
                <c:pt idx="11">
                  <c:v>8</c:v>
                </c:pt>
                <c:pt idx="12">
                  <c:v>5</c:v>
                </c:pt>
                <c:pt idx="13">
                  <c:v>1</c:v>
                </c:pt>
                <c:pt idx="14">
                  <c:v>0</c:v>
                </c:pt>
                <c:pt idx="15">
                  <c:v>2</c:v>
                </c:pt>
                <c:pt idx="16">
                  <c:v>1</c:v>
                </c:pt>
              </c:numCache>
            </c:numRef>
          </c:val>
        </c:ser>
        <c:ser>
          <c:idx val="2"/>
          <c:order val="2"/>
          <c:tx>
            <c:strRef>
              <c:f>List1!$E$1</c:f>
              <c:strCache>
                <c:ptCount val="1"/>
                <c:pt idx="0">
                  <c:v>Počet návrhů předpisů s RIA projednaných v Komisi</c:v>
                </c:pt>
              </c:strCache>
            </c:strRef>
          </c:tx>
          <c:spPr>
            <a:solidFill>
              <a:srgbClr val="7030A0"/>
            </a:solidFill>
          </c:spPr>
          <c:invertIfNegative val="0"/>
          <c:dLbls>
            <c:showLegendKey val="0"/>
            <c:showVal val="1"/>
            <c:showCatName val="0"/>
            <c:showSerName val="0"/>
            <c:showPercent val="0"/>
            <c:showBubbleSize val="0"/>
            <c:showLeaderLines val="0"/>
          </c:dLbls>
          <c:cat>
            <c:strRef>
              <c:f>List1!$A$2:$A$18</c:f>
              <c:strCache>
                <c:ptCount val="17"/>
                <c:pt idx="0">
                  <c:v>MD</c:v>
                </c:pt>
                <c:pt idx="1">
                  <c:v>MF</c:v>
                </c:pt>
                <c:pt idx="2">
                  <c:v>MK</c:v>
                </c:pt>
                <c:pt idx="3">
                  <c:v>MMR</c:v>
                </c:pt>
                <c:pt idx="4">
                  <c:v>MO</c:v>
                </c:pt>
                <c:pt idx="5">
                  <c:v>MPO</c:v>
                </c:pt>
                <c:pt idx="6">
                  <c:v>MPSV</c:v>
                </c:pt>
                <c:pt idx="7">
                  <c:v>MSp</c:v>
                </c:pt>
                <c:pt idx="8">
                  <c:v>MŠMT</c:v>
                </c:pt>
                <c:pt idx="9">
                  <c:v>MV</c:v>
                </c:pt>
                <c:pt idx="10">
                  <c:v>MZd</c:v>
                </c:pt>
                <c:pt idx="11">
                  <c:v>MZe</c:v>
                </c:pt>
                <c:pt idx="12">
                  <c:v>MŽP</c:v>
                </c:pt>
                <c:pt idx="13">
                  <c:v>NBÚ</c:v>
                </c:pt>
                <c:pt idx="14">
                  <c:v>SÚJB</c:v>
                </c:pt>
                <c:pt idx="15">
                  <c:v>PV (RVVI)</c:v>
                </c:pt>
                <c:pt idx="16">
                  <c:v>MLR</c:v>
                </c:pt>
              </c:strCache>
            </c:strRef>
          </c:cat>
          <c:val>
            <c:numRef>
              <c:f>List1!$E$2:$E$18</c:f>
              <c:numCache>
                <c:formatCode>General</c:formatCode>
                <c:ptCount val="17"/>
                <c:pt idx="0">
                  <c:v>3</c:v>
                </c:pt>
                <c:pt idx="1">
                  <c:v>10</c:v>
                </c:pt>
                <c:pt idx="2">
                  <c:v>2</c:v>
                </c:pt>
                <c:pt idx="3">
                  <c:v>6</c:v>
                </c:pt>
                <c:pt idx="4">
                  <c:v>7</c:v>
                </c:pt>
                <c:pt idx="5">
                  <c:v>5</c:v>
                </c:pt>
                <c:pt idx="6">
                  <c:v>4</c:v>
                </c:pt>
                <c:pt idx="7">
                  <c:v>6</c:v>
                </c:pt>
                <c:pt idx="8">
                  <c:v>1</c:v>
                </c:pt>
                <c:pt idx="9">
                  <c:v>9</c:v>
                </c:pt>
                <c:pt idx="10">
                  <c:v>4</c:v>
                </c:pt>
                <c:pt idx="11">
                  <c:v>4</c:v>
                </c:pt>
                <c:pt idx="12">
                  <c:v>5</c:v>
                </c:pt>
                <c:pt idx="13">
                  <c:v>1</c:v>
                </c:pt>
                <c:pt idx="14">
                  <c:v>0</c:v>
                </c:pt>
                <c:pt idx="15">
                  <c:v>1</c:v>
                </c:pt>
                <c:pt idx="16">
                  <c:v>1</c:v>
                </c:pt>
              </c:numCache>
            </c:numRef>
          </c:val>
        </c:ser>
        <c:dLbls>
          <c:showLegendKey val="0"/>
          <c:showVal val="0"/>
          <c:showCatName val="0"/>
          <c:showSerName val="0"/>
          <c:showPercent val="0"/>
          <c:showBubbleSize val="0"/>
        </c:dLbls>
        <c:gapWidth val="150"/>
        <c:axId val="144356096"/>
        <c:axId val="144357632"/>
      </c:barChart>
      <c:catAx>
        <c:axId val="144356096"/>
        <c:scaling>
          <c:orientation val="minMax"/>
        </c:scaling>
        <c:delete val="0"/>
        <c:axPos val="b"/>
        <c:numFmt formatCode="General" sourceLinked="1"/>
        <c:majorTickMark val="out"/>
        <c:minorTickMark val="none"/>
        <c:tickLblPos val="nextTo"/>
        <c:txPr>
          <a:bodyPr/>
          <a:lstStyle/>
          <a:p>
            <a:pPr>
              <a:defRPr b="1"/>
            </a:pPr>
            <a:endParaRPr lang="cs-CZ"/>
          </a:p>
        </c:txPr>
        <c:crossAx val="144357632"/>
        <c:crosses val="autoZero"/>
        <c:auto val="1"/>
        <c:lblAlgn val="ctr"/>
        <c:lblOffset val="100"/>
        <c:noMultiLvlLbl val="0"/>
      </c:catAx>
      <c:valAx>
        <c:axId val="144357632"/>
        <c:scaling>
          <c:orientation val="minMax"/>
        </c:scaling>
        <c:delete val="0"/>
        <c:axPos val="l"/>
        <c:numFmt formatCode="General" sourceLinked="1"/>
        <c:majorTickMark val="out"/>
        <c:minorTickMark val="none"/>
        <c:tickLblPos val="nextTo"/>
        <c:crossAx val="144356096"/>
        <c:crosses val="autoZero"/>
        <c:crossBetween val="between"/>
      </c:valAx>
      <c:spPr>
        <a:noFill/>
        <a:ln w="25400">
          <a:noFill/>
        </a:ln>
      </c:spPr>
    </c:plotArea>
    <c:legend>
      <c:legendPos val="b"/>
      <c:overlay val="0"/>
      <c:txPr>
        <a:bodyPr/>
        <a:lstStyle/>
        <a:p>
          <a:pPr>
            <a:defRPr b="1"/>
          </a:pPr>
          <a:endParaRPr lang="cs-CZ"/>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v>Stanoviska Komise RIA</c:v>
          </c:tx>
          <c:dPt>
            <c:idx val="0"/>
            <c:bubble3D val="0"/>
            <c:spPr>
              <a:solidFill>
                <a:srgbClr val="FF0000"/>
              </a:solidFill>
            </c:spPr>
          </c:dPt>
          <c:dPt>
            <c:idx val="1"/>
            <c:bubble3D val="0"/>
            <c:spPr>
              <a:solidFill>
                <a:schemeClr val="accent3"/>
              </a:solidFill>
            </c:spPr>
          </c:dPt>
          <c:dPt>
            <c:idx val="2"/>
            <c:bubble3D val="0"/>
            <c:spPr>
              <a:solidFill>
                <a:schemeClr val="accent4"/>
              </a:solidFill>
            </c:spPr>
          </c:dPt>
          <c:dPt>
            <c:idx val="3"/>
            <c:bubble3D val="0"/>
            <c:spPr>
              <a:solidFill>
                <a:schemeClr val="tx2">
                  <a:lumMod val="40000"/>
                  <a:lumOff val="60000"/>
                </a:schemeClr>
              </a:solidFill>
            </c:spPr>
          </c:dPt>
          <c:dLbls>
            <c:dLbl>
              <c:idx val="0"/>
              <c:layout>
                <c:manualLayout>
                  <c:x val="-6.195429738423712E-2"/>
                  <c:y val="7.653943313081657E-2"/>
                </c:manualLayout>
              </c:layout>
              <c:tx>
                <c:rich>
                  <a:bodyPr/>
                  <a:lstStyle/>
                  <a:p>
                    <a:pPr>
                      <a:defRPr sz="800" b="0" i="0" u="none" strike="noStrike" baseline="0">
                        <a:solidFill>
                          <a:srgbClr val="000000"/>
                        </a:solidFill>
                        <a:latin typeface="Calibri"/>
                        <a:ea typeface="Calibri"/>
                        <a:cs typeface="Calibri"/>
                      </a:defRPr>
                    </a:pPr>
                    <a:r>
                      <a:rPr lang="cs-CZ" sz="800" b="1" i="0" u="none" strike="noStrike" baseline="0">
                        <a:solidFill>
                          <a:srgbClr val="000000"/>
                        </a:solidFill>
                        <a:latin typeface="Calibri"/>
                      </a:rPr>
                      <a:t>8,7% (6 z 69)</a:t>
                    </a:r>
                    <a:endParaRPr lang="cs-CZ" sz="1400" b="1" i="0" u="none" strike="noStrike" baseline="0">
                      <a:solidFill>
                        <a:srgbClr val="000000"/>
                      </a:solidFill>
                      <a:latin typeface="Calibri"/>
                    </a:endParaRPr>
                  </a:p>
                </c:rich>
              </c:tx>
              <c:spPr/>
              <c:dLblPos val="bestFit"/>
              <c:showLegendKey val="1"/>
              <c:showVal val="0"/>
              <c:showCatName val="0"/>
              <c:showSerName val="0"/>
              <c:showPercent val="0"/>
              <c:showBubbleSize val="0"/>
            </c:dLbl>
            <c:dLbl>
              <c:idx val="1"/>
              <c:layout>
                <c:manualLayout>
                  <c:x val="-0.18823944040893192"/>
                  <c:y val="3.8052565707133917E-2"/>
                </c:manualLayout>
              </c:layout>
              <c:tx>
                <c:rich>
                  <a:bodyPr/>
                  <a:lstStyle/>
                  <a:p>
                    <a:pPr>
                      <a:defRPr sz="800" b="0" i="0" u="none" strike="noStrike" baseline="0">
                        <a:solidFill>
                          <a:srgbClr val="000000"/>
                        </a:solidFill>
                        <a:latin typeface="Calibri"/>
                        <a:ea typeface="Calibri"/>
                        <a:cs typeface="Calibri"/>
                      </a:defRPr>
                    </a:pPr>
                    <a:r>
                      <a:rPr lang="cs-CZ" sz="800" b="1" i="0" u="none" strike="noStrike" baseline="0">
                        <a:solidFill>
                          <a:srgbClr val="000000"/>
                        </a:solidFill>
                        <a:latin typeface="Calibri"/>
                      </a:rPr>
                      <a:t>26,1% (18 z 69)</a:t>
                    </a:r>
                    <a:endParaRPr lang="cs-CZ" sz="1400" b="1" i="0" u="none" strike="noStrike" baseline="0">
                      <a:solidFill>
                        <a:srgbClr val="000000"/>
                      </a:solidFill>
                      <a:latin typeface="Calibri"/>
                    </a:endParaRPr>
                  </a:p>
                </c:rich>
              </c:tx>
              <c:spPr/>
              <c:dLblPos val="bestFit"/>
              <c:showLegendKey val="1"/>
              <c:showVal val="0"/>
              <c:showCatName val="0"/>
              <c:showSerName val="0"/>
              <c:showPercent val="0"/>
              <c:showBubbleSize val="0"/>
            </c:dLbl>
            <c:dLbl>
              <c:idx val="2"/>
              <c:layout>
                <c:manualLayout>
                  <c:x val="0.14955361850955071"/>
                  <c:y val="-0.16190471422611599"/>
                </c:manualLayout>
              </c:layout>
              <c:tx>
                <c:rich>
                  <a:bodyPr/>
                  <a:lstStyle/>
                  <a:p>
                    <a:pPr>
                      <a:defRPr sz="800" b="0" i="0" u="none" strike="noStrike" baseline="0">
                        <a:solidFill>
                          <a:srgbClr val="000000"/>
                        </a:solidFill>
                        <a:latin typeface="Calibri"/>
                        <a:ea typeface="Calibri"/>
                        <a:cs typeface="Calibri"/>
                      </a:defRPr>
                    </a:pPr>
                    <a:r>
                      <a:rPr lang="cs-CZ" sz="800" b="1" i="0" u="none" strike="noStrike" baseline="0">
                        <a:solidFill>
                          <a:srgbClr val="000000"/>
                        </a:solidFill>
                        <a:latin typeface="Calibri"/>
                      </a:rPr>
                      <a:t>52,2% (36 z 69)</a:t>
                    </a:r>
                    <a:endParaRPr lang="cs-CZ" sz="1400" b="1" i="0" u="none" strike="noStrike" baseline="0">
                      <a:solidFill>
                        <a:srgbClr val="000000"/>
                      </a:solidFill>
                      <a:latin typeface="Calibri"/>
                    </a:endParaRPr>
                  </a:p>
                </c:rich>
              </c:tx>
              <c:spPr/>
              <c:dLblPos val="bestFit"/>
              <c:showLegendKey val="1"/>
              <c:showVal val="0"/>
              <c:showCatName val="0"/>
              <c:showSerName val="0"/>
              <c:showPercent val="0"/>
              <c:showBubbleSize val="0"/>
            </c:dLbl>
            <c:dLbl>
              <c:idx val="3"/>
              <c:layout>
                <c:manualLayout>
                  <c:x val="8.3991068065644339E-2"/>
                  <c:y val="0.13335903212348768"/>
                </c:manualLayout>
              </c:layout>
              <c:tx>
                <c:rich>
                  <a:bodyPr/>
                  <a:lstStyle/>
                  <a:p>
                    <a:pPr>
                      <a:defRPr sz="800" b="0" i="0" u="none" strike="noStrike" baseline="0">
                        <a:solidFill>
                          <a:srgbClr val="000000"/>
                        </a:solidFill>
                        <a:latin typeface="Calibri"/>
                        <a:ea typeface="Calibri"/>
                        <a:cs typeface="Calibri"/>
                      </a:defRPr>
                    </a:pPr>
                    <a:r>
                      <a:rPr lang="cs-CZ" sz="800" b="1" i="0" u="none" strike="noStrike" baseline="0">
                        <a:solidFill>
                          <a:srgbClr val="000000"/>
                        </a:solidFill>
                        <a:latin typeface="Calibri"/>
                      </a:rPr>
                      <a:t>13,0% (9 z 69)</a:t>
                    </a:r>
                    <a:endParaRPr lang="cs-CZ" sz="1400" b="1" i="0" u="none" strike="noStrike" baseline="0">
                      <a:solidFill>
                        <a:srgbClr val="000000"/>
                      </a:solidFill>
                      <a:latin typeface="Calibri"/>
                    </a:endParaRPr>
                  </a:p>
                </c:rich>
              </c:tx>
              <c:spPr/>
              <c:dLblPos val="bestFit"/>
              <c:showLegendKey val="1"/>
              <c:showVal val="0"/>
              <c:showCatName val="0"/>
              <c:showSerName val="0"/>
              <c:showPercent val="0"/>
              <c:showBubbleSize val="0"/>
            </c:dLbl>
            <c:txPr>
              <a:bodyPr/>
              <a:lstStyle/>
              <a:p>
                <a:pPr>
                  <a:defRPr sz="800" b="1" i="0" u="none" strike="noStrike" baseline="0">
                    <a:solidFill>
                      <a:srgbClr val="000000"/>
                    </a:solidFill>
                    <a:latin typeface="Calibri"/>
                    <a:ea typeface="Calibri"/>
                    <a:cs typeface="Calibri"/>
                  </a:defRPr>
                </a:pPr>
                <a:endParaRPr lang="cs-CZ"/>
              </a:p>
            </c:txPr>
            <c:dLblPos val="bestFit"/>
            <c:showLegendKey val="1"/>
            <c:showVal val="1"/>
            <c:showCatName val="0"/>
            <c:showSerName val="0"/>
            <c:showPercent val="0"/>
            <c:showBubbleSize val="0"/>
            <c:showLeaderLines val="1"/>
          </c:dLbls>
          <c:cat>
            <c:strRef>
              <c:f>List1!$I$1:$L$1</c:f>
              <c:strCache>
                <c:ptCount val="4"/>
                <c:pt idx="0">
                  <c:v>Počet negativních v %</c:v>
                </c:pt>
                <c:pt idx="1">
                  <c:v>Počet kladných v % </c:v>
                </c:pt>
                <c:pt idx="2">
                  <c:v>Počet kladných po dopracování v %</c:v>
                </c:pt>
                <c:pt idx="3">
                  <c:v>Počet kladných po přepracování v %</c:v>
                </c:pt>
              </c:strCache>
            </c:strRef>
          </c:cat>
          <c:val>
            <c:numRef>
              <c:f>List1!$I$18:$L$18</c:f>
              <c:numCache>
                <c:formatCode>0.0%</c:formatCode>
                <c:ptCount val="4"/>
                <c:pt idx="0">
                  <c:v>8.6956521739130432E-2</c:v>
                </c:pt>
                <c:pt idx="1">
                  <c:v>0.2608695652173913</c:v>
                </c:pt>
                <c:pt idx="2">
                  <c:v>0.52173913043478259</c:v>
                </c:pt>
                <c:pt idx="3">
                  <c:v>0.13043478260869565</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1144342463490242"/>
          <c:y val="0.46777091325122822"/>
          <c:w val="0.35763359441180964"/>
          <c:h val="0.34775772259236826"/>
        </c:manualLayout>
      </c:layout>
      <c:overlay val="0"/>
      <c:txPr>
        <a:bodyPr/>
        <a:lstStyle/>
        <a:p>
          <a:pPr>
            <a:defRPr sz="920" b="1" i="0" u="none" strike="noStrike" baseline="0">
              <a:solidFill>
                <a:srgbClr val="000000"/>
              </a:solidFill>
              <a:latin typeface="Calibri"/>
              <a:ea typeface="Calibri"/>
              <a:cs typeface="Calibri"/>
            </a:defRPr>
          </a:pPr>
          <a:endParaRPr lang="cs-CZ"/>
        </a:p>
      </c:txPr>
    </c:legend>
    <c:plotVisOnly val="1"/>
    <c:dispBlanksAs val="gap"/>
    <c:showDLblsOverMax val="0"/>
  </c:chart>
  <c:spPr>
    <a:noFill/>
    <a:ln>
      <a:noFill/>
    </a:ln>
    <a:effectLst>
      <a:outerShdw blurRad="50800" dist="50800" dir="5400000" algn="ctr" rotWithShape="0">
        <a:schemeClr val="bg1"/>
      </a:outerShdw>
    </a:effectLst>
    <a:scene3d>
      <a:camera prst="orthographicFront"/>
      <a:lightRig rig="threePt" dir="t"/>
    </a:scene3d>
    <a:sp3d>
      <a:bevelT/>
    </a:sp3d>
  </c:spPr>
  <c:txPr>
    <a:bodyPr/>
    <a:lstStyle/>
    <a:p>
      <a:pPr>
        <a:defRPr sz="1000" b="0" i="0" u="none" strike="noStrike" baseline="0">
          <a:solidFill>
            <a:srgbClr val="000000"/>
          </a:solidFill>
          <a:latin typeface="Calibri"/>
          <a:ea typeface="Calibri"/>
          <a:cs typeface="Calibri"/>
        </a:defRPr>
      </a:pPr>
      <a:endParaRPr lang="cs-CZ"/>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v>Stanoviska Komise RIA v r. 2012 podle výsledku</c:v>
          </c:tx>
          <c:dPt>
            <c:idx val="0"/>
            <c:bubble3D val="0"/>
            <c:spPr>
              <a:solidFill>
                <a:srgbClr val="FF0000"/>
              </a:solidFill>
            </c:spPr>
          </c:dPt>
          <c:dPt>
            <c:idx val="1"/>
            <c:bubble3D val="0"/>
            <c:spPr>
              <a:solidFill>
                <a:schemeClr val="accent3"/>
              </a:solidFill>
            </c:spPr>
          </c:dPt>
          <c:dPt>
            <c:idx val="2"/>
            <c:bubble3D val="0"/>
            <c:spPr>
              <a:solidFill>
                <a:schemeClr val="accent4"/>
              </a:solidFill>
            </c:spPr>
          </c:dPt>
          <c:dPt>
            <c:idx val="3"/>
            <c:bubble3D val="0"/>
            <c:spPr>
              <a:solidFill>
                <a:schemeClr val="tx2">
                  <a:lumMod val="40000"/>
                  <a:lumOff val="60000"/>
                </a:schemeClr>
              </a:solidFill>
            </c:spPr>
          </c:dPt>
          <c:dLbls>
            <c:txPr>
              <a:bodyPr/>
              <a:lstStyle/>
              <a:p>
                <a:pPr>
                  <a:defRPr b="1"/>
                </a:pPr>
                <a:endParaRPr lang="cs-CZ"/>
              </a:p>
            </c:txPr>
            <c:showLegendKey val="0"/>
            <c:showVal val="1"/>
            <c:showCatName val="0"/>
            <c:showSerName val="0"/>
            <c:showPercent val="0"/>
            <c:showBubbleSize val="0"/>
            <c:showLeaderLines val="1"/>
          </c:dLbls>
          <c:cat>
            <c:strRef>
              <c:f>List1!$I$1:$L$1</c:f>
              <c:strCache>
                <c:ptCount val="4"/>
                <c:pt idx="0">
                  <c:v>Počet negativních v %</c:v>
                </c:pt>
                <c:pt idx="1">
                  <c:v>Počet kladných v % </c:v>
                </c:pt>
                <c:pt idx="2">
                  <c:v>Počet kladných po dopracování v %</c:v>
                </c:pt>
                <c:pt idx="3">
                  <c:v>Počet kladných po přepracování v %</c:v>
                </c:pt>
              </c:strCache>
            </c:strRef>
          </c:cat>
          <c:val>
            <c:numRef>
              <c:f>List1!$I$19:$L$19</c:f>
              <c:numCache>
                <c:formatCode>0.0%</c:formatCode>
                <c:ptCount val="4"/>
                <c:pt idx="0">
                  <c:v>0.109375</c:v>
                </c:pt>
                <c:pt idx="1">
                  <c:v>0.328125</c:v>
                </c:pt>
                <c:pt idx="2">
                  <c:v>0.453125</c:v>
                </c:pt>
                <c:pt idx="3">
                  <c:v>0.109375</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rtl="0">
            <a:defRPr b="1"/>
          </a:pPr>
          <a:endParaRPr lang="cs-CZ"/>
        </a:p>
      </c:txPr>
    </c:legend>
    <c:plotVisOnly val="1"/>
    <c:dispBlanksAs val="gap"/>
    <c:showDLblsOverMax val="0"/>
  </c:chart>
  <c:spPr>
    <a:ln>
      <a:noFill/>
    </a:ln>
  </c:sp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E4FEB3-1A8B-46D0-8EFF-12CBB14C930E}" type="doc">
      <dgm:prSet loTypeId="urn:microsoft.com/office/officeart/2005/8/layout/cycle6" loCatId="cycle" qsTypeId="urn:microsoft.com/office/officeart/2005/8/quickstyle/simple2" qsCatId="simple" csTypeId="urn:microsoft.com/office/officeart/2005/8/colors/accent0_1" csCatId="mainScheme" phldr="1"/>
      <dgm:spPr/>
      <dgm:t>
        <a:bodyPr/>
        <a:lstStyle/>
        <a:p>
          <a:endParaRPr lang="cs-CZ"/>
        </a:p>
      </dgm:t>
    </dgm:pt>
    <dgm:pt modelId="{42D2F141-C5C9-4C8E-AB1F-5F4C66C18A6C}">
      <dgm:prSet phldrT="[Text]" custT="1"/>
      <dgm:spPr>
        <a:xfrm>
          <a:off x="2511681" y="3580"/>
          <a:ext cx="830476" cy="476982"/>
        </a:xfrm>
      </dgm:spPr>
      <dgm:t>
        <a:bodyPr/>
        <a:lstStyle/>
        <a:p>
          <a:r>
            <a:rPr lang="cs-CZ" sz="800" dirty="0" smtClean="0">
              <a:latin typeface="Calibri"/>
              <a:ea typeface="+mn-ea"/>
              <a:cs typeface="+mn-cs"/>
            </a:rPr>
            <a:t>Stanovisko Komise RIA k povinnosti zpracování RIA</a:t>
          </a:r>
          <a:endParaRPr lang="cs-CZ" sz="800" dirty="0">
            <a:latin typeface="Calibri"/>
            <a:ea typeface="+mn-ea"/>
            <a:cs typeface="+mn-cs"/>
          </a:endParaRPr>
        </a:p>
      </dgm:t>
    </dgm:pt>
    <dgm:pt modelId="{510DFC80-F8E4-4EA8-9B81-35AEC007F3CD}" type="parTrans" cxnId="{9067265E-AEAC-4C78-A30B-8D9A1D154EB9}">
      <dgm:prSet/>
      <dgm:spPr/>
      <dgm:t>
        <a:bodyPr/>
        <a:lstStyle/>
        <a:p>
          <a:endParaRPr lang="cs-CZ"/>
        </a:p>
      </dgm:t>
    </dgm:pt>
    <dgm:pt modelId="{A724F8E0-370C-4FCE-A78D-B4BB36E1AF5E}" type="sibTrans" cxnId="{9067265E-AEAC-4C78-A30B-8D9A1D154EB9}">
      <dgm:prSet/>
      <dgm:spPr>
        <a:xfrm>
          <a:off x="780200" y="242071"/>
          <a:ext cx="4293438" cy="4293438"/>
        </a:xfrm>
      </dgm:spPr>
      <dgm:t>
        <a:bodyPr/>
        <a:lstStyle/>
        <a:p>
          <a:endParaRPr lang="cs-CZ"/>
        </a:p>
      </dgm:t>
    </dgm:pt>
    <dgm:pt modelId="{054D483F-1D92-4A27-823E-7CD7CB5F5C2C}">
      <dgm:prSet phldrT="[Text]" custT="1"/>
      <dgm:spPr>
        <a:xfrm>
          <a:off x="3613158" y="296573"/>
          <a:ext cx="774241" cy="466207"/>
        </a:xfrm>
      </dgm:spPr>
      <dgm:t>
        <a:bodyPr/>
        <a:lstStyle/>
        <a:p>
          <a:r>
            <a:rPr lang="cs-CZ" sz="800" dirty="0" smtClean="0">
              <a:latin typeface="Calibri"/>
              <a:ea typeface="+mn-ea"/>
              <a:cs typeface="+mn-cs"/>
            </a:rPr>
            <a:t>Schválení plánu legislativních prací vlády</a:t>
          </a:r>
          <a:endParaRPr lang="cs-CZ" sz="800" dirty="0">
            <a:latin typeface="Calibri"/>
            <a:ea typeface="+mn-ea"/>
            <a:cs typeface="+mn-cs"/>
          </a:endParaRPr>
        </a:p>
      </dgm:t>
    </dgm:pt>
    <dgm:pt modelId="{600A618A-91EE-4ED8-95A5-016EAED84FC0}" type="parTrans" cxnId="{25C427BD-78D9-494A-8EA5-C87B8BC07A15}">
      <dgm:prSet/>
      <dgm:spPr/>
      <dgm:t>
        <a:bodyPr/>
        <a:lstStyle/>
        <a:p>
          <a:endParaRPr lang="cs-CZ"/>
        </a:p>
      </dgm:t>
    </dgm:pt>
    <dgm:pt modelId="{16A434FE-F949-49BC-A549-BEF3DDA70E42}" type="sibTrans" cxnId="{25C427BD-78D9-494A-8EA5-C87B8BC07A15}">
      <dgm:prSet/>
      <dgm:spPr>
        <a:xfrm>
          <a:off x="780200" y="242071"/>
          <a:ext cx="4293438" cy="4293438"/>
        </a:xfrm>
      </dgm:spPr>
      <dgm:t>
        <a:bodyPr/>
        <a:lstStyle/>
        <a:p>
          <a:endParaRPr lang="cs-CZ"/>
        </a:p>
      </dgm:t>
    </dgm:pt>
    <dgm:pt modelId="{5399C991-F233-4E71-9FFD-46657935221B}">
      <dgm:prSet phldrT="[Text]" custT="1"/>
      <dgm:spPr>
        <a:xfrm>
          <a:off x="4450860" y="1097569"/>
          <a:ext cx="670344" cy="435724"/>
        </a:xfrm>
      </dgm:spPr>
      <dgm:t>
        <a:bodyPr/>
        <a:lstStyle/>
        <a:p>
          <a:r>
            <a:rPr lang="cs-CZ" sz="800" dirty="0" smtClean="0">
              <a:latin typeface="Calibri"/>
              <a:ea typeface="+mn-ea"/>
              <a:cs typeface="+mn-cs"/>
            </a:rPr>
            <a:t>Ex-ante RIA / konzultace </a:t>
          </a:r>
          <a:endParaRPr lang="cs-CZ" sz="800" dirty="0">
            <a:latin typeface="Calibri"/>
            <a:ea typeface="+mn-ea"/>
            <a:cs typeface="+mn-cs"/>
          </a:endParaRPr>
        </a:p>
      </dgm:t>
    </dgm:pt>
    <dgm:pt modelId="{B066D129-50D3-4BFB-B484-4996AE0E18EF}" type="parTrans" cxnId="{253E531E-1BFE-4C04-B563-BD72835616F6}">
      <dgm:prSet/>
      <dgm:spPr/>
      <dgm:t>
        <a:bodyPr/>
        <a:lstStyle/>
        <a:p>
          <a:endParaRPr lang="cs-CZ"/>
        </a:p>
      </dgm:t>
    </dgm:pt>
    <dgm:pt modelId="{07FD0040-198D-4ABE-80F0-0A806ECFE0E3}" type="sibTrans" cxnId="{253E531E-1BFE-4C04-B563-BD72835616F6}">
      <dgm:prSet/>
      <dgm:spPr>
        <a:xfrm>
          <a:off x="780200" y="242071"/>
          <a:ext cx="4293438" cy="4293438"/>
        </a:xfrm>
      </dgm:spPr>
      <dgm:t>
        <a:bodyPr/>
        <a:lstStyle/>
        <a:p>
          <a:endParaRPr lang="cs-CZ"/>
        </a:p>
      </dgm:t>
    </dgm:pt>
    <dgm:pt modelId="{7577D7F6-C594-4CED-BD39-8DAEE74DFE58}">
      <dgm:prSet phldrT="[Text]" custT="1"/>
      <dgm:spPr>
        <a:xfrm>
          <a:off x="4679573" y="2108354"/>
          <a:ext cx="788131" cy="560872"/>
        </a:xfrm>
      </dgm:spPr>
      <dgm:t>
        <a:bodyPr/>
        <a:lstStyle/>
        <a:p>
          <a:r>
            <a:rPr lang="cs-CZ" sz="800" dirty="0" smtClean="0">
              <a:latin typeface="Calibri"/>
              <a:ea typeface="+mn-ea"/>
              <a:cs typeface="+mn-cs"/>
            </a:rPr>
            <a:t>Možnost konzultace Komise RIA / odd. RIA k metodickým otázkám</a:t>
          </a:r>
          <a:endParaRPr lang="cs-CZ" sz="800" dirty="0">
            <a:latin typeface="Calibri"/>
            <a:ea typeface="+mn-ea"/>
            <a:cs typeface="+mn-cs"/>
          </a:endParaRPr>
        </a:p>
      </dgm:t>
    </dgm:pt>
    <dgm:pt modelId="{100C3A51-3D4A-40BF-A4C5-DB6334734E0A}" type="parTrans" cxnId="{32436BCE-55AD-405B-824F-353C600AC3A5}">
      <dgm:prSet/>
      <dgm:spPr/>
      <dgm:t>
        <a:bodyPr/>
        <a:lstStyle/>
        <a:p>
          <a:endParaRPr lang="cs-CZ"/>
        </a:p>
      </dgm:t>
    </dgm:pt>
    <dgm:pt modelId="{004AF1A9-250B-423E-9577-4F615FE796DE}" type="sibTrans" cxnId="{32436BCE-55AD-405B-824F-353C600AC3A5}">
      <dgm:prSet/>
      <dgm:spPr>
        <a:xfrm>
          <a:off x="780200" y="242071"/>
          <a:ext cx="4293438" cy="4293438"/>
        </a:xfrm>
      </dgm:spPr>
      <dgm:t>
        <a:bodyPr/>
        <a:lstStyle/>
        <a:p>
          <a:endParaRPr lang="cs-CZ"/>
        </a:p>
      </dgm:t>
    </dgm:pt>
    <dgm:pt modelId="{A4E6A90C-D788-44B6-871D-3E9E9E6FA5EA}">
      <dgm:prSet phldrT="[Text]" custT="1"/>
      <dgm:spPr>
        <a:xfrm>
          <a:off x="4450860" y="3244288"/>
          <a:ext cx="670344" cy="435724"/>
        </a:xfrm>
      </dgm:spPr>
      <dgm:t>
        <a:bodyPr/>
        <a:lstStyle/>
        <a:p>
          <a:r>
            <a:rPr lang="cs-CZ" sz="800" dirty="0" smtClean="0">
              <a:latin typeface="Calibri"/>
              <a:ea typeface="+mn-ea"/>
              <a:cs typeface="+mn-cs"/>
            </a:rPr>
            <a:t>Zpracování Závěrečné zprávy RIA</a:t>
          </a:r>
          <a:endParaRPr lang="cs-CZ" sz="800" dirty="0">
            <a:latin typeface="Calibri"/>
            <a:ea typeface="+mn-ea"/>
            <a:cs typeface="+mn-cs"/>
          </a:endParaRPr>
        </a:p>
      </dgm:t>
    </dgm:pt>
    <dgm:pt modelId="{9ECB21E4-541A-4E4D-B26E-647036C4AFAD}" type="parTrans" cxnId="{B0231C49-C522-4EDC-9022-29318BB11A6E}">
      <dgm:prSet/>
      <dgm:spPr/>
      <dgm:t>
        <a:bodyPr/>
        <a:lstStyle/>
        <a:p>
          <a:endParaRPr lang="cs-CZ"/>
        </a:p>
      </dgm:t>
    </dgm:pt>
    <dgm:pt modelId="{89884833-349F-4E2D-9C62-87577FB36A9C}" type="sibTrans" cxnId="{B0231C49-C522-4EDC-9022-29318BB11A6E}">
      <dgm:prSet/>
      <dgm:spPr>
        <a:xfrm>
          <a:off x="780200" y="242071"/>
          <a:ext cx="4293438" cy="4293438"/>
        </a:xfrm>
      </dgm:spPr>
      <dgm:t>
        <a:bodyPr/>
        <a:lstStyle/>
        <a:p>
          <a:endParaRPr lang="cs-CZ"/>
        </a:p>
      </dgm:t>
    </dgm:pt>
    <dgm:pt modelId="{5FD615B3-299F-4F4B-9E10-B6E6311924E3}">
      <dgm:prSet phldrT="[Text]" custT="1"/>
      <dgm:spPr>
        <a:xfrm>
          <a:off x="3665106" y="4030042"/>
          <a:ext cx="670344" cy="435724"/>
        </a:xfrm>
      </dgm:spPr>
      <dgm:t>
        <a:bodyPr/>
        <a:lstStyle/>
        <a:p>
          <a:r>
            <a:rPr lang="cs-CZ" sz="800" dirty="0" smtClean="0">
              <a:latin typeface="Calibri"/>
              <a:ea typeface="+mn-ea"/>
              <a:cs typeface="+mn-cs"/>
            </a:rPr>
            <a:t>Vnější připomínkové řízení </a:t>
          </a:r>
          <a:endParaRPr lang="cs-CZ" sz="800" dirty="0">
            <a:latin typeface="Calibri"/>
            <a:ea typeface="+mn-ea"/>
            <a:cs typeface="+mn-cs"/>
          </a:endParaRPr>
        </a:p>
      </dgm:t>
    </dgm:pt>
    <dgm:pt modelId="{37CEF19E-E523-48F7-834B-01F0AB01BD5F}" type="parTrans" cxnId="{02DC9E91-5D5D-4EBB-B1DC-EDCB673E4CE0}">
      <dgm:prSet/>
      <dgm:spPr/>
      <dgm:t>
        <a:bodyPr/>
        <a:lstStyle/>
        <a:p>
          <a:endParaRPr lang="cs-CZ"/>
        </a:p>
      </dgm:t>
    </dgm:pt>
    <dgm:pt modelId="{D552756A-B01B-477D-861E-ED767610FC2E}" type="sibTrans" cxnId="{02DC9E91-5D5D-4EBB-B1DC-EDCB673E4CE0}">
      <dgm:prSet/>
      <dgm:spPr>
        <a:xfrm>
          <a:off x="780200" y="242071"/>
          <a:ext cx="4293438" cy="4293438"/>
        </a:xfrm>
      </dgm:spPr>
      <dgm:t>
        <a:bodyPr/>
        <a:lstStyle/>
        <a:p>
          <a:endParaRPr lang="cs-CZ"/>
        </a:p>
      </dgm:t>
    </dgm:pt>
    <dgm:pt modelId="{5C140D26-D860-4E87-8F31-3DB0BBC9D83B}">
      <dgm:prSet phldrT="[Text]" custT="1"/>
      <dgm:spPr>
        <a:xfrm>
          <a:off x="2420812" y="4336865"/>
          <a:ext cx="1012214" cy="397288"/>
        </a:xfrm>
      </dgm:spPr>
      <dgm:t>
        <a:bodyPr/>
        <a:lstStyle/>
        <a:p>
          <a:r>
            <a:rPr lang="cs-CZ" sz="800" dirty="0" smtClean="0">
              <a:latin typeface="Calibri"/>
              <a:ea typeface="+mn-ea"/>
              <a:cs typeface="+mn-cs"/>
            </a:rPr>
            <a:t>Předložení návrhu LRV – přezkum kvality RIA Komisí RIA</a:t>
          </a:r>
          <a:endParaRPr lang="cs-CZ" sz="800" dirty="0">
            <a:latin typeface="Calibri"/>
            <a:ea typeface="+mn-ea"/>
            <a:cs typeface="+mn-cs"/>
          </a:endParaRPr>
        </a:p>
      </dgm:t>
    </dgm:pt>
    <dgm:pt modelId="{FA7F043C-B5E1-4024-84B3-E68CC0351B63}" type="parTrans" cxnId="{B5525A7B-3400-4853-B6FC-17BD5D3E33F1}">
      <dgm:prSet/>
      <dgm:spPr/>
      <dgm:t>
        <a:bodyPr/>
        <a:lstStyle/>
        <a:p>
          <a:endParaRPr lang="cs-CZ"/>
        </a:p>
      </dgm:t>
    </dgm:pt>
    <dgm:pt modelId="{2F6F0EC1-3455-4063-B4F0-122D0346BD47}" type="sibTrans" cxnId="{B5525A7B-3400-4853-B6FC-17BD5D3E33F1}">
      <dgm:prSet/>
      <dgm:spPr>
        <a:xfrm>
          <a:off x="780200" y="242071"/>
          <a:ext cx="4293438" cy="4293438"/>
        </a:xfrm>
      </dgm:spPr>
      <dgm:t>
        <a:bodyPr/>
        <a:lstStyle/>
        <a:p>
          <a:endParaRPr lang="cs-CZ"/>
        </a:p>
      </dgm:t>
    </dgm:pt>
    <dgm:pt modelId="{BC658358-7BDC-40D8-9982-1B58C6DA4F13}">
      <dgm:prSet phldrT="[Text]" custT="1"/>
      <dgm:spPr>
        <a:xfrm>
          <a:off x="1518387" y="4030042"/>
          <a:ext cx="670344" cy="435724"/>
        </a:xfrm>
      </dgm:spPr>
      <dgm:t>
        <a:bodyPr/>
        <a:lstStyle/>
        <a:p>
          <a:r>
            <a:rPr lang="cs-CZ" sz="800" dirty="0" smtClean="0">
              <a:latin typeface="Calibri"/>
              <a:ea typeface="+mn-ea"/>
              <a:cs typeface="+mn-cs"/>
            </a:rPr>
            <a:t>Projednání a schválení návrhu Vládou ČR</a:t>
          </a:r>
          <a:endParaRPr lang="cs-CZ" sz="800" dirty="0">
            <a:latin typeface="Calibri"/>
            <a:ea typeface="+mn-ea"/>
            <a:cs typeface="+mn-cs"/>
          </a:endParaRPr>
        </a:p>
      </dgm:t>
    </dgm:pt>
    <dgm:pt modelId="{1E920D56-2430-4FD7-86A9-D52101E640D0}" type="parTrans" cxnId="{C1F2BE88-EF0A-4ED3-B047-D36B3FF46D5A}">
      <dgm:prSet/>
      <dgm:spPr/>
      <dgm:t>
        <a:bodyPr/>
        <a:lstStyle/>
        <a:p>
          <a:endParaRPr lang="cs-CZ"/>
        </a:p>
      </dgm:t>
    </dgm:pt>
    <dgm:pt modelId="{82E7C138-1753-4C91-89D0-FC9E19602D9A}" type="sibTrans" cxnId="{C1F2BE88-EF0A-4ED3-B047-D36B3FF46D5A}">
      <dgm:prSet/>
      <dgm:spPr>
        <a:xfrm>
          <a:off x="780200" y="242071"/>
          <a:ext cx="4293438" cy="4293438"/>
        </a:xfrm>
      </dgm:spPr>
      <dgm:t>
        <a:bodyPr/>
        <a:lstStyle/>
        <a:p>
          <a:endParaRPr lang="cs-CZ"/>
        </a:p>
      </dgm:t>
    </dgm:pt>
    <dgm:pt modelId="{FF032276-961A-4A61-8FBB-874F27BC2490}">
      <dgm:prSet custT="1"/>
      <dgm:spPr>
        <a:xfrm>
          <a:off x="732633" y="3244288"/>
          <a:ext cx="670344" cy="435724"/>
        </a:xfrm>
      </dgm:spPr>
      <dgm:t>
        <a:bodyPr/>
        <a:lstStyle/>
        <a:p>
          <a:r>
            <a:rPr lang="cs-CZ" sz="800" dirty="0" smtClean="0">
              <a:latin typeface="Calibri"/>
              <a:ea typeface="+mn-ea"/>
              <a:cs typeface="+mn-cs"/>
            </a:rPr>
            <a:t>Projednání a schválení návrhu v Parlamentu ČR</a:t>
          </a:r>
          <a:endParaRPr lang="cs-CZ" sz="800" dirty="0">
            <a:latin typeface="Calibri"/>
            <a:ea typeface="+mn-ea"/>
            <a:cs typeface="+mn-cs"/>
          </a:endParaRPr>
        </a:p>
      </dgm:t>
    </dgm:pt>
    <dgm:pt modelId="{2E12660C-3578-4A4E-91E8-B7A2152D1C6D}" type="parTrans" cxnId="{FC3A422D-60B8-4827-9D8A-E10A2B0E17A4}">
      <dgm:prSet/>
      <dgm:spPr/>
      <dgm:t>
        <a:bodyPr/>
        <a:lstStyle/>
        <a:p>
          <a:endParaRPr lang="cs-CZ"/>
        </a:p>
      </dgm:t>
    </dgm:pt>
    <dgm:pt modelId="{A440E4F5-7B2F-40F7-BC89-A8C0361E15F6}" type="sibTrans" cxnId="{FC3A422D-60B8-4827-9D8A-E10A2B0E17A4}">
      <dgm:prSet/>
      <dgm:spPr>
        <a:xfrm>
          <a:off x="780200" y="242071"/>
          <a:ext cx="4293438" cy="4293438"/>
        </a:xfrm>
      </dgm:spPr>
      <dgm:t>
        <a:bodyPr/>
        <a:lstStyle/>
        <a:p>
          <a:endParaRPr lang="cs-CZ"/>
        </a:p>
      </dgm:t>
    </dgm:pt>
    <dgm:pt modelId="{0831E8C2-06B6-499A-B9C9-A47992195D03}">
      <dgm:prSet custT="1"/>
      <dgm:spPr>
        <a:xfrm>
          <a:off x="576306" y="1034419"/>
          <a:ext cx="983000" cy="562023"/>
        </a:xfrm>
      </dgm:spPr>
      <dgm:t>
        <a:bodyPr/>
        <a:lstStyle/>
        <a:p>
          <a:r>
            <a:rPr lang="cs-CZ" sz="800" dirty="0" smtClean="0">
              <a:latin typeface="Calibri"/>
              <a:ea typeface="+mn-ea"/>
              <a:cs typeface="+mn-cs"/>
            </a:rPr>
            <a:t>Ex-post RIA: vyhodnocení potřeby novelizace či zrušení nepotřebného právního předpisu</a:t>
          </a:r>
          <a:endParaRPr lang="cs-CZ" sz="800" dirty="0">
            <a:latin typeface="Calibri"/>
            <a:ea typeface="+mn-ea"/>
            <a:cs typeface="+mn-cs"/>
          </a:endParaRPr>
        </a:p>
      </dgm:t>
    </dgm:pt>
    <dgm:pt modelId="{26E989FC-DF21-4F69-88E6-1ED3025C01BB}" type="parTrans" cxnId="{13205A36-A29C-4EAB-909A-678059AE84A2}">
      <dgm:prSet/>
      <dgm:spPr/>
      <dgm:t>
        <a:bodyPr/>
        <a:lstStyle/>
        <a:p>
          <a:endParaRPr lang="cs-CZ"/>
        </a:p>
      </dgm:t>
    </dgm:pt>
    <dgm:pt modelId="{4586F40A-A213-4A77-BC9C-4C581B50F345}" type="sibTrans" cxnId="{13205A36-A29C-4EAB-909A-678059AE84A2}">
      <dgm:prSet/>
      <dgm:spPr>
        <a:xfrm>
          <a:off x="780200" y="242071"/>
          <a:ext cx="4293438" cy="4293438"/>
        </a:xfrm>
      </dgm:spPr>
      <dgm:t>
        <a:bodyPr/>
        <a:lstStyle/>
        <a:p>
          <a:endParaRPr lang="cs-CZ"/>
        </a:p>
      </dgm:t>
    </dgm:pt>
    <dgm:pt modelId="{08C751FB-CA7D-4131-98B9-7677024B9E4A}">
      <dgm:prSet custT="1"/>
      <dgm:spPr>
        <a:xfrm>
          <a:off x="418110" y="2108354"/>
          <a:ext cx="724180" cy="560872"/>
        </a:xfrm>
      </dgm:spPr>
      <dgm:t>
        <a:bodyPr/>
        <a:lstStyle/>
        <a:p>
          <a:r>
            <a:rPr lang="cs-CZ" sz="800" dirty="0" smtClean="0">
              <a:latin typeface="Calibri"/>
              <a:ea typeface="+mn-ea"/>
              <a:cs typeface="+mn-cs"/>
            </a:rPr>
            <a:t>Vyhlášení ve Sbírce zákonů - implementace</a:t>
          </a:r>
          <a:endParaRPr lang="cs-CZ" sz="800" dirty="0">
            <a:latin typeface="Calibri"/>
            <a:ea typeface="+mn-ea"/>
            <a:cs typeface="+mn-cs"/>
          </a:endParaRPr>
        </a:p>
      </dgm:t>
    </dgm:pt>
    <dgm:pt modelId="{A587F5AD-EC88-46AE-9C93-C2D2E262E66F}" type="parTrans" cxnId="{43E99182-A84F-441E-9E4C-01049B2253FB}">
      <dgm:prSet/>
      <dgm:spPr/>
      <dgm:t>
        <a:bodyPr/>
        <a:lstStyle/>
        <a:p>
          <a:endParaRPr lang="cs-CZ"/>
        </a:p>
      </dgm:t>
    </dgm:pt>
    <dgm:pt modelId="{314BC627-F4E6-4CB4-A986-05EAF43C86F0}" type="sibTrans" cxnId="{43E99182-A84F-441E-9E4C-01049B2253FB}">
      <dgm:prSet/>
      <dgm:spPr>
        <a:xfrm>
          <a:off x="780200" y="242071"/>
          <a:ext cx="4293438" cy="4293438"/>
        </a:xfrm>
      </dgm:spPr>
      <dgm:t>
        <a:bodyPr/>
        <a:lstStyle/>
        <a:p>
          <a:endParaRPr lang="cs-CZ"/>
        </a:p>
      </dgm:t>
    </dgm:pt>
    <dgm:pt modelId="{11506378-F80F-4831-964A-3BBE8F6D0DCC}">
      <dgm:prSet custT="1"/>
      <dgm:spPr>
        <a:xfrm>
          <a:off x="1375570" y="235151"/>
          <a:ext cx="955978" cy="589051"/>
        </a:xfrm>
      </dgm:spPr>
      <dgm:t>
        <a:bodyPr/>
        <a:lstStyle/>
        <a:p>
          <a:r>
            <a:rPr lang="cs-CZ" sz="800" dirty="0" smtClean="0">
              <a:latin typeface="Calibri"/>
              <a:ea typeface="+mn-ea"/>
              <a:cs typeface="+mn-cs"/>
            </a:rPr>
            <a:t>Zpracování přehledu dopadů plánovaného právního předpisu </a:t>
          </a:r>
          <a:endParaRPr lang="cs-CZ" sz="800" dirty="0">
            <a:latin typeface="Calibri"/>
            <a:ea typeface="+mn-ea"/>
            <a:cs typeface="+mn-cs"/>
          </a:endParaRPr>
        </a:p>
      </dgm:t>
    </dgm:pt>
    <dgm:pt modelId="{55B91525-451F-4FAA-9CD8-E308ECAC1BAB}" type="parTrans" cxnId="{2E5DC080-395B-4FC1-8413-681E3138EE2D}">
      <dgm:prSet/>
      <dgm:spPr/>
      <dgm:t>
        <a:bodyPr/>
        <a:lstStyle/>
        <a:p>
          <a:endParaRPr lang="cs-CZ"/>
        </a:p>
      </dgm:t>
    </dgm:pt>
    <dgm:pt modelId="{03C7DE92-6748-4995-8049-ED6C73A75DF1}" type="sibTrans" cxnId="{2E5DC080-395B-4FC1-8413-681E3138EE2D}">
      <dgm:prSet/>
      <dgm:spPr>
        <a:xfrm>
          <a:off x="780200" y="242071"/>
          <a:ext cx="4293438" cy="4293438"/>
        </a:xfrm>
      </dgm:spPr>
      <dgm:t>
        <a:bodyPr/>
        <a:lstStyle/>
        <a:p>
          <a:endParaRPr lang="cs-CZ"/>
        </a:p>
      </dgm:t>
    </dgm:pt>
    <dgm:pt modelId="{6B4F8F26-7EA3-4475-8D2A-8BA69373DFB5}" type="pres">
      <dgm:prSet presAssocID="{13E4FEB3-1A8B-46D0-8EFF-12CBB14C930E}" presName="cycle" presStyleCnt="0">
        <dgm:presLayoutVars>
          <dgm:dir/>
          <dgm:resizeHandles val="exact"/>
        </dgm:presLayoutVars>
      </dgm:prSet>
      <dgm:spPr/>
      <dgm:t>
        <a:bodyPr/>
        <a:lstStyle/>
        <a:p>
          <a:endParaRPr lang="cs-CZ"/>
        </a:p>
      </dgm:t>
    </dgm:pt>
    <dgm:pt modelId="{2206530E-A551-4144-AC1F-421200388F44}" type="pres">
      <dgm:prSet presAssocID="{42D2F141-C5C9-4C8E-AB1F-5F4C66C18A6C}" presName="node" presStyleLbl="node1" presStyleIdx="0" presStyleCnt="12" custScaleX="145000" custScaleY="107407" custRadScaleRad="99788" custRadScaleInc="48007">
        <dgm:presLayoutVars>
          <dgm:bulletEnabled val="1"/>
        </dgm:presLayoutVars>
      </dgm:prSet>
      <dgm:spPr/>
      <dgm:t>
        <a:bodyPr/>
        <a:lstStyle/>
        <a:p>
          <a:endParaRPr lang="cs-CZ"/>
        </a:p>
      </dgm:t>
    </dgm:pt>
    <dgm:pt modelId="{D896DF83-D75F-420F-BFEC-EBAA85AA0EC0}" type="pres">
      <dgm:prSet presAssocID="{42D2F141-C5C9-4C8E-AB1F-5F4C66C18A6C}" presName="spNode" presStyleCnt="0"/>
      <dgm:spPr/>
      <dgm:t>
        <a:bodyPr/>
        <a:lstStyle/>
        <a:p>
          <a:endParaRPr lang="cs-CZ"/>
        </a:p>
      </dgm:t>
    </dgm:pt>
    <dgm:pt modelId="{47A47C4D-230C-4207-92A6-0683D5DEF5F3}" type="pres">
      <dgm:prSet presAssocID="{A724F8E0-370C-4FCE-A78D-B4BB36E1AF5E}" presName="sibTrans" presStyleLbl="sibTrans1D1" presStyleIdx="0" presStyleCnt="12"/>
      <dgm:spPr/>
      <dgm:t>
        <a:bodyPr/>
        <a:lstStyle/>
        <a:p>
          <a:endParaRPr lang="cs-CZ"/>
        </a:p>
      </dgm:t>
    </dgm:pt>
    <dgm:pt modelId="{D655C376-10FD-4079-A42F-415ED7DF6174}" type="pres">
      <dgm:prSet presAssocID="{054D483F-1D92-4A27-823E-7CD7CB5F5C2C}" presName="node" presStyleLbl="node1" presStyleIdx="1" presStyleCnt="12" custScaleX="145000" custScaleY="107407" custRadScaleRad="100177" custRadScaleInc="78237">
        <dgm:presLayoutVars>
          <dgm:bulletEnabled val="1"/>
        </dgm:presLayoutVars>
      </dgm:prSet>
      <dgm:spPr/>
      <dgm:t>
        <a:bodyPr/>
        <a:lstStyle/>
        <a:p>
          <a:endParaRPr lang="cs-CZ"/>
        </a:p>
      </dgm:t>
    </dgm:pt>
    <dgm:pt modelId="{C8569CB4-5BE9-4EA3-B55F-01CFDA1CB42B}" type="pres">
      <dgm:prSet presAssocID="{054D483F-1D92-4A27-823E-7CD7CB5F5C2C}" presName="spNode" presStyleCnt="0"/>
      <dgm:spPr/>
      <dgm:t>
        <a:bodyPr/>
        <a:lstStyle/>
        <a:p>
          <a:endParaRPr lang="cs-CZ"/>
        </a:p>
      </dgm:t>
    </dgm:pt>
    <dgm:pt modelId="{98767331-D8F0-43C2-9071-15D948F70157}" type="pres">
      <dgm:prSet presAssocID="{16A434FE-F949-49BC-A549-BEF3DDA70E42}" presName="sibTrans" presStyleLbl="sibTrans1D1" presStyleIdx="1" presStyleCnt="12"/>
      <dgm:spPr/>
      <dgm:t>
        <a:bodyPr/>
        <a:lstStyle/>
        <a:p>
          <a:endParaRPr lang="cs-CZ"/>
        </a:p>
      </dgm:t>
    </dgm:pt>
    <dgm:pt modelId="{B98386AE-B20F-4D5C-9950-1E9FDD262C43}" type="pres">
      <dgm:prSet presAssocID="{5399C991-F233-4E71-9FFD-46657935221B}" presName="node" presStyleLbl="node1" presStyleIdx="2" presStyleCnt="12" custScaleX="145000" custScaleY="107407" custRadScaleRad="101393" custRadScaleInc="32705">
        <dgm:presLayoutVars>
          <dgm:bulletEnabled val="1"/>
        </dgm:presLayoutVars>
      </dgm:prSet>
      <dgm:spPr/>
      <dgm:t>
        <a:bodyPr/>
        <a:lstStyle/>
        <a:p>
          <a:endParaRPr lang="cs-CZ"/>
        </a:p>
      </dgm:t>
    </dgm:pt>
    <dgm:pt modelId="{D3BC58AC-54CA-446E-8753-DEEE976BFD5C}" type="pres">
      <dgm:prSet presAssocID="{5399C991-F233-4E71-9FFD-46657935221B}" presName="spNode" presStyleCnt="0"/>
      <dgm:spPr/>
      <dgm:t>
        <a:bodyPr/>
        <a:lstStyle/>
        <a:p>
          <a:endParaRPr lang="cs-CZ"/>
        </a:p>
      </dgm:t>
    </dgm:pt>
    <dgm:pt modelId="{26E4D712-ACD8-4991-8798-D26D2F83C6F4}" type="pres">
      <dgm:prSet presAssocID="{07FD0040-198D-4ABE-80F0-0A806ECFE0E3}" presName="sibTrans" presStyleLbl="sibTrans1D1" presStyleIdx="2" presStyleCnt="12"/>
      <dgm:spPr/>
      <dgm:t>
        <a:bodyPr/>
        <a:lstStyle/>
        <a:p>
          <a:endParaRPr lang="cs-CZ"/>
        </a:p>
      </dgm:t>
    </dgm:pt>
    <dgm:pt modelId="{1879D4BC-05BB-4C04-A112-8941BC03A8EB}" type="pres">
      <dgm:prSet presAssocID="{7577D7F6-C594-4CED-BD39-8DAEE74DFE58}" presName="node" presStyleLbl="node1" presStyleIdx="3" presStyleCnt="12" custScaleX="145000" custScaleY="115670">
        <dgm:presLayoutVars>
          <dgm:bulletEnabled val="1"/>
        </dgm:presLayoutVars>
      </dgm:prSet>
      <dgm:spPr/>
      <dgm:t>
        <a:bodyPr/>
        <a:lstStyle/>
        <a:p>
          <a:endParaRPr lang="cs-CZ"/>
        </a:p>
      </dgm:t>
    </dgm:pt>
    <dgm:pt modelId="{D5E1FD72-9BC4-4F70-9C42-9A53E6104CC7}" type="pres">
      <dgm:prSet presAssocID="{7577D7F6-C594-4CED-BD39-8DAEE74DFE58}" presName="spNode" presStyleCnt="0"/>
      <dgm:spPr/>
      <dgm:t>
        <a:bodyPr/>
        <a:lstStyle/>
        <a:p>
          <a:endParaRPr lang="cs-CZ"/>
        </a:p>
      </dgm:t>
    </dgm:pt>
    <dgm:pt modelId="{A998F4B2-83D2-42F0-9923-64B8FB44372A}" type="pres">
      <dgm:prSet presAssocID="{004AF1A9-250B-423E-9577-4F615FE796DE}" presName="sibTrans" presStyleLbl="sibTrans1D1" presStyleIdx="3" presStyleCnt="12"/>
      <dgm:spPr/>
      <dgm:t>
        <a:bodyPr/>
        <a:lstStyle/>
        <a:p>
          <a:endParaRPr lang="cs-CZ"/>
        </a:p>
      </dgm:t>
    </dgm:pt>
    <dgm:pt modelId="{0CD39AFA-3B3B-4E2F-A6B8-8C436C44D77B}" type="pres">
      <dgm:prSet presAssocID="{A4E6A90C-D788-44B6-871D-3E9E9E6FA5EA}" presName="node" presStyleLbl="node1" presStyleIdx="4" presStyleCnt="12" custScaleX="145000" custScaleY="107407">
        <dgm:presLayoutVars>
          <dgm:bulletEnabled val="1"/>
        </dgm:presLayoutVars>
      </dgm:prSet>
      <dgm:spPr/>
      <dgm:t>
        <a:bodyPr/>
        <a:lstStyle/>
        <a:p>
          <a:endParaRPr lang="cs-CZ"/>
        </a:p>
      </dgm:t>
    </dgm:pt>
    <dgm:pt modelId="{85F16F85-1BBD-4A53-986D-515B4BACBAF1}" type="pres">
      <dgm:prSet presAssocID="{A4E6A90C-D788-44B6-871D-3E9E9E6FA5EA}" presName="spNode" presStyleCnt="0"/>
      <dgm:spPr/>
      <dgm:t>
        <a:bodyPr/>
        <a:lstStyle/>
        <a:p>
          <a:endParaRPr lang="cs-CZ"/>
        </a:p>
      </dgm:t>
    </dgm:pt>
    <dgm:pt modelId="{C0367B10-D377-4140-A73F-465B08BFB148}" type="pres">
      <dgm:prSet presAssocID="{89884833-349F-4E2D-9C62-87577FB36A9C}" presName="sibTrans" presStyleLbl="sibTrans1D1" presStyleIdx="4" presStyleCnt="12"/>
      <dgm:spPr/>
      <dgm:t>
        <a:bodyPr/>
        <a:lstStyle/>
        <a:p>
          <a:endParaRPr lang="cs-CZ"/>
        </a:p>
      </dgm:t>
    </dgm:pt>
    <dgm:pt modelId="{554A1FA1-A354-41E0-8103-EAB40BC83513}" type="pres">
      <dgm:prSet presAssocID="{5FD615B3-299F-4F4B-9E10-B6E6311924E3}" presName="node" presStyleLbl="node1" presStyleIdx="5" presStyleCnt="12" custScaleX="145000" custScaleY="98179" custRadScaleRad="98941" custRadScaleInc="-33517">
        <dgm:presLayoutVars>
          <dgm:bulletEnabled val="1"/>
        </dgm:presLayoutVars>
      </dgm:prSet>
      <dgm:spPr/>
      <dgm:t>
        <a:bodyPr/>
        <a:lstStyle/>
        <a:p>
          <a:endParaRPr lang="cs-CZ"/>
        </a:p>
      </dgm:t>
    </dgm:pt>
    <dgm:pt modelId="{2C596827-9A20-447E-8CD2-13201AA7A766}" type="pres">
      <dgm:prSet presAssocID="{5FD615B3-299F-4F4B-9E10-B6E6311924E3}" presName="spNode" presStyleCnt="0"/>
      <dgm:spPr/>
      <dgm:t>
        <a:bodyPr/>
        <a:lstStyle/>
        <a:p>
          <a:endParaRPr lang="cs-CZ"/>
        </a:p>
      </dgm:t>
    </dgm:pt>
    <dgm:pt modelId="{161105D0-3CC4-4AD0-9207-616CA70C977C}" type="pres">
      <dgm:prSet presAssocID="{D552756A-B01B-477D-861E-ED767610FC2E}" presName="sibTrans" presStyleLbl="sibTrans1D1" presStyleIdx="5" presStyleCnt="12"/>
      <dgm:spPr/>
      <dgm:t>
        <a:bodyPr/>
        <a:lstStyle/>
        <a:p>
          <a:endParaRPr lang="cs-CZ"/>
        </a:p>
      </dgm:t>
    </dgm:pt>
    <dgm:pt modelId="{13162AD9-4189-46BC-825C-E1204A75BADC}" type="pres">
      <dgm:prSet presAssocID="{5C140D26-D860-4E87-8F31-3DB0BBC9D83B}" presName="node" presStyleLbl="node1" presStyleIdx="6" presStyleCnt="12" custScaleX="145000" custScaleY="115670">
        <dgm:presLayoutVars>
          <dgm:bulletEnabled val="1"/>
        </dgm:presLayoutVars>
      </dgm:prSet>
      <dgm:spPr/>
      <dgm:t>
        <a:bodyPr/>
        <a:lstStyle/>
        <a:p>
          <a:endParaRPr lang="cs-CZ"/>
        </a:p>
      </dgm:t>
    </dgm:pt>
    <dgm:pt modelId="{6278A904-0FBA-4FFE-B441-BCCF3C767568}" type="pres">
      <dgm:prSet presAssocID="{5C140D26-D860-4E87-8F31-3DB0BBC9D83B}" presName="spNode" presStyleCnt="0"/>
      <dgm:spPr/>
      <dgm:t>
        <a:bodyPr/>
        <a:lstStyle/>
        <a:p>
          <a:endParaRPr lang="cs-CZ"/>
        </a:p>
      </dgm:t>
    </dgm:pt>
    <dgm:pt modelId="{FE7EA3FC-165E-4DD0-A762-AEF250FC17D2}" type="pres">
      <dgm:prSet presAssocID="{2F6F0EC1-3455-4063-B4F0-122D0346BD47}" presName="sibTrans" presStyleLbl="sibTrans1D1" presStyleIdx="6" presStyleCnt="12"/>
      <dgm:spPr/>
      <dgm:t>
        <a:bodyPr/>
        <a:lstStyle/>
        <a:p>
          <a:endParaRPr lang="cs-CZ"/>
        </a:p>
      </dgm:t>
    </dgm:pt>
    <dgm:pt modelId="{D0E9D7AB-C608-4031-BC7B-D3643169C5A3}" type="pres">
      <dgm:prSet presAssocID="{BC658358-7BDC-40D8-9982-1B58C6DA4F13}" presName="node" presStyleLbl="node1" presStyleIdx="7" presStyleCnt="12" custScaleX="145000" custScaleY="107407" custRadScaleRad="98013" custRadScaleInc="74493">
        <dgm:presLayoutVars>
          <dgm:bulletEnabled val="1"/>
        </dgm:presLayoutVars>
      </dgm:prSet>
      <dgm:spPr/>
      <dgm:t>
        <a:bodyPr/>
        <a:lstStyle/>
        <a:p>
          <a:endParaRPr lang="cs-CZ"/>
        </a:p>
      </dgm:t>
    </dgm:pt>
    <dgm:pt modelId="{6A0EAE09-858D-4D8B-881E-31EDD4071321}" type="pres">
      <dgm:prSet presAssocID="{BC658358-7BDC-40D8-9982-1B58C6DA4F13}" presName="spNode" presStyleCnt="0"/>
      <dgm:spPr/>
      <dgm:t>
        <a:bodyPr/>
        <a:lstStyle/>
        <a:p>
          <a:endParaRPr lang="cs-CZ"/>
        </a:p>
      </dgm:t>
    </dgm:pt>
    <dgm:pt modelId="{8B390A4D-1131-4376-AA96-518793A6E266}" type="pres">
      <dgm:prSet presAssocID="{82E7C138-1753-4C91-89D0-FC9E19602D9A}" presName="sibTrans" presStyleLbl="sibTrans1D1" presStyleIdx="7" presStyleCnt="12"/>
      <dgm:spPr/>
      <dgm:t>
        <a:bodyPr/>
        <a:lstStyle/>
        <a:p>
          <a:endParaRPr lang="cs-CZ"/>
        </a:p>
      </dgm:t>
    </dgm:pt>
    <dgm:pt modelId="{17E021AF-5015-40E2-9AB0-A2A30AFF3ECF}" type="pres">
      <dgm:prSet presAssocID="{FF032276-961A-4A61-8FBB-874F27BC2490}" presName="node" presStyleLbl="node1" presStyleIdx="8" presStyleCnt="12" custScaleX="145000" custScaleY="107407" custRadScaleRad="101058" custRadScaleInc="53877">
        <dgm:presLayoutVars>
          <dgm:bulletEnabled val="1"/>
        </dgm:presLayoutVars>
      </dgm:prSet>
      <dgm:spPr/>
      <dgm:t>
        <a:bodyPr/>
        <a:lstStyle/>
        <a:p>
          <a:endParaRPr lang="cs-CZ"/>
        </a:p>
      </dgm:t>
    </dgm:pt>
    <dgm:pt modelId="{B942459E-5EE3-435E-8DE4-B6EB76739571}" type="pres">
      <dgm:prSet presAssocID="{FF032276-961A-4A61-8FBB-874F27BC2490}" presName="spNode" presStyleCnt="0"/>
      <dgm:spPr/>
      <dgm:t>
        <a:bodyPr/>
        <a:lstStyle/>
        <a:p>
          <a:endParaRPr lang="cs-CZ"/>
        </a:p>
      </dgm:t>
    </dgm:pt>
    <dgm:pt modelId="{27151162-B32C-4BD3-B5CA-2BE31F6CFC08}" type="pres">
      <dgm:prSet presAssocID="{A440E4F5-7B2F-40F7-BC89-A8C0361E15F6}" presName="sibTrans" presStyleLbl="sibTrans1D1" presStyleIdx="8" presStyleCnt="12"/>
      <dgm:spPr/>
      <dgm:t>
        <a:bodyPr/>
        <a:lstStyle/>
        <a:p>
          <a:endParaRPr lang="cs-CZ"/>
        </a:p>
      </dgm:t>
    </dgm:pt>
    <dgm:pt modelId="{D8923BE6-147B-40DE-9F41-1C28F21834F4}" type="pres">
      <dgm:prSet presAssocID="{08C751FB-CA7D-4131-98B9-7677024B9E4A}" presName="node" presStyleLbl="node1" presStyleIdx="9" presStyleCnt="12" custScaleX="145000" custScaleY="107407">
        <dgm:presLayoutVars>
          <dgm:bulletEnabled val="1"/>
        </dgm:presLayoutVars>
      </dgm:prSet>
      <dgm:spPr/>
      <dgm:t>
        <a:bodyPr/>
        <a:lstStyle/>
        <a:p>
          <a:endParaRPr lang="cs-CZ"/>
        </a:p>
      </dgm:t>
    </dgm:pt>
    <dgm:pt modelId="{C0C17303-BC6C-4A09-BBD3-D0649A664494}" type="pres">
      <dgm:prSet presAssocID="{08C751FB-CA7D-4131-98B9-7677024B9E4A}" presName="spNode" presStyleCnt="0"/>
      <dgm:spPr/>
      <dgm:t>
        <a:bodyPr/>
        <a:lstStyle/>
        <a:p>
          <a:endParaRPr lang="cs-CZ"/>
        </a:p>
      </dgm:t>
    </dgm:pt>
    <dgm:pt modelId="{9F8AB2E5-F911-42C6-A61D-3A329FC224B3}" type="pres">
      <dgm:prSet presAssocID="{314BC627-F4E6-4CB4-A986-05EAF43C86F0}" presName="sibTrans" presStyleLbl="sibTrans1D1" presStyleIdx="9" presStyleCnt="12"/>
      <dgm:spPr/>
      <dgm:t>
        <a:bodyPr/>
        <a:lstStyle/>
        <a:p>
          <a:endParaRPr lang="cs-CZ"/>
        </a:p>
      </dgm:t>
    </dgm:pt>
    <dgm:pt modelId="{2E73D2E7-8CBD-4DA5-8B80-A47A35B56969}" type="pres">
      <dgm:prSet presAssocID="{0831E8C2-06B6-499A-B9C9-A47992195D03}" presName="node" presStyleLbl="node1" presStyleIdx="10" presStyleCnt="12" custScaleX="145000" custScaleY="156980" custRadScaleRad="100470" custRadScaleInc="-10577">
        <dgm:presLayoutVars>
          <dgm:bulletEnabled val="1"/>
        </dgm:presLayoutVars>
      </dgm:prSet>
      <dgm:spPr/>
      <dgm:t>
        <a:bodyPr/>
        <a:lstStyle/>
        <a:p>
          <a:endParaRPr lang="cs-CZ"/>
        </a:p>
      </dgm:t>
    </dgm:pt>
    <dgm:pt modelId="{9F965332-0BF8-47B4-96D1-A3B608175798}" type="pres">
      <dgm:prSet presAssocID="{0831E8C2-06B6-499A-B9C9-A47992195D03}" presName="spNode" presStyleCnt="0"/>
      <dgm:spPr/>
      <dgm:t>
        <a:bodyPr/>
        <a:lstStyle/>
        <a:p>
          <a:endParaRPr lang="cs-CZ"/>
        </a:p>
      </dgm:t>
    </dgm:pt>
    <dgm:pt modelId="{42A2FCF1-1378-44FE-9180-F04831953053}" type="pres">
      <dgm:prSet presAssocID="{4586F40A-A213-4A77-BC9C-4C581B50F345}" presName="sibTrans" presStyleLbl="sibTrans1D1" presStyleIdx="10" presStyleCnt="12"/>
      <dgm:spPr/>
      <dgm:t>
        <a:bodyPr/>
        <a:lstStyle/>
        <a:p>
          <a:endParaRPr lang="cs-CZ"/>
        </a:p>
      </dgm:t>
    </dgm:pt>
    <dgm:pt modelId="{6690A6DF-DCCA-44BE-835C-C1BD2F4929EE}" type="pres">
      <dgm:prSet presAssocID="{11506378-F80F-4831-964A-3BBE8F6D0DCC}" presName="node" presStyleLbl="node1" presStyleIdx="11" presStyleCnt="12" custScaleX="145537" custScaleY="115670">
        <dgm:presLayoutVars>
          <dgm:bulletEnabled val="1"/>
        </dgm:presLayoutVars>
      </dgm:prSet>
      <dgm:spPr/>
      <dgm:t>
        <a:bodyPr/>
        <a:lstStyle/>
        <a:p>
          <a:endParaRPr lang="cs-CZ"/>
        </a:p>
      </dgm:t>
    </dgm:pt>
    <dgm:pt modelId="{26E4797A-2EE8-4B08-A550-FEE24F4ACE1E}" type="pres">
      <dgm:prSet presAssocID="{11506378-F80F-4831-964A-3BBE8F6D0DCC}" presName="spNode" presStyleCnt="0"/>
      <dgm:spPr/>
      <dgm:t>
        <a:bodyPr/>
        <a:lstStyle/>
        <a:p>
          <a:endParaRPr lang="cs-CZ"/>
        </a:p>
      </dgm:t>
    </dgm:pt>
    <dgm:pt modelId="{D3DB162D-C99E-4B7B-AD44-30C5753D03F0}" type="pres">
      <dgm:prSet presAssocID="{03C7DE92-6748-4995-8049-ED6C73A75DF1}" presName="sibTrans" presStyleLbl="sibTrans1D1" presStyleIdx="11" presStyleCnt="12"/>
      <dgm:spPr/>
      <dgm:t>
        <a:bodyPr/>
        <a:lstStyle/>
        <a:p>
          <a:endParaRPr lang="cs-CZ"/>
        </a:p>
      </dgm:t>
    </dgm:pt>
  </dgm:ptLst>
  <dgm:cxnLst>
    <dgm:cxn modelId="{414DD4AF-79B6-48C8-9135-5388059D6353}" type="presOf" srcId="{004AF1A9-250B-423E-9577-4F615FE796DE}" destId="{A998F4B2-83D2-42F0-9923-64B8FB44372A}" srcOrd="0" destOrd="0" presId="urn:microsoft.com/office/officeart/2005/8/layout/cycle6"/>
    <dgm:cxn modelId="{32436BCE-55AD-405B-824F-353C600AC3A5}" srcId="{13E4FEB3-1A8B-46D0-8EFF-12CBB14C930E}" destId="{7577D7F6-C594-4CED-BD39-8DAEE74DFE58}" srcOrd="3" destOrd="0" parTransId="{100C3A51-3D4A-40BF-A4C5-DB6334734E0A}" sibTransId="{004AF1A9-250B-423E-9577-4F615FE796DE}"/>
    <dgm:cxn modelId="{B0231C49-C522-4EDC-9022-29318BB11A6E}" srcId="{13E4FEB3-1A8B-46D0-8EFF-12CBB14C930E}" destId="{A4E6A90C-D788-44B6-871D-3E9E9E6FA5EA}" srcOrd="4" destOrd="0" parTransId="{9ECB21E4-541A-4E4D-B26E-647036C4AFAD}" sibTransId="{89884833-349F-4E2D-9C62-87577FB36A9C}"/>
    <dgm:cxn modelId="{9067265E-AEAC-4C78-A30B-8D9A1D154EB9}" srcId="{13E4FEB3-1A8B-46D0-8EFF-12CBB14C930E}" destId="{42D2F141-C5C9-4C8E-AB1F-5F4C66C18A6C}" srcOrd="0" destOrd="0" parTransId="{510DFC80-F8E4-4EA8-9B81-35AEC007F3CD}" sibTransId="{A724F8E0-370C-4FCE-A78D-B4BB36E1AF5E}"/>
    <dgm:cxn modelId="{FD4AACA6-0D32-4B20-99BC-6406C2040137}" type="presOf" srcId="{13E4FEB3-1A8B-46D0-8EFF-12CBB14C930E}" destId="{6B4F8F26-7EA3-4475-8D2A-8BA69373DFB5}" srcOrd="0" destOrd="0" presId="urn:microsoft.com/office/officeart/2005/8/layout/cycle6"/>
    <dgm:cxn modelId="{C1D121ED-A47A-488D-BA33-1AF3F6338CD0}" type="presOf" srcId="{16A434FE-F949-49BC-A549-BEF3DDA70E42}" destId="{98767331-D8F0-43C2-9071-15D948F70157}" srcOrd="0" destOrd="0" presId="urn:microsoft.com/office/officeart/2005/8/layout/cycle6"/>
    <dgm:cxn modelId="{02DC9E91-5D5D-4EBB-B1DC-EDCB673E4CE0}" srcId="{13E4FEB3-1A8B-46D0-8EFF-12CBB14C930E}" destId="{5FD615B3-299F-4F4B-9E10-B6E6311924E3}" srcOrd="5" destOrd="0" parTransId="{37CEF19E-E523-48F7-834B-01F0AB01BD5F}" sibTransId="{D552756A-B01B-477D-861E-ED767610FC2E}"/>
    <dgm:cxn modelId="{FC3A422D-60B8-4827-9D8A-E10A2B0E17A4}" srcId="{13E4FEB3-1A8B-46D0-8EFF-12CBB14C930E}" destId="{FF032276-961A-4A61-8FBB-874F27BC2490}" srcOrd="8" destOrd="0" parTransId="{2E12660C-3578-4A4E-91E8-B7A2152D1C6D}" sibTransId="{A440E4F5-7B2F-40F7-BC89-A8C0361E15F6}"/>
    <dgm:cxn modelId="{13205A36-A29C-4EAB-909A-678059AE84A2}" srcId="{13E4FEB3-1A8B-46D0-8EFF-12CBB14C930E}" destId="{0831E8C2-06B6-499A-B9C9-A47992195D03}" srcOrd="10" destOrd="0" parTransId="{26E989FC-DF21-4F69-88E6-1ED3025C01BB}" sibTransId="{4586F40A-A213-4A77-BC9C-4C581B50F345}"/>
    <dgm:cxn modelId="{816246DC-20CA-440A-81E9-FDBF7E796CEC}" type="presOf" srcId="{2F6F0EC1-3455-4063-B4F0-122D0346BD47}" destId="{FE7EA3FC-165E-4DD0-A762-AEF250FC17D2}" srcOrd="0" destOrd="0" presId="urn:microsoft.com/office/officeart/2005/8/layout/cycle6"/>
    <dgm:cxn modelId="{253E531E-1BFE-4C04-B563-BD72835616F6}" srcId="{13E4FEB3-1A8B-46D0-8EFF-12CBB14C930E}" destId="{5399C991-F233-4E71-9FFD-46657935221B}" srcOrd="2" destOrd="0" parTransId="{B066D129-50D3-4BFB-B484-4996AE0E18EF}" sibTransId="{07FD0040-198D-4ABE-80F0-0A806ECFE0E3}"/>
    <dgm:cxn modelId="{BA80FF2D-BFC2-4662-B116-BB976B8565E5}" type="presOf" srcId="{08C751FB-CA7D-4131-98B9-7677024B9E4A}" destId="{D8923BE6-147B-40DE-9F41-1C28F21834F4}" srcOrd="0" destOrd="0" presId="urn:microsoft.com/office/officeart/2005/8/layout/cycle6"/>
    <dgm:cxn modelId="{1CB22046-0B65-4F09-9385-6D93906D3533}" type="presOf" srcId="{82E7C138-1753-4C91-89D0-FC9E19602D9A}" destId="{8B390A4D-1131-4376-AA96-518793A6E266}" srcOrd="0" destOrd="0" presId="urn:microsoft.com/office/officeart/2005/8/layout/cycle6"/>
    <dgm:cxn modelId="{17E8CEE9-DBC1-4004-A4C8-9FEBDDA86086}" type="presOf" srcId="{0831E8C2-06B6-499A-B9C9-A47992195D03}" destId="{2E73D2E7-8CBD-4DA5-8B80-A47A35B56969}" srcOrd="0" destOrd="0" presId="urn:microsoft.com/office/officeart/2005/8/layout/cycle6"/>
    <dgm:cxn modelId="{6551D122-49A1-4DF8-8AEC-C25C46888400}" type="presOf" srcId="{A440E4F5-7B2F-40F7-BC89-A8C0361E15F6}" destId="{27151162-B32C-4BD3-B5CA-2BE31F6CFC08}" srcOrd="0" destOrd="0" presId="urn:microsoft.com/office/officeart/2005/8/layout/cycle6"/>
    <dgm:cxn modelId="{E7672EE8-9E64-479D-83CF-E043D33339E1}" type="presOf" srcId="{4586F40A-A213-4A77-BC9C-4C581B50F345}" destId="{42A2FCF1-1378-44FE-9180-F04831953053}" srcOrd="0" destOrd="0" presId="urn:microsoft.com/office/officeart/2005/8/layout/cycle6"/>
    <dgm:cxn modelId="{915F6FCE-B5D1-480D-9381-4CCEE182060E}" type="presOf" srcId="{FF032276-961A-4A61-8FBB-874F27BC2490}" destId="{17E021AF-5015-40E2-9AB0-A2A30AFF3ECF}" srcOrd="0" destOrd="0" presId="urn:microsoft.com/office/officeart/2005/8/layout/cycle6"/>
    <dgm:cxn modelId="{473242CE-28AD-409D-A991-2774AA18B4E8}" type="presOf" srcId="{314BC627-F4E6-4CB4-A986-05EAF43C86F0}" destId="{9F8AB2E5-F911-42C6-A61D-3A329FC224B3}" srcOrd="0" destOrd="0" presId="urn:microsoft.com/office/officeart/2005/8/layout/cycle6"/>
    <dgm:cxn modelId="{8890B2AC-7689-4D25-8FCB-4F96011DBF4A}" type="presOf" srcId="{BC658358-7BDC-40D8-9982-1B58C6DA4F13}" destId="{D0E9D7AB-C608-4031-BC7B-D3643169C5A3}" srcOrd="0" destOrd="0" presId="urn:microsoft.com/office/officeart/2005/8/layout/cycle6"/>
    <dgm:cxn modelId="{183A23AF-84FF-4CAB-9B09-BF943AF03950}" type="presOf" srcId="{D552756A-B01B-477D-861E-ED767610FC2E}" destId="{161105D0-3CC4-4AD0-9207-616CA70C977C}" srcOrd="0" destOrd="0" presId="urn:microsoft.com/office/officeart/2005/8/layout/cycle6"/>
    <dgm:cxn modelId="{A386BAF9-0E6B-4E19-9ABF-4330D99A0E79}" type="presOf" srcId="{5FD615B3-299F-4F4B-9E10-B6E6311924E3}" destId="{554A1FA1-A354-41E0-8103-EAB40BC83513}" srcOrd="0" destOrd="0" presId="urn:microsoft.com/office/officeart/2005/8/layout/cycle6"/>
    <dgm:cxn modelId="{25C427BD-78D9-494A-8EA5-C87B8BC07A15}" srcId="{13E4FEB3-1A8B-46D0-8EFF-12CBB14C930E}" destId="{054D483F-1D92-4A27-823E-7CD7CB5F5C2C}" srcOrd="1" destOrd="0" parTransId="{600A618A-91EE-4ED8-95A5-016EAED84FC0}" sibTransId="{16A434FE-F949-49BC-A549-BEF3DDA70E42}"/>
    <dgm:cxn modelId="{057EFC9A-99FB-4EAA-A533-46B9A690A3AC}" type="presOf" srcId="{A724F8E0-370C-4FCE-A78D-B4BB36E1AF5E}" destId="{47A47C4D-230C-4207-92A6-0683D5DEF5F3}" srcOrd="0" destOrd="0" presId="urn:microsoft.com/office/officeart/2005/8/layout/cycle6"/>
    <dgm:cxn modelId="{9FBFBE5E-441C-4D0C-B0FF-C5B221F7A931}" type="presOf" srcId="{07FD0040-198D-4ABE-80F0-0A806ECFE0E3}" destId="{26E4D712-ACD8-4991-8798-D26D2F83C6F4}" srcOrd="0" destOrd="0" presId="urn:microsoft.com/office/officeart/2005/8/layout/cycle6"/>
    <dgm:cxn modelId="{2E5DC080-395B-4FC1-8413-681E3138EE2D}" srcId="{13E4FEB3-1A8B-46D0-8EFF-12CBB14C930E}" destId="{11506378-F80F-4831-964A-3BBE8F6D0DCC}" srcOrd="11" destOrd="0" parTransId="{55B91525-451F-4FAA-9CD8-E308ECAC1BAB}" sibTransId="{03C7DE92-6748-4995-8049-ED6C73A75DF1}"/>
    <dgm:cxn modelId="{6BD4FC4E-C8CE-4193-AE47-1828909236AF}" type="presOf" srcId="{11506378-F80F-4831-964A-3BBE8F6D0DCC}" destId="{6690A6DF-DCCA-44BE-835C-C1BD2F4929EE}" srcOrd="0" destOrd="0" presId="urn:microsoft.com/office/officeart/2005/8/layout/cycle6"/>
    <dgm:cxn modelId="{9F5AA126-421B-45DF-AE50-28DF1487ADC4}" type="presOf" srcId="{89884833-349F-4E2D-9C62-87577FB36A9C}" destId="{C0367B10-D377-4140-A73F-465B08BFB148}" srcOrd="0" destOrd="0" presId="urn:microsoft.com/office/officeart/2005/8/layout/cycle6"/>
    <dgm:cxn modelId="{5350B971-FFA8-4CA0-BD5D-D66574B1F02B}" type="presOf" srcId="{7577D7F6-C594-4CED-BD39-8DAEE74DFE58}" destId="{1879D4BC-05BB-4C04-A112-8941BC03A8EB}" srcOrd="0" destOrd="0" presId="urn:microsoft.com/office/officeart/2005/8/layout/cycle6"/>
    <dgm:cxn modelId="{E8ABC34B-7361-4268-AF8C-ED126225A1D8}" type="presOf" srcId="{054D483F-1D92-4A27-823E-7CD7CB5F5C2C}" destId="{D655C376-10FD-4079-A42F-415ED7DF6174}" srcOrd="0" destOrd="0" presId="urn:microsoft.com/office/officeart/2005/8/layout/cycle6"/>
    <dgm:cxn modelId="{B5525A7B-3400-4853-B6FC-17BD5D3E33F1}" srcId="{13E4FEB3-1A8B-46D0-8EFF-12CBB14C930E}" destId="{5C140D26-D860-4E87-8F31-3DB0BBC9D83B}" srcOrd="6" destOrd="0" parTransId="{FA7F043C-B5E1-4024-84B3-E68CC0351B63}" sibTransId="{2F6F0EC1-3455-4063-B4F0-122D0346BD47}"/>
    <dgm:cxn modelId="{6565892A-07E2-41FD-9B98-E7F7EEB26D71}" type="presOf" srcId="{A4E6A90C-D788-44B6-871D-3E9E9E6FA5EA}" destId="{0CD39AFA-3B3B-4E2F-A6B8-8C436C44D77B}" srcOrd="0" destOrd="0" presId="urn:microsoft.com/office/officeart/2005/8/layout/cycle6"/>
    <dgm:cxn modelId="{C1F2BE88-EF0A-4ED3-B047-D36B3FF46D5A}" srcId="{13E4FEB3-1A8B-46D0-8EFF-12CBB14C930E}" destId="{BC658358-7BDC-40D8-9982-1B58C6DA4F13}" srcOrd="7" destOrd="0" parTransId="{1E920D56-2430-4FD7-86A9-D52101E640D0}" sibTransId="{82E7C138-1753-4C91-89D0-FC9E19602D9A}"/>
    <dgm:cxn modelId="{E655B4FA-647A-4D5A-A3A9-54D29CD4FFF2}" type="presOf" srcId="{5399C991-F233-4E71-9FFD-46657935221B}" destId="{B98386AE-B20F-4D5C-9950-1E9FDD262C43}" srcOrd="0" destOrd="0" presId="urn:microsoft.com/office/officeart/2005/8/layout/cycle6"/>
    <dgm:cxn modelId="{E415B5CA-ABBC-41C2-AEE7-D53D8C1CFB85}" type="presOf" srcId="{5C140D26-D860-4E87-8F31-3DB0BBC9D83B}" destId="{13162AD9-4189-46BC-825C-E1204A75BADC}" srcOrd="0" destOrd="0" presId="urn:microsoft.com/office/officeart/2005/8/layout/cycle6"/>
    <dgm:cxn modelId="{445C3B08-0B8B-44B0-9BF5-B38987179EE0}" type="presOf" srcId="{42D2F141-C5C9-4C8E-AB1F-5F4C66C18A6C}" destId="{2206530E-A551-4144-AC1F-421200388F44}" srcOrd="0" destOrd="0" presId="urn:microsoft.com/office/officeart/2005/8/layout/cycle6"/>
    <dgm:cxn modelId="{43E99182-A84F-441E-9E4C-01049B2253FB}" srcId="{13E4FEB3-1A8B-46D0-8EFF-12CBB14C930E}" destId="{08C751FB-CA7D-4131-98B9-7677024B9E4A}" srcOrd="9" destOrd="0" parTransId="{A587F5AD-EC88-46AE-9C93-C2D2E262E66F}" sibTransId="{314BC627-F4E6-4CB4-A986-05EAF43C86F0}"/>
    <dgm:cxn modelId="{D2FF783D-4268-49F8-8E26-997521DA3AC6}" type="presOf" srcId="{03C7DE92-6748-4995-8049-ED6C73A75DF1}" destId="{D3DB162D-C99E-4B7B-AD44-30C5753D03F0}" srcOrd="0" destOrd="0" presId="urn:microsoft.com/office/officeart/2005/8/layout/cycle6"/>
    <dgm:cxn modelId="{727E89E5-B343-4708-8A46-D2F8F7C9C14E}" type="presParOf" srcId="{6B4F8F26-7EA3-4475-8D2A-8BA69373DFB5}" destId="{2206530E-A551-4144-AC1F-421200388F44}" srcOrd="0" destOrd="0" presId="urn:microsoft.com/office/officeart/2005/8/layout/cycle6"/>
    <dgm:cxn modelId="{5C226671-2B4F-4F55-9141-E6693EC66B25}" type="presParOf" srcId="{6B4F8F26-7EA3-4475-8D2A-8BA69373DFB5}" destId="{D896DF83-D75F-420F-BFEC-EBAA85AA0EC0}" srcOrd="1" destOrd="0" presId="urn:microsoft.com/office/officeart/2005/8/layout/cycle6"/>
    <dgm:cxn modelId="{413390B9-A9C0-48AE-8CFA-A4E25EB37646}" type="presParOf" srcId="{6B4F8F26-7EA3-4475-8D2A-8BA69373DFB5}" destId="{47A47C4D-230C-4207-92A6-0683D5DEF5F3}" srcOrd="2" destOrd="0" presId="urn:microsoft.com/office/officeart/2005/8/layout/cycle6"/>
    <dgm:cxn modelId="{BF4B8D80-9D63-4B81-A9C2-42C0B2D56301}" type="presParOf" srcId="{6B4F8F26-7EA3-4475-8D2A-8BA69373DFB5}" destId="{D655C376-10FD-4079-A42F-415ED7DF6174}" srcOrd="3" destOrd="0" presId="urn:microsoft.com/office/officeart/2005/8/layout/cycle6"/>
    <dgm:cxn modelId="{9F9791D9-AEFE-43E1-ABE6-26BB80AC5C8A}" type="presParOf" srcId="{6B4F8F26-7EA3-4475-8D2A-8BA69373DFB5}" destId="{C8569CB4-5BE9-4EA3-B55F-01CFDA1CB42B}" srcOrd="4" destOrd="0" presId="urn:microsoft.com/office/officeart/2005/8/layout/cycle6"/>
    <dgm:cxn modelId="{C274082B-195F-44EF-8584-DE77B6DE5DFE}" type="presParOf" srcId="{6B4F8F26-7EA3-4475-8D2A-8BA69373DFB5}" destId="{98767331-D8F0-43C2-9071-15D948F70157}" srcOrd="5" destOrd="0" presId="urn:microsoft.com/office/officeart/2005/8/layout/cycle6"/>
    <dgm:cxn modelId="{1E353F4F-B5AE-402D-B9C9-D95357ED4C91}" type="presParOf" srcId="{6B4F8F26-7EA3-4475-8D2A-8BA69373DFB5}" destId="{B98386AE-B20F-4D5C-9950-1E9FDD262C43}" srcOrd="6" destOrd="0" presId="urn:microsoft.com/office/officeart/2005/8/layout/cycle6"/>
    <dgm:cxn modelId="{0D2F3651-0F7E-42F0-8592-97BFD57346CA}" type="presParOf" srcId="{6B4F8F26-7EA3-4475-8D2A-8BA69373DFB5}" destId="{D3BC58AC-54CA-446E-8753-DEEE976BFD5C}" srcOrd="7" destOrd="0" presId="urn:microsoft.com/office/officeart/2005/8/layout/cycle6"/>
    <dgm:cxn modelId="{24F90E66-0470-41C8-809E-93FC7350406E}" type="presParOf" srcId="{6B4F8F26-7EA3-4475-8D2A-8BA69373DFB5}" destId="{26E4D712-ACD8-4991-8798-D26D2F83C6F4}" srcOrd="8" destOrd="0" presId="urn:microsoft.com/office/officeart/2005/8/layout/cycle6"/>
    <dgm:cxn modelId="{576F3389-0589-4B86-B805-3E64D62A9859}" type="presParOf" srcId="{6B4F8F26-7EA3-4475-8D2A-8BA69373DFB5}" destId="{1879D4BC-05BB-4C04-A112-8941BC03A8EB}" srcOrd="9" destOrd="0" presId="urn:microsoft.com/office/officeart/2005/8/layout/cycle6"/>
    <dgm:cxn modelId="{C591CCE0-D2CD-47E3-8836-988D2EF93A1D}" type="presParOf" srcId="{6B4F8F26-7EA3-4475-8D2A-8BA69373DFB5}" destId="{D5E1FD72-9BC4-4F70-9C42-9A53E6104CC7}" srcOrd="10" destOrd="0" presId="urn:microsoft.com/office/officeart/2005/8/layout/cycle6"/>
    <dgm:cxn modelId="{9F2C2E12-8239-4134-BBF5-1646F4DCF08A}" type="presParOf" srcId="{6B4F8F26-7EA3-4475-8D2A-8BA69373DFB5}" destId="{A998F4B2-83D2-42F0-9923-64B8FB44372A}" srcOrd="11" destOrd="0" presId="urn:microsoft.com/office/officeart/2005/8/layout/cycle6"/>
    <dgm:cxn modelId="{048B8FF4-CE47-407C-A38C-5ED55A806999}" type="presParOf" srcId="{6B4F8F26-7EA3-4475-8D2A-8BA69373DFB5}" destId="{0CD39AFA-3B3B-4E2F-A6B8-8C436C44D77B}" srcOrd="12" destOrd="0" presId="urn:microsoft.com/office/officeart/2005/8/layout/cycle6"/>
    <dgm:cxn modelId="{E3390863-51A6-424E-885B-2E85A6907DC6}" type="presParOf" srcId="{6B4F8F26-7EA3-4475-8D2A-8BA69373DFB5}" destId="{85F16F85-1BBD-4A53-986D-515B4BACBAF1}" srcOrd="13" destOrd="0" presId="urn:microsoft.com/office/officeart/2005/8/layout/cycle6"/>
    <dgm:cxn modelId="{AF325943-049E-4404-9849-19E4925B369E}" type="presParOf" srcId="{6B4F8F26-7EA3-4475-8D2A-8BA69373DFB5}" destId="{C0367B10-D377-4140-A73F-465B08BFB148}" srcOrd="14" destOrd="0" presId="urn:microsoft.com/office/officeart/2005/8/layout/cycle6"/>
    <dgm:cxn modelId="{95DFEF66-BB88-4B46-BA29-C37D4C5A36B6}" type="presParOf" srcId="{6B4F8F26-7EA3-4475-8D2A-8BA69373DFB5}" destId="{554A1FA1-A354-41E0-8103-EAB40BC83513}" srcOrd="15" destOrd="0" presId="urn:microsoft.com/office/officeart/2005/8/layout/cycle6"/>
    <dgm:cxn modelId="{16EC0E7A-7039-46AA-BD12-D60B668304C3}" type="presParOf" srcId="{6B4F8F26-7EA3-4475-8D2A-8BA69373DFB5}" destId="{2C596827-9A20-447E-8CD2-13201AA7A766}" srcOrd="16" destOrd="0" presId="urn:microsoft.com/office/officeart/2005/8/layout/cycle6"/>
    <dgm:cxn modelId="{A4CBA592-5DED-4588-BA59-A23709157AE3}" type="presParOf" srcId="{6B4F8F26-7EA3-4475-8D2A-8BA69373DFB5}" destId="{161105D0-3CC4-4AD0-9207-616CA70C977C}" srcOrd="17" destOrd="0" presId="urn:microsoft.com/office/officeart/2005/8/layout/cycle6"/>
    <dgm:cxn modelId="{B7E05FE5-8E26-42FC-8796-0B62A2199C90}" type="presParOf" srcId="{6B4F8F26-7EA3-4475-8D2A-8BA69373DFB5}" destId="{13162AD9-4189-46BC-825C-E1204A75BADC}" srcOrd="18" destOrd="0" presId="urn:microsoft.com/office/officeart/2005/8/layout/cycle6"/>
    <dgm:cxn modelId="{7029D425-D734-42F6-BD57-B8C088CC2AFE}" type="presParOf" srcId="{6B4F8F26-7EA3-4475-8D2A-8BA69373DFB5}" destId="{6278A904-0FBA-4FFE-B441-BCCF3C767568}" srcOrd="19" destOrd="0" presId="urn:microsoft.com/office/officeart/2005/8/layout/cycle6"/>
    <dgm:cxn modelId="{F5623DA4-62FC-4DDB-92C6-3F64DF2147F2}" type="presParOf" srcId="{6B4F8F26-7EA3-4475-8D2A-8BA69373DFB5}" destId="{FE7EA3FC-165E-4DD0-A762-AEF250FC17D2}" srcOrd="20" destOrd="0" presId="urn:microsoft.com/office/officeart/2005/8/layout/cycle6"/>
    <dgm:cxn modelId="{9B2D77C3-257F-4BD7-B0D1-D7859CBA4127}" type="presParOf" srcId="{6B4F8F26-7EA3-4475-8D2A-8BA69373DFB5}" destId="{D0E9D7AB-C608-4031-BC7B-D3643169C5A3}" srcOrd="21" destOrd="0" presId="urn:microsoft.com/office/officeart/2005/8/layout/cycle6"/>
    <dgm:cxn modelId="{84674A86-8869-413D-80CD-37EB1F2E4C74}" type="presParOf" srcId="{6B4F8F26-7EA3-4475-8D2A-8BA69373DFB5}" destId="{6A0EAE09-858D-4D8B-881E-31EDD4071321}" srcOrd="22" destOrd="0" presId="urn:microsoft.com/office/officeart/2005/8/layout/cycle6"/>
    <dgm:cxn modelId="{E32B1728-B6A4-449A-A93E-53B656FF0B26}" type="presParOf" srcId="{6B4F8F26-7EA3-4475-8D2A-8BA69373DFB5}" destId="{8B390A4D-1131-4376-AA96-518793A6E266}" srcOrd="23" destOrd="0" presId="urn:microsoft.com/office/officeart/2005/8/layout/cycle6"/>
    <dgm:cxn modelId="{7A33CB56-DC94-4ED0-BDDD-15C83C41BBAC}" type="presParOf" srcId="{6B4F8F26-7EA3-4475-8D2A-8BA69373DFB5}" destId="{17E021AF-5015-40E2-9AB0-A2A30AFF3ECF}" srcOrd="24" destOrd="0" presId="urn:microsoft.com/office/officeart/2005/8/layout/cycle6"/>
    <dgm:cxn modelId="{0A89C385-4125-4C68-826C-DDB008383774}" type="presParOf" srcId="{6B4F8F26-7EA3-4475-8D2A-8BA69373DFB5}" destId="{B942459E-5EE3-435E-8DE4-B6EB76739571}" srcOrd="25" destOrd="0" presId="urn:microsoft.com/office/officeart/2005/8/layout/cycle6"/>
    <dgm:cxn modelId="{7EA7B486-DBA3-4C12-8467-460D3C5A0BD0}" type="presParOf" srcId="{6B4F8F26-7EA3-4475-8D2A-8BA69373DFB5}" destId="{27151162-B32C-4BD3-B5CA-2BE31F6CFC08}" srcOrd="26" destOrd="0" presId="urn:microsoft.com/office/officeart/2005/8/layout/cycle6"/>
    <dgm:cxn modelId="{6B9A2D78-8F6F-45B6-A0EF-19F92B285284}" type="presParOf" srcId="{6B4F8F26-7EA3-4475-8D2A-8BA69373DFB5}" destId="{D8923BE6-147B-40DE-9F41-1C28F21834F4}" srcOrd="27" destOrd="0" presId="urn:microsoft.com/office/officeart/2005/8/layout/cycle6"/>
    <dgm:cxn modelId="{79422181-1B3A-4DE6-B0E8-3AF1698D1D58}" type="presParOf" srcId="{6B4F8F26-7EA3-4475-8D2A-8BA69373DFB5}" destId="{C0C17303-BC6C-4A09-BBD3-D0649A664494}" srcOrd="28" destOrd="0" presId="urn:microsoft.com/office/officeart/2005/8/layout/cycle6"/>
    <dgm:cxn modelId="{DCB4B2E3-1120-412C-9FF1-01D7CBE0E38A}" type="presParOf" srcId="{6B4F8F26-7EA3-4475-8D2A-8BA69373DFB5}" destId="{9F8AB2E5-F911-42C6-A61D-3A329FC224B3}" srcOrd="29" destOrd="0" presId="urn:microsoft.com/office/officeart/2005/8/layout/cycle6"/>
    <dgm:cxn modelId="{B0A94884-1801-4039-A42C-7C3FE39CC6E2}" type="presParOf" srcId="{6B4F8F26-7EA3-4475-8D2A-8BA69373DFB5}" destId="{2E73D2E7-8CBD-4DA5-8B80-A47A35B56969}" srcOrd="30" destOrd="0" presId="urn:microsoft.com/office/officeart/2005/8/layout/cycle6"/>
    <dgm:cxn modelId="{43452ED3-3EA8-4D97-B8EA-AB5D0BEF7263}" type="presParOf" srcId="{6B4F8F26-7EA3-4475-8D2A-8BA69373DFB5}" destId="{9F965332-0BF8-47B4-96D1-A3B608175798}" srcOrd="31" destOrd="0" presId="urn:microsoft.com/office/officeart/2005/8/layout/cycle6"/>
    <dgm:cxn modelId="{63840BF0-1ABC-4196-A740-614AD37C1356}" type="presParOf" srcId="{6B4F8F26-7EA3-4475-8D2A-8BA69373DFB5}" destId="{42A2FCF1-1378-44FE-9180-F04831953053}" srcOrd="32" destOrd="0" presId="urn:microsoft.com/office/officeart/2005/8/layout/cycle6"/>
    <dgm:cxn modelId="{776515D4-32E7-4C87-A538-DA9FC5BD9FDA}" type="presParOf" srcId="{6B4F8F26-7EA3-4475-8D2A-8BA69373DFB5}" destId="{6690A6DF-DCCA-44BE-835C-C1BD2F4929EE}" srcOrd="33" destOrd="0" presId="urn:microsoft.com/office/officeart/2005/8/layout/cycle6"/>
    <dgm:cxn modelId="{BC02EB92-CD15-40F0-B73F-585ED0EB3259}" type="presParOf" srcId="{6B4F8F26-7EA3-4475-8D2A-8BA69373DFB5}" destId="{26E4797A-2EE8-4B08-A550-FEE24F4ACE1E}" srcOrd="34" destOrd="0" presId="urn:microsoft.com/office/officeart/2005/8/layout/cycle6"/>
    <dgm:cxn modelId="{90CA22FF-D991-42CD-A2FF-4EBE2781E35A}" type="presParOf" srcId="{6B4F8F26-7EA3-4475-8D2A-8BA69373DFB5}" destId="{D3DB162D-C99E-4B7B-AD44-30C5753D03F0}" srcOrd="35" destOrd="0" presId="urn:microsoft.com/office/officeart/2005/8/layout/cycle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06530E-A551-4144-AC1F-421200388F44}">
      <dsp:nvSpPr>
        <dsp:cNvPr id="0" name=""/>
        <dsp:cNvSpPr/>
      </dsp:nvSpPr>
      <dsp:spPr>
        <a:xfrm>
          <a:off x="2636017" y="-9005"/>
          <a:ext cx="972000" cy="467998"/>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Stanovisko Komise RIA k povinnosti zpracování RIA</a:t>
          </a:r>
          <a:endParaRPr lang="cs-CZ" sz="800" kern="1200" dirty="0">
            <a:latin typeface="Calibri"/>
            <a:ea typeface="+mn-ea"/>
            <a:cs typeface="+mn-cs"/>
          </a:endParaRPr>
        </a:p>
      </dsp:txBody>
      <dsp:txXfrm>
        <a:off x="2658863" y="13841"/>
        <a:ext cx="926308" cy="422306"/>
      </dsp:txXfrm>
    </dsp:sp>
    <dsp:sp modelId="{47A47C4D-230C-4207-92A6-0683D5DEF5F3}">
      <dsp:nvSpPr>
        <dsp:cNvPr id="0" name=""/>
        <dsp:cNvSpPr/>
      </dsp:nvSpPr>
      <dsp:spPr>
        <a:xfrm>
          <a:off x="854556" y="235250"/>
          <a:ext cx="4289410" cy="4289410"/>
        </a:xfrm>
        <a:custGeom>
          <a:avLst/>
          <a:gdLst/>
          <a:ahLst/>
          <a:cxnLst/>
          <a:rect l="0" t="0" r="0" b="0"/>
          <a:pathLst>
            <a:path>
              <a:moveTo>
                <a:pt x="2756291" y="89048"/>
              </a:moveTo>
              <a:arcTo wR="2144705" hR="2144705" stAng="17194108" swAng="464123"/>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655C376-10FD-4079-A42F-415ED7DF6174}">
      <dsp:nvSpPr>
        <dsp:cNvPr id="0" name=""/>
        <dsp:cNvSpPr/>
      </dsp:nvSpPr>
      <dsp:spPr>
        <a:xfrm>
          <a:off x="3774441" y="426540"/>
          <a:ext cx="972000" cy="467998"/>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Schválení plánu legislativních prací vlády</a:t>
          </a:r>
          <a:endParaRPr lang="cs-CZ" sz="800" kern="1200" dirty="0">
            <a:latin typeface="Calibri"/>
            <a:ea typeface="+mn-ea"/>
            <a:cs typeface="+mn-cs"/>
          </a:endParaRPr>
        </a:p>
      </dsp:txBody>
      <dsp:txXfrm>
        <a:off x="3797287" y="449386"/>
        <a:ext cx="926308" cy="422306"/>
      </dsp:txXfrm>
    </dsp:sp>
    <dsp:sp modelId="{98767331-D8F0-43C2-9071-15D948F70157}">
      <dsp:nvSpPr>
        <dsp:cNvPr id="0" name=""/>
        <dsp:cNvSpPr/>
      </dsp:nvSpPr>
      <dsp:spPr>
        <a:xfrm>
          <a:off x="917933" y="326792"/>
          <a:ext cx="4289410" cy="4289410"/>
        </a:xfrm>
        <a:custGeom>
          <a:avLst/>
          <a:gdLst/>
          <a:ahLst/>
          <a:cxnLst/>
          <a:rect l="0" t="0" r="0" b="0"/>
          <a:pathLst>
            <a:path>
              <a:moveTo>
                <a:pt x="3600820" y="570065"/>
              </a:moveTo>
              <a:arcTo wR="2144705" hR="2144705" stAng="18765628" swAng="537647"/>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98386AE-B20F-4D5C-9950-1E9FDD262C43}">
      <dsp:nvSpPr>
        <dsp:cNvPr id="0" name=""/>
        <dsp:cNvSpPr/>
      </dsp:nvSpPr>
      <dsp:spPr>
        <a:xfrm>
          <a:off x="4399112" y="1145564"/>
          <a:ext cx="972000" cy="467998"/>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Ex-ante RIA / konzultace </a:t>
          </a:r>
          <a:endParaRPr lang="cs-CZ" sz="800" kern="1200" dirty="0">
            <a:latin typeface="Calibri"/>
            <a:ea typeface="+mn-ea"/>
            <a:cs typeface="+mn-cs"/>
          </a:endParaRPr>
        </a:p>
      </dsp:txBody>
      <dsp:txXfrm>
        <a:off x="4421958" y="1168410"/>
        <a:ext cx="926308" cy="422306"/>
      </dsp:txXfrm>
    </dsp:sp>
    <dsp:sp modelId="{26E4D712-ACD8-4991-8798-D26D2F83C6F4}">
      <dsp:nvSpPr>
        <dsp:cNvPr id="0" name=""/>
        <dsp:cNvSpPr/>
      </dsp:nvSpPr>
      <dsp:spPr>
        <a:xfrm>
          <a:off x="786868" y="83813"/>
          <a:ext cx="4289410" cy="4289410"/>
        </a:xfrm>
        <a:custGeom>
          <a:avLst/>
          <a:gdLst/>
          <a:ahLst/>
          <a:cxnLst/>
          <a:rect l="0" t="0" r="0" b="0"/>
          <a:pathLst>
            <a:path>
              <a:moveTo>
                <a:pt x="4200783" y="1534537"/>
              </a:moveTo>
              <a:arcTo wR="2144705" hR="2144705" stAng="20608264" swAng="786663"/>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879D4BC-05BB-4C04-A112-8941BC03A8EB}">
      <dsp:nvSpPr>
        <dsp:cNvPr id="0" name=""/>
        <dsp:cNvSpPr/>
      </dsp:nvSpPr>
      <dsp:spPr>
        <a:xfrm>
          <a:off x="4601612" y="2105642"/>
          <a:ext cx="972000" cy="504002"/>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Možnost konzultace Komise RIA / odd. RIA k metodickým otázkám</a:t>
          </a:r>
          <a:endParaRPr lang="cs-CZ" sz="800" kern="1200" dirty="0">
            <a:latin typeface="Calibri"/>
            <a:ea typeface="+mn-ea"/>
            <a:cs typeface="+mn-cs"/>
          </a:endParaRPr>
        </a:p>
      </dsp:txBody>
      <dsp:txXfrm>
        <a:off x="4626215" y="2130245"/>
        <a:ext cx="922794" cy="454796"/>
      </dsp:txXfrm>
    </dsp:sp>
    <dsp:sp modelId="{A998F4B2-83D2-42F0-9923-64B8FB44372A}">
      <dsp:nvSpPr>
        <dsp:cNvPr id="0" name=""/>
        <dsp:cNvSpPr/>
      </dsp:nvSpPr>
      <dsp:spPr>
        <a:xfrm>
          <a:off x="798202" y="212938"/>
          <a:ext cx="4289410" cy="4289410"/>
        </a:xfrm>
        <a:custGeom>
          <a:avLst/>
          <a:gdLst/>
          <a:ahLst/>
          <a:cxnLst/>
          <a:rect l="0" t="0" r="0" b="0"/>
          <a:pathLst>
            <a:path>
              <a:moveTo>
                <a:pt x="4273832" y="2402730"/>
              </a:moveTo>
              <a:arcTo wR="2144705" hR="2144705" stAng="414592" swAng="956293"/>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CD39AFA-3B3B-4E2F-A6B8-8C436C44D77B}">
      <dsp:nvSpPr>
        <dsp:cNvPr id="0" name=""/>
        <dsp:cNvSpPr/>
      </dsp:nvSpPr>
      <dsp:spPr>
        <a:xfrm>
          <a:off x="4314276" y="3195997"/>
          <a:ext cx="972000" cy="467998"/>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Zpracování Závěrečné zprávy RIA</a:t>
          </a:r>
          <a:endParaRPr lang="cs-CZ" sz="800" kern="1200" dirty="0">
            <a:latin typeface="Calibri"/>
            <a:ea typeface="+mn-ea"/>
            <a:cs typeface="+mn-cs"/>
          </a:endParaRPr>
        </a:p>
      </dsp:txBody>
      <dsp:txXfrm>
        <a:off x="4337122" y="3218843"/>
        <a:ext cx="926308" cy="422306"/>
      </dsp:txXfrm>
    </dsp:sp>
    <dsp:sp modelId="{C0367B10-D377-4140-A73F-465B08BFB148}">
      <dsp:nvSpPr>
        <dsp:cNvPr id="0" name=""/>
        <dsp:cNvSpPr/>
      </dsp:nvSpPr>
      <dsp:spPr>
        <a:xfrm>
          <a:off x="883362" y="108968"/>
          <a:ext cx="4289410" cy="4289410"/>
        </a:xfrm>
        <a:custGeom>
          <a:avLst/>
          <a:gdLst/>
          <a:ahLst/>
          <a:cxnLst/>
          <a:rect l="0" t="0" r="0" b="0"/>
          <a:pathLst>
            <a:path>
              <a:moveTo>
                <a:pt x="3758098" y="3557759"/>
              </a:moveTo>
              <a:arcTo wR="2144705" hR="2144705" stAng="2472766" swAng="570869"/>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54A1FA1-A354-41E0-8103-EAB40BC83513}">
      <dsp:nvSpPr>
        <dsp:cNvPr id="0" name=""/>
        <dsp:cNvSpPr/>
      </dsp:nvSpPr>
      <dsp:spPr>
        <a:xfrm>
          <a:off x="3623529" y="3916274"/>
          <a:ext cx="972000" cy="427789"/>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Vnější připomínkové řízení </a:t>
          </a:r>
          <a:endParaRPr lang="cs-CZ" sz="800" kern="1200" dirty="0">
            <a:latin typeface="Calibri"/>
            <a:ea typeface="+mn-ea"/>
            <a:cs typeface="+mn-cs"/>
          </a:endParaRPr>
        </a:p>
      </dsp:txBody>
      <dsp:txXfrm>
        <a:off x="3644412" y="3937157"/>
        <a:ext cx="930234" cy="386023"/>
      </dsp:txXfrm>
    </dsp:sp>
    <dsp:sp modelId="{161105D0-3CC4-4AD0-9207-616CA70C977C}">
      <dsp:nvSpPr>
        <dsp:cNvPr id="0" name=""/>
        <dsp:cNvSpPr/>
      </dsp:nvSpPr>
      <dsp:spPr>
        <a:xfrm>
          <a:off x="630307" y="259261"/>
          <a:ext cx="4289410" cy="4289410"/>
        </a:xfrm>
        <a:custGeom>
          <a:avLst/>
          <a:gdLst/>
          <a:ahLst/>
          <a:cxnLst/>
          <a:rect l="0" t="0" r="0" b="0"/>
          <a:pathLst>
            <a:path>
              <a:moveTo>
                <a:pt x="3056384" y="4085993"/>
              </a:moveTo>
              <a:arcTo wR="2144705" hR="2144705" stAng="3890642" swAng="439789"/>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3162AD9-4189-46BC-825C-E1204A75BADC}">
      <dsp:nvSpPr>
        <dsp:cNvPr id="0" name=""/>
        <dsp:cNvSpPr/>
      </dsp:nvSpPr>
      <dsp:spPr>
        <a:xfrm>
          <a:off x="2456907" y="4250348"/>
          <a:ext cx="972000" cy="504002"/>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Předložení návrhu LRV – přezkum kvality RIA Komisí RIA</a:t>
          </a:r>
          <a:endParaRPr lang="cs-CZ" sz="800" kern="1200" dirty="0">
            <a:latin typeface="Calibri"/>
            <a:ea typeface="+mn-ea"/>
            <a:cs typeface="+mn-cs"/>
          </a:endParaRPr>
        </a:p>
      </dsp:txBody>
      <dsp:txXfrm>
        <a:off x="2481510" y="4274951"/>
        <a:ext cx="922794" cy="454796"/>
      </dsp:txXfrm>
    </dsp:sp>
    <dsp:sp modelId="{FE7EA3FC-165E-4DD0-A762-AEF250FC17D2}">
      <dsp:nvSpPr>
        <dsp:cNvPr id="0" name=""/>
        <dsp:cNvSpPr/>
      </dsp:nvSpPr>
      <dsp:spPr>
        <a:xfrm>
          <a:off x="994885" y="268702"/>
          <a:ext cx="4289410" cy="4289410"/>
        </a:xfrm>
        <a:custGeom>
          <a:avLst/>
          <a:gdLst/>
          <a:ahLst/>
          <a:cxnLst/>
          <a:rect l="0" t="0" r="0" b="0"/>
          <a:pathLst>
            <a:path>
              <a:moveTo>
                <a:pt x="1457778" y="4176426"/>
              </a:moveTo>
              <a:arcTo wR="2144705" hR="2144705" stAng="6520827" swAng="704751"/>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0E9D7AB-C608-4031-BC7B-D3643169C5A3}">
      <dsp:nvSpPr>
        <dsp:cNvPr id="0" name=""/>
        <dsp:cNvSpPr/>
      </dsp:nvSpPr>
      <dsp:spPr>
        <a:xfrm>
          <a:off x="1178712" y="3792476"/>
          <a:ext cx="972000" cy="467998"/>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Projednání a schválení návrhu Vládou ČR</a:t>
          </a:r>
          <a:endParaRPr lang="cs-CZ" sz="800" kern="1200" dirty="0">
            <a:latin typeface="Calibri"/>
            <a:ea typeface="+mn-ea"/>
            <a:cs typeface="+mn-cs"/>
          </a:endParaRPr>
        </a:p>
      </dsp:txBody>
      <dsp:txXfrm>
        <a:off x="1201558" y="3815322"/>
        <a:ext cx="926308" cy="422306"/>
      </dsp:txXfrm>
    </dsp:sp>
    <dsp:sp modelId="{8B390A4D-1131-4376-AA96-518793A6E266}">
      <dsp:nvSpPr>
        <dsp:cNvPr id="0" name=""/>
        <dsp:cNvSpPr/>
      </dsp:nvSpPr>
      <dsp:spPr>
        <a:xfrm>
          <a:off x="588663" y="-37346"/>
          <a:ext cx="4289410" cy="4289410"/>
        </a:xfrm>
        <a:custGeom>
          <a:avLst/>
          <a:gdLst/>
          <a:ahLst/>
          <a:cxnLst/>
          <a:rect l="0" t="0" r="0" b="0"/>
          <a:pathLst>
            <a:path>
              <a:moveTo>
                <a:pt x="814630" y="3827162"/>
              </a:moveTo>
              <a:arcTo wR="2144705" hR="2144705" stAng="7699699" swAng="675881"/>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7E021AF-5015-40E2-9AB0-A2A30AFF3ECF}">
      <dsp:nvSpPr>
        <dsp:cNvPr id="0" name=""/>
        <dsp:cNvSpPr/>
      </dsp:nvSpPr>
      <dsp:spPr>
        <a:xfrm>
          <a:off x="486426" y="3026313"/>
          <a:ext cx="972000" cy="467998"/>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Projednání a schválení návrhu v Parlamentu ČR</a:t>
          </a:r>
          <a:endParaRPr lang="cs-CZ" sz="800" kern="1200" dirty="0">
            <a:latin typeface="Calibri"/>
            <a:ea typeface="+mn-ea"/>
            <a:cs typeface="+mn-cs"/>
          </a:endParaRPr>
        </a:p>
      </dsp:txBody>
      <dsp:txXfrm>
        <a:off x="509272" y="3049159"/>
        <a:ext cx="926308" cy="422306"/>
      </dsp:txXfrm>
    </dsp:sp>
    <dsp:sp modelId="{27151162-B32C-4BD3-B5CA-2BE31F6CFC08}">
      <dsp:nvSpPr>
        <dsp:cNvPr id="0" name=""/>
        <dsp:cNvSpPr/>
      </dsp:nvSpPr>
      <dsp:spPr>
        <a:xfrm>
          <a:off x="807478" y="323991"/>
          <a:ext cx="4289410" cy="4289410"/>
        </a:xfrm>
        <a:custGeom>
          <a:avLst/>
          <a:gdLst/>
          <a:ahLst/>
          <a:cxnLst/>
          <a:rect l="0" t="0" r="0" b="0"/>
          <a:pathLst>
            <a:path>
              <a:moveTo>
                <a:pt x="72617" y="2698068"/>
              </a:moveTo>
              <a:arcTo wR="2144705" hR="2144705" stAng="9902866" swAng="692898"/>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8923BE6-147B-40DE-9F41-1C28F21834F4}">
      <dsp:nvSpPr>
        <dsp:cNvPr id="0" name=""/>
        <dsp:cNvSpPr/>
      </dsp:nvSpPr>
      <dsp:spPr>
        <a:xfrm>
          <a:off x="312202" y="2123644"/>
          <a:ext cx="972000" cy="467998"/>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Vyhlášení ve Sbírce zákonů - implementace</a:t>
          </a:r>
          <a:endParaRPr lang="cs-CZ" sz="800" kern="1200" dirty="0">
            <a:latin typeface="Calibri"/>
            <a:ea typeface="+mn-ea"/>
            <a:cs typeface="+mn-cs"/>
          </a:endParaRPr>
        </a:p>
      </dsp:txBody>
      <dsp:txXfrm>
        <a:off x="335048" y="2146490"/>
        <a:ext cx="926308" cy="422306"/>
      </dsp:txXfrm>
    </dsp:sp>
    <dsp:sp modelId="{9F8AB2E5-F911-42C6-A61D-3A329FC224B3}">
      <dsp:nvSpPr>
        <dsp:cNvPr id="0" name=""/>
        <dsp:cNvSpPr/>
      </dsp:nvSpPr>
      <dsp:spPr>
        <a:xfrm>
          <a:off x="802707" y="167423"/>
          <a:ext cx="4289410" cy="4289410"/>
        </a:xfrm>
        <a:custGeom>
          <a:avLst/>
          <a:gdLst/>
          <a:ahLst/>
          <a:cxnLst/>
          <a:rect l="0" t="0" r="0" b="0"/>
          <a:pathLst>
            <a:path>
              <a:moveTo>
                <a:pt x="8722" y="1951478"/>
              </a:moveTo>
              <a:arcTo wR="2144705" hR="2144705" stAng="11110143" swAng="749585"/>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E73D2E7-8CBD-4DA5-8B80-A47A35B56969}">
      <dsp:nvSpPr>
        <dsp:cNvPr id="0" name=""/>
        <dsp:cNvSpPr/>
      </dsp:nvSpPr>
      <dsp:spPr>
        <a:xfrm>
          <a:off x="571238" y="972881"/>
          <a:ext cx="972000" cy="683999"/>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Ex-post RIA: vyhodnocení potřeby novelizace či zrušení nepotřebného právního předpisu</a:t>
          </a:r>
          <a:endParaRPr lang="cs-CZ" sz="800" kern="1200" dirty="0">
            <a:latin typeface="Calibri"/>
            <a:ea typeface="+mn-ea"/>
            <a:cs typeface="+mn-cs"/>
          </a:endParaRPr>
        </a:p>
      </dsp:txBody>
      <dsp:txXfrm>
        <a:off x="604628" y="1006271"/>
        <a:ext cx="905220" cy="617219"/>
      </dsp:txXfrm>
    </dsp:sp>
    <dsp:sp modelId="{42A2FCF1-1378-44FE-9180-F04831953053}">
      <dsp:nvSpPr>
        <dsp:cNvPr id="0" name=""/>
        <dsp:cNvSpPr/>
      </dsp:nvSpPr>
      <dsp:spPr>
        <a:xfrm>
          <a:off x="746361" y="257410"/>
          <a:ext cx="4289410" cy="4289410"/>
        </a:xfrm>
        <a:custGeom>
          <a:avLst/>
          <a:gdLst/>
          <a:ahLst/>
          <a:cxnLst/>
          <a:rect l="0" t="0" r="0" b="0"/>
          <a:pathLst>
            <a:path>
              <a:moveTo>
                <a:pt x="547746" y="713103"/>
              </a:moveTo>
              <a:arcTo wR="2144705" hR="2144705" stAng="13312489" swAng="499677"/>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690A6DF-DCCA-44BE-835C-C1BD2F4929EE}">
      <dsp:nvSpPr>
        <dsp:cNvPr id="0" name=""/>
        <dsp:cNvSpPr/>
      </dsp:nvSpPr>
      <dsp:spPr>
        <a:xfrm>
          <a:off x="1382754" y="248273"/>
          <a:ext cx="975599" cy="504002"/>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dirty="0" smtClean="0">
              <a:latin typeface="Calibri"/>
              <a:ea typeface="+mn-ea"/>
              <a:cs typeface="+mn-cs"/>
            </a:rPr>
            <a:t>Zpracování přehledu dopadů plánovaného právního předpisu </a:t>
          </a:r>
          <a:endParaRPr lang="cs-CZ" sz="800" kern="1200" dirty="0">
            <a:latin typeface="Calibri"/>
            <a:ea typeface="+mn-ea"/>
            <a:cs typeface="+mn-cs"/>
          </a:endParaRPr>
        </a:p>
      </dsp:txBody>
      <dsp:txXfrm>
        <a:off x="1407357" y="272876"/>
        <a:ext cx="926393" cy="454796"/>
      </dsp:txXfrm>
    </dsp:sp>
    <dsp:sp modelId="{D3DB162D-C99E-4B7B-AD44-30C5753D03F0}">
      <dsp:nvSpPr>
        <dsp:cNvPr id="0" name=""/>
        <dsp:cNvSpPr/>
      </dsp:nvSpPr>
      <dsp:spPr>
        <a:xfrm>
          <a:off x="764914" y="222079"/>
          <a:ext cx="4289410" cy="4289410"/>
        </a:xfrm>
        <a:custGeom>
          <a:avLst/>
          <a:gdLst/>
          <a:ahLst/>
          <a:cxnLst/>
          <a:rect l="0" t="0" r="0" b="0"/>
          <a:pathLst>
            <a:path>
              <a:moveTo>
                <a:pt x="1596175" y="71332"/>
              </a:moveTo>
              <a:arcTo wR="2144705" hR="2144705" stAng="15310882" swAng="444826"/>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3EB7D-70C2-4702-871F-84BBB4FD8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32</Pages>
  <Words>11057</Words>
  <Characters>65238</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76143</CharactersWithSpaces>
  <SharedDoc>false</SharedDoc>
  <HLinks>
    <vt:vector size="54" baseType="variant">
      <vt:variant>
        <vt:i4>1179697</vt:i4>
      </vt:variant>
      <vt:variant>
        <vt:i4>26</vt:i4>
      </vt:variant>
      <vt:variant>
        <vt:i4>0</vt:i4>
      </vt:variant>
      <vt:variant>
        <vt:i4>5</vt:i4>
      </vt:variant>
      <vt:variant>
        <vt:lpwstr/>
      </vt:variant>
      <vt:variant>
        <vt:lpwstr>_Toc346879300</vt:lpwstr>
      </vt:variant>
      <vt:variant>
        <vt:i4>1703984</vt:i4>
      </vt:variant>
      <vt:variant>
        <vt:i4>23</vt:i4>
      </vt:variant>
      <vt:variant>
        <vt:i4>0</vt:i4>
      </vt:variant>
      <vt:variant>
        <vt:i4>5</vt:i4>
      </vt:variant>
      <vt:variant>
        <vt:lpwstr/>
      </vt:variant>
      <vt:variant>
        <vt:lpwstr>_Toc346879283</vt:lpwstr>
      </vt:variant>
      <vt:variant>
        <vt:i4>1703984</vt:i4>
      </vt:variant>
      <vt:variant>
        <vt:i4>20</vt:i4>
      </vt:variant>
      <vt:variant>
        <vt:i4>0</vt:i4>
      </vt:variant>
      <vt:variant>
        <vt:i4>5</vt:i4>
      </vt:variant>
      <vt:variant>
        <vt:lpwstr/>
      </vt:variant>
      <vt:variant>
        <vt:lpwstr>_Toc346879282</vt:lpwstr>
      </vt:variant>
      <vt:variant>
        <vt:i4>1703984</vt:i4>
      </vt:variant>
      <vt:variant>
        <vt:i4>17</vt:i4>
      </vt:variant>
      <vt:variant>
        <vt:i4>0</vt:i4>
      </vt:variant>
      <vt:variant>
        <vt:i4>5</vt:i4>
      </vt:variant>
      <vt:variant>
        <vt:lpwstr/>
      </vt:variant>
      <vt:variant>
        <vt:lpwstr>_Toc346879281</vt:lpwstr>
      </vt:variant>
      <vt:variant>
        <vt:i4>1310768</vt:i4>
      </vt:variant>
      <vt:variant>
        <vt:i4>14</vt:i4>
      </vt:variant>
      <vt:variant>
        <vt:i4>0</vt:i4>
      </vt:variant>
      <vt:variant>
        <vt:i4>5</vt:i4>
      </vt:variant>
      <vt:variant>
        <vt:lpwstr/>
      </vt:variant>
      <vt:variant>
        <vt:lpwstr>_Toc346879268</vt:lpwstr>
      </vt:variant>
      <vt:variant>
        <vt:i4>1310768</vt:i4>
      </vt:variant>
      <vt:variant>
        <vt:i4>11</vt:i4>
      </vt:variant>
      <vt:variant>
        <vt:i4>0</vt:i4>
      </vt:variant>
      <vt:variant>
        <vt:i4>5</vt:i4>
      </vt:variant>
      <vt:variant>
        <vt:lpwstr/>
      </vt:variant>
      <vt:variant>
        <vt:lpwstr>_Toc346879267</vt:lpwstr>
      </vt:variant>
      <vt:variant>
        <vt:i4>1310768</vt:i4>
      </vt:variant>
      <vt:variant>
        <vt:i4>8</vt:i4>
      </vt:variant>
      <vt:variant>
        <vt:i4>0</vt:i4>
      </vt:variant>
      <vt:variant>
        <vt:i4>5</vt:i4>
      </vt:variant>
      <vt:variant>
        <vt:lpwstr/>
      </vt:variant>
      <vt:variant>
        <vt:lpwstr>_Toc346879266</vt:lpwstr>
      </vt:variant>
      <vt:variant>
        <vt:i4>1310768</vt:i4>
      </vt:variant>
      <vt:variant>
        <vt:i4>5</vt:i4>
      </vt:variant>
      <vt:variant>
        <vt:i4>0</vt:i4>
      </vt:variant>
      <vt:variant>
        <vt:i4>5</vt:i4>
      </vt:variant>
      <vt:variant>
        <vt:lpwstr/>
      </vt:variant>
      <vt:variant>
        <vt:lpwstr>_Toc346879265</vt:lpwstr>
      </vt:variant>
      <vt:variant>
        <vt:i4>1310768</vt:i4>
      </vt:variant>
      <vt:variant>
        <vt:i4>2</vt:i4>
      </vt:variant>
      <vt:variant>
        <vt:i4>0</vt:i4>
      </vt:variant>
      <vt:variant>
        <vt:i4>5</vt:i4>
      </vt:variant>
      <vt:variant>
        <vt:lpwstr/>
      </vt:variant>
      <vt:variant>
        <vt:lpwstr>_Toc346879264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Pecka Aleš</dc:creator>
  <cp:lastModifiedBy>Soukupová Eva</cp:lastModifiedBy>
  <cp:revision>14</cp:revision>
  <cp:lastPrinted>2014-05-05T08:15:00Z</cp:lastPrinted>
  <dcterms:created xsi:type="dcterms:W3CDTF">2014-03-10T12:59:00Z</dcterms:created>
  <dcterms:modified xsi:type="dcterms:W3CDTF">2014-05-05T08:56:00Z</dcterms:modified>
</cp:coreProperties>
</file>