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D0" w:rsidRPr="008E4885" w:rsidRDefault="008E4885">
      <w:pPr>
        <w:pStyle w:val="Nadpis5"/>
        <w:rPr>
          <w:lang w:val="cs-CZ"/>
        </w:rPr>
      </w:pPr>
      <w:r w:rsidRPr="008E4885"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4A1A692" wp14:editId="487FF3E6">
                <wp:simplePos x="0" y="0"/>
                <wp:positionH relativeFrom="margin">
                  <wp:align>center</wp:align>
                </wp:positionH>
                <wp:positionV relativeFrom="page">
                  <wp:posOffset>201930</wp:posOffset>
                </wp:positionV>
                <wp:extent cx="7200000" cy="7920000"/>
                <wp:effectExtent l="0" t="0" r="20320" b="241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000" cy="7920000"/>
                        </a:xfrm>
                        <a:prstGeom prst="rect">
                          <a:avLst/>
                        </a:prstGeom>
                        <a:solidFill>
                          <a:srgbClr val="005962"/>
                        </a:soli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1597D89">
              <v:rect id="Rectangle 23" style="position:absolute;margin-left:0;margin-top:15.9pt;width:566.95pt;height:623.6pt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middle" o:spid="_x0000_s1026" fillcolor="#005962" strokecolor="#4a7e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" w14:anchorId="738FDDF5">
                <w10:wrap anchorx="margin" anchory="page"/>
              </v:rect>
            </w:pict>
          </mc:Fallback>
        </mc:AlternateContent>
      </w:r>
    </w:p>
    <w:p w:rsidR="00F87DD0" w:rsidRPr="008E4885" w:rsidRDefault="008E4885">
      <w:pPr>
        <w:rPr>
          <w:lang w:val="cs-CZ"/>
        </w:rPr>
      </w:pPr>
      <w:r w:rsidRPr="008E4885">
        <w:rPr>
          <w:lang w:val="cs-CZ" w:eastAsia="cs-CZ"/>
        </w:rPr>
        <w:drawing>
          <wp:anchor distT="0" distB="0" distL="114300" distR="114300" simplePos="0" relativeHeight="251658247" behindDoc="1" locked="0" layoutInCell="1" allowOverlap="1" wp14:anchorId="6FBC959E" wp14:editId="30C4D126">
            <wp:simplePos x="0" y="0"/>
            <wp:positionH relativeFrom="margin">
              <wp:posOffset>2691130</wp:posOffset>
            </wp:positionH>
            <wp:positionV relativeFrom="paragraph">
              <wp:posOffset>5715</wp:posOffset>
            </wp:positionV>
            <wp:extent cx="768350" cy="768350"/>
            <wp:effectExtent l="0" t="0" r="0" b="0"/>
            <wp:wrapTight wrapText="bothSides">
              <wp:wrapPolygon edited="0">
                <wp:start x="6962" y="0"/>
                <wp:lineTo x="0" y="3213"/>
                <wp:lineTo x="0" y="13924"/>
                <wp:lineTo x="1071" y="17137"/>
                <wp:lineTo x="5355" y="20886"/>
                <wp:lineTo x="14995" y="20886"/>
                <wp:lineTo x="19815" y="17137"/>
                <wp:lineTo x="20886" y="12317"/>
                <wp:lineTo x="20886" y="6426"/>
                <wp:lineTo x="17137" y="1607"/>
                <wp:lineTo x="13388" y="0"/>
                <wp:lineTo x="6962" y="0"/>
              </wp:wrapPolygon>
            </wp:wrapTight>
            <wp:docPr id="20" name="Picture 20" descr="Macintosh HD:Users:fraukeeversmann:Dropbox:PROJEKTE:TRIPLE E:DELIVERABLES:ICONS:earth_whit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aukeeversmann:Dropbox:PROJEKTE:TRIPLE E:DELIVERABLES:ICONS:earth_whit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0DC" w:rsidRPr="008E4885" w:rsidRDefault="00D900DC" w:rsidP="008059BC">
      <w:pPr>
        <w:rPr>
          <w:lang w:val="cs-CZ"/>
        </w:rPr>
      </w:pPr>
    </w:p>
    <w:p w:rsidR="00235FB4" w:rsidRPr="008E4885" w:rsidRDefault="00235FB4" w:rsidP="008059BC">
      <w:pPr>
        <w:rPr>
          <w:lang w:val="cs-CZ"/>
        </w:rPr>
      </w:pPr>
    </w:p>
    <w:p w:rsidR="00235FB4" w:rsidRPr="008E4885" w:rsidRDefault="00235FB4" w:rsidP="008059BC">
      <w:pPr>
        <w:rPr>
          <w:lang w:val="cs-CZ"/>
        </w:rPr>
      </w:pPr>
    </w:p>
    <w:p w:rsidR="00F87DD0" w:rsidRPr="008E4885" w:rsidRDefault="008E4885">
      <w:pPr>
        <w:rPr>
          <w:lang w:val="cs-CZ"/>
        </w:rPr>
      </w:pPr>
      <w:r w:rsidRPr="008E4885"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998774C" wp14:editId="392565F1">
                <wp:simplePos x="0" y="0"/>
                <wp:positionH relativeFrom="column">
                  <wp:posOffset>4536374</wp:posOffset>
                </wp:positionH>
                <wp:positionV relativeFrom="paragraph">
                  <wp:posOffset>13030</wp:posOffset>
                </wp:positionV>
                <wp:extent cx="1365662" cy="1403985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66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3BC" w:rsidRDefault="00ED53BC"/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998774C">
                <v:stroke joinstyle="miter"/>
                <v:path gradientshapeok="t" o:connecttype="rect"/>
              </v:shapetype>
              <v:shape id="Text Box 3" style="position:absolute;left:0;text-align:left;margin-left:357.2pt;margin-top:1.05pt;width:107.55pt;height:110.55pt;z-index:2516582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">
                <v:textbox style="mso-fit-shape-to-text:t">
                  <w:txbxContent>
                    <w:p w:rsidR="00ED53BC" w:rsidRDefault="00ED53BC" w14:paraId="3EBDAD0A" w14:textId="77777777"/>
                  </w:txbxContent>
                </v:textbox>
              </v:shape>
            </w:pict>
          </mc:Fallback>
        </mc:AlternateContent>
      </w:r>
    </w:p>
    <w:p w:rsidR="00007DF2" w:rsidRPr="008E4885" w:rsidRDefault="00007DF2" w:rsidP="008059BC">
      <w:pPr>
        <w:rPr>
          <w:lang w:val="cs-CZ"/>
        </w:rPr>
      </w:pPr>
    </w:p>
    <w:p w:rsidR="00007DF2" w:rsidRPr="008E4885" w:rsidRDefault="00007DF2" w:rsidP="008059BC">
      <w:pPr>
        <w:rPr>
          <w:lang w:val="cs-CZ"/>
        </w:rPr>
      </w:pPr>
    </w:p>
    <w:p w:rsidR="00833BB1" w:rsidRPr="008E4885" w:rsidRDefault="00833BB1" w:rsidP="003367E5">
      <w:pPr>
        <w:pStyle w:val="Frontpagetitle"/>
        <w:rPr>
          <w:lang w:val="cs-CZ"/>
        </w:rPr>
      </w:pPr>
    </w:p>
    <w:p w:rsidR="00F87DD0" w:rsidRPr="008E4885" w:rsidRDefault="008E4885">
      <w:pPr>
        <w:pStyle w:val="Frontpagetitle"/>
        <w:rPr>
          <w:lang w:val="cs-CZ"/>
        </w:rPr>
      </w:pPr>
      <w:r w:rsidRPr="008E4885">
        <w:rPr>
          <w:lang w:val="cs-CZ"/>
        </w:rPr>
        <w:t>Metodika uplatňování principu DNSH na národní úrovni v České republice</w:t>
      </w:r>
    </w:p>
    <w:p w:rsidR="00AF6325" w:rsidRPr="008E4885" w:rsidRDefault="00AF6325" w:rsidP="003367E5">
      <w:pPr>
        <w:pStyle w:val="Frontpagetitle"/>
        <w:rPr>
          <w:lang w:val="cs-CZ"/>
        </w:rPr>
      </w:pPr>
    </w:p>
    <w:p w:rsidR="00F87DD0" w:rsidRPr="008E4885" w:rsidRDefault="008E4885">
      <w:pPr>
        <w:pStyle w:val="Frontpagetitle"/>
        <w:rPr>
          <w:sz w:val="48"/>
          <w:szCs w:val="48"/>
          <w:lang w:val="cs-CZ"/>
        </w:rPr>
      </w:pPr>
      <w:r w:rsidRPr="008E4885">
        <w:rPr>
          <w:sz w:val="48"/>
          <w:szCs w:val="48"/>
          <w:lang w:val="cs-CZ"/>
        </w:rPr>
        <w:t xml:space="preserve">DLV 4 </w:t>
      </w:r>
      <w:r w:rsidRPr="008E4885">
        <w:rPr>
          <w:sz w:val="48"/>
          <w:szCs w:val="48"/>
          <w:lang w:val="cs-CZ"/>
        </w:rPr>
        <w:t>-</w:t>
      </w:r>
    </w:p>
    <w:p w:rsidR="00F87DD0" w:rsidRPr="008E4885" w:rsidRDefault="008E4885">
      <w:pPr>
        <w:pStyle w:val="Frontpagetitle"/>
        <w:rPr>
          <w:sz w:val="48"/>
          <w:szCs w:val="48"/>
          <w:lang w:val="cs-CZ"/>
        </w:rPr>
      </w:pPr>
      <w:r w:rsidRPr="008E4885">
        <w:rPr>
          <w:sz w:val="48"/>
          <w:szCs w:val="48"/>
          <w:lang w:val="cs-CZ"/>
        </w:rPr>
        <w:t xml:space="preserve">Závěrečná </w:t>
      </w:r>
      <w:r w:rsidR="00AF6325" w:rsidRPr="008E4885">
        <w:rPr>
          <w:sz w:val="48"/>
          <w:szCs w:val="48"/>
          <w:lang w:val="cs-CZ"/>
        </w:rPr>
        <w:t>zpráva o doporučeních pro revizi a doplnění stávajících pokynů k uplatňování zásady DNSH</w:t>
      </w:r>
    </w:p>
    <w:p w:rsidR="00213E5B" w:rsidRPr="008E4885" w:rsidRDefault="00213E5B" w:rsidP="003367E5">
      <w:pPr>
        <w:pStyle w:val="Frontpagetitle"/>
        <w:rPr>
          <w:lang w:val="cs-CZ"/>
        </w:rPr>
      </w:pPr>
    </w:p>
    <w:p w:rsidR="00213E5B" w:rsidRPr="008E4885" w:rsidRDefault="00213E5B" w:rsidP="003367E5">
      <w:pPr>
        <w:pStyle w:val="Frontpagetitle"/>
        <w:rPr>
          <w:lang w:val="cs-CZ"/>
        </w:rPr>
      </w:pPr>
    </w:p>
    <w:p w:rsidR="00D900DC" w:rsidRPr="008E4885" w:rsidRDefault="00D900DC" w:rsidP="008059BC">
      <w:pPr>
        <w:rPr>
          <w:lang w:val="cs-CZ"/>
        </w:rPr>
      </w:pPr>
    </w:p>
    <w:p w:rsidR="00D900DC" w:rsidRPr="008E4885" w:rsidRDefault="00D900DC" w:rsidP="008059BC">
      <w:pPr>
        <w:rPr>
          <w:lang w:val="cs-CZ"/>
        </w:rPr>
      </w:pPr>
    </w:p>
    <w:p w:rsidR="00D900DC" w:rsidRPr="008E4885" w:rsidRDefault="00D900DC" w:rsidP="008059BC">
      <w:pPr>
        <w:rPr>
          <w:lang w:val="cs-CZ"/>
        </w:rPr>
      </w:pPr>
    </w:p>
    <w:p w:rsidR="00D900DC" w:rsidRPr="008E4885" w:rsidRDefault="00D900DC" w:rsidP="008059BC">
      <w:pPr>
        <w:rPr>
          <w:lang w:val="cs-CZ"/>
        </w:rPr>
        <w:sectPr w:rsidR="00D900DC" w:rsidRPr="008E4885" w:rsidSect="003D10CE">
          <w:footerReference w:type="even" r:id="rId12"/>
          <w:footerReference w:type="default" r:id="rId13"/>
          <w:footerReference w:type="first" r:id="rId14"/>
          <w:pgSz w:w="11906" w:h="16838"/>
          <w:pgMar w:top="1440" w:right="1440" w:bottom="1440" w:left="1440" w:header="708" w:footer="1958" w:gutter="0"/>
          <w:cols w:space="708"/>
          <w:docGrid w:linePitch="360"/>
        </w:sectPr>
      </w:pPr>
    </w:p>
    <w:p w:rsidR="00F87DD0" w:rsidRPr="008E4885" w:rsidRDefault="008E4885">
      <w:pPr>
        <w:rPr>
          <w:lang w:val="cs-CZ"/>
        </w:rPr>
      </w:pPr>
      <w:r w:rsidRPr="008E4885">
        <w:rPr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C4A564" wp14:editId="5B6FBCAB">
                <wp:simplePos x="0" y="0"/>
                <wp:positionH relativeFrom="margin">
                  <wp:align>center</wp:align>
                </wp:positionH>
                <wp:positionV relativeFrom="page">
                  <wp:posOffset>402590</wp:posOffset>
                </wp:positionV>
                <wp:extent cx="7077600" cy="10027104"/>
                <wp:effectExtent l="0" t="0" r="28575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600" cy="10027104"/>
                        </a:xfrm>
                        <a:prstGeom prst="rect">
                          <a:avLst/>
                        </a:prstGeom>
                        <a:solidFill>
                          <a:srgbClr val="ECEBE1"/>
                        </a:solidFill>
                        <a:ln>
                          <a:solidFill>
                            <a:srgbClr val="ECEBE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78C482A">
              <v:rect id="Rectangle 31" style="position:absolute;margin-left:0;margin-top:31.7pt;width:557.3pt;height:789.5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spid="_x0000_s1026" fillcolor="#ecebe1" strokecolor="#ecebe1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" w14:anchorId="380E7C23">
                <w10:wrap anchorx="margin" anchory="page"/>
              </v:rect>
            </w:pict>
          </mc:Fallback>
        </mc:AlternateContent>
      </w:r>
    </w:p>
    <w:p w:rsidR="002B011A" w:rsidRPr="008E4885" w:rsidRDefault="002B011A" w:rsidP="008059BC">
      <w:pPr>
        <w:rPr>
          <w:lang w:val="cs-CZ"/>
        </w:rPr>
      </w:pPr>
    </w:p>
    <w:p w:rsidR="00F87DD0" w:rsidRPr="008E4885" w:rsidRDefault="00BC3C79">
      <w:pPr>
        <w:pStyle w:val="Nadpis4"/>
        <w:rPr>
          <w:lang w:val="cs-CZ"/>
        </w:rPr>
      </w:pPr>
      <w:r w:rsidRPr="008E4885">
        <w:rPr>
          <w:lang w:val="cs-CZ"/>
        </w:rPr>
        <w:t xml:space="preserve">Podrobnosti o </w:t>
      </w:r>
      <w:r w:rsidR="008E4885" w:rsidRPr="008E4885">
        <w:rPr>
          <w:lang w:val="cs-CZ"/>
        </w:rPr>
        <w:t>smlouvě</w:t>
      </w:r>
    </w:p>
    <w:p w:rsidR="00F87DD0" w:rsidRPr="008E4885" w:rsidRDefault="008E4885">
      <w:pPr>
        <w:rPr>
          <w:lang w:val="cs-CZ"/>
        </w:rPr>
      </w:pPr>
      <w:r w:rsidRPr="008E4885">
        <w:rPr>
          <w:szCs w:val="18"/>
          <w:lang w:val="cs-CZ"/>
        </w:rPr>
        <w:t>REFORM/SC2022/112 - Metodika pro uplatňování principu DNSH na národní úrovni v České republice</w:t>
      </w:r>
    </w:p>
    <w:p w:rsidR="00D350A4" w:rsidRPr="008E4885" w:rsidRDefault="00D350A4" w:rsidP="008059BC">
      <w:pPr>
        <w:rPr>
          <w:lang w:val="cs-CZ"/>
        </w:rPr>
      </w:pPr>
    </w:p>
    <w:p w:rsidR="003C53A4" w:rsidRPr="008E4885" w:rsidRDefault="003C53A4" w:rsidP="008059BC">
      <w:pPr>
        <w:rPr>
          <w:lang w:val="cs-CZ"/>
        </w:rPr>
      </w:pPr>
    </w:p>
    <w:p w:rsidR="00F87DD0" w:rsidRPr="008E4885" w:rsidRDefault="008E4885">
      <w:pPr>
        <w:pStyle w:val="Nadpis4"/>
        <w:rPr>
          <w:lang w:val="cs-CZ"/>
        </w:rPr>
      </w:pPr>
      <w:r w:rsidRPr="008E4885">
        <w:rPr>
          <w:lang w:val="cs-CZ"/>
        </w:rPr>
        <w:t>Autoři</w:t>
      </w:r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 xml:space="preserve">Julian Toth </w:t>
      </w:r>
      <w:r w:rsidR="00242B09" w:rsidRPr="008E4885">
        <w:rPr>
          <w:lang w:val="cs-CZ"/>
        </w:rPr>
        <w:t>- ISFC</w:t>
      </w:r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 xml:space="preserve">Karel Voldřich </w:t>
      </w:r>
      <w:r w:rsidRPr="008E4885">
        <w:rPr>
          <w:lang w:val="cs-CZ"/>
        </w:rPr>
        <w:t>- ISFC</w:t>
      </w:r>
    </w:p>
    <w:p w:rsidR="00AF6325" w:rsidRPr="008E4885" w:rsidRDefault="00AF6325" w:rsidP="008059BC">
      <w:pPr>
        <w:rPr>
          <w:lang w:val="cs-CZ"/>
        </w:rPr>
      </w:pPr>
    </w:p>
    <w:p w:rsidR="003C53A4" w:rsidRPr="008E4885" w:rsidRDefault="003C53A4" w:rsidP="008059BC">
      <w:pPr>
        <w:rPr>
          <w:lang w:val="cs-CZ"/>
        </w:rPr>
      </w:pPr>
    </w:p>
    <w:p w:rsidR="00F87DD0" w:rsidRPr="008E4885" w:rsidRDefault="008E4885">
      <w:pPr>
        <w:pStyle w:val="Nadpis4"/>
        <w:rPr>
          <w:lang w:val="cs-CZ"/>
        </w:rPr>
      </w:pPr>
      <w:r w:rsidRPr="008E4885">
        <w:rPr>
          <w:lang w:val="cs-CZ"/>
        </w:rPr>
        <w:t>Představil</w:t>
      </w:r>
    </w:p>
    <w:p w:rsidR="00F87DD0" w:rsidRPr="008E4885" w:rsidRDefault="008E4885">
      <w:pPr>
        <w:rPr>
          <w:lang w:val="cs-CZ"/>
        </w:rPr>
      </w:pPr>
      <w:proofErr w:type="spellStart"/>
      <w:proofErr w:type="gramStart"/>
      <w:r w:rsidRPr="008E4885">
        <w:rPr>
          <w:lang w:val="cs-CZ"/>
        </w:rPr>
        <w:t>Trinomics</w:t>
      </w:r>
      <w:proofErr w:type="spellEnd"/>
      <w:r w:rsidRPr="008E4885">
        <w:rPr>
          <w:lang w:val="cs-CZ"/>
        </w:rPr>
        <w:t xml:space="preserve"> </w:t>
      </w:r>
      <w:r w:rsidR="00235FB4" w:rsidRPr="008E4885">
        <w:rPr>
          <w:lang w:val="cs-CZ"/>
        </w:rPr>
        <w:t>B.V.</w:t>
      </w:r>
      <w:proofErr w:type="gramEnd"/>
    </w:p>
    <w:p w:rsidR="00F87DD0" w:rsidRPr="008E4885" w:rsidRDefault="008E4885">
      <w:pPr>
        <w:rPr>
          <w:lang w:val="cs-CZ"/>
        </w:rPr>
      </w:pPr>
      <w:proofErr w:type="spellStart"/>
      <w:r w:rsidRPr="008E4885">
        <w:rPr>
          <w:lang w:val="cs-CZ"/>
        </w:rPr>
        <w:t>Westersingel</w:t>
      </w:r>
      <w:proofErr w:type="spellEnd"/>
      <w:r w:rsidRPr="008E4885">
        <w:rPr>
          <w:lang w:val="cs-CZ"/>
        </w:rPr>
        <w:t xml:space="preserve"> </w:t>
      </w:r>
      <w:r w:rsidR="00317A82" w:rsidRPr="008E4885">
        <w:rPr>
          <w:lang w:val="cs-CZ"/>
        </w:rPr>
        <w:t>34</w:t>
      </w:r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>3014 GS Rotterdam</w:t>
      </w:r>
    </w:p>
    <w:p w:rsidR="00F87DD0" w:rsidRPr="008E4885" w:rsidRDefault="00235FB4">
      <w:pPr>
        <w:rPr>
          <w:lang w:val="cs-CZ"/>
        </w:rPr>
      </w:pPr>
      <w:r w:rsidRPr="008E4885">
        <w:rPr>
          <w:lang w:val="cs-CZ"/>
        </w:rPr>
        <w:t>Nizozemsko</w:t>
      </w:r>
    </w:p>
    <w:p w:rsidR="00235FB4" w:rsidRPr="008E4885" w:rsidRDefault="00235FB4" w:rsidP="008059BC">
      <w:pPr>
        <w:rPr>
          <w:lang w:val="cs-CZ"/>
        </w:rPr>
      </w:pPr>
    </w:p>
    <w:p w:rsidR="00D350A4" w:rsidRPr="008E4885" w:rsidRDefault="00D350A4" w:rsidP="008059BC">
      <w:pPr>
        <w:rPr>
          <w:lang w:val="cs-CZ"/>
        </w:rPr>
      </w:pPr>
    </w:p>
    <w:p w:rsidR="00F87DD0" w:rsidRPr="008E4885" w:rsidRDefault="008E4885">
      <w:pPr>
        <w:pStyle w:val="Nadpis4"/>
        <w:rPr>
          <w:lang w:val="cs-CZ"/>
        </w:rPr>
      </w:pPr>
      <w:r w:rsidRPr="008E4885">
        <w:rPr>
          <w:lang w:val="cs-CZ"/>
        </w:rPr>
        <w:t xml:space="preserve">Kontaktní </w:t>
      </w:r>
      <w:r w:rsidR="009D3B6B" w:rsidRPr="008E4885">
        <w:rPr>
          <w:lang w:val="cs-CZ"/>
        </w:rPr>
        <w:t>osoba</w:t>
      </w:r>
    </w:p>
    <w:p w:rsidR="00F87DD0" w:rsidRPr="008E4885" w:rsidRDefault="00AF6325">
      <w:pPr>
        <w:rPr>
          <w:lang w:val="cs-CZ"/>
        </w:rPr>
      </w:pPr>
      <w:r w:rsidRPr="008E4885">
        <w:rPr>
          <w:lang w:val="cs-CZ"/>
        </w:rPr>
        <w:t>Julian Toth (vedoucí úkolu)</w:t>
      </w:r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 xml:space="preserve">E: </w:t>
      </w:r>
      <w:r w:rsidR="00AF6325" w:rsidRPr="008E4885">
        <w:rPr>
          <w:lang w:val="cs-CZ"/>
        </w:rPr>
        <w:t xml:space="preserve">julian.toth@isfc.org </w:t>
      </w:r>
    </w:p>
    <w:p w:rsidR="00235FB4" w:rsidRPr="008E4885" w:rsidRDefault="00235FB4" w:rsidP="008059BC">
      <w:pPr>
        <w:rPr>
          <w:lang w:val="cs-CZ"/>
        </w:rPr>
      </w:pPr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>Peter Janoška (projektový manažer)</w:t>
      </w:r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 xml:space="preserve">E: </w:t>
      </w:r>
      <w:hyperlink r:id="rId15" w:history="1">
        <w:r w:rsidRPr="008E4885">
          <w:rPr>
            <w:rStyle w:val="Hypertextovodkaz"/>
            <w:lang w:val="cs-CZ"/>
          </w:rPr>
          <w:t>peter.janoska@trinomics.eu</w:t>
        </w:r>
      </w:hyperlink>
    </w:p>
    <w:p w:rsidR="00AF6325" w:rsidRPr="008E4885" w:rsidRDefault="00AF6325" w:rsidP="008059BC">
      <w:pPr>
        <w:rPr>
          <w:lang w:val="cs-CZ"/>
        </w:rPr>
      </w:pPr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 xml:space="preserve">Pavla </w:t>
      </w:r>
      <w:proofErr w:type="spellStart"/>
      <w:r w:rsidRPr="008E4885">
        <w:rPr>
          <w:lang w:val="cs-CZ"/>
        </w:rPr>
        <w:t>Cihlarová</w:t>
      </w:r>
      <w:proofErr w:type="spellEnd"/>
      <w:r w:rsidRPr="008E4885">
        <w:rPr>
          <w:lang w:val="cs-CZ"/>
        </w:rPr>
        <w:t xml:space="preserve"> (koordinátorka projektu)</w:t>
      </w:r>
    </w:p>
    <w:p w:rsidR="00F87DD0" w:rsidRPr="008E4885" w:rsidRDefault="008E4885">
      <w:pPr>
        <w:rPr>
          <w:lang w:val="cs-CZ"/>
        </w:rPr>
      </w:pPr>
      <w:hyperlink r:id="rId16" w:history="1">
        <w:r w:rsidRPr="008E4885">
          <w:rPr>
            <w:rStyle w:val="Hypertextovodkaz"/>
            <w:lang w:val="cs-CZ"/>
          </w:rPr>
          <w:t>E</w:t>
        </w:r>
      </w:hyperlink>
      <w:r w:rsidRPr="008E4885">
        <w:rPr>
          <w:lang w:val="cs-CZ"/>
        </w:rPr>
        <w:t xml:space="preserve">: pavla.cihlarova@trinomics.eu </w:t>
      </w:r>
    </w:p>
    <w:p w:rsidR="00D350A4" w:rsidRPr="008E4885" w:rsidRDefault="00D350A4" w:rsidP="008059BC">
      <w:pPr>
        <w:rPr>
          <w:lang w:val="cs-CZ"/>
        </w:rPr>
      </w:pPr>
    </w:p>
    <w:p w:rsidR="00AF6325" w:rsidRPr="008E4885" w:rsidRDefault="00AF6325" w:rsidP="008059BC">
      <w:pPr>
        <w:rPr>
          <w:lang w:val="cs-CZ"/>
        </w:rPr>
      </w:pPr>
    </w:p>
    <w:p w:rsidR="00F87DD0" w:rsidRPr="008E4885" w:rsidRDefault="008E4885">
      <w:pPr>
        <w:rPr>
          <w:b/>
          <w:color w:val="F04E30"/>
          <w:lang w:val="cs-CZ"/>
        </w:rPr>
      </w:pPr>
      <w:r w:rsidRPr="008E4885">
        <w:rPr>
          <w:b/>
          <w:color w:val="F04E30"/>
          <w:lang w:val="cs-CZ"/>
        </w:rPr>
        <w:t>Datum</w:t>
      </w:r>
    </w:p>
    <w:p w:rsidR="00F87DD0" w:rsidRPr="008E4885" w:rsidRDefault="008E4885">
      <w:pPr>
        <w:spacing w:line="276" w:lineRule="auto"/>
        <w:rPr>
          <w:lang w:val="cs-CZ"/>
        </w:rPr>
      </w:pPr>
      <w:r w:rsidRPr="008E4885">
        <w:rPr>
          <w:lang w:val="cs-CZ"/>
        </w:rPr>
        <w:t>Rotterdam, 24. července 2023</w:t>
      </w:r>
    </w:p>
    <w:p w:rsidR="00235FB4" w:rsidRPr="008E4885" w:rsidRDefault="00235FB4" w:rsidP="008059BC">
      <w:pPr>
        <w:rPr>
          <w:lang w:val="cs-CZ"/>
        </w:rPr>
      </w:pPr>
    </w:p>
    <w:p w:rsidR="00EF30D1" w:rsidRPr="008E4885" w:rsidRDefault="00EF30D1" w:rsidP="00C07D53">
      <w:pPr>
        <w:tabs>
          <w:tab w:val="left" w:pos="5520"/>
        </w:tabs>
        <w:rPr>
          <w:lang w:val="cs-CZ"/>
        </w:rPr>
      </w:pPr>
    </w:p>
    <w:p w:rsidR="00EF30D1" w:rsidRPr="008E4885" w:rsidRDefault="00EF30D1" w:rsidP="008059BC">
      <w:pPr>
        <w:rPr>
          <w:lang w:val="cs-CZ"/>
        </w:rPr>
      </w:pPr>
    </w:p>
    <w:p w:rsidR="00EF30D1" w:rsidRPr="008E4885" w:rsidRDefault="00EF30D1" w:rsidP="008059BC">
      <w:pPr>
        <w:rPr>
          <w:lang w:val="cs-CZ"/>
        </w:rPr>
      </w:pPr>
    </w:p>
    <w:p w:rsidR="00EF30D1" w:rsidRPr="008E4885" w:rsidRDefault="00EF30D1" w:rsidP="008059BC">
      <w:pPr>
        <w:rPr>
          <w:lang w:val="cs-CZ"/>
        </w:rPr>
      </w:pPr>
    </w:p>
    <w:p w:rsidR="00EF30D1" w:rsidRPr="008E4885" w:rsidRDefault="00EF30D1" w:rsidP="008059BC">
      <w:pPr>
        <w:rPr>
          <w:lang w:val="cs-CZ"/>
        </w:rPr>
      </w:pPr>
    </w:p>
    <w:p w:rsidR="00EF30D1" w:rsidRPr="008E4885" w:rsidRDefault="00EF30D1" w:rsidP="008059BC">
      <w:pPr>
        <w:rPr>
          <w:lang w:val="cs-CZ"/>
        </w:rPr>
      </w:pPr>
    </w:p>
    <w:p w:rsidR="00235FB4" w:rsidRPr="008E4885" w:rsidRDefault="00235FB4" w:rsidP="008059BC">
      <w:pPr>
        <w:rPr>
          <w:lang w:val="cs-CZ"/>
        </w:rPr>
      </w:pPr>
    </w:p>
    <w:p w:rsidR="003D10CE" w:rsidRPr="008E4885" w:rsidRDefault="003D10CE" w:rsidP="008059BC">
      <w:pPr>
        <w:rPr>
          <w:lang w:val="cs-CZ"/>
        </w:rPr>
      </w:pPr>
    </w:p>
    <w:p w:rsidR="00AC6062" w:rsidRPr="008E4885" w:rsidRDefault="00AC6062" w:rsidP="008059BC">
      <w:pPr>
        <w:rPr>
          <w:lang w:val="cs-CZ"/>
        </w:rPr>
      </w:pPr>
    </w:p>
    <w:p w:rsidR="00AC6062" w:rsidRPr="008E4885" w:rsidRDefault="00AC6062" w:rsidP="008059BC">
      <w:pPr>
        <w:rPr>
          <w:lang w:val="cs-CZ"/>
        </w:rPr>
      </w:pPr>
    </w:p>
    <w:p w:rsidR="003D10CE" w:rsidRPr="008E4885" w:rsidRDefault="003D10CE" w:rsidP="008059BC">
      <w:pPr>
        <w:rPr>
          <w:lang w:val="cs-CZ"/>
        </w:rPr>
      </w:pPr>
    </w:p>
    <w:p w:rsidR="003D10CE" w:rsidRPr="008E4885" w:rsidRDefault="003D10CE" w:rsidP="008059BC">
      <w:pPr>
        <w:rPr>
          <w:lang w:val="cs-CZ"/>
        </w:rPr>
        <w:sectPr w:rsidR="003D10CE" w:rsidRPr="008E4885">
          <w:footerReference w:type="defaul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D10CE" w:rsidRPr="008E4885" w:rsidRDefault="003D10CE" w:rsidP="008059BC">
      <w:pPr>
        <w:rPr>
          <w:lang w:val="cs-CZ"/>
        </w:rPr>
      </w:pPr>
    </w:p>
    <w:p w:rsidR="00CB7234" w:rsidRPr="008E4885" w:rsidRDefault="00CB7234" w:rsidP="008059BC">
      <w:pPr>
        <w:rPr>
          <w:lang w:val="cs-CZ"/>
        </w:rPr>
      </w:pPr>
    </w:p>
    <w:p w:rsidR="00CB7234" w:rsidRPr="008E4885" w:rsidRDefault="00CB7234" w:rsidP="008059BC">
      <w:pPr>
        <w:rPr>
          <w:lang w:val="cs-CZ"/>
        </w:rPr>
      </w:pPr>
    </w:p>
    <w:p w:rsidR="00CB7234" w:rsidRPr="008E4885" w:rsidRDefault="00CB7234" w:rsidP="008059BC">
      <w:pPr>
        <w:rPr>
          <w:lang w:val="cs-CZ"/>
        </w:rPr>
      </w:pPr>
    </w:p>
    <w:p w:rsidR="00CB7234" w:rsidRPr="008E4885" w:rsidRDefault="00CB7234" w:rsidP="008059BC">
      <w:pPr>
        <w:rPr>
          <w:lang w:val="cs-CZ"/>
        </w:rPr>
      </w:pPr>
    </w:p>
    <w:p w:rsidR="00CB7234" w:rsidRPr="008E4885" w:rsidRDefault="00CB7234" w:rsidP="008059BC">
      <w:pPr>
        <w:rPr>
          <w:lang w:val="cs-CZ"/>
        </w:rPr>
      </w:pPr>
    </w:p>
    <w:p w:rsidR="003D10CE" w:rsidRPr="008E4885" w:rsidRDefault="003D10CE" w:rsidP="008059BC">
      <w:pPr>
        <w:rPr>
          <w:lang w:val="cs-CZ"/>
        </w:rPr>
      </w:pPr>
    </w:p>
    <w:p w:rsidR="003D10CE" w:rsidRPr="008E4885" w:rsidRDefault="003D10CE" w:rsidP="008059BC">
      <w:pPr>
        <w:rPr>
          <w:lang w:val="cs-CZ"/>
        </w:rPr>
      </w:pPr>
    </w:p>
    <w:p w:rsidR="00F87DD0" w:rsidRPr="008E4885" w:rsidRDefault="008E4885">
      <w:pPr>
        <w:rPr>
          <w:lang w:val="cs-CZ"/>
        </w:rPr>
      </w:pPr>
      <w:r w:rsidRPr="008E4885">
        <w:rPr>
          <w:lang w:val="cs-CZ" w:eastAsia="cs-CZ"/>
        </w:rPr>
        <w:drawing>
          <wp:anchor distT="0" distB="0" distL="114300" distR="114300" simplePos="0" relativeHeight="251658246" behindDoc="1" locked="0" layoutInCell="1" allowOverlap="1" wp14:anchorId="362A0BC4" wp14:editId="06121D72">
            <wp:simplePos x="0" y="0"/>
            <wp:positionH relativeFrom="margin">
              <wp:align>center</wp:align>
            </wp:positionH>
            <wp:positionV relativeFrom="paragraph">
              <wp:posOffset>-429260</wp:posOffset>
            </wp:positionV>
            <wp:extent cx="3718560" cy="1352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nomics-logo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0CE" w:rsidRPr="008E4885" w:rsidRDefault="003D10CE" w:rsidP="008059BC">
      <w:pPr>
        <w:rPr>
          <w:lang w:val="cs-CZ"/>
        </w:rPr>
      </w:pPr>
    </w:p>
    <w:p w:rsidR="003D10CE" w:rsidRPr="008E4885" w:rsidRDefault="003D10CE" w:rsidP="008059BC">
      <w:pPr>
        <w:rPr>
          <w:lang w:val="cs-CZ"/>
        </w:rPr>
      </w:pPr>
    </w:p>
    <w:p w:rsidR="003D10CE" w:rsidRPr="008E4885" w:rsidRDefault="003D10CE" w:rsidP="008059BC">
      <w:pPr>
        <w:rPr>
          <w:lang w:val="cs-CZ"/>
        </w:rPr>
      </w:pPr>
    </w:p>
    <w:p w:rsidR="003D10CE" w:rsidRPr="008E4885" w:rsidRDefault="003D10CE" w:rsidP="008059BC">
      <w:pPr>
        <w:rPr>
          <w:lang w:val="cs-CZ"/>
        </w:rPr>
      </w:pPr>
    </w:p>
    <w:p w:rsidR="00530049" w:rsidRPr="008E4885" w:rsidRDefault="00530049" w:rsidP="008059BC">
      <w:pPr>
        <w:rPr>
          <w:lang w:val="cs-CZ"/>
        </w:rPr>
      </w:pPr>
    </w:p>
    <w:p w:rsidR="00F87DD0" w:rsidRPr="008E4885" w:rsidRDefault="008E4885">
      <w:pPr>
        <w:jc w:val="center"/>
        <w:rPr>
          <w:b/>
          <w:color w:val="F04E30"/>
          <w:sz w:val="24"/>
          <w:szCs w:val="24"/>
          <w:lang w:val="cs-CZ"/>
        </w:rPr>
      </w:pPr>
      <w:r w:rsidRPr="008E4885">
        <w:rPr>
          <w:b/>
          <w:color w:val="F04E30"/>
          <w:sz w:val="24"/>
          <w:szCs w:val="24"/>
          <w:lang w:val="cs-CZ"/>
        </w:rPr>
        <w:t>Rotterdam</w:t>
      </w:r>
      <w:r w:rsidR="00AA0896" w:rsidRPr="008E4885">
        <w:rPr>
          <w:b/>
          <w:color w:val="F04E30"/>
          <w:sz w:val="24"/>
          <w:szCs w:val="24"/>
          <w:lang w:val="cs-CZ"/>
        </w:rPr>
        <w:t xml:space="preserve">, </w:t>
      </w:r>
      <w:r w:rsidR="00E4051C" w:rsidRPr="008E4885">
        <w:rPr>
          <w:b/>
          <w:color w:val="F04E30"/>
          <w:sz w:val="24"/>
          <w:szCs w:val="24"/>
          <w:lang w:val="cs-CZ"/>
        </w:rPr>
        <w:t xml:space="preserve">24. července </w:t>
      </w:r>
      <w:r w:rsidR="00AF6325" w:rsidRPr="008E4885">
        <w:rPr>
          <w:b/>
          <w:color w:val="F04E30"/>
          <w:sz w:val="24"/>
          <w:szCs w:val="24"/>
          <w:lang w:val="cs-CZ"/>
        </w:rPr>
        <w:t>2023</w:t>
      </w:r>
    </w:p>
    <w:p w:rsidR="00AC6062" w:rsidRPr="008E4885" w:rsidRDefault="00AC6062" w:rsidP="00BC3C79">
      <w:pPr>
        <w:jc w:val="center"/>
        <w:rPr>
          <w:b/>
          <w:color w:val="F04E30"/>
          <w:sz w:val="24"/>
          <w:szCs w:val="24"/>
          <w:lang w:val="cs-CZ"/>
        </w:rPr>
      </w:pPr>
    </w:p>
    <w:p w:rsidR="00F87DD0" w:rsidRPr="008E4885" w:rsidRDefault="008E4885">
      <w:pPr>
        <w:jc w:val="center"/>
        <w:rPr>
          <w:b/>
          <w:color w:val="F04E30"/>
          <w:sz w:val="24"/>
          <w:szCs w:val="24"/>
          <w:lang w:val="cs-CZ"/>
        </w:rPr>
      </w:pPr>
      <w:r w:rsidRPr="008E4885">
        <w:rPr>
          <w:b/>
          <w:color w:val="F04E30"/>
          <w:sz w:val="24"/>
          <w:szCs w:val="24"/>
          <w:lang w:val="cs-CZ"/>
        </w:rPr>
        <w:t xml:space="preserve">Klient: </w:t>
      </w:r>
      <w:r w:rsidR="00AF6325" w:rsidRPr="008E4885">
        <w:rPr>
          <w:b/>
          <w:color w:val="F04E30"/>
          <w:sz w:val="24"/>
          <w:szCs w:val="24"/>
          <w:lang w:val="cs-CZ"/>
        </w:rPr>
        <w:t>DG REFORM</w:t>
      </w:r>
    </w:p>
    <w:p w:rsidR="008D1E50" w:rsidRPr="008E4885" w:rsidRDefault="008D1E50" w:rsidP="009D3B6B">
      <w:pPr>
        <w:jc w:val="center"/>
        <w:rPr>
          <w:b/>
          <w:color w:val="F04E30"/>
          <w:sz w:val="24"/>
          <w:szCs w:val="24"/>
          <w:lang w:val="cs-CZ"/>
        </w:rPr>
      </w:pPr>
    </w:p>
    <w:p w:rsidR="00F87DD0" w:rsidRPr="008E4885" w:rsidRDefault="008E4885">
      <w:pPr>
        <w:jc w:val="center"/>
        <w:rPr>
          <w:b/>
          <w:color w:val="F04E30"/>
          <w:sz w:val="24"/>
          <w:szCs w:val="24"/>
          <w:lang w:val="cs-CZ"/>
        </w:rPr>
      </w:pPr>
      <w:r w:rsidRPr="008E4885">
        <w:rPr>
          <w:b/>
          <w:color w:val="F04E30"/>
          <w:sz w:val="24"/>
          <w:szCs w:val="24"/>
          <w:lang w:val="cs-CZ"/>
        </w:rPr>
        <w:t>Metodika uplatňování principu DNSH na národní úrovni v České republice</w:t>
      </w:r>
    </w:p>
    <w:p w:rsidR="003D10CE" w:rsidRPr="008E4885" w:rsidRDefault="003D10CE" w:rsidP="008059BC">
      <w:pPr>
        <w:rPr>
          <w:lang w:val="cs-CZ"/>
        </w:rPr>
      </w:pPr>
    </w:p>
    <w:p w:rsidR="00F87DD0" w:rsidRPr="008E4885" w:rsidRDefault="008E4885">
      <w:pPr>
        <w:rPr>
          <w:b/>
          <w:color w:val="002C54"/>
          <w:sz w:val="24"/>
          <w:szCs w:val="24"/>
          <w:lang w:val="cs-CZ"/>
        </w:rPr>
      </w:pPr>
      <w:r w:rsidRPr="008E4885">
        <w:rPr>
          <w:b/>
          <w:color w:val="002C54"/>
          <w:sz w:val="24"/>
          <w:szCs w:val="24"/>
          <w:lang w:val="cs-CZ"/>
        </w:rPr>
        <w:t>Ve spolupráci s:</w:t>
      </w:r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fldChar w:fldCharType="begin"/>
      </w:r>
      <w:r w:rsidRPr="008E4885">
        <w:rPr>
          <w:lang w:val="cs-CZ"/>
        </w:rPr>
        <w:instrText xml:space="preserve"> INCLUDEPICTURE "https://images.squarespace-cdn.com/content/v1/5f7709cd633d6220bbee2709/1601637220770-5FVVJH7PBY2LVL5F4JYD/logo.png" \* MERGEFORMATINET </w:instrText>
      </w:r>
      <w:r w:rsidRPr="008E4885">
        <w:rPr>
          <w:lang w:val="cs-CZ"/>
        </w:rPr>
        <w:fldChar w:fldCharType="end"/>
      </w:r>
    </w:p>
    <w:p w:rsidR="00F87DD0" w:rsidRPr="008E4885" w:rsidRDefault="008E4885">
      <w:pPr>
        <w:rPr>
          <w:lang w:val="cs-CZ"/>
        </w:rPr>
      </w:pPr>
      <w:r w:rsidRPr="008E4885">
        <w:rPr>
          <w:lang w:val="cs-CZ" w:eastAsia="cs-CZ"/>
        </w:rPr>
        <w:drawing>
          <wp:anchor distT="0" distB="0" distL="114300" distR="114300" simplePos="0" relativeHeight="251658248" behindDoc="1" locked="0" layoutInCell="1" allowOverlap="1" wp14:anchorId="634FE003" wp14:editId="739ADE7D">
            <wp:simplePos x="0" y="0"/>
            <wp:positionH relativeFrom="column">
              <wp:posOffset>2136775</wp:posOffset>
            </wp:positionH>
            <wp:positionV relativeFrom="paragraph">
              <wp:posOffset>30480</wp:posOffset>
            </wp:positionV>
            <wp:extent cx="1807210" cy="1807210"/>
            <wp:effectExtent l="0" t="0" r="2540" b="2540"/>
            <wp:wrapTight wrapText="bothSides">
              <wp:wrapPolygon edited="0">
                <wp:start x="8424" y="0"/>
                <wp:lineTo x="7058" y="228"/>
                <wp:lineTo x="2049" y="2960"/>
                <wp:lineTo x="1822" y="3871"/>
                <wp:lineTo x="0" y="7286"/>
                <wp:lineTo x="0" y="12751"/>
                <wp:lineTo x="228" y="14572"/>
                <wp:lineTo x="2277" y="18215"/>
                <wp:lineTo x="2505" y="18898"/>
                <wp:lineTo x="7514" y="21403"/>
                <wp:lineTo x="8652" y="21403"/>
                <wp:lineTo x="12523" y="21403"/>
                <wp:lineTo x="13889" y="21403"/>
                <wp:lineTo x="18670" y="18898"/>
                <wp:lineTo x="18898" y="18215"/>
                <wp:lineTo x="21175" y="14572"/>
                <wp:lineTo x="21403" y="12523"/>
                <wp:lineTo x="21403" y="7286"/>
                <wp:lineTo x="19581" y="3188"/>
                <wp:lineTo x="14800" y="455"/>
                <wp:lineTo x="12978" y="0"/>
                <wp:lineTo x="8424" y="0"/>
              </wp:wrapPolygon>
            </wp:wrapTight>
            <wp:docPr id="1" name="Picture 1" descr="ISFC - Leveraging finance for positive imp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FC - Leveraging finance for positive impac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452" w:rsidRPr="008E4885" w:rsidRDefault="00381452" w:rsidP="008059BC">
      <w:pPr>
        <w:rPr>
          <w:lang w:val="cs-CZ"/>
        </w:rPr>
      </w:pPr>
    </w:p>
    <w:p w:rsidR="00381452" w:rsidRPr="008E4885" w:rsidRDefault="00381452" w:rsidP="008059BC">
      <w:pPr>
        <w:rPr>
          <w:lang w:val="cs-CZ"/>
        </w:rPr>
      </w:pPr>
    </w:p>
    <w:p w:rsidR="00381452" w:rsidRPr="008E4885" w:rsidRDefault="00381452" w:rsidP="008059BC">
      <w:pPr>
        <w:rPr>
          <w:lang w:val="cs-CZ"/>
        </w:rPr>
      </w:pPr>
    </w:p>
    <w:p w:rsidR="00381452" w:rsidRPr="008E4885" w:rsidRDefault="00381452" w:rsidP="008059BC">
      <w:pPr>
        <w:rPr>
          <w:lang w:val="cs-CZ"/>
        </w:rPr>
      </w:pPr>
    </w:p>
    <w:p w:rsidR="003D10CE" w:rsidRPr="008E4885" w:rsidRDefault="003D10CE" w:rsidP="008059BC">
      <w:pPr>
        <w:rPr>
          <w:lang w:val="cs-CZ"/>
        </w:rPr>
      </w:pPr>
    </w:p>
    <w:p w:rsidR="008D1E50" w:rsidRPr="008E4885" w:rsidRDefault="008D1E50" w:rsidP="008059BC">
      <w:pPr>
        <w:rPr>
          <w:lang w:val="cs-CZ"/>
        </w:rPr>
      </w:pPr>
    </w:p>
    <w:p w:rsidR="008D1E50" w:rsidRPr="008E4885" w:rsidRDefault="008D1E50" w:rsidP="008059BC">
      <w:pPr>
        <w:rPr>
          <w:lang w:val="cs-CZ"/>
        </w:rPr>
      </w:pPr>
    </w:p>
    <w:p w:rsidR="008D1E50" w:rsidRPr="008E4885" w:rsidRDefault="008D1E50" w:rsidP="008059BC">
      <w:pPr>
        <w:rPr>
          <w:lang w:val="cs-CZ"/>
        </w:rPr>
      </w:pPr>
    </w:p>
    <w:p w:rsidR="008D1E50" w:rsidRPr="008E4885" w:rsidRDefault="008D1E50" w:rsidP="008059BC">
      <w:pPr>
        <w:rPr>
          <w:lang w:val="cs-CZ"/>
        </w:rPr>
      </w:pPr>
    </w:p>
    <w:p w:rsidR="008D1E50" w:rsidRPr="008E4885" w:rsidRDefault="008D1E50" w:rsidP="008059BC">
      <w:pPr>
        <w:rPr>
          <w:lang w:val="cs-CZ"/>
        </w:rPr>
      </w:pPr>
    </w:p>
    <w:p w:rsidR="00381452" w:rsidRPr="008E4885" w:rsidRDefault="00381452" w:rsidP="008059BC">
      <w:pPr>
        <w:rPr>
          <w:lang w:val="cs-CZ"/>
        </w:rPr>
      </w:pPr>
    </w:p>
    <w:p w:rsidR="001508DA" w:rsidRPr="008E4885" w:rsidRDefault="001508DA" w:rsidP="00672FB1">
      <w:pPr>
        <w:rPr>
          <w:lang w:val="cs-CZ"/>
        </w:rPr>
      </w:pPr>
    </w:p>
    <w:p w:rsidR="001508DA" w:rsidRPr="008E4885" w:rsidRDefault="001508DA" w:rsidP="00672FB1">
      <w:pPr>
        <w:rPr>
          <w:lang w:val="cs-CZ"/>
        </w:rPr>
      </w:pPr>
    </w:p>
    <w:p w:rsidR="001508DA" w:rsidRPr="008E4885" w:rsidRDefault="001508DA" w:rsidP="006D334E">
      <w:pPr>
        <w:ind w:left="0"/>
        <w:rPr>
          <w:lang w:val="cs-CZ"/>
        </w:rPr>
      </w:pPr>
    </w:p>
    <w:p w:rsidR="001508DA" w:rsidRPr="008E4885" w:rsidRDefault="001508DA" w:rsidP="00672FB1">
      <w:pPr>
        <w:rPr>
          <w:lang w:val="cs-CZ"/>
        </w:rPr>
      </w:pPr>
    </w:p>
    <w:p w:rsidR="00267A68" w:rsidRPr="008E4885" w:rsidRDefault="00267A68" w:rsidP="00672FB1">
      <w:pPr>
        <w:rPr>
          <w:lang w:val="cs-CZ"/>
        </w:rPr>
      </w:pPr>
    </w:p>
    <w:p w:rsidR="00F87DD0" w:rsidRPr="008E4885" w:rsidRDefault="008E4885">
      <w:pPr>
        <w:rPr>
          <w:lang w:val="cs-CZ"/>
        </w:rPr>
      </w:pPr>
      <w:r w:rsidRPr="008E4885">
        <w:rPr>
          <w:rFonts w:cs="ÍH_"/>
          <w:sz w:val="22"/>
          <w:szCs w:val="25"/>
          <w:lang w:val="cs-CZ" w:eastAsia="cs-CZ"/>
        </w:rPr>
        <w:drawing>
          <wp:anchor distT="0" distB="0" distL="114300" distR="114300" simplePos="0" relativeHeight="251658249" behindDoc="1" locked="0" layoutInCell="1" allowOverlap="1" wp14:anchorId="366EDD83" wp14:editId="65ACB981">
            <wp:simplePos x="0" y="0"/>
            <wp:positionH relativeFrom="column">
              <wp:posOffset>9525</wp:posOffset>
            </wp:positionH>
            <wp:positionV relativeFrom="paragraph">
              <wp:posOffset>71239</wp:posOffset>
            </wp:positionV>
            <wp:extent cx="995680" cy="659130"/>
            <wp:effectExtent l="0" t="0" r="0" b="1270"/>
            <wp:wrapThrough wrapText="bothSides">
              <wp:wrapPolygon edited="0">
                <wp:start x="0" y="0"/>
                <wp:lineTo x="0" y="21225"/>
                <wp:lineTo x="21214" y="21225"/>
                <wp:lineTo x="21214" y="0"/>
                <wp:lineTo x="0" y="0"/>
              </wp:wrapPolygon>
            </wp:wrapThrough>
            <wp:docPr id="2" name="Picture 2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DD0" w:rsidRPr="008E4885" w:rsidRDefault="008E4885">
      <w:pPr>
        <w:spacing w:line="276" w:lineRule="auto"/>
        <w:rPr>
          <w:rFonts w:cs="ÍH_"/>
          <w:lang w:val="cs-CZ"/>
        </w:rPr>
      </w:pPr>
      <w:r w:rsidRPr="008E4885">
        <w:rPr>
          <w:rFonts w:cs="ÍH_"/>
          <w:lang w:val="cs-CZ"/>
        </w:rPr>
        <w:t>Tento projekt je realizován za finanční podpory Evropské unie prostřednictvím nástroje technické podpory a ve spolupráci s Generálním ředitelstvím Evropské komise pro podporu strukturálních reforem.</w:t>
      </w:r>
    </w:p>
    <w:p w:rsidR="00CD1506" w:rsidRPr="008E4885" w:rsidRDefault="00CD1506" w:rsidP="006D334E">
      <w:pPr>
        <w:spacing w:line="276" w:lineRule="auto"/>
        <w:rPr>
          <w:lang w:val="cs-CZ"/>
        </w:rPr>
      </w:pPr>
    </w:p>
    <w:p w:rsidR="00CD1506" w:rsidRPr="008E4885" w:rsidRDefault="00CD1506">
      <w:pPr>
        <w:spacing w:after="200" w:line="276" w:lineRule="auto"/>
        <w:ind w:left="0"/>
        <w:rPr>
          <w:lang w:val="cs-CZ"/>
        </w:rPr>
      </w:pPr>
      <w:r w:rsidRPr="008E4885">
        <w:rPr>
          <w:lang w:val="cs-CZ"/>
        </w:rPr>
        <w:br w:type="page"/>
      </w:r>
    </w:p>
    <w:p w:rsidR="006F3313" w:rsidRPr="008E4885" w:rsidRDefault="006F3313" w:rsidP="006D334E">
      <w:pPr>
        <w:ind w:left="0"/>
        <w:rPr>
          <w:lang w:val="cs-CZ"/>
        </w:rPr>
      </w:pPr>
    </w:p>
    <w:p w:rsidR="00F87DD0" w:rsidRPr="008E4885" w:rsidRDefault="005B4132">
      <w:pPr>
        <w:pStyle w:val="Nadpis4"/>
        <w:ind w:firstLine="0"/>
        <w:rPr>
          <w:lang w:val="cs-CZ"/>
        </w:rPr>
      </w:pPr>
      <w:r w:rsidRPr="008E4885">
        <w:rPr>
          <w:sz w:val="24"/>
          <w:szCs w:val="32"/>
          <w:lang w:val="cs-CZ"/>
        </w:rPr>
        <w:t>OBSAH</w:t>
      </w:r>
    </w:p>
    <w:p w:rsidR="003367E5" w:rsidRPr="008E4885" w:rsidRDefault="003367E5" w:rsidP="00DB51A2">
      <w:pPr>
        <w:rPr>
          <w:lang w:val="cs-CZ"/>
        </w:rPr>
      </w:pPr>
    </w:p>
    <w:p w:rsidR="00F87DD0" w:rsidRPr="008E4885" w:rsidRDefault="00DB51A2">
      <w:pPr>
        <w:pStyle w:val="Obsah1"/>
        <w:rPr>
          <w:rFonts w:asciiTheme="minorHAnsi" w:eastAsiaTheme="minorEastAsia" w:hAnsiTheme="minorHAnsi"/>
          <w:b w:val="0"/>
          <w:bCs w:val="0"/>
          <w:color w:val="auto"/>
          <w:sz w:val="24"/>
          <w:lang w:val="cs-CZ" w:eastAsia="en-GB"/>
        </w:rPr>
      </w:pPr>
      <w:r w:rsidRPr="008E4885">
        <w:rPr>
          <w:sz w:val="28"/>
          <w:lang w:val="cs-CZ"/>
        </w:rPr>
        <w:fldChar w:fldCharType="begin"/>
      </w:r>
      <w:r w:rsidR="008E4885" w:rsidRPr="008E4885">
        <w:rPr>
          <w:sz w:val="28"/>
          <w:lang w:val="cs-CZ"/>
        </w:rPr>
        <w:instrText xml:space="preserve"> TOC \o "1-3" \h \z \u </w:instrText>
      </w:r>
      <w:r w:rsidRPr="008E4885">
        <w:rPr>
          <w:sz w:val="28"/>
          <w:lang w:val="cs-CZ"/>
        </w:rPr>
        <w:fldChar w:fldCharType="separate"/>
      </w:r>
      <w:hyperlink w:anchor="_Toc133944247" w:history="1">
        <w:r w:rsidR="00242DFC" w:rsidRPr="008E4885">
          <w:rPr>
            <w:rStyle w:val="Hypertextovodkaz"/>
            <w:lang w:val="cs-CZ"/>
          </w:rPr>
          <w:t>1</w:t>
        </w:r>
        <w:r w:rsidR="00242DFC" w:rsidRPr="008E4885">
          <w:rPr>
            <w:rFonts w:asciiTheme="minorHAnsi" w:eastAsiaTheme="minorEastAsia" w:hAnsiTheme="minorHAnsi"/>
            <w:b w:val="0"/>
            <w:bCs w:val="0"/>
            <w:color w:val="auto"/>
            <w:sz w:val="24"/>
            <w:lang w:val="cs-CZ" w:eastAsia="en-GB"/>
          </w:rPr>
          <w:tab/>
        </w:r>
        <w:r w:rsidR="00242DFC" w:rsidRPr="008E4885">
          <w:rPr>
            <w:rStyle w:val="Hypertextovodkaz"/>
            <w:lang w:val="cs-CZ"/>
          </w:rPr>
          <w:t>Úvod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_Toc133944247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6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val="cs-CZ" w:eastAsia="en-GB"/>
        </w:rPr>
      </w:pPr>
      <w:hyperlink w:anchor="_Toc133944248" w:history="1">
        <w:r w:rsidR="00242DFC" w:rsidRPr="008E4885">
          <w:rPr>
            <w:rStyle w:val="Hypertextovodkaz"/>
            <w:lang w:val="cs-CZ"/>
          </w:rPr>
          <w:t>1.1</w:t>
        </w:r>
        <w:r w:rsidR="00242DFC" w:rsidRPr="008E4885">
          <w:rPr>
            <w:rFonts w:asciiTheme="minorHAnsi" w:eastAsiaTheme="minorEastAsia" w:hAnsiTheme="minorHAnsi" w:cstheme="minorBidi"/>
            <w:b w:val="0"/>
            <w:bCs w:val="0"/>
            <w:color w:val="auto"/>
            <w:sz w:val="24"/>
            <w:szCs w:val="24"/>
            <w:lang w:val="cs-CZ" w:eastAsia="en-GB"/>
          </w:rPr>
          <w:tab/>
        </w:r>
        <w:r w:rsidR="00242DFC" w:rsidRPr="008E4885">
          <w:rPr>
            <w:rStyle w:val="Hypertextovodkaz"/>
            <w:lang w:val="cs-CZ"/>
          </w:rPr>
          <w:t>Cíl dodávky 4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_Toc133944248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6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val="cs-CZ" w:eastAsia="en-GB"/>
        </w:rPr>
      </w:pPr>
      <w:hyperlink w:anchor="_Toc133944249" w:history="1">
        <w:r w:rsidR="00242DFC" w:rsidRPr="008E4885">
          <w:rPr>
            <w:rStyle w:val="Hypertextovodkaz"/>
            <w:lang w:val="cs-CZ"/>
          </w:rPr>
          <w:t>1.2</w:t>
        </w:r>
        <w:r w:rsidR="00242DFC" w:rsidRPr="008E4885">
          <w:rPr>
            <w:rFonts w:asciiTheme="minorHAnsi" w:eastAsiaTheme="minorEastAsia" w:hAnsiTheme="minorHAnsi" w:cstheme="minorBidi"/>
            <w:b w:val="0"/>
            <w:bCs w:val="0"/>
            <w:color w:val="auto"/>
            <w:sz w:val="24"/>
            <w:szCs w:val="24"/>
            <w:lang w:val="cs-CZ" w:eastAsia="en-GB"/>
          </w:rPr>
          <w:tab/>
        </w:r>
        <w:r w:rsidR="00242DFC" w:rsidRPr="008E4885">
          <w:rPr>
            <w:rStyle w:val="Hypertextovodkaz"/>
            <w:lang w:val="cs-CZ"/>
          </w:rPr>
          <w:t>Přehled klíčových zjištění z ad hoc podpory a předchozích výstupů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_Toc133944249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6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3"/>
        <w:tabs>
          <w:tab w:val="left" w:pos="1506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val="cs-CZ" w:eastAsia="en-GB"/>
        </w:rPr>
      </w:pPr>
      <w:hyperlink w:anchor="_Toc133944250" w:history="1">
        <w:r w:rsidR="00242DFC" w:rsidRPr="008E4885">
          <w:rPr>
            <w:rStyle w:val="Hypertextovodkaz"/>
            <w:lang w:val="cs-CZ"/>
          </w:rPr>
          <w:t>1.2.1</w:t>
        </w:r>
        <w:r w:rsidR="00242DFC" w:rsidRPr="008E4885">
          <w:rPr>
            <w:rFonts w:asciiTheme="minorHAnsi" w:eastAsiaTheme="minorEastAsia" w:hAnsiTheme="minorHAnsi" w:cstheme="minorBidi"/>
            <w:color w:val="auto"/>
            <w:sz w:val="24"/>
            <w:szCs w:val="24"/>
            <w:lang w:val="cs-CZ" w:eastAsia="en-GB"/>
          </w:rPr>
          <w:tab/>
        </w:r>
        <w:r w:rsidR="00242DFC" w:rsidRPr="008E4885">
          <w:rPr>
            <w:rStyle w:val="Hypertextovodkaz"/>
            <w:lang w:val="cs-CZ"/>
          </w:rPr>
          <w:t>Dodávka 1 - Úvodní zpráva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_Toc133944250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6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3"/>
        <w:tabs>
          <w:tab w:val="left" w:pos="1506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val="cs-CZ" w:eastAsia="en-GB"/>
        </w:rPr>
      </w:pPr>
      <w:hyperlink w:anchor="_Toc133944251" w:history="1">
        <w:r w:rsidR="00242DFC" w:rsidRPr="008E4885">
          <w:rPr>
            <w:rStyle w:val="Hypertextovodkaz"/>
            <w:lang w:val="cs-CZ"/>
          </w:rPr>
          <w:t>1.2.2</w:t>
        </w:r>
        <w:r w:rsidR="00242DFC" w:rsidRPr="008E4885">
          <w:rPr>
            <w:rFonts w:asciiTheme="minorHAnsi" w:eastAsiaTheme="minorEastAsia" w:hAnsiTheme="minorHAnsi" w:cstheme="minorBidi"/>
            <w:color w:val="auto"/>
            <w:sz w:val="24"/>
            <w:szCs w:val="24"/>
            <w:lang w:val="cs-CZ" w:eastAsia="en-GB"/>
          </w:rPr>
          <w:tab/>
        </w:r>
        <w:r w:rsidR="00242DFC" w:rsidRPr="008E4885">
          <w:rPr>
            <w:rStyle w:val="Hypertextovodkaz"/>
            <w:lang w:val="cs-CZ"/>
          </w:rPr>
          <w:t>Dodávka 2 - Diagnostická zpráva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_Toc133944251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7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3"/>
        <w:tabs>
          <w:tab w:val="left" w:pos="1506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val="cs-CZ" w:eastAsia="en-GB"/>
        </w:rPr>
      </w:pPr>
      <w:hyperlink w:anchor="_Toc133944252" w:history="1">
        <w:r w:rsidR="00242DFC" w:rsidRPr="008E4885">
          <w:rPr>
            <w:rStyle w:val="Hypertextovodkaz"/>
            <w:lang w:val="cs-CZ"/>
          </w:rPr>
          <w:t>1.2.3</w:t>
        </w:r>
        <w:r w:rsidR="00242DFC" w:rsidRPr="008E4885">
          <w:rPr>
            <w:rFonts w:asciiTheme="minorHAnsi" w:eastAsiaTheme="minorEastAsia" w:hAnsiTheme="minorHAnsi" w:cstheme="minorBidi"/>
            <w:color w:val="auto"/>
            <w:sz w:val="24"/>
            <w:szCs w:val="24"/>
            <w:lang w:val="cs-CZ" w:eastAsia="en-GB"/>
          </w:rPr>
          <w:tab/>
        </w:r>
        <w:r w:rsidR="00242DFC" w:rsidRPr="008E4885">
          <w:rPr>
            <w:rStyle w:val="Hypertextovodkaz"/>
            <w:lang w:val="cs-CZ"/>
          </w:rPr>
          <w:t>Dodávka 2 - Ad hoc podpora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_Toc133944252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7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3"/>
        <w:tabs>
          <w:tab w:val="left" w:pos="1506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val="cs-CZ" w:eastAsia="en-GB"/>
        </w:rPr>
      </w:pPr>
      <w:hyperlink w:anchor="_Toc133944253" w:history="1">
        <w:r w:rsidR="00242DFC" w:rsidRPr="008E4885">
          <w:rPr>
            <w:rStyle w:val="Hypertextovodkaz"/>
            <w:lang w:val="cs-CZ"/>
          </w:rPr>
          <w:t>1.2.4</w:t>
        </w:r>
        <w:r w:rsidR="00242DFC" w:rsidRPr="008E4885">
          <w:rPr>
            <w:rFonts w:asciiTheme="minorHAnsi" w:eastAsiaTheme="minorEastAsia" w:hAnsiTheme="minorHAnsi" w:cstheme="minorBidi"/>
            <w:color w:val="auto"/>
            <w:sz w:val="24"/>
            <w:szCs w:val="24"/>
            <w:lang w:val="cs-CZ" w:eastAsia="en-GB"/>
          </w:rPr>
          <w:tab/>
        </w:r>
        <w:r w:rsidR="00242DFC" w:rsidRPr="008E4885">
          <w:rPr>
            <w:rStyle w:val="Hypertextovodkaz"/>
            <w:lang w:val="cs-CZ"/>
          </w:rPr>
          <w:t>Dodávka 3 - Webináře a získané zkušenosti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_Toc133944253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7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val="cs-CZ" w:eastAsia="en-GB"/>
        </w:rPr>
      </w:pPr>
      <w:hyperlink w:anchor="_Toc133944254" w:history="1">
        <w:r w:rsidR="00242DFC" w:rsidRPr="008E4885">
          <w:rPr>
            <w:rStyle w:val="Hypertextovodkaz"/>
            <w:lang w:val="cs-CZ"/>
          </w:rPr>
          <w:t>1.3</w:t>
        </w:r>
        <w:r w:rsidR="00242DFC" w:rsidRPr="008E4885">
          <w:rPr>
            <w:rFonts w:asciiTheme="minorHAnsi" w:eastAsiaTheme="minorEastAsia" w:hAnsiTheme="minorHAnsi" w:cstheme="minorBidi"/>
            <w:b w:val="0"/>
            <w:bCs w:val="0"/>
            <w:color w:val="auto"/>
            <w:sz w:val="24"/>
            <w:szCs w:val="24"/>
            <w:lang w:val="cs-CZ" w:eastAsia="en-GB"/>
          </w:rPr>
          <w:tab/>
        </w:r>
        <w:r w:rsidR="00242DFC" w:rsidRPr="008E4885">
          <w:rPr>
            <w:rStyle w:val="Hypertextovodkaz"/>
            <w:lang w:val="cs-CZ"/>
          </w:rPr>
          <w:t>Metodika a přístup k výsledku 4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_Toc133944254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8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3"/>
        <w:tabs>
          <w:tab w:val="left" w:pos="1506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val="cs-CZ" w:eastAsia="en-GB"/>
        </w:rPr>
      </w:pPr>
      <w:hyperlink w:anchor="_Toc133944255" w:history="1">
        <w:r w:rsidR="00242DFC" w:rsidRPr="008E4885">
          <w:rPr>
            <w:rStyle w:val="Hypertextovodkaz"/>
            <w:lang w:val="cs-CZ"/>
          </w:rPr>
          <w:t>1.3.1</w:t>
        </w:r>
        <w:r w:rsidR="00242DFC" w:rsidRPr="008E4885">
          <w:rPr>
            <w:rFonts w:asciiTheme="minorHAnsi" w:eastAsiaTheme="minorEastAsia" w:hAnsiTheme="minorHAnsi" w:cstheme="minorBidi"/>
            <w:color w:val="auto"/>
            <w:sz w:val="24"/>
            <w:szCs w:val="24"/>
            <w:lang w:val="cs-CZ" w:eastAsia="en-GB"/>
          </w:rPr>
          <w:tab/>
        </w:r>
        <w:r w:rsidR="00242DFC" w:rsidRPr="008E4885">
          <w:rPr>
            <w:rStyle w:val="Hypertextovodkaz"/>
            <w:lang w:val="cs-CZ"/>
          </w:rPr>
          <w:t>Typy investic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_Toc133944255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8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3"/>
        <w:tabs>
          <w:tab w:val="left" w:pos="1506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val="cs-CZ" w:eastAsia="en-GB"/>
        </w:rPr>
      </w:pPr>
      <w:hyperlink w:anchor="_Toc133944256" w:history="1">
        <w:r w:rsidR="00242DFC" w:rsidRPr="008E4885">
          <w:rPr>
            <w:rStyle w:val="Hypertextovodkaz"/>
            <w:lang w:val="cs-CZ"/>
          </w:rPr>
          <w:t>1.3.2</w:t>
        </w:r>
        <w:r w:rsidR="00242DFC" w:rsidRPr="008E4885">
          <w:rPr>
            <w:rFonts w:asciiTheme="minorHAnsi" w:eastAsiaTheme="minorEastAsia" w:hAnsiTheme="minorHAnsi" w:cstheme="minorBidi"/>
            <w:color w:val="auto"/>
            <w:sz w:val="24"/>
            <w:szCs w:val="24"/>
            <w:lang w:val="cs-CZ" w:eastAsia="en-GB"/>
          </w:rPr>
          <w:tab/>
        </w:r>
        <w:r w:rsidR="00242DFC" w:rsidRPr="008E4885">
          <w:rPr>
            <w:rStyle w:val="Hypertextovodkaz"/>
            <w:lang w:val="cs-CZ"/>
          </w:rPr>
          <w:t>Kategorizace podle typů investic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_Toc133944256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9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1"/>
        <w:rPr>
          <w:rFonts w:asciiTheme="minorHAnsi" w:eastAsiaTheme="minorEastAsia" w:hAnsiTheme="minorHAnsi"/>
          <w:b w:val="0"/>
          <w:bCs w:val="0"/>
          <w:color w:val="auto"/>
          <w:sz w:val="24"/>
          <w:lang w:val="cs-CZ" w:eastAsia="en-GB"/>
        </w:rPr>
      </w:pPr>
      <w:hyperlink w:anchor="_Toc133944257" w:history="1">
        <w:r w:rsidR="00242DFC" w:rsidRPr="008E4885">
          <w:rPr>
            <w:rStyle w:val="Hypertextovodkaz"/>
            <w:lang w:val="cs-CZ"/>
          </w:rPr>
          <w:t>2</w:t>
        </w:r>
        <w:r w:rsidR="00242DFC" w:rsidRPr="008E4885">
          <w:rPr>
            <w:rFonts w:asciiTheme="minorHAnsi" w:eastAsiaTheme="minorEastAsia" w:hAnsiTheme="minorHAnsi"/>
            <w:b w:val="0"/>
            <w:bCs w:val="0"/>
            <w:color w:val="auto"/>
            <w:sz w:val="24"/>
            <w:lang w:val="cs-CZ" w:eastAsia="en-GB"/>
          </w:rPr>
          <w:tab/>
        </w:r>
        <w:r w:rsidR="00242DFC" w:rsidRPr="008E4885">
          <w:rPr>
            <w:rStyle w:val="Hypertextovodkaz"/>
            <w:lang w:val="cs-CZ"/>
          </w:rPr>
          <w:t>Typologie a kategorizace investic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_Toc133944257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10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val="cs-CZ" w:eastAsia="en-GB"/>
        </w:rPr>
      </w:pPr>
      <w:hyperlink w:anchor="_Toc133944258" w:history="1">
        <w:r w:rsidR="00242DFC" w:rsidRPr="008E4885">
          <w:rPr>
            <w:rStyle w:val="Hypertextovodkaz"/>
            <w:lang w:val="cs-CZ"/>
          </w:rPr>
          <w:t>2.1</w:t>
        </w:r>
        <w:r w:rsidR="00242DFC" w:rsidRPr="008E4885">
          <w:rPr>
            <w:rFonts w:asciiTheme="minorHAnsi" w:eastAsiaTheme="minorEastAsia" w:hAnsiTheme="minorHAnsi" w:cstheme="minorBidi"/>
            <w:b w:val="0"/>
            <w:bCs w:val="0"/>
            <w:color w:val="auto"/>
            <w:sz w:val="24"/>
            <w:szCs w:val="24"/>
            <w:lang w:val="cs-CZ" w:eastAsia="en-GB"/>
          </w:rPr>
          <w:tab/>
        </w:r>
        <w:r w:rsidR="00242DFC" w:rsidRPr="008E4885">
          <w:rPr>
            <w:rStyle w:val="Hypertextovodkaz"/>
            <w:lang w:val="cs-CZ"/>
          </w:rPr>
          <w:t>Typy investic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_Toc133944258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10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val="cs-CZ" w:eastAsia="en-GB"/>
        </w:rPr>
      </w:pPr>
      <w:hyperlink w:anchor="_Toc133944259" w:history="1">
        <w:r w:rsidR="00242DFC" w:rsidRPr="008E4885">
          <w:rPr>
            <w:rStyle w:val="Hypertextovodkaz"/>
            <w:lang w:val="cs-CZ"/>
          </w:rPr>
          <w:t>2.2</w:t>
        </w:r>
        <w:r w:rsidR="00242DFC" w:rsidRPr="008E4885">
          <w:rPr>
            <w:rFonts w:asciiTheme="minorHAnsi" w:eastAsiaTheme="minorEastAsia" w:hAnsiTheme="minorHAnsi" w:cstheme="minorBidi"/>
            <w:b w:val="0"/>
            <w:bCs w:val="0"/>
            <w:color w:val="auto"/>
            <w:sz w:val="24"/>
            <w:szCs w:val="24"/>
            <w:lang w:val="cs-CZ" w:eastAsia="en-GB"/>
          </w:rPr>
          <w:tab/>
        </w:r>
        <w:r w:rsidR="00242DFC" w:rsidRPr="008E4885">
          <w:rPr>
            <w:rStyle w:val="Hypertextovodkaz"/>
            <w:lang w:val="cs-CZ"/>
          </w:rPr>
          <w:t>Kategorizace investic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_Toc133944259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11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val="cs-CZ" w:eastAsia="en-GB"/>
        </w:rPr>
      </w:pPr>
      <w:hyperlink w:anchor="_Toc133944260" w:history="1">
        <w:r w:rsidR="00242DFC" w:rsidRPr="008E4885">
          <w:rPr>
            <w:rStyle w:val="Hypertextovodkaz"/>
            <w:lang w:val="cs-CZ"/>
          </w:rPr>
          <w:t>2.3</w:t>
        </w:r>
        <w:r w:rsidR="00242DFC" w:rsidRPr="008E4885">
          <w:rPr>
            <w:rFonts w:asciiTheme="minorHAnsi" w:eastAsiaTheme="minorEastAsia" w:hAnsiTheme="minorHAnsi" w:cstheme="minorBidi"/>
            <w:b w:val="0"/>
            <w:bCs w:val="0"/>
            <w:color w:val="auto"/>
            <w:sz w:val="24"/>
            <w:szCs w:val="24"/>
            <w:lang w:val="cs-CZ" w:eastAsia="en-GB"/>
          </w:rPr>
          <w:tab/>
        </w:r>
        <w:r w:rsidR="00242DFC" w:rsidRPr="008E4885">
          <w:rPr>
            <w:rStyle w:val="Hypertextovodkaz"/>
            <w:lang w:val="cs-CZ"/>
          </w:rPr>
          <w:t>Vzájemné vazby mezi kategoriemi a hodnocením DNSH v Česku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_Toc133944260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16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1"/>
        <w:rPr>
          <w:rFonts w:asciiTheme="minorHAnsi" w:eastAsiaTheme="minorEastAsia" w:hAnsiTheme="minorHAnsi"/>
          <w:b w:val="0"/>
          <w:bCs w:val="0"/>
          <w:color w:val="auto"/>
          <w:sz w:val="24"/>
          <w:lang w:val="cs-CZ" w:eastAsia="en-GB"/>
        </w:rPr>
      </w:pPr>
      <w:hyperlink w:anchor="_Toc133944261" w:history="1">
        <w:r w:rsidR="00242DFC" w:rsidRPr="008E4885">
          <w:rPr>
            <w:rStyle w:val="Hypertextovodkaz"/>
            <w:lang w:val="cs-CZ"/>
          </w:rPr>
          <w:t>3</w:t>
        </w:r>
        <w:r w:rsidR="00242DFC" w:rsidRPr="008E4885">
          <w:rPr>
            <w:rFonts w:asciiTheme="minorHAnsi" w:eastAsiaTheme="minorEastAsia" w:hAnsiTheme="minorHAnsi"/>
            <w:b w:val="0"/>
            <w:bCs w:val="0"/>
            <w:color w:val="auto"/>
            <w:sz w:val="24"/>
            <w:lang w:val="cs-CZ" w:eastAsia="en-GB"/>
          </w:rPr>
          <w:tab/>
        </w:r>
        <w:r w:rsidR="00242DFC" w:rsidRPr="008E4885">
          <w:rPr>
            <w:rStyle w:val="Hypertextovodkaz"/>
            <w:lang w:val="cs-CZ"/>
          </w:rPr>
          <w:t>Doporučení týkající se vhodnosti pro daný účel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_Toc133944261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18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val="cs-CZ" w:eastAsia="en-GB"/>
        </w:rPr>
      </w:pPr>
      <w:hyperlink w:anchor="_Toc133944262" w:history="1">
        <w:r w:rsidR="00242DFC" w:rsidRPr="008E4885">
          <w:rPr>
            <w:rStyle w:val="Hypertextovodkaz"/>
            <w:lang w:val="cs-CZ"/>
          </w:rPr>
          <w:t>3.1</w:t>
        </w:r>
        <w:r w:rsidR="00242DFC" w:rsidRPr="008E4885">
          <w:rPr>
            <w:rFonts w:asciiTheme="minorHAnsi" w:eastAsiaTheme="minorEastAsia" w:hAnsiTheme="minorHAnsi" w:cstheme="minorBidi"/>
            <w:b w:val="0"/>
            <w:bCs w:val="0"/>
            <w:color w:val="auto"/>
            <w:sz w:val="24"/>
            <w:szCs w:val="24"/>
            <w:lang w:val="cs-CZ" w:eastAsia="en-GB"/>
          </w:rPr>
          <w:tab/>
        </w:r>
        <w:r w:rsidR="00242DFC" w:rsidRPr="008E4885">
          <w:rPr>
            <w:rStyle w:val="Hypertextovodkaz"/>
            <w:lang w:val="cs-CZ"/>
          </w:rPr>
          <w:t>Základ pro doporučení týkající se struktury a přístupu k pokynům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_Toc133944262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18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val="cs-CZ" w:eastAsia="en-GB"/>
        </w:rPr>
      </w:pPr>
      <w:hyperlink w:anchor="_Toc133944263" w:history="1">
        <w:r w:rsidR="00242DFC" w:rsidRPr="008E4885">
          <w:rPr>
            <w:rStyle w:val="Hypertextovodkaz"/>
            <w:lang w:val="cs-CZ"/>
          </w:rPr>
          <w:t>3.2</w:t>
        </w:r>
        <w:r w:rsidR="00242DFC" w:rsidRPr="008E4885">
          <w:rPr>
            <w:rFonts w:asciiTheme="minorHAnsi" w:eastAsiaTheme="minorEastAsia" w:hAnsiTheme="minorHAnsi" w:cstheme="minorBidi"/>
            <w:b w:val="0"/>
            <w:bCs w:val="0"/>
            <w:color w:val="auto"/>
            <w:sz w:val="24"/>
            <w:szCs w:val="24"/>
            <w:lang w:val="cs-CZ" w:eastAsia="en-GB"/>
          </w:rPr>
          <w:tab/>
        </w:r>
        <w:r w:rsidR="00242DFC" w:rsidRPr="008E4885">
          <w:rPr>
            <w:rStyle w:val="Hypertextovodkaz"/>
            <w:lang w:val="cs-CZ"/>
          </w:rPr>
          <w:t>Doporučené kroky hodnocení DNSH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_Toc133944263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19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3"/>
        <w:tabs>
          <w:tab w:val="left" w:pos="1506"/>
        </w:tabs>
        <w:rPr>
          <w:rFonts w:asciiTheme="minorHAnsi" w:eastAsiaTheme="minorEastAsia" w:hAnsiTheme="minorHAnsi" w:cstheme="minorBidi"/>
          <w:color w:val="auto"/>
          <w:sz w:val="24"/>
          <w:szCs w:val="24"/>
          <w:lang w:val="cs-CZ" w:eastAsia="en-GB"/>
        </w:rPr>
      </w:pPr>
      <w:hyperlink w:anchor="_Toc133944264" w:history="1">
        <w:r w:rsidR="00242DFC" w:rsidRPr="008E4885">
          <w:rPr>
            <w:rStyle w:val="Hypertextovodkaz"/>
            <w:lang w:val="cs-CZ"/>
          </w:rPr>
          <w:t>3.2.1</w:t>
        </w:r>
        <w:r w:rsidR="00242DFC" w:rsidRPr="008E4885">
          <w:rPr>
            <w:rFonts w:asciiTheme="minorHAnsi" w:eastAsiaTheme="minorEastAsia" w:hAnsiTheme="minorHAnsi" w:cstheme="minorBidi"/>
            <w:color w:val="auto"/>
            <w:sz w:val="24"/>
            <w:szCs w:val="24"/>
            <w:lang w:val="cs-CZ" w:eastAsia="en-GB"/>
          </w:rPr>
          <w:tab/>
        </w:r>
        <w:r w:rsidR="00242DFC" w:rsidRPr="008E4885">
          <w:rPr>
            <w:rStyle w:val="Hypertextovodkaz"/>
            <w:lang w:val="cs-CZ"/>
          </w:rPr>
          <w:t>Fáze hodnocení DNSH a klíčové parametry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_Toc133944264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19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val="cs-CZ" w:eastAsia="en-GB"/>
        </w:rPr>
      </w:pPr>
      <w:hyperlink w:anchor="_Toc133944265" w:history="1">
        <w:r w:rsidR="00242DFC" w:rsidRPr="008E4885">
          <w:rPr>
            <w:rStyle w:val="Hypertextovodkaz"/>
            <w:lang w:val="cs-CZ"/>
          </w:rPr>
          <w:t>3.3</w:t>
        </w:r>
        <w:r w:rsidR="00242DFC" w:rsidRPr="008E4885">
          <w:rPr>
            <w:rFonts w:asciiTheme="minorHAnsi" w:eastAsiaTheme="minorEastAsia" w:hAnsiTheme="minorHAnsi" w:cstheme="minorBidi"/>
            <w:b w:val="0"/>
            <w:bCs w:val="0"/>
            <w:color w:val="auto"/>
            <w:sz w:val="24"/>
            <w:szCs w:val="24"/>
            <w:lang w:val="cs-CZ" w:eastAsia="en-GB"/>
          </w:rPr>
          <w:tab/>
        </w:r>
        <w:r w:rsidR="00242DFC" w:rsidRPr="008E4885">
          <w:rPr>
            <w:rStyle w:val="Hypertextovodkaz"/>
            <w:lang w:val="cs-CZ"/>
          </w:rPr>
          <w:t>Doporučení k obsahu a srozumitelnosti pokynů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_Toc133944265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21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1"/>
        <w:rPr>
          <w:rFonts w:asciiTheme="minorHAnsi" w:eastAsiaTheme="minorEastAsia" w:hAnsiTheme="minorHAnsi"/>
          <w:b w:val="0"/>
          <w:bCs w:val="0"/>
          <w:color w:val="auto"/>
          <w:sz w:val="24"/>
          <w:lang w:val="cs-CZ" w:eastAsia="en-GB"/>
        </w:rPr>
      </w:pPr>
      <w:hyperlink w:anchor="_Toc133944266" w:history="1">
        <w:r w:rsidR="00242DFC" w:rsidRPr="008E4885">
          <w:rPr>
            <w:rStyle w:val="Hypertextovodkaz"/>
            <w:lang w:val="cs-CZ"/>
          </w:rPr>
          <w:t>4 Závěr a důsledky pro DLV 5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_Toc133944266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25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1"/>
        <w:rPr>
          <w:rFonts w:asciiTheme="minorHAnsi" w:eastAsiaTheme="minorEastAsia" w:hAnsiTheme="minorHAnsi"/>
          <w:b w:val="0"/>
          <w:bCs w:val="0"/>
          <w:color w:val="auto"/>
          <w:sz w:val="24"/>
          <w:lang w:val="cs-CZ" w:eastAsia="en-GB"/>
        </w:rPr>
      </w:pPr>
      <w:hyperlink w:anchor="_Toc133944267" w:history="1">
        <w:r w:rsidR="00242DFC" w:rsidRPr="008E4885">
          <w:rPr>
            <w:rStyle w:val="Hypertextovodkaz"/>
            <w:lang w:val="cs-CZ"/>
          </w:rPr>
          <w:t>Příloha A Seznam priorit a specifických cílů programů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_Toc133944267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26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1"/>
        <w:rPr>
          <w:rFonts w:asciiTheme="minorHAnsi" w:eastAsiaTheme="minorEastAsia" w:hAnsiTheme="minorHAnsi"/>
          <w:b w:val="0"/>
          <w:bCs w:val="0"/>
          <w:color w:val="auto"/>
          <w:sz w:val="24"/>
          <w:lang w:val="cs-CZ" w:eastAsia="en-GB"/>
        </w:rPr>
      </w:pPr>
      <w:hyperlink w:anchor="_Toc133944268" w:history="1">
        <w:r w:rsidR="00242DFC" w:rsidRPr="008E4885">
          <w:rPr>
            <w:rStyle w:val="Hypertextovodkaz"/>
            <w:lang w:val="cs-CZ"/>
          </w:rPr>
          <w:t>Příloha B Hlavní úvahy při posuzování DNSH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_Toc133944268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30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F87DD0" w:rsidRPr="008E4885" w:rsidRDefault="008E4885">
      <w:pPr>
        <w:pStyle w:val="Obsah1"/>
        <w:rPr>
          <w:rFonts w:asciiTheme="minorHAnsi" w:eastAsiaTheme="minorEastAsia" w:hAnsiTheme="minorHAnsi"/>
          <w:b w:val="0"/>
          <w:bCs w:val="0"/>
          <w:color w:val="auto"/>
          <w:sz w:val="24"/>
          <w:lang w:val="cs-CZ" w:eastAsia="en-GB"/>
        </w:rPr>
      </w:pPr>
      <w:hyperlink w:anchor="_Toc133944269" w:history="1">
        <w:r w:rsidR="00242DFC" w:rsidRPr="008E4885">
          <w:rPr>
            <w:rStyle w:val="Hypertextovodkaz"/>
            <w:lang w:val="cs-CZ"/>
          </w:rPr>
          <w:t>Příloha C Příklad použití doporučeného přístupu</w:t>
        </w:r>
        <w:r w:rsidR="00242DFC" w:rsidRPr="008E4885">
          <w:rPr>
            <w:webHidden/>
            <w:lang w:val="cs-CZ"/>
          </w:rPr>
          <w:tab/>
        </w:r>
        <w:r w:rsidR="00242DFC" w:rsidRPr="008E4885">
          <w:rPr>
            <w:webHidden/>
            <w:lang w:val="cs-CZ"/>
          </w:rPr>
          <w:fldChar w:fldCharType="begin"/>
        </w:r>
        <w:r w:rsidR="00242DFC" w:rsidRPr="008E4885">
          <w:rPr>
            <w:webHidden/>
            <w:lang w:val="cs-CZ"/>
          </w:rPr>
          <w:instrText xml:space="preserve"> PAGEREF _Toc133944269 \h </w:instrText>
        </w:r>
        <w:r w:rsidR="00242DFC" w:rsidRPr="008E4885">
          <w:rPr>
            <w:webHidden/>
            <w:lang w:val="cs-CZ"/>
          </w:rPr>
        </w:r>
        <w:r w:rsidR="00242DFC" w:rsidRPr="008E4885">
          <w:rPr>
            <w:webHidden/>
            <w:lang w:val="cs-CZ"/>
          </w:rPr>
          <w:fldChar w:fldCharType="separate"/>
        </w:r>
        <w:r w:rsidR="00253CEB" w:rsidRPr="008E4885">
          <w:rPr>
            <w:webHidden/>
            <w:lang w:val="cs-CZ"/>
          </w:rPr>
          <w:t>32</w:t>
        </w:r>
        <w:r w:rsidR="00242DFC" w:rsidRPr="008E4885">
          <w:rPr>
            <w:webHidden/>
            <w:lang w:val="cs-CZ"/>
          </w:rPr>
          <w:fldChar w:fldCharType="end"/>
        </w:r>
      </w:hyperlink>
    </w:p>
    <w:p w:rsidR="002A41AB" w:rsidRPr="008E4885" w:rsidRDefault="00DB51A2" w:rsidP="008059BC">
      <w:pPr>
        <w:rPr>
          <w:color w:val="005962"/>
          <w:sz w:val="28"/>
          <w:szCs w:val="24"/>
          <w:lang w:val="cs-CZ"/>
        </w:rPr>
      </w:pPr>
      <w:r w:rsidRPr="008E4885">
        <w:rPr>
          <w:color w:val="005962"/>
          <w:sz w:val="28"/>
          <w:szCs w:val="24"/>
          <w:lang w:val="cs-CZ"/>
        </w:rPr>
        <w:fldChar w:fldCharType="end"/>
      </w:r>
      <w:r w:rsidR="006E0971" w:rsidRPr="008E4885">
        <w:rPr>
          <w:color w:val="005962"/>
          <w:sz w:val="28"/>
          <w:szCs w:val="24"/>
          <w:lang w:val="cs-CZ"/>
        </w:rPr>
        <w:br w:type="page"/>
      </w:r>
    </w:p>
    <w:p w:rsidR="00F87DD0" w:rsidRPr="008E4885" w:rsidRDefault="008E4885">
      <w:pPr>
        <w:pStyle w:val="Nadpis1"/>
        <w:rPr>
          <w:lang w:val="cs-CZ"/>
        </w:rPr>
      </w:pPr>
      <w:bookmarkStart w:id="0" w:name="_Toc391301430"/>
      <w:bookmarkStart w:id="1" w:name="_Toc391301432"/>
      <w:bookmarkStart w:id="2" w:name="_Toc429057985"/>
      <w:bookmarkStart w:id="3" w:name="_Toc429670905"/>
      <w:bookmarkStart w:id="4" w:name="_Toc133944247"/>
      <w:bookmarkEnd w:id="0"/>
      <w:bookmarkEnd w:id="1"/>
      <w:bookmarkEnd w:id="2"/>
      <w:bookmarkEnd w:id="3"/>
      <w:r w:rsidRPr="008E4885">
        <w:rPr>
          <w:lang w:val="cs-CZ"/>
        </w:rPr>
        <w:lastRenderedPageBreak/>
        <w:t>Úvod</w:t>
      </w:r>
      <w:bookmarkEnd w:id="4"/>
    </w:p>
    <w:p w:rsidR="00F87DD0" w:rsidRPr="008E4885" w:rsidRDefault="008E4885">
      <w:pPr>
        <w:pStyle w:val="Nadpis2"/>
        <w:ind w:firstLine="0"/>
        <w:rPr>
          <w:lang w:val="cs-CZ"/>
        </w:rPr>
      </w:pPr>
      <w:bookmarkStart w:id="5" w:name="_Toc123566332"/>
      <w:bookmarkStart w:id="6" w:name="_Toc123570671"/>
      <w:bookmarkStart w:id="7" w:name="_Toc133944248"/>
      <w:r w:rsidRPr="008E4885">
        <w:rPr>
          <w:lang w:val="cs-CZ"/>
        </w:rPr>
        <w:t>Cíl dodávky</w:t>
      </w:r>
      <w:bookmarkEnd w:id="5"/>
      <w:bookmarkEnd w:id="6"/>
      <w:r w:rsidR="007F06FE" w:rsidRPr="008E4885">
        <w:rPr>
          <w:lang w:val="cs-CZ"/>
        </w:rPr>
        <w:t xml:space="preserve"> 4</w:t>
      </w:r>
      <w:bookmarkEnd w:id="7"/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 xml:space="preserve">Cílem </w:t>
      </w:r>
      <w:r w:rsidR="00EF5D79" w:rsidRPr="008E4885">
        <w:rPr>
          <w:lang w:val="cs-CZ"/>
        </w:rPr>
        <w:t xml:space="preserve">Dodávky 4 </w:t>
      </w:r>
      <w:r w:rsidR="00534FB4" w:rsidRPr="008E4885">
        <w:rPr>
          <w:lang w:val="cs-CZ"/>
        </w:rPr>
        <w:t>(</w:t>
      </w:r>
      <w:r w:rsidR="19D692FB" w:rsidRPr="008E4885">
        <w:rPr>
          <w:lang w:val="cs-CZ"/>
        </w:rPr>
        <w:t>DLV4</w:t>
      </w:r>
      <w:r w:rsidR="1FCB326E" w:rsidRPr="008E4885">
        <w:rPr>
          <w:lang w:val="cs-CZ"/>
        </w:rPr>
        <w:t xml:space="preserve">) </w:t>
      </w:r>
      <w:r w:rsidRPr="008E4885">
        <w:rPr>
          <w:lang w:val="cs-CZ"/>
        </w:rPr>
        <w:t xml:space="preserve">je sestavit soubor vhodných doporučení pro případné revize, změny nebo doplnění, která by doplnila stávající pokyny pro uplatňování zásady </w:t>
      </w:r>
      <w:r w:rsidR="00BA5A56" w:rsidRPr="008E4885">
        <w:rPr>
          <w:lang w:val="cs-CZ"/>
        </w:rPr>
        <w:t xml:space="preserve">"Nevzniká </w:t>
      </w:r>
      <w:r w:rsidR="000A27C1" w:rsidRPr="008E4885">
        <w:rPr>
          <w:lang w:val="cs-CZ"/>
        </w:rPr>
        <w:t>významná škoda" (</w:t>
      </w:r>
      <w:r w:rsidRPr="008E4885">
        <w:rPr>
          <w:lang w:val="cs-CZ"/>
        </w:rPr>
        <w:t>DNSH</w:t>
      </w:r>
      <w:r w:rsidR="000A27C1" w:rsidRPr="008E4885">
        <w:rPr>
          <w:lang w:val="cs-CZ"/>
        </w:rPr>
        <w:t xml:space="preserve">) </w:t>
      </w:r>
      <w:r w:rsidRPr="008E4885">
        <w:rPr>
          <w:lang w:val="cs-CZ"/>
        </w:rPr>
        <w:t>v České republice - Rámcový návod pro uplatňová</w:t>
      </w:r>
      <w:r w:rsidRPr="008E4885">
        <w:rPr>
          <w:lang w:val="cs-CZ"/>
        </w:rPr>
        <w:t xml:space="preserve">ní zásady DNSH a </w:t>
      </w:r>
      <w:proofErr w:type="spellStart"/>
      <w:r w:rsidRPr="008E4885">
        <w:rPr>
          <w:lang w:val="cs-CZ"/>
        </w:rPr>
        <w:t>Climate</w:t>
      </w:r>
      <w:proofErr w:type="spellEnd"/>
      <w:r w:rsidRPr="008E4885">
        <w:rPr>
          <w:lang w:val="cs-CZ"/>
        </w:rPr>
        <w:t xml:space="preserve"> </w:t>
      </w:r>
      <w:proofErr w:type="spellStart"/>
      <w:r w:rsidRPr="008E4885">
        <w:rPr>
          <w:lang w:val="cs-CZ"/>
        </w:rPr>
        <w:t>Proofing</w:t>
      </w:r>
      <w:proofErr w:type="spellEnd"/>
      <w:r w:rsidRPr="008E4885">
        <w:rPr>
          <w:lang w:val="cs-CZ"/>
        </w:rPr>
        <w:t xml:space="preserve"> pro fondy EU v České republice, který vypracovalo Ministerstvo životního prostředí </w:t>
      </w:r>
      <w:r w:rsidR="00534FB4" w:rsidRPr="008E4885">
        <w:rPr>
          <w:lang w:val="cs-CZ"/>
        </w:rPr>
        <w:t>(MŽP)</w:t>
      </w:r>
      <w:r w:rsidRPr="008E4885">
        <w:rPr>
          <w:lang w:val="cs-CZ"/>
        </w:rPr>
        <w:t xml:space="preserve">. </w:t>
      </w:r>
    </w:p>
    <w:p w:rsidR="00D12904" w:rsidRPr="008E4885" w:rsidRDefault="00D12904" w:rsidP="00D12904">
      <w:pPr>
        <w:rPr>
          <w:lang w:val="cs-CZ"/>
        </w:rPr>
      </w:pPr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>Podle žádosti o službu (</w:t>
      </w:r>
      <w:proofErr w:type="spellStart"/>
      <w:r w:rsidRPr="008E4885">
        <w:rPr>
          <w:lang w:val="cs-CZ"/>
        </w:rPr>
        <w:t>RfS</w:t>
      </w:r>
      <w:proofErr w:type="spellEnd"/>
      <w:r w:rsidRPr="008E4885">
        <w:rPr>
          <w:lang w:val="cs-CZ"/>
        </w:rPr>
        <w:t xml:space="preserve">) by navrhovaná doporučení měla vycházet z kategorizace investic vypracované </w:t>
      </w:r>
      <w:r w:rsidR="003247B6" w:rsidRPr="008E4885">
        <w:rPr>
          <w:lang w:val="cs-CZ"/>
        </w:rPr>
        <w:t xml:space="preserve">projektovým </w:t>
      </w:r>
      <w:r w:rsidRPr="008E4885">
        <w:rPr>
          <w:lang w:val="cs-CZ"/>
        </w:rPr>
        <w:t>týmem. Investi</w:t>
      </w:r>
      <w:r w:rsidRPr="008E4885">
        <w:rPr>
          <w:lang w:val="cs-CZ"/>
        </w:rPr>
        <w:t xml:space="preserve">ční kategorie se budou skládat z typů investic a intervencí identifikovaných napříč všemi programy a fondy </w:t>
      </w:r>
      <w:r w:rsidR="003247B6" w:rsidRPr="008E4885">
        <w:rPr>
          <w:lang w:val="cs-CZ"/>
        </w:rPr>
        <w:t xml:space="preserve">EU, </w:t>
      </w:r>
      <w:r w:rsidR="6576074F" w:rsidRPr="008E4885">
        <w:rPr>
          <w:lang w:val="cs-CZ"/>
        </w:rPr>
        <w:t xml:space="preserve">které spadají do </w:t>
      </w:r>
      <w:r w:rsidRPr="008E4885">
        <w:rPr>
          <w:lang w:val="cs-CZ"/>
        </w:rPr>
        <w:t xml:space="preserve">oblasti působnosti </w:t>
      </w:r>
      <w:r w:rsidR="003247B6" w:rsidRPr="008E4885">
        <w:rPr>
          <w:lang w:val="cs-CZ"/>
        </w:rPr>
        <w:t xml:space="preserve">tohoto projektu TSI a jsou relevantní pro </w:t>
      </w:r>
      <w:r w:rsidR="4BCD5A2B" w:rsidRPr="008E4885">
        <w:rPr>
          <w:lang w:val="cs-CZ"/>
        </w:rPr>
        <w:t xml:space="preserve">Česko, </w:t>
      </w:r>
      <w:r w:rsidRPr="008E4885">
        <w:rPr>
          <w:lang w:val="cs-CZ"/>
        </w:rPr>
        <w:t xml:space="preserve">u nichž je požadováno sladění se zásadou DNSH. </w:t>
      </w:r>
    </w:p>
    <w:p w:rsidR="00D12904" w:rsidRPr="008E4885" w:rsidRDefault="00D12904" w:rsidP="00D12904">
      <w:pPr>
        <w:rPr>
          <w:lang w:val="cs-CZ"/>
        </w:rPr>
      </w:pPr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>Identifikac</w:t>
      </w:r>
      <w:r w:rsidRPr="008E4885">
        <w:rPr>
          <w:lang w:val="cs-CZ"/>
        </w:rPr>
        <w:t>e relevantních typů investic</w:t>
      </w:r>
      <w:r w:rsidR="001F0D27" w:rsidRPr="008E4885">
        <w:rPr>
          <w:rStyle w:val="Znakapoznpodarou"/>
          <w:lang w:val="cs-CZ"/>
        </w:rPr>
        <w:footnoteReference w:id="2"/>
      </w:r>
      <w:r w:rsidRPr="008E4885">
        <w:rPr>
          <w:lang w:val="cs-CZ"/>
        </w:rPr>
        <w:t xml:space="preserve"> a intervencí, a to jak stávajících (otevřené výzvy), tak </w:t>
      </w:r>
      <w:r w:rsidR="002D6CB1" w:rsidRPr="008E4885">
        <w:rPr>
          <w:lang w:val="cs-CZ"/>
        </w:rPr>
        <w:t xml:space="preserve">aktuálně </w:t>
      </w:r>
      <w:r w:rsidRPr="008E4885">
        <w:rPr>
          <w:lang w:val="cs-CZ"/>
        </w:rPr>
        <w:t>připravovaných, a následné vytvoření kategorizace</w:t>
      </w:r>
      <w:r w:rsidR="4E312261" w:rsidRPr="008E4885">
        <w:rPr>
          <w:lang w:val="cs-CZ"/>
        </w:rPr>
        <w:t xml:space="preserve">, </w:t>
      </w:r>
      <w:r w:rsidRPr="008E4885">
        <w:rPr>
          <w:lang w:val="cs-CZ"/>
        </w:rPr>
        <w:t>poskytuje přehled o hlavních prioritách, financovaných sektorech a oblastech a typech aktivit, na které budou</w:t>
      </w:r>
      <w:r w:rsidRPr="008E4885">
        <w:rPr>
          <w:lang w:val="cs-CZ"/>
        </w:rPr>
        <w:t xml:space="preserve"> v programovém období 2021-2027 alokovány finanční prostředky z fondů EU.</w:t>
      </w:r>
    </w:p>
    <w:p w:rsidR="00D12904" w:rsidRPr="008E4885" w:rsidRDefault="00D12904" w:rsidP="00D12904">
      <w:pPr>
        <w:rPr>
          <w:lang w:val="cs-CZ"/>
        </w:rPr>
      </w:pPr>
    </w:p>
    <w:p w:rsidR="00F87DD0" w:rsidRPr="008E4885" w:rsidRDefault="19D692FB">
      <w:pPr>
        <w:rPr>
          <w:lang w:val="cs-CZ"/>
        </w:rPr>
      </w:pPr>
      <w:r w:rsidRPr="008E4885">
        <w:rPr>
          <w:lang w:val="cs-CZ"/>
        </w:rPr>
        <w:t xml:space="preserve">DLV4 </w:t>
      </w:r>
      <w:r w:rsidR="008E4885" w:rsidRPr="008E4885">
        <w:rPr>
          <w:lang w:val="cs-CZ"/>
        </w:rPr>
        <w:t xml:space="preserve">a její zjištění představují </w:t>
      </w:r>
      <w:r w:rsidR="0028433D" w:rsidRPr="008E4885">
        <w:rPr>
          <w:lang w:val="cs-CZ"/>
        </w:rPr>
        <w:t xml:space="preserve">prozatímní </w:t>
      </w:r>
      <w:r w:rsidR="008E4885" w:rsidRPr="008E4885">
        <w:rPr>
          <w:lang w:val="cs-CZ"/>
        </w:rPr>
        <w:t xml:space="preserve">krok, který bude sloužit jako </w:t>
      </w:r>
      <w:r w:rsidR="009E2FDC" w:rsidRPr="008E4885">
        <w:rPr>
          <w:lang w:val="cs-CZ"/>
        </w:rPr>
        <w:t xml:space="preserve">podklad pro </w:t>
      </w:r>
      <w:r w:rsidR="008E4885" w:rsidRPr="008E4885">
        <w:rPr>
          <w:lang w:val="cs-CZ"/>
        </w:rPr>
        <w:t xml:space="preserve">návrh a vypracování ucelených </w:t>
      </w:r>
      <w:r w:rsidR="00BC5796" w:rsidRPr="008E4885">
        <w:rPr>
          <w:lang w:val="cs-CZ"/>
        </w:rPr>
        <w:t xml:space="preserve">pokynů pro uplatňování zásady </w:t>
      </w:r>
      <w:r w:rsidR="008E4885" w:rsidRPr="008E4885">
        <w:rPr>
          <w:lang w:val="cs-CZ"/>
        </w:rPr>
        <w:t>DNSH v rámci DLV5.</w:t>
      </w:r>
    </w:p>
    <w:p w:rsidR="009B0DC4" w:rsidRPr="008E4885" w:rsidRDefault="009B0DC4" w:rsidP="008059BC">
      <w:pPr>
        <w:rPr>
          <w:lang w:val="cs-CZ"/>
        </w:rPr>
      </w:pPr>
    </w:p>
    <w:p w:rsidR="00F87DD0" w:rsidRPr="008E4885" w:rsidRDefault="008E4885">
      <w:pPr>
        <w:pStyle w:val="Nadpis2"/>
        <w:ind w:firstLine="0"/>
        <w:rPr>
          <w:lang w:val="cs-CZ"/>
        </w:rPr>
      </w:pPr>
      <w:bookmarkStart w:id="8" w:name="_Toc133944249"/>
      <w:r w:rsidRPr="008E4885">
        <w:rPr>
          <w:lang w:val="cs-CZ"/>
        </w:rPr>
        <w:t>Přehled klíčový</w:t>
      </w:r>
      <w:r w:rsidRPr="008E4885">
        <w:rPr>
          <w:lang w:val="cs-CZ"/>
        </w:rPr>
        <w:t xml:space="preserve">ch zjištění z podpory ad hoc </w:t>
      </w:r>
      <w:r w:rsidRPr="008E4885">
        <w:rPr>
          <w:lang w:val="cs-CZ"/>
        </w:rPr>
        <w:t xml:space="preserve">a </w:t>
      </w:r>
      <w:r w:rsidRPr="008E4885">
        <w:rPr>
          <w:lang w:val="cs-CZ"/>
        </w:rPr>
        <w:t xml:space="preserve">předchozích </w:t>
      </w:r>
      <w:r w:rsidRPr="008E4885">
        <w:rPr>
          <w:lang w:val="cs-CZ"/>
        </w:rPr>
        <w:t>výstupů</w:t>
      </w:r>
      <w:bookmarkEnd w:id="8"/>
    </w:p>
    <w:p w:rsidR="00F87DD0" w:rsidRPr="008E4885" w:rsidRDefault="00096DB0">
      <w:pPr>
        <w:rPr>
          <w:lang w:val="cs-CZ"/>
        </w:rPr>
      </w:pPr>
      <w:r w:rsidRPr="008E4885">
        <w:rPr>
          <w:lang w:val="cs-CZ"/>
        </w:rPr>
        <w:t xml:space="preserve">Účelem </w:t>
      </w:r>
      <w:r w:rsidR="003247B6" w:rsidRPr="008E4885">
        <w:rPr>
          <w:lang w:val="cs-CZ"/>
        </w:rPr>
        <w:t xml:space="preserve">této </w:t>
      </w:r>
      <w:r w:rsidRPr="008E4885">
        <w:rPr>
          <w:lang w:val="cs-CZ"/>
        </w:rPr>
        <w:t xml:space="preserve">zprávy je </w:t>
      </w:r>
      <w:r w:rsidR="00F574F0" w:rsidRPr="008E4885">
        <w:rPr>
          <w:lang w:val="cs-CZ"/>
        </w:rPr>
        <w:t xml:space="preserve">také </w:t>
      </w:r>
      <w:r w:rsidRPr="008E4885">
        <w:rPr>
          <w:lang w:val="cs-CZ"/>
        </w:rPr>
        <w:t xml:space="preserve">nastínit náš přístup k </w:t>
      </w:r>
      <w:r w:rsidR="00A730DC" w:rsidRPr="008E4885">
        <w:rPr>
          <w:lang w:val="cs-CZ"/>
        </w:rPr>
        <w:t xml:space="preserve">DLV5 v </w:t>
      </w:r>
      <w:r w:rsidRPr="008E4885">
        <w:rPr>
          <w:lang w:val="cs-CZ"/>
        </w:rPr>
        <w:t xml:space="preserve">rámci projektu TSI DNSH CZ. </w:t>
      </w:r>
    </w:p>
    <w:p w:rsidR="00F87DD0" w:rsidRPr="008E4885" w:rsidRDefault="02DD02AE">
      <w:pPr>
        <w:rPr>
          <w:lang w:val="cs-CZ"/>
        </w:rPr>
      </w:pPr>
      <w:r w:rsidRPr="008E4885">
        <w:rPr>
          <w:lang w:val="cs-CZ"/>
        </w:rPr>
        <w:t xml:space="preserve">První </w:t>
      </w:r>
      <w:r w:rsidR="00096DB0" w:rsidRPr="008E4885">
        <w:rPr>
          <w:lang w:val="cs-CZ"/>
        </w:rPr>
        <w:t xml:space="preserve">tři výstupy byly zaměřeny na analýzu a diagnostiku současného stavu (tj. status quo) </w:t>
      </w:r>
      <w:r w:rsidR="665B9BED" w:rsidRPr="008E4885">
        <w:rPr>
          <w:lang w:val="cs-CZ"/>
        </w:rPr>
        <w:t xml:space="preserve">aplikace </w:t>
      </w:r>
      <w:r w:rsidR="00096DB0" w:rsidRPr="008E4885">
        <w:rPr>
          <w:lang w:val="cs-CZ"/>
        </w:rPr>
        <w:t xml:space="preserve">principu DNSH a hodnocení CP </w:t>
      </w:r>
      <w:r w:rsidRPr="008E4885">
        <w:rPr>
          <w:lang w:val="cs-CZ"/>
        </w:rPr>
        <w:t xml:space="preserve">v </w:t>
      </w:r>
      <w:r w:rsidR="00096DB0" w:rsidRPr="008E4885">
        <w:rPr>
          <w:lang w:val="cs-CZ"/>
        </w:rPr>
        <w:t xml:space="preserve">ČR a na </w:t>
      </w:r>
      <w:r w:rsidR="003247B6" w:rsidRPr="008E4885">
        <w:rPr>
          <w:lang w:val="cs-CZ"/>
        </w:rPr>
        <w:t>praxi a příklady aplikace principu DNSH v dalších srovnatelných zemích EU</w:t>
      </w:r>
      <w:r w:rsidR="00096DB0" w:rsidRPr="008E4885">
        <w:rPr>
          <w:lang w:val="cs-CZ"/>
        </w:rPr>
        <w:t>. Projektovému týmu umožnila lépe porozumět praxi a procesům uplatňovaným při aplikaci těchto konceptů napříč různými subjekty spravujícími veřejné investice do opatření a projektů financovaných z fondů EU. Současně odhalila klíčové výzvy, priority, potřeby a očekávání, které je třeba vzít v úvahu</w:t>
      </w:r>
      <w:r w:rsidR="1FFED2D3" w:rsidRPr="008E4885">
        <w:rPr>
          <w:lang w:val="cs-CZ"/>
        </w:rPr>
        <w:t xml:space="preserve">, řešit </w:t>
      </w:r>
      <w:r w:rsidRPr="008E4885">
        <w:rPr>
          <w:lang w:val="cs-CZ"/>
        </w:rPr>
        <w:t xml:space="preserve">a </w:t>
      </w:r>
      <w:r w:rsidR="00096DB0" w:rsidRPr="008E4885">
        <w:rPr>
          <w:lang w:val="cs-CZ"/>
        </w:rPr>
        <w:t>zapracovat do návrhu metodického pokynu vypracovaného v rámci DLV5.</w:t>
      </w:r>
    </w:p>
    <w:p w:rsidR="00096DB0" w:rsidRPr="008E4885" w:rsidRDefault="00096DB0" w:rsidP="00096DB0">
      <w:pPr>
        <w:rPr>
          <w:lang w:val="cs-CZ"/>
        </w:rPr>
      </w:pPr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>V následujícím oddíle j</w:t>
      </w:r>
      <w:r w:rsidRPr="008E4885">
        <w:rPr>
          <w:lang w:val="cs-CZ"/>
        </w:rPr>
        <w:t>sou zdůrazněny některé klíčové poznatky, které je třeba vzít v úvahu pro DLV4, respektive DLV5.</w:t>
      </w:r>
    </w:p>
    <w:p w:rsidR="00117B00" w:rsidRPr="008E4885" w:rsidRDefault="00117B00" w:rsidP="00117B00">
      <w:pPr>
        <w:rPr>
          <w:lang w:val="cs-CZ"/>
        </w:rPr>
      </w:pPr>
    </w:p>
    <w:p w:rsidR="00F87DD0" w:rsidRPr="008E4885" w:rsidRDefault="008E4885">
      <w:pPr>
        <w:pStyle w:val="Nadpis3"/>
        <w:rPr>
          <w:lang w:val="cs-CZ"/>
        </w:rPr>
      </w:pPr>
      <w:bookmarkStart w:id="9" w:name="_Toc133944250"/>
      <w:r w:rsidRPr="008E4885">
        <w:rPr>
          <w:lang w:val="cs-CZ"/>
        </w:rPr>
        <w:t xml:space="preserve">Dodávka 1 </w:t>
      </w:r>
      <w:r w:rsidR="003247B6" w:rsidRPr="008E4885">
        <w:rPr>
          <w:lang w:val="cs-CZ"/>
        </w:rPr>
        <w:t>- Úvodní zpráva</w:t>
      </w:r>
      <w:bookmarkEnd w:id="9"/>
    </w:p>
    <w:p w:rsidR="00F87DD0" w:rsidRPr="008E4885" w:rsidRDefault="008E488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lang w:val="cs-CZ"/>
        </w:rPr>
        <w:t xml:space="preserve">Subjekty, které řídí veřejné investice (v programech i v </w:t>
      </w:r>
      <w:r w:rsidR="00534FB4" w:rsidRPr="008E4885">
        <w:rPr>
          <w:lang w:val="cs-CZ"/>
        </w:rPr>
        <w:t xml:space="preserve">Národním </w:t>
      </w:r>
      <w:r w:rsidRPr="008E4885">
        <w:rPr>
          <w:lang w:val="cs-CZ"/>
        </w:rPr>
        <w:t>plánu</w:t>
      </w:r>
      <w:r w:rsidR="00534FB4" w:rsidRPr="008E4885">
        <w:rPr>
          <w:lang w:val="cs-CZ"/>
        </w:rPr>
        <w:t xml:space="preserve"> obnovy), </w:t>
      </w:r>
      <w:r w:rsidRPr="008E4885">
        <w:rPr>
          <w:lang w:val="cs-CZ"/>
        </w:rPr>
        <w:t xml:space="preserve">přistupují k uplatňování </w:t>
      </w:r>
      <w:r w:rsidR="00C53AC2" w:rsidRPr="008E4885">
        <w:rPr>
          <w:lang w:val="cs-CZ"/>
        </w:rPr>
        <w:t xml:space="preserve">DNSH </w:t>
      </w:r>
      <w:r w:rsidRPr="008E4885">
        <w:rPr>
          <w:lang w:val="cs-CZ"/>
        </w:rPr>
        <w:t xml:space="preserve">a hodnocení KP různou </w:t>
      </w:r>
      <w:r w:rsidR="0BD0E535" w:rsidRPr="008E4885">
        <w:rPr>
          <w:lang w:val="cs-CZ"/>
        </w:rPr>
        <w:t xml:space="preserve">formou </w:t>
      </w:r>
      <w:r w:rsidRPr="008E4885">
        <w:rPr>
          <w:lang w:val="cs-CZ"/>
        </w:rPr>
        <w:t>a je zřejmý nedostatek konzistence a soudržnosti napříč programy a složkami.</w:t>
      </w:r>
    </w:p>
    <w:p w:rsidR="00F87DD0" w:rsidRPr="008E4885" w:rsidRDefault="008E488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lang w:val="cs-CZ"/>
        </w:rPr>
        <w:t xml:space="preserve">Znalosti a zkušenosti s </w:t>
      </w:r>
      <w:r w:rsidR="3E38F670" w:rsidRPr="008E4885">
        <w:rPr>
          <w:lang w:val="cs-CZ"/>
        </w:rPr>
        <w:t xml:space="preserve">aplikací </w:t>
      </w:r>
      <w:r w:rsidRPr="008E4885">
        <w:rPr>
          <w:lang w:val="cs-CZ"/>
        </w:rPr>
        <w:t xml:space="preserve">těchto konceptů jsou omezené a současné chápání těchto témat </w:t>
      </w:r>
      <w:r w:rsidR="79BA42DE" w:rsidRPr="008E4885">
        <w:rPr>
          <w:lang w:val="cs-CZ"/>
        </w:rPr>
        <w:t xml:space="preserve">se u </w:t>
      </w:r>
      <w:r w:rsidRPr="008E4885">
        <w:rPr>
          <w:lang w:val="cs-CZ"/>
        </w:rPr>
        <w:t xml:space="preserve">jednotlivých </w:t>
      </w:r>
      <w:r w:rsidR="00B0487A" w:rsidRPr="008E4885">
        <w:rPr>
          <w:lang w:val="cs-CZ"/>
        </w:rPr>
        <w:t xml:space="preserve">subjektů spravujících veřejné investice </w:t>
      </w:r>
      <w:r w:rsidR="79642C6D" w:rsidRPr="008E4885">
        <w:rPr>
          <w:lang w:val="cs-CZ"/>
        </w:rPr>
        <w:t xml:space="preserve">liší. </w:t>
      </w:r>
    </w:p>
    <w:p w:rsidR="00F87DD0" w:rsidRPr="008E4885" w:rsidRDefault="008E488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lang w:val="cs-CZ"/>
        </w:rPr>
        <w:t>Vzhledem k ča</w:t>
      </w:r>
      <w:r w:rsidRPr="008E4885">
        <w:rPr>
          <w:lang w:val="cs-CZ"/>
        </w:rPr>
        <w:t xml:space="preserve">sovému horizontu finančního období 2021-2027 byl již nastaven proces hodnocení DNSH pro všechny programy </w:t>
      </w:r>
      <w:r w:rsidR="007F4AE4" w:rsidRPr="008E4885">
        <w:rPr>
          <w:lang w:val="cs-CZ"/>
        </w:rPr>
        <w:t xml:space="preserve">a NRP (RRF) </w:t>
      </w:r>
      <w:r w:rsidRPr="008E4885">
        <w:rPr>
          <w:lang w:val="cs-CZ"/>
        </w:rPr>
        <w:t xml:space="preserve">a </w:t>
      </w:r>
      <w:r w:rsidR="0046028E" w:rsidRPr="008E4885">
        <w:rPr>
          <w:lang w:val="cs-CZ"/>
        </w:rPr>
        <w:t xml:space="preserve">jednou z naléhavých priorit je </w:t>
      </w:r>
      <w:r w:rsidRPr="008E4885">
        <w:rPr>
          <w:lang w:val="cs-CZ"/>
        </w:rPr>
        <w:t>ověřit, zda jsou zvolené přístupy dostatečné a v souladu s nařízením EU</w:t>
      </w:r>
      <w:r w:rsidR="005F0AA4" w:rsidRPr="008E4885">
        <w:rPr>
          <w:lang w:val="cs-CZ"/>
        </w:rPr>
        <w:t>.</w:t>
      </w:r>
    </w:p>
    <w:p w:rsidR="00F87DD0" w:rsidRPr="008E4885" w:rsidRDefault="00B74AA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lang w:val="cs-CZ"/>
        </w:rPr>
        <w:lastRenderedPageBreak/>
        <w:t>Ministerstvo životního prostředí (</w:t>
      </w:r>
      <w:r w:rsidR="008E4885" w:rsidRPr="008E4885">
        <w:rPr>
          <w:lang w:val="cs-CZ"/>
        </w:rPr>
        <w:t>MŽP</w:t>
      </w:r>
      <w:r w:rsidRPr="008E4885">
        <w:rPr>
          <w:lang w:val="cs-CZ"/>
        </w:rPr>
        <w:t xml:space="preserve">) </w:t>
      </w:r>
      <w:r w:rsidR="008E4885" w:rsidRPr="008E4885">
        <w:rPr>
          <w:lang w:val="cs-CZ"/>
        </w:rPr>
        <w:t xml:space="preserve">nedávno (koncem roku 2022) vypracovalo rámcové pokyny pro aplikaci DNSH a </w:t>
      </w:r>
      <w:r w:rsidR="0017482C" w:rsidRPr="008E4885">
        <w:rPr>
          <w:lang w:val="cs-CZ"/>
        </w:rPr>
        <w:t>posuzování</w:t>
      </w:r>
      <w:r w:rsidR="008E4885" w:rsidRPr="008E4885">
        <w:rPr>
          <w:lang w:val="cs-CZ"/>
        </w:rPr>
        <w:t xml:space="preserve"> CP, </w:t>
      </w:r>
      <w:r w:rsidR="0017482C" w:rsidRPr="008E4885">
        <w:rPr>
          <w:lang w:val="cs-CZ"/>
        </w:rPr>
        <w:t xml:space="preserve">které </w:t>
      </w:r>
      <w:r w:rsidR="00BD030A" w:rsidRPr="008E4885">
        <w:rPr>
          <w:lang w:val="cs-CZ"/>
        </w:rPr>
        <w:t xml:space="preserve">budou </w:t>
      </w:r>
      <w:r w:rsidR="00C32B95" w:rsidRPr="008E4885">
        <w:rPr>
          <w:lang w:val="cs-CZ"/>
        </w:rPr>
        <w:t xml:space="preserve">zohledněny </w:t>
      </w:r>
      <w:r w:rsidR="00BD030A" w:rsidRPr="008E4885">
        <w:rPr>
          <w:lang w:val="cs-CZ"/>
        </w:rPr>
        <w:t xml:space="preserve">při návrhu a vývoji </w:t>
      </w:r>
      <w:r w:rsidR="00CC36FD" w:rsidRPr="008E4885">
        <w:rPr>
          <w:lang w:val="cs-CZ"/>
        </w:rPr>
        <w:t>metodických pokynů v rámci tohoto projektu TSI.</w:t>
      </w:r>
    </w:p>
    <w:p w:rsidR="0052717D" w:rsidRPr="008E4885" w:rsidRDefault="0052717D" w:rsidP="00901B9D">
      <w:pPr>
        <w:rPr>
          <w:lang w:val="cs-CZ"/>
        </w:rPr>
      </w:pPr>
    </w:p>
    <w:p w:rsidR="00F87DD0" w:rsidRPr="008E4885" w:rsidRDefault="008E4885">
      <w:pPr>
        <w:pStyle w:val="Nadpis3"/>
        <w:rPr>
          <w:lang w:val="cs-CZ"/>
        </w:rPr>
      </w:pPr>
      <w:bookmarkStart w:id="10" w:name="_Toc133944251"/>
      <w:r w:rsidRPr="008E4885">
        <w:rPr>
          <w:lang w:val="cs-CZ"/>
        </w:rPr>
        <w:t xml:space="preserve">Dodávka 2 </w:t>
      </w:r>
      <w:r w:rsidR="003247B6" w:rsidRPr="008E4885">
        <w:rPr>
          <w:lang w:val="cs-CZ"/>
        </w:rPr>
        <w:t>- Diagnostická zpráva</w:t>
      </w:r>
      <w:bookmarkEnd w:id="10"/>
    </w:p>
    <w:p w:rsidR="00F87DD0" w:rsidRPr="008E4885" w:rsidRDefault="008E4885">
      <w:pPr>
        <w:pStyle w:val="Odstavecseseznamem"/>
        <w:numPr>
          <w:ilvl w:val="0"/>
          <w:numId w:val="9"/>
        </w:numPr>
        <w:rPr>
          <w:szCs w:val="18"/>
          <w:lang w:val="cs-CZ"/>
        </w:rPr>
      </w:pPr>
      <w:r w:rsidRPr="008E4885">
        <w:rPr>
          <w:lang w:val="cs-CZ"/>
        </w:rPr>
        <w:t xml:space="preserve">V rámci DLV2 byly zjištěny některé </w:t>
      </w:r>
      <w:r w:rsidR="009F20C1" w:rsidRPr="008E4885">
        <w:rPr>
          <w:lang w:val="cs-CZ"/>
        </w:rPr>
        <w:t xml:space="preserve">hlavní nedostatky ve stávajících </w:t>
      </w:r>
      <w:r w:rsidRPr="008E4885">
        <w:rPr>
          <w:lang w:val="cs-CZ"/>
        </w:rPr>
        <w:t xml:space="preserve">poradenských dokumentech na národní úrovni </w:t>
      </w:r>
      <w:r w:rsidR="0011632B" w:rsidRPr="008E4885">
        <w:rPr>
          <w:lang w:val="cs-CZ"/>
        </w:rPr>
        <w:t xml:space="preserve">(tj. </w:t>
      </w:r>
      <w:r w:rsidR="00FB3812" w:rsidRPr="008E4885">
        <w:rPr>
          <w:lang w:val="cs-CZ"/>
        </w:rPr>
        <w:t xml:space="preserve">jak vypracovaných </w:t>
      </w:r>
      <w:r w:rsidR="00B74AA5" w:rsidRPr="008E4885">
        <w:rPr>
          <w:lang w:val="cs-CZ"/>
        </w:rPr>
        <w:t xml:space="preserve">Ministerstvem obchodu </w:t>
      </w:r>
      <w:r w:rsidRPr="008E4885">
        <w:rPr>
          <w:lang w:val="cs-CZ"/>
        </w:rPr>
        <w:t>a průmyslu (</w:t>
      </w:r>
      <w:r w:rsidR="004B141E" w:rsidRPr="008E4885">
        <w:rPr>
          <w:lang w:val="cs-CZ"/>
        </w:rPr>
        <w:t>MPO)</w:t>
      </w:r>
      <w:r w:rsidRPr="008E4885">
        <w:rPr>
          <w:lang w:val="cs-CZ"/>
        </w:rPr>
        <w:t xml:space="preserve">, tak </w:t>
      </w:r>
      <w:r w:rsidR="009F20C1" w:rsidRPr="008E4885">
        <w:rPr>
          <w:lang w:val="cs-CZ"/>
        </w:rPr>
        <w:t>MŽP</w:t>
      </w:r>
      <w:r w:rsidR="0011632B" w:rsidRPr="008E4885">
        <w:rPr>
          <w:lang w:val="cs-CZ"/>
        </w:rPr>
        <w:t xml:space="preserve">), </w:t>
      </w:r>
      <w:r w:rsidR="00A91BAC" w:rsidRPr="008E4885">
        <w:rPr>
          <w:lang w:val="cs-CZ"/>
        </w:rPr>
        <w:t xml:space="preserve">které </w:t>
      </w:r>
      <w:r w:rsidR="0045542C" w:rsidRPr="008E4885">
        <w:rPr>
          <w:lang w:val="cs-CZ"/>
        </w:rPr>
        <w:t xml:space="preserve">upozornily na </w:t>
      </w:r>
      <w:r w:rsidR="00CC3FC9" w:rsidRPr="008E4885">
        <w:rPr>
          <w:lang w:val="cs-CZ"/>
        </w:rPr>
        <w:t xml:space="preserve">potenciální </w:t>
      </w:r>
      <w:r w:rsidR="009F20C1" w:rsidRPr="008E4885">
        <w:rPr>
          <w:lang w:val="cs-CZ"/>
        </w:rPr>
        <w:t xml:space="preserve">oblasti pro zlepšení nebo </w:t>
      </w:r>
      <w:r w:rsidR="009F7964" w:rsidRPr="008E4885">
        <w:rPr>
          <w:szCs w:val="18"/>
          <w:lang w:val="cs-CZ"/>
        </w:rPr>
        <w:t xml:space="preserve">revizi s </w:t>
      </w:r>
      <w:r w:rsidR="009F20C1" w:rsidRPr="008E4885">
        <w:rPr>
          <w:szCs w:val="18"/>
          <w:lang w:val="cs-CZ"/>
        </w:rPr>
        <w:t xml:space="preserve">cílem zvýšit použitelnost a </w:t>
      </w:r>
      <w:r w:rsidR="00655822" w:rsidRPr="008E4885">
        <w:rPr>
          <w:szCs w:val="18"/>
          <w:lang w:val="cs-CZ"/>
        </w:rPr>
        <w:t>obsah dokumentů</w:t>
      </w:r>
      <w:r w:rsidR="008C4D32" w:rsidRPr="008E4885">
        <w:rPr>
          <w:szCs w:val="18"/>
          <w:lang w:val="cs-CZ"/>
        </w:rPr>
        <w:t>.</w:t>
      </w:r>
    </w:p>
    <w:p w:rsidR="00F87DD0" w:rsidRPr="008E4885" w:rsidRDefault="008E488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lang w:val="cs-CZ"/>
        </w:rPr>
        <w:t xml:space="preserve">Analýza v DLV2 dále poskytla projektovému týmu </w:t>
      </w:r>
      <w:r w:rsidR="009F20C1" w:rsidRPr="008E4885">
        <w:rPr>
          <w:lang w:val="cs-CZ"/>
        </w:rPr>
        <w:t xml:space="preserve">hlubší porozumění </w:t>
      </w:r>
      <w:r w:rsidRPr="008E4885">
        <w:rPr>
          <w:lang w:val="cs-CZ"/>
        </w:rPr>
        <w:t xml:space="preserve">současnému </w:t>
      </w:r>
      <w:r w:rsidR="009F20C1" w:rsidRPr="008E4885">
        <w:rPr>
          <w:lang w:val="cs-CZ"/>
        </w:rPr>
        <w:t xml:space="preserve">stavu, přístupům a dokumentům (formulářům) používaným </w:t>
      </w:r>
      <w:r w:rsidRPr="008E4885">
        <w:rPr>
          <w:lang w:val="cs-CZ"/>
        </w:rPr>
        <w:t>napříč fondy a programy.</w:t>
      </w:r>
    </w:p>
    <w:p w:rsidR="00F87DD0" w:rsidRPr="008E4885" w:rsidRDefault="008E4885">
      <w:pPr>
        <w:pStyle w:val="Odstavecseseznamem"/>
        <w:numPr>
          <w:ilvl w:val="0"/>
          <w:numId w:val="9"/>
        </w:numPr>
        <w:rPr>
          <w:szCs w:val="18"/>
          <w:lang w:val="cs-CZ"/>
        </w:rPr>
      </w:pPr>
      <w:r w:rsidRPr="008E4885">
        <w:rPr>
          <w:szCs w:val="18"/>
          <w:lang w:val="cs-CZ"/>
        </w:rPr>
        <w:t xml:space="preserve">Konzultace a zjištění v </w:t>
      </w:r>
      <w:r w:rsidR="008852DF" w:rsidRPr="008E4885">
        <w:rPr>
          <w:szCs w:val="18"/>
          <w:lang w:val="cs-CZ"/>
        </w:rPr>
        <w:t xml:space="preserve">rámci DLV2 </w:t>
      </w:r>
      <w:r w:rsidR="008D3BDE" w:rsidRPr="008E4885">
        <w:rPr>
          <w:szCs w:val="18"/>
          <w:lang w:val="cs-CZ"/>
        </w:rPr>
        <w:t xml:space="preserve">odhalily </w:t>
      </w:r>
      <w:r w:rsidRPr="008E4885">
        <w:rPr>
          <w:szCs w:val="18"/>
          <w:lang w:val="cs-CZ"/>
        </w:rPr>
        <w:t xml:space="preserve">očekávání externích zúčastněných stran, </w:t>
      </w:r>
      <w:r w:rsidR="008D3BDE" w:rsidRPr="008E4885">
        <w:rPr>
          <w:szCs w:val="18"/>
          <w:lang w:val="cs-CZ"/>
        </w:rPr>
        <w:t xml:space="preserve">která se týkala především důležitosti </w:t>
      </w:r>
      <w:r w:rsidRPr="008E4885">
        <w:rPr>
          <w:szCs w:val="18"/>
          <w:lang w:val="cs-CZ"/>
        </w:rPr>
        <w:t xml:space="preserve">soudržnosti, </w:t>
      </w:r>
      <w:r w:rsidR="00EE5CF8" w:rsidRPr="008E4885">
        <w:rPr>
          <w:szCs w:val="18"/>
          <w:lang w:val="cs-CZ"/>
        </w:rPr>
        <w:t xml:space="preserve">jasnosti a jednoduchosti pokynů a potřeby </w:t>
      </w:r>
      <w:r w:rsidR="00255563" w:rsidRPr="008E4885">
        <w:rPr>
          <w:szCs w:val="18"/>
          <w:lang w:val="cs-CZ"/>
        </w:rPr>
        <w:t xml:space="preserve">vypracovat </w:t>
      </w:r>
      <w:r w:rsidR="00CF6078" w:rsidRPr="008E4885">
        <w:rPr>
          <w:szCs w:val="18"/>
          <w:lang w:val="cs-CZ"/>
        </w:rPr>
        <w:t xml:space="preserve">pokyn </w:t>
      </w:r>
      <w:r w:rsidR="008C4D32" w:rsidRPr="008E4885">
        <w:rPr>
          <w:szCs w:val="18"/>
          <w:lang w:val="cs-CZ"/>
        </w:rPr>
        <w:t xml:space="preserve">určený konkrétně </w:t>
      </w:r>
      <w:r w:rsidR="00CF6078" w:rsidRPr="008E4885">
        <w:rPr>
          <w:szCs w:val="18"/>
          <w:lang w:val="cs-CZ"/>
        </w:rPr>
        <w:t>pro předkladatele projektů</w:t>
      </w:r>
      <w:r w:rsidR="005F0AA4" w:rsidRPr="008E4885">
        <w:rPr>
          <w:szCs w:val="18"/>
          <w:lang w:val="cs-CZ"/>
        </w:rPr>
        <w:t xml:space="preserve">. </w:t>
      </w:r>
    </w:p>
    <w:p w:rsidR="00F87DD0" w:rsidRPr="008E4885" w:rsidRDefault="008C4D32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lang w:val="cs-CZ"/>
        </w:rPr>
        <w:t xml:space="preserve">Je třeba </w:t>
      </w:r>
      <w:r w:rsidR="00BD18EF" w:rsidRPr="008E4885">
        <w:rPr>
          <w:lang w:val="cs-CZ"/>
        </w:rPr>
        <w:t xml:space="preserve">analyzovat a zlepšit </w:t>
      </w:r>
      <w:r w:rsidR="00BD1BB3" w:rsidRPr="008E4885">
        <w:rPr>
          <w:lang w:val="cs-CZ"/>
        </w:rPr>
        <w:t xml:space="preserve">soulad </w:t>
      </w:r>
      <w:r w:rsidR="00CB1420" w:rsidRPr="008E4885">
        <w:rPr>
          <w:lang w:val="cs-CZ"/>
        </w:rPr>
        <w:t xml:space="preserve">českých vnitrostátních právních předpisů </w:t>
      </w:r>
      <w:r w:rsidR="0062525A" w:rsidRPr="008E4885">
        <w:rPr>
          <w:lang w:val="cs-CZ"/>
        </w:rPr>
        <w:t xml:space="preserve">s </w:t>
      </w:r>
      <w:r w:rsidR="00E208C9" w:rsidRPr="008E4885">
        <w:rPr>
          <w:lang w:val="cs-CZ"/>
        </w:rPr>
        <w:t xml:space="preserve">požadavky podle zásady DNSH / nařízení EU, aby bylo možné </w:t>
      </w:r>
      <w:r w:rsidR="00245349" w:rsidRPr="008E4885">
        <w:rPr>
          <w:lang w:val="cs-CZ"/>
        </w:rPr>
        <w:t xml:space="preserve">účinně využívat </w:t>
      </w:r>
      <w:r w:rsidR="0030277C" w:rsidRPr="008E4885">
        <w:rPr>
          <w:lang w:val="cs-CZ"/>
        </w:rPr>
        <w:t xml:space="preserve">stávající </w:t>
      </w:r>
      <w:r w:rsidR="00245349" w:rsidRPr="008E4885">
        <w:rPr>
          <w:lang w:val="cs-CZ"/>
        </w:rPr>
        <w:t xml:space="preserve">legislativní procesy a </w:t>
      </w:r>
      <w:r w:rsidR="00817601" w:rsidRPr="008E4885">
        <w:rPr>
          <w:lang w:val="cs-CZ"/>
        </w:rPr>
        <w:t xml:space="preserve">generované údaje, které </w:t>
      </w:r>
      <w:r w:rsidR="0038340B" w:rsidRPr="008E4885">
        <w:rPr>
          <w:lang w:val="cs-CZ"/>
        </w:rPr>
        <w:t xml:space="preserve">mohou </w:t>
      </w:r>
      <w:r w:rsidR="139D5386" w:rsidRPr="008E4885">
        <w:rPr>
          <w:lang w:val="cs-CZ"/>
        </w:rPr>
        <w:t xml:space="preserve">pomoci </w:t>
      </w:r>
      <w:r w:rsidR="007A6AC0" w:rsidRPr="008E4885">
        <w:rPr>
          <w:lang w:val="cs-CZ"/>
        </w:rPr>
        <w:t>zajistit soulad.</w:t>
      </w:r>
    </w:p>
    <w:p w:rsidR="00485354" w:rsidRPr="008E4885" w:rsidRDefault="00485354" w:rsidP="00485354">
      <w:pPr>
        <w:rPr>
          <w:lang w:val="cs-CZ"/>
        </w:rPr>
      </w:pPr>
    </w:p>
    <w:p w:rsidR="00F87DD0" w:rsidRPr="008E4885" w:rsidRDefault="008E4885">
      <w:pPr>
        <w:pStyle w:val="Nadpis3"/>
        <w:rPr>
          <w:lang w:val="cs-CZ"/>
        </w:rPr>
      </w:pPr>
      <w:bookmarkStart w:id="11" w:name="_Toc133944252"/>
      <w:r w:rsidRPr="008E4885">
        <w:rPr>
          <w:lang w:val="cs-CZ"/>
        </w:rPr>
        <w:t xml:space="preserve">Dodávka </w:t>
      </w:r>
      <w:r w:rsidR="00483AE5" w:rsidRPr="008E4885">
        <w:rPr>
          <w:lang w:val="cs-CZ"/>
        </w:rPr>
        <w:t xml:space="preserve">2 - </w:t>
      </w:r>
      <w:r w:rsidR="007A6AC0" w:rsidRPr="008E4885">
        <w:rPr>
          <w:lang w:val="cs-CZ"/>
        </w:rPr>
        <w:t xml:space="preserve">Podpora </w:t>
      </w:r>
      <w:r w:rsidR="00483AE5" w:rsidRPr="008E4885">
        <w:rPr>
          <w:lang w:val="cs-CZ"/>
        </w:rPr>
        <w:t>ad hoc</w:t>
      </w:r>
      <w:bookmarkEnd w:id="11"/>
    </w:p>
    <w:p w:rsidR="00F87DD0" w:rsidRPr="008E4885" w:rsidRDefault="008E488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lang w:val="cs-CZ"/>
        </w:rPr>
        <w:t xml:space="preserve">Zjevně </w:t>
      </w:r>
      <w:r w:rsidR="003748A6" w:rsidRPr="008E4885">
        <w:rPr>
          <w:lang w:val="cs-CZ"/>
        </w:rPr>
        <w:t xml:space="preserve">převažovaly </w:t>
      </w:r>
      <w:r w:rsidRPr="008E4885">
        <w:rPr>
          <w:lang w:val="cs-CZ"/>
        </w:rPr>
        <w:t xml:space="preserve">dotazy/žádosti </w:t>
      </w:r>
      <w:r w:rsidR="003748A6" w:rsidRPr="008E4885">
        <w:rPr>
          <w:lang w:val="cs-CZ"/>
        </w:rPr>
        <w:t xml:space="preserve">zaměřené na </w:t>
      </w:r>
      <w:r w:rsidRPr="008E4885">
        <w:rPr>
          <w:lang w:val="cs-CZ"/>
        </w:rPr>
        <w:t xml:space="preserve">problémy s </w:t>
      </w:r>
      <w:r w:rsidR="003748A6" w:rsidRPr="008E4885">
        <w:rPr>
          <w:lang w:val="cs-CZ"/>
        </w:rPr>
        <w:t xml:space="preserve">hodnocením PK </w:t>
      </w:r>
      <w:r w:rsidR="00E97D9A" w:rsidRPr="008E4885">
        <w:rPr>
          <w:lang w:val="cs-CZ"/>
        </w:rPr>
        <w:t xml:space="preserve">a </w:t>
      </w:r>
      <w:r w:rsidR="000A596A" w:rsidRPr="008E4885">
        <w:rPr>
          <w:lang w:val="cs-CZ"/>
        </w:rPr>
        <w:t xml:space="preserve">správným </w:t>
      </w:r>
      <w:r w:rsidR="00E97D9A" w:rsidRPr="008E4885">
        <w:rPr>
          <w:lang w:val="cs-CZ"/>
        </w:rPr>
        <w:t xml:space="preserve">výkladem </w:t>
      </w:r>
      <w:r w:rsidR="000A596A" w:rsidRPr="008E4885">
        <w:rPr>
          <w:lang w:val="cs-CZ"/>
        </w:rPr>
        <w:t>nařízení EU.</w:t>
      </w:r>
    </w:p>
    <w:p w:rsidR="00F87DD0" w:rsidRPr="008E4885" w:rsidRDefault="008E4885">
      <w:pPr>
        <w:pStyle w:val="Odstavecseseznamem"/>
        <w:numPr>
          <w:ilvl w:val="0"/>
          <w:numId w:val="9"/>
        </w:numPr>
        <w:rPr>
          <w:szCs w:val="18"/>
          <w:lang w:val="cs-CZ"/>
        </w:rPr>
      </w:pPr>
      <w:r w:rsidRPr="008E4885">
        <w:rPr>
          <w:szCs w:val="18"/>
          <w:lang w:val="cs-CZ"/>
        </w:rPr>
        <w:t xml:space="preserve">Velký zájem </w:t>
      </w:r>
      <w:r w:rsidR="003748A6" w:rsidRPr="008E4885">
        <w:rPr>
          <w:szCs w:val="18"/>
          <w:lang w:val="cs-CZ"/>
        </w:rPr>
        <w:t xml:space="preserve">se soustředil na ověření již zavedeného přístupu k </w:t>
      </w:r>
      <w:r w:rsidRPr="008E4885">
        <w:rPr>
          <w:szCs w:val="18"/>
          <w:lang w:val="cs-CZ"/>
        </w:rPr>
        <w:t>DNSH a CP napříč programy, aby se zajistilo, že stávající přístup je dostatečný.</w:t>
      </w:r>
    </w:p>
    <w:p w:rsidR="00F87DD0" w:rsidRPr="008E4885" w:rsidRDefault="008E4885">
      <w:pPr>
        <w:pStyle w:val="Odstavecseseznamem"/>
        <w:numPr>
          <w:ilvl w:val="0"/>
          <w:numId w:val="9"/>
        </w:numPr>
        <w:rPr>
          <w:szCs w:val="18"/>
          <w:lang w:val="cs-CZ"/>
        </w:rPr>
      </w:pPr>
      <w:r w:rsidRPr="008E4885">
        <w:rPr>
          <w:szCs w:val="18"/>
          <w:lang w:val="cs-CZ"/>
        </w:rPr>
        <w:t xml:space="preserve">Projektový tým zaznamenal případy nepochopení a/nebo nepochopení </w:t>
      </w:r>
      <w:r w:rsidR="003748A6" w:rsidRPr="008E4885">
        <w:rPr>
          <w:szCs w:val="18"/>
          <w:lang w:val="cs-CZ"/>
        </w:rPr>
        <w:t xml:space="preserve">některých klíčových aspektů nařízení na úrovni EU </w:t>
      </w:r>
      <w:r w:rsidRPr="008E4885">
        <w:rPr>
          <w:szCs w:val="18"/>
          <w:lang w:val="cs-CZ"/>
        </w:rPr>
        <w:t>a jejich dopadů na aplikaci předběžného hodnocení DNSH.</w:t>
      </w:r>
    </w:p>
    <w:p w:rsidR="00F87DD0" w:rsidRPr="008E4885" w:rsidRDefault="008E4885">
      <w:pPr>
        <w:pStyle w:val="Odstavecseseznamem"/>
        <w:numPr>
          <w:ilvl w:val="0"/>
          <w:numId w:val="9"/>
        </w:numPr>
        <w:rPr>
          <w:szCs w:val="18"/>
          <w:lang w:val="cs-CZ"/>
        </w:rPr>
      </w:pPr>
      <w:r w:rsidRPr="008E4885">
        <w:rPr>
          <w:szCs w:val="18"/>
          <w:lang w:val="cs-CZ"/>
        </w:rPr>
        <w:t>Silné zaměření žádostí a dotazů na možné zjednodušení procesu pro DNSH i CP - zejména u výzev/oblastí, kde se očekává vysoký počet malých projektů</w:t>
      </w:r>
      <w:r w:rsidR="005F0AA4" w:rsidRPr="008E4885">
        <w:rPr>
          <w:szCs w:val="18"/>
          <w:lang w:val="cs-CZ"/>
        </w:rPr>
        <w:t>.</w:t>
      </w:r>
    </w:p>
    <w:p w:rsidR="00F87DD0" w:rsidRPr="008E4885" w:rsidRDefault="006A4D14">
      <w:pPr>
        <w:pStyle w:val="Odstavecseseznamem"/>
        <w:numPr>
          <w:ilvl w:val="0"/>
          <w:numId w:val="9"/>
        </w:numPr>
        <w:rPr>
          <w:szCs w:val="18"/>
          <w:lang w:val="cs-CZ"/>
        </w:rPr>
      </w:pPr>
      <w:r w:rsidRPr="008E4885">
        <w:rPr>
          <w:szCs w:val="18"/>
          <w:lang w:val="cs-CZ"/>
        </w:rPr>
        <w:t xml:space="preserve">Byly zaznamenány </w:t>
      </w:r>
      <w:r w:rsidR="008E4885" w:rsidRPr="008E4885">
        <w:rPr>
          <w:szCs w:val="18"/>
          <w:lang w:val="cs-CZ"/>
        </w:rPr>
        <w:t xml:space="preserve">zjevné </w:t>
      </w:r>
      <w:r w:rsidR="003748A6" w:rsidRPr="008E4885">
        <w:rPr>
          <w:szCs w:val="18"/>
          <w:lang w:val="cs-CZ"/>
        </w:rPr>
        <w:t xml:space="preserve">problémy, </w:t>
      </w:r>
      <w:r w:rsidR="009D48D6" w:rsidRPr="008E4885">
        <w:rPr>
          <w:szCs w:val="18"/>
          <w:lang w:val="cs-CZ"/>
        </w:rPr>
        <w:t xml:space="preserve">zejména </w:t>
      </w:r>
      <w:r w:rsidRPr="008E4885">
        <w:rPr>
          <w:szCs w:val="18"/>
          <w:lang w:val="cs-CZ"/>
        </w:rPr>
        <w:t xml:space="preserve">pokud jde o </w:t>
      </w:r>
      <w:r w:rsidR="00DB7C6E" w:rsidRPr="008E4885">
        <w:rPr>
          <w:szCs w:val="18"/>
          <w:lang w:val="cs-CZ"/>
        </w:rPr>
        <w:t xml:space="preserve">provádění </w:t>
      </w:r>
      <w:r w:rsidR="004354D7" w:rsidRPr="008E4885">
        <w:rPr>
          <w:szCs w:val="18"/>
          <w:lang w:val="cs-CZ"/>
        </w:rPr>
        <w:t xml:space="preserve">hodnocení </w:t>
      </w:r>
      <w:r w:rsidR="003748A6" w:rsidRPr="008E4885">
        <w:rPr>
          <w:szCs w:val="18"/>
          <w:lang w:val="cs-CZ"/>
        </w:rPr>
        <w:t xml:space="preserve">KP </w:t>
      </w:r>
      <w:r w:rsidR="009D48D6" w:rsidRPr="008E4885">
        <w:rPr>
          <w:szCs w:val="18"/>
          <w:lang w:val="cs-CZ"/>
        </w:rPr>
        <w:t xml:space="preserve">pro přizpůsobení se klimatu, </w:t>
      </w:r>
      <w:r w:rsidR="00567633" w:rsidRPr="008E4885">
        <w:rPr>
          <w:szCs w:val="18"/>
          <w:lang w:val="cs-CZ"/>
        </w:rPr>
        <w:t xml:space="preserve">zejména kvůli </w:t>
      </w:r>
      <w:r w:rsidR="00AF6266" w:rsidRPr="008E4885">
        <w:rPr>
          <w:szCs w:val="18"/>
          <w:lang w:val="cs-CZ"/>
        </w:rPr>
        <w:t xml:space="preserve">vysoké složitosti </w:t>
      </w:r>
      <w:r w:rsidR="008277C6" w:rsidRPr="008E4885">
        <w:rPr>
          <w:szCs w:val="18"/>
          <w:lang w:val="cs-CZ"/>
        </w:rPr>
        <w:t xml:space="preserve">metodiky a </w:t>
      </w:r>
      <w:r w:rsidR="00567633" w:rsidRPr="008E4885">
        <w:rPr>
          <w:szCs w:val="18"/>
          <w:lang w:val="cs-CZ"/>
        </w:rPr>
        <w:t xml:space="preserve">nedostatku relevantních </w:t>
      </w:r>
      <w:r w:rsidR="00AF6266" w:rsidRPr="008E4885">
        <w:rPr>
          <w:szCs w:val="18"/>
          <w:lang w:val="cs-CZ"/>
        </w:rPr>
        <w:t>údajů.</w:t>
      </w:r>
    </w:p>
    <w:p w:rsidR="00527C43" w:rsidRPr="008E4885" w:rsidRDefault="00527C43" w:rsidP="00527C43">
      <w:pPr>
        <w:rPr>
          <w:szCs w:val="18"/>
          <w:lang w:val="cs-CZ"/>
        </w:rPr>
      </w:pPr>
    </w:p>
    <w:p w:rsidR="00F87DD0" w:rsidRPr="008E4885" w:rsidRDefault="008E4885">
      <w:pPr>
        <w:pStyle w:val="Nadpis3"/>
        <w:spacing w:line="360" w:lineRule="auto"/>
        <w:rPr>
          <w:lang w:val="cs-CZ"/>
        </w:rPr>
      </w:pPr>
      <w:bookmarkStart w:id="12" w:name="_Toc133944253"/>
      <w:r w:rsidRPr="008E4885">
        <w:rPr>
          <w:lang w:val="cs-CZ"/>
        </w:rPr>
        <w:t xml:space="preserve">Výsledek 3 - </w:t>
      </w:r>
      <w:proofErr w:type="spellStart"/>
      <w:r w:rsidRPr="008E4885">
        <w:rPr>
          <w:lang w:val="cs-CZ"/>
        </w:rPr>
        <w:t>Webináře</w:t>
      </w:r>
      <w:proofErr w:type="spellEnd"/>
      <w:r w:rsidRPr="008E4885">
        <w:rPr>
          <w:lang w:val="cs-CZ"/>
        </w:rPr>
        <w:t xml:space="preserve"> a získané zkušenosti</w:t>
      </w:r>
      <w:bookmarkEnd w:id="12"/>
    </w:p>
    <w:p w:rsidR="00F87DD0" w:rsidRPr="008E4885" w:rsidRDefault="008E4885">
      <w:pPr>
        <w:spacing w:after="160" w:line="360" w:lineRule="auto"/>
        <w:ind w:left="709"/>
        <w:rPr>
          <w:szCs w:val="18"/>
          <w:lang w:val="cs-CZ"/>
        </w:rPr>
      </w:pPr>
      <w:r w:rsidRPr="008E4885">
        <w:rPr>
          <w:szCs w:val="18"/>
          <w:lang w:val="cs-CZ"/>
        </w:rPr>
        <w:t>V rámci tří webových seminářů, které se konaly v rámci cíle 3, byly jako klíčové pro zohlednění v cíli 4 identifikovány následující aspekty:</w:t>
      </w:r>
    </w:p>
    <w:p w:rsidR="00F87DD0" w:rsidRPr="008E4885" w:rsidRDefault="008E488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lang w:val="cs-CZ"/>
        </w:rPr>
        <w:t xml:space="preserve">Obsah a proces hodnocení DNSH by měl být v průběhu času flexibilní, aby odrážel zkušenosti získané v průběhu let a </w:t>
      </w:r>
      <w:r w:rsidRPr="008E4885">
        <w:rPr>
          <w:lang w:val="cs-CZ"/>
        </w:rPr>
        <w:t>změny cílů a environmentálních rizik.</w:t>
      </w:r>
    </w:p>
    <w:p w:rsidR="00F87DD0" w:rsidRPr="008E4885" w:rsidRDefault="008E488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lang w:val="cs-CZ"/>
        </w:rPr>
        <w:t>Existuje silná potřeba vyjasnit prahové hodnoty na úrovni EU, což by mělo být zohledněno v pokynech vypracovaných v rámci DVL5.</w:t>
      </w:r>
    </w:p>
    <w:p w:rsidR="00F87DD0" w:rsidRPr="008E4885" w:rsidRDefault="008E488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lang w:val="cs-CZ"/>
        </w:rPr>
        <w:t>Vypracované pokyny musí být jednoduché, snadno použitelné a dodržované. Dokument by měl bý</w:t>
      </w:r>
      <w:r w:rsidRPr="008E4885">
        <w:rPr>
          <w:lang w:val="cs-CZ"/>
        </w:rPr>
        <w:t>t jasný, syntetický a pragmatický, zejména pokud jeho publikum tvoří navrhovatelé, např. tím, že nabízí kontrolní seznamy a ukládá stejná kritéria pro všechny finanční nástroje.</w:t>
      </w:r>
    </w:p>
    <w:p w:rsidR="00F87DD0" w:rsidRPr="008E4885" w:rsidRDefault="008E488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lang w:val="cs-CZ"/>
        </w:rPr>
        <w:t xml:space="preserve">Dokument s pokyny by měl obsahovat další zdroje, jako jsou šablony, případové </w:t>
      </w:r>
      <w:r w:rsidRPr="008E4885">
        <w:rPr>
          <w:lang w:val="cs-CZ"/>
        </w:rPr>
        <w:t xml:space="preserve">studie atd. </w:t>
      </w:r>
    </w:p>
    <w:p w:rsidR="00F87DD0" w:rsidRPr="008E4885" w:rsidRDefault="008E488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lang w:val="cs-CZ"/>
        </w:rPr>
        <w:t xml:space="preserve">Pokyny by měly zvážit možnost vypracovat (dodatečná) kritéria DNSH specifická pro výzvy nebo projekty, aby bylo možné přizpůsobit obecná hodnocení DNSH konkrétním podmínkám. </w:t>
      </w:r>
    </w:p>
    <w:p w:rsidR="00F87DD0" w:rsidRPr="008E4885" w:rsidRDefault="008E488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lang w:val="cs-CZ"/>
        </w:rPr>
        <w:lastRenderedPageBreak/>
        <w:t>Je třeba nalézt rovnováhu mezi omezenou administrativní zátěží a pří</w:t>
      </w:r>
      <w:r w:rsidRPr="008E4885">
        <w:rPr>
          <w:lang w:val="cs-CZ"/>
        </w:rPr>
        <w:t xml:space="preserve">liš zjednodušenými posouzeními DNSH a zároveň zajistit dostatečnou environmentální integritu. </w:t>
      </w:r>
    </w:p>
    <w:p w:rsidR="00F87DD0" w:rsidRPr="008E4885" w:rsidRDefault="008E488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lang w:val="cs-CZ"/>
        </w:rPr>
        <w:t>Klíčové je zohlednit počet a rozdíly mezi zúčastněnými orgány a zúčastněnými stranami (jak orgány řídící veřejné investice, tak předkladatelé projektů), a to nej</w:t>
      </w:r>
      <w:r w:rsidRPr="008E4885">
        <w:rPr>
          <w:lang w:val="cs-CZ"/>
        </w:rPr>
        <w:t>en při tvorbě pokynů, ale také pokud jde o budoucí budování kapacit a školení.</w:t>
      </w:r>
    </w:p>
    <w:p w:rsidR="00485354" w:rsidRPr="008E4885" w:rsidRDefault="00485354" w:rsidP="007F0A41">
      <w:pPr>
        <w:ind w:left="0"/>
        <w:rPr>
          <w:lang w:val="cs-CZ"/>
        </w:rPr>
      </w:pPr>
    </w:p>
    <w:p w:rsidR="00F87DD0" w:rsidRPr="008E4885" w:rsidRDefault="008E4885">
      <w:pPr>
        <w:pStyle w:val="Nadpis2"/>
        <w:ind w:firstLine="0"/>
        <w:rPr>
          <w:lang w:val="cs-CZ"/>
        </w:rPr>
      </w:pPr>
      <w:bookmarkStart w:id="13" w:name="_Toc133944254"/>
      <w:r w:rsidRPr="008E4885">
        <w:rPr>
          <w:lang w:val="cs-CZ"/>
        </w:rPr>
        <w:t xml:space="preserve">Metodika a přístup k </w:t>
      </w:r>
      <w:r w:rsidR="00A577E2" w:rsidRPr="008E4885">
        <w:rPr>
          <w:lang w:val="cs-CZ"/>
        </w:rPr>
        <w:t>výsledku 4</w:t>
      </w:r>
      <w:bookmarkEnd w:id="13"/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>V této části jsou popsány hlavní kroky našeho přístupu při identifikaci typu investice a sestavování kategorizace investic podle DLV4</w:t>
      </w:r>
      <w:r w:rsidR="009B31FA" w:rsidRPr="008E4885">
        <w:rPr>
          <w:lang w:val="cs-CZ"/>
        </w:rPr>
        <w:t xml:space="preserve">. </w:t>
      </w:r>
    </w:p>
    <w:p w:rsidR="001508DA" w:rsidRPr="008E4885" w:rsidRDefault="001508DA" w:rsidP="001508DA">
      <w:pPr>
        <w:rPr>
          <w:lang w:val="cs-CZ"/>
        </w:rPr>
      </w:pPr>
    </w:p>
    <w:p w:rsidR="00F87DD0" w:rsidRPr="008E4885" w:rsidRDefault="00D101EC">
      <w:pPr>
        <w:pStyle w:val="Nadpis3"/>
        <w:rPr>
          <w:lang w:val="cs-CZ"/>
        </w:rPr>
      </w:pPr>
      <w:bookmarkStart w:id="14" w:name="_Toc133944255"/>
      <w:r w:rsidRPr="008E4885">
        <w:rPr>
          <w:lang w:val="cs-CZ"/>
        </w:rPr>
        <w:t>Typy</w:t>
      </w:r>
      <w:r w:rsidR="008E4885" w:rsidRPr="008E4885">
        <w:rPr>
          <w:lang w:val="cs-CZ"/>
        </w:rPr>
        <w:t xml:space="preserve"> investic</w:t>
      </w:r>
      <w:bookmarkEnd w:id="14"/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 xml:space="preserve">Projektový tým postupoval podle </w:t>
      </w:r>
      <w:r w:rsidR="3D4FD98C" w:rsidRPr="008E4885">
        <w:rPr>
          <w:lang w:val="cs-CZ"/>
        </w:rPr>
        <w:t xml:space="preserve">níže uvedených </w:t>
      </w:r>
      <w:r w:rsidRPr="008E4885">
        <w:rPr>
          <w:lang w:val="cs-CZ"/>
        </w:rPr>
        <w:t>kroků, aby určil typy investic na úrovni programů v rámci fondů a programů EU, u nichž je vyžadováno sladění se zásadou DNSH a/nebo posouzení KP</w:t>
      </w:r>
      <w:r w:rsidR="57E399E9" w:rsidRPr="008E4885">
        <w:rPr>
          <w:lang w:val="cs-CZ"/>
        </w:rPr>
        <w:t>.</w:t>
      </w:r>
    </w:p>
    <w:p w:rsidR="00E304B3" w:rsidRPr="008E4885" w:rsidRDefault="00E304B3" w:rsidP="00883372">
      <w:pPr>
        <w:rPr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b/>
          <w:bCs/>
          <w:lang w:val="cs-CZ"/>
        </w:rPr>
        <w:t xml:space="preserve">Krok 1 </w:t>
      </w:r>
      <w:r w:rsidRPr="008E4885">
        <w:rPr>
          <w:lang w:val="cs-CZ"/>
        </w:rPr>
        <w:t>- Tým provedl hloubkový přezkum příslušné dok</w:t>
      </w:r>
      <w:r w:rsidRPr="008E4885">
        <w:rPr>
          <w:lang w:val="cs-CZ"/>
        </w:rPr>
        <w:t xml:space="preserve">umentace a zdrojů v rámci všech programů, NRP (RRF) a </w:t>
      </w:r>
      <w:proofErr w:type="spellStart"/>
      <w:r w:rsidRPr="008E4885">
        <w:rPr>
          <w:lang w:val="cs-CZ"/>
        </w:rPr>
        <w:t>InvestEU</w:t>
      </w:r>
      <w:proofErr w:type="spellEnd"/>
      <w:r w:rsidRPr="008E4885">
        <w:rPr>
          <w:lang w:val="cs-CZ"/>
        </w:rPr>
        <w:t>, aby nejprve identifikoval zaměření</w:t>
      </w:r>
      <w:bookmarkStart w:id="15" w:name="_Int_sSVs5lFv"/>
      <w:r w:rsidRPr="008E4885">
        <w:rPr>
          <w:lang w:val="cs-CZ"/>
        </w:rPr>
        <w:t xml:space="preserve"> </w:t>
      </w:r>
      <w:bookmarkEnd w:id="15"/>
      <w:r w:rsidRPr="008E4885">
        <w:rPr>
          <w:lang w:val="cs-CZ"/>
        </w:rPr>
        <w:t xml:space="preserve"> a investiční oblasti pro každý fond v působnosti. Prověřovaná dokumentace a zdroje zahrnují hlavní programové dokumenty, které nastiňují financované oblasti</w:t>
      </w:r>
      <w:r w:rsidRPr="008E4885">
        <w:rPr>
          <w:lang w:val="cs-CZ"/>
        </w:rPr>
        <w:t xml:space="preserve"> a cíle, harmonogramy a časové rozvrhy financování, webové stránky programů s informacemi o plánovaném přidělování finančních prostředků </w:t>
      </w:r>
      <w:r w:rsidR="44770884" w:rsidRPr="008E4885">
        <w:rPr>
          <w:lang w:val="cs-CZ"/>
        </w:rPr>
        <w:t xml:space="preserve">a také </w:t>
      </w:r>
      <w:r w:rsidRPr="008E4885">
        <w:rPr>
          <w:lang w:val="cs-CZ"/>
        </w:rPr>
        <w:t xml:space="preserve">informace a dokumentaci </w:t>
      </w:r>
      <w:r w:rsidR="72C1B9DE" w:rsidRPr="008E4885">
        <w:rPr>
          <w:lang w:val="cs-CZ"/>
        </w:rPr>
        <w:t xml:space="preserve">k </w:t>
      </w:r>
      <w:r w:rsidRPr="008E4885">
        <w:rPr>
          <w:lang w:val="cs-CZ"/>
        </w:rPr>
        <w:t>již otevřeným výzvám.</w:t>
      </w:r>
    </w:p>
    <w:p w:rsidR="00484403" w:rsidRPr="008E4885" w:rsidRDefault="00484403" w:rsidP="00484403">
      <w:pPr>
        <w:pStyle w:val="Odstavecseseznamem"/>
        <w:ind w:left="1211"/>
        <w:rPr>
          <w:szCs w:val="18"/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b/>
          <w:bCs/>
          <w:lang w:val="cs-CZ"/>
        </w:rPr>
        <w:t xml:space="preserve">Krok 2 </w:t>
      </w:r>
      <w:r w:rsidRPr="008E4885">
        <w:rPr>
          <w:lang w:val="cs-CZ"/>
        </w:rPr>
        <w:t>- Jakmile byla shromážděna veškerá dokumentace a informace, sestavil</w:t>
      </w:r>
      <w:r w:rsidRPr="008E4885">
        <w:rPr>
          <w:lang w:val="cs-CZ"/>
        </w:rPr>
        <w:t xml:space="preserve"> </w:t>
      </w:r>
      <w:r w:rsidR="00114045" w:rsidRPr="008E4885">
        <w:rPr>
          <w:lang w:val="cs-CZ"/>
        </w:rPr>
        <w:t xml:space="preserve">projektový </w:t>
      </w:r>
      <w:r w:rsidRPr="008E4885">
        <w:rPr>
          <w:lang w:val="cs-CZ"/>
        </w:rPr>
        <w:t xml:space="preserve">tým komplexní tabulku s informacemi na několika úrovních každého programu/fondu, jak je uvedeno na schématu </w:t>
      </w:r>
      <w:r w:rsidR="19D0A06B" w:rsidRPr="008E4885">
        <w:rPr>
          <w:lang w:val="cs-CZ"/>
        </w:rPr>
        <w:t xml:space="preserve">(obrázek 1) </w:t>
      </w:r>
      <w:r w:rsidRPr="008E4885">
        <w:rPr>
          <w:lang w:val="cs-CZ"/>
        </w:rPr>
        <w:t>níže. Aby bylo zajištěno, že byly zachyceny všechny plánované investice, zahrnoval přezkum stejnou (nebo co ne</w:t>
      </w:r>
      <w:r w:rsidRPr="008E4885">
        <w:rPr>
          <w:lang w:val="cs-CZ"/>
        </w:rPr>
        <w:t xml:space="preserve">jbližší) hloubku úrovní v každém programu/fondu </w:t>
      </w:r>
      <w:r w:rsidR="25D34F4F" w:rsidRPr="008E4885">
        <w:rPr>
          <w:lang w:val="cs-CZ"/>
        </w:rPr>
        <w:t xml:space="preserve">(CPF, NRP, </w:t>
      </w:r>
      <w:proofErr w:type="spellStart"/>
      <w:r w:rsidR="25D34F4F" w:rsidRPr="008E4885">
        <w:rPr>
          <w:lang w:val="cs-CZ"/>
        </w:rPr>
        <w:t>InvestEU</w:t>
      </w:r>
      <w:proofErr w:type="spellEnd"/>
      <w:r w:rsidR="25D34F4F" w:rsidRPr="008E4885">
        <w:rPr>
          <w:lang w:val="cs-CZ"/>
        </w:rPr>
        <w:t xml:space="preserve">), </w:t>
      </w:r>
      <w:r w:rsidRPr="008E4885">
        <w:rPr>
          <w:lang w:val="cs-CZ"/>
        </w:rPr>
        <w:t xml:space="preserve">a to až po úroveň, na které je nutné provést posouzení DNSH. Tyto úrovně </w:t>
      </w:r>
      <w:r w:rsidR="31A31EA1" w:rsidRPr="008E4885">
        <w:rPr>
          <w:lang w:val="cs-CZ"/>
        </w:rPr>
        <w:t xml:space="preserve">zahrnovaly </w:t>
      </w:r>
      <w:r w:rsidRPr="008E4885">
        <w:rPr>
          <w:lang w:val="cs-CZ"/>
        </w:rPr>
        <w:t xml:space="preserve">priority/pilíře - hlavní </w:t>
      </w:r>
      <w:r w:rsidR="3C416827" w:rsidRPr="008E4885">
        <w:rPr>
          <w:lang w:val="cs-CZ"/>
        </w:rPr>
        <w:t xml:space="preserve">oblasti </w:t>
      </w:r>
      <w:r w:rsidRPr="008E4885">
        <w:rPr>
          <w:lang w:val="cs-CZ"/>
        </w:rPr>
        <w:t xml:space="preserve">zaměření (např. </w:t>
      </w:r>
      <w:r w:rsidR="7255083B" w:rsidRPr="008E4885">
        <w:rPr>
          <w:i/>
          <w:iCs/>
          <w:lang w:val="cs-CZ"/>
        </w:rPr>
        <w:t xml:space="preserve">snižování emisí </w:t>
      </w:r>
      <w:r w:rsidR="7255083B" w:rsidRPr="008E4885">
        <w:rPr>
          <w:lang w:val="cs-CZ"/>
        </w:rPr>
        <w:t>skleníkových plynů</w:t>
      </w:r>
      <w:r w:rsidR="48AAF961" w:rsidRPr="008E4885">
        <w:rPr>
          <w:i/>
          <w:iCs/>
          <w:lang w:val="cs-CZ"/>
        </w:rPr>
        <w:t xml:space="preserve">, </w:t>
      </w:r>
      <w:r w:rsidRPr="008E4885">
        <w:rPr>
          <w:i/>
          <w:iCs/>
          <w:lang w:val="cs-CZ"/>
        </w:rPr>
        <w:t xml:space="preserve">digitalizace </w:t>
      </w:r>
      <w:r w:rsidR="48AAF961" w:rsidRPr="008E4885">
        <w:rPr>
          <w:i/>
          <w:iCs/>
          <w:lang w:val="cs-CZ"/>
        </w:rPr>
        <w:t>atd.</w:t>
      </w:r>
      <w:r w:rsidRPr="008E4885">
        <w:rPr>
          <w:lang w:val="cs-CZ"/>
        </w:rPr>
        <w:t xml:space="preserve">), Specifické cíle/složky </w:t>
      </w:r>
      <w:r w:rsidR="7F81F908" w:rsidRPr="008E4885">
        <w:rPr>
          <w:lang w:val="cs-CZ"/>
        </w:rPr>
        <w:t xml:space="preserve">- </w:t>
      </w:r>
      <w:r w:rsidRPr="008E4885">
        <w:rPr>
          <w:lang w:val="cs-CZ"/>
        </w:rPr>
        <w:t>specifické cíle pro každou financovanou oblast (např. zvyšování digitální konektivity; zvyšování energetické účinnosti a snižování emisí skleníkových plynů</w:t>
      </w:r>
      <w:r w:rsidR="02D4A911" w:rsidRPr="008E4885">
        <w:rPr>
          <w:lang w:val="cs-CZ"/>
        </w:rPr>
        <w:t xml:space="preserve">) a </w:t>
      </w:r>
      <w:r w:rsidR="64A29AA6" w:rsidRPr="008E4885">
        <w:rPr>
          <w:lang w:val="cs-CZ"/>
        </w:rPr>
        <w:t xml:space="preserve">úroveň </w:t>
      </w:r>
      <w:r w:rsidR="213A22DE" w:rsidRPr="008E4885">
        <w:rPr>
          <w:lang w:val="cs-CZ"/>
        </w:rPr>
        <w:t xml:space="preserve">Typy akcí/opatření </w:t>
      </w:r>
      <w:r w:rsidR="7FE05E71" w:rsidRPr="008E4885">
        <w:rPr>
          <w:lang w:val="cs-CZ"/>
        </w:rPr>
        <w:t xml:space="preserve">- </w:t>
      </w:r>
      <w:r w:rsidRPr="008E4885">
        <w:rPr>
          <w:lang w:val="cs-CZ"/>
        </w:rPr>
        <w:t>konkrétní akce a/nebo zlepšení financovan</w:t>
      </w:r>
      <w:r w:rsidRPr="008E4885">
        <w:rPr>
          <w:lang w:val="cs-CZ"/>
        </w:rPr>
        <w:t>é z investic (např. budování nových sítí a modernizace stávající síťové infrastruktury pro přístup k internetu se specifickými parametry, Snížení energetické náročnosti budov ve vlastnictví státních institucí).</w:t>
      </w:r>
    </w:p>
    <w:p w:rsidR="00484403" w:rsidRPr="008E4885" w:rsidRDefault="00484403" w:rsidP="00F263E6">
      <w:pPr>
        <w:spacing w:line="240" w:lineRule="auto"/>
        <w:ind w:left="0"/>
        <w:rPr>
          <w:rFonts w:ascii="Arial" w:eastAsia="Arial" w:hAnsi="Arial" w:cs="Arial"/>
          <w:sz w:val="20"/>
          <w:szCs w:val="20"/>
          <w:lang w:val="cs-CZ"/>
        </w:rPr>
      </w:pPr>
    </w:p>
    <w:p w:rsidR="00F87DD0" w:rsidRPr="008E4885" w:rsidRDefault="008E4885">
      <w:pPr>
        <w:pStyle w:val="Titulek"/>
        <w:ind w:left="0"/>
        <w:rPr>
          <w:lang w:val="cs-CZ"/>
        </w:rPr>
      </w:pPr>
      <w:r w:rsidRPr="008E4885">
        <w:rPr>
          <w:lang w:val="cs-CZ" w:eastAsia="cs-CZ"/>
        </w:rPr>
        <w:lastRenderedPageBreak/>
        <w:drawing>
          <wp:anchor distT="0" distB="0" distL="114300" distR="114300" simplePos="0" relativeHeight="251658250" behindDoc="0" locked="0" layoutInCell="1" allowOverlap="1" wp14:anchorId="1E7B5E26" wp14:editId="2612478F">
            <wp:simplePos x="0" y="0"/>
            <wp:positionH relativeFrom="column">
              <wp:posOffset>8255</wp:posOffset>
            </wp:positionH>
            <wp:positionV relativeFrom="paragraph">
              <wp:posOffset>312005</wp:posOffset>
            </wp:positionV>
            <wp:extent cx="5731510" cy="2094230"/>
            <wp:effectExtent l="0" t="0" r="0" b="1270"/>
            <wp:wrapThrough wrapText="bothSides">
              <wp:wrapPolygon edited="0">
                <wp:start x="0" y="0"/>
                <wp:lineTo x="0" y="21482"/>
                <wp:lineTo x="21538" y="21482"/>
                <wp:lineTo x="21538" y="0"/>
                <wp:lineTo x="0" y="0"/>
              </wp:wrapPolygon>
            </wp:wrapThrough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AA4" w:rsidRPr="008E4885">
        <w:rPr>
          <w:lang w:val="cs-CZ"/>
        </w:rPr>
        <w:t xml:space="preserve">Obrázek </w:t>
      </w:r>
      <w:r w:rsidR="005F0AA4" w:rsidRPr="008E4885">
        <w:rPr>
          <w:lang w:val="cs-CZ"/>
        </w:rPr>
        <w:fldChar w:fldCharType="begin"/>
      </w:r>
      <w:r w:rsidR="005F0AA4" w:rsidRPr="008E4885">
        <w:rPr>
          <w:lang w:val="cs-CZ"/>
        </w:rPr>
        <w:instrText xml:space="preserve"> SEQ Figure \* ARABIC </w:instrText>
      </w:r>
      <w:r w:rsidR="005F0AA4" w:rsidRPr="008E4885">
        <w:rPr>
          <w:lang w:val="cs-CZ"/>
        </w:rPr>
        <w:fldChar w:fldCharType="separate"/>
      </w:r>
      <w:r w:rsidR="00253CEB" w:rsidRPr="008E4885">
        <w:rPr>
          <w:lang w:val="cs-CZ"/>
        </w:rPr>
        <w:t>1</w:t>
      </w:r>
      <w:r w:rsidR="005F0AA4" w:rsidRPr="008E4885">
        <w:rPr>
          <w:lang w:val="cs-CZ"/>
        </w:rPr>
        <w:fldChar w:fldCharType="end"/>
      </w:r>
      <w:r w:rsidR="00F76511" w:rsidRPr="008E4885">
        <w:rPr>
          <w:lang w:val="cs-CZ"/>
        </w:rPr>
        <w:t xml:space="preserve">  - Proces </w:t>
      </w:r>
      <w:r w:rsidR="006C13F1" w:rsidRPr="008E4885">
        <w:rPr>
          <w:lang w:val="cs-CZ"/>
        </w:rPr>
        <w:t>shromažďování a přezkoumávání informací pro určení typů a kategorií investic</w:t>
      </w:r>
    </w:p>
    <w:p w:rsidR="00484403" w:rsidRPr="008E4885" w:rsidRDefault="00484403" w:rsidP="00484403">
      <w:pPr>
        <w:spacing w:line="240" w:lineRule="auto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b/>
          <w:bCs/>
          <w:lang w:val="cs-CZ"/>
        </w:rPr>
        <w:t xml:space="preserve">Krok 3 </w:t>
      </w:r>
      <w:r w:rsidRPr="008E4885">
        <w:rPr>
          <w:lang w:val="cs-CZ"/>
        </w:rPr>
        <w:t>- Tým poté pokračoval v identifikaci typu investice na úrovni typu akce/opatření tím, že našel překryvy v činnostech, zlepšeních a hmotných i nehmotných intervencích/akt</w:t>
      </w:r>
      <w:r w:rsidRPr="008E4885">
        <w:rPr>
          <w:lang w:val="cs-CZ"/>
        </w:rPr>
        <w:t xml:space="preserve">ivitách financovaných napříč všemi programy a fondy. V tomto kroku byly vytvořeny skupiny (typy), které </w:t>
      </w:r>
      <w:r w:rsidR="43CC841C" w:rsidRPr="008E4885">
        <w:rPr>
          <w:lang w:val="cs-CZ"/>
        </w:rPr>
        <w:t xml:space="preserve">představují </w:t>
      </w:r>
      <w:r w:rsidRPr="008E4885">
        <w:rPr>
          <w:lang w:val="cs-CZ"/>
        </w:rPr>
        <w:t xml:space="preserve">konkrétní typ investice. </w:t>
      </w:r>
      <w:r w:rsidR="4C1660AD" w:rsidRPr="008E4885">
        <w:rPr>
          <w:lang w:val="cs-CZ"/>
        </w:rPr>
        <w:t xml:space="preserve">Kromě toho </w:t>
      </w:r>
      <w:r w:rsidR="03D03312" w:rsidRPr="008E4885">
        <w:rPr>
          <w:lang w:val="cs-CZ"/>
        </w:rPr>
        <w:t xml:space="preserve">tým </w:t>
      </w:r>
      <w:r w:rsidR="6BCF0DC4" w:rsidRPr="008E4885">
        <w:rPr>
          <w:lang w:val="cs-CZ"/>
        </w:rPr>
        <w:t xml:space="preserve">při </w:t>
      </w:r>
      <w:r w:rsidR="365C18A4" w:rsidRPr="008E4885">
        <w:rPr>
          <w:lang w:val="cs-CZ"/>
        </w:rPr>
        <w:t xml:space="preserve">nejlepší snaze </w:t>
      </w:r>
      <w:r w:rsidR="03D03312" w:rsidRPr="008E4885">
        <w:rPr>
          <w:lang w:val="cs-CZ"/>
        </w:rPr>
        <w:t xml:space="preserve">zvážil také </w:t>
      </w:r>
      <w:r w:rsidR="4C1660AD" w:rsidRPr="008E4885">
        <w:rPr>
          <w:lang w:val="cs-CZ"/>
        </w:rPr>
        <w:t xml:space="preserve">aspekty, jako je </w:t>
      </w:r>
      <w:r w:rsidR="09D95169" w:rsidRPr="008E4885">
        <w:rPr>
          <w:lang w:val="cs-CZ"/>
        </w:rPr>
        <w:t xml:space="preserve">předvídatelná složitost posouzení DNSH </w:t>
      </w:r>
      <w:r w:rsidR="44BF667D" w:rsidRPr="008E4885">
        <w:rPr>
          <w:lang w:val="cs-CZ"/>
        </w:rPr>
        <w:t>(</w:t>
      </w:r>
      <w:r w:rsidR="6FA287B6" w:rsidRPr="008E4885">
        <w:rPr>
          <w:lang w:val="cs-CZ"/>
        </w:rPr>
        <w:t xml:space="preserve">např. </w:t>
      </w:r>
      <w:r w:rsidR="0C8D390E" w:rsidRPr="008E4885">
        <w:rPr>
          <w:lang w:val="cs-CZ"/>
        </w:rPr>
        <w:t xml:space="preserve">technická kritéria pro </w:t>
      </w:r>
      <w:r w:rsidR="360D15DE" w:rsidRPr="008E4885">
        <w:rPr>
          <w:lang w:val="cs-CZ"/>
        </w:rPr>
        <w:t>výběr</w:t>
      </w:r>
      <w:r w:rsidR="373A47CA" w:rsidRPr="008E4885">
        <w:rPr>
          <w:lang w:val="cs-CZ"/>
        </w:rPr>
        <w:t xml:space="preserve">), </w:t>
      </w:r>
      <w:r w:rsidR="6BCF0DC4" w:rsidRPr="008E4885">
        <w:rPr>
          <w:lang w:val="cs-CZ"/>
        </w:rPr>
        <w:t xml:space="preserve">cílená témata </w:t>
      </w:r>
      <w:r w:rsidR="4839913D" w:rsidRPr="008E4885">
        <w:rPr>
          <w:lang w:val="cs-CZ"/>
        </w:rPr>
        <w:t xml:space="preserve">a dotčená </w:t>
      </w:r>
      <w:r w:rsidR="6BCF0DC4" w:rsidRPr="008E4885">
        <w:rPr>
          <w:lang w:val="cs-CZ"/>
        </w:rPr>
        <w:t xml:space="preserve">odvětví a </w:t>
      </w:r>
      <w:r w:rsidR="4839913D" w:rsidRPr="008E4885">
        <w:rPr>
          <w:lang w:val="cs-CZ"/>
        </w:rPr>
        <w:t>potenciální zahrnutí prvků infrastruktury</w:t>
      </w:r>
      <w:r w:rsidR="001F0D27" w:rsidRPr="008E4885">
        <w:rPr>
          <w:rStyle w:val="Znakapoznpodarou"/>
          <w:lang w:val="cs-CZ"/>
        </w:rPr>
        <w:footnoteReference w:id="3"/>
      </w:r>
      <w:r w:rsidR="6BCF0DC4" w:rsidRPr="008E4885">
        <w:rPr>
          <w:lang w:val="cs-CZ"/>
        </w:rPr>
        <w:t xml:space="preserve"> .</w:t>
      </w:r>
    </w:p>
    <w:p w:rsidR="00484403" w:rsidRPr="008E4885" w:rsidRDefault="00484403" w:rsidP="00484403">
      <w:pPr>
        <w:spacing w:line="240" w:lineRule="auto"/>
        <w:rPr>
          <w:rFonts w:ascii="Arial" w:eastAsia="Arial" w:hAnsi="Arial" w:cs="Arial"/>
          <w:sz w:val="20"/>
          <w:szCs w:val="20"/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b/>
          <w:bCs/>
          <w:lang w:val="cs-CZ"/>
        </w:rPr>
        <w:t xml:space="preserve">Krok 4 </w:t>
      </w:r>
      <w:r w:rsidRPr="008E4885">
        <w:rPr>
          <w:lang w:val="cs-CZ"/>
        </w:rPr>
        <w:t xml:space="preserve">- Po určení seznamu investičních činností a typů byla tabulka a shromážděné informace z předchozího kroku přezkoumány a porovnány </w:t>
      </w:r>
      <w:r w:rsidR="078DDF08" w:rsidRPr="008E4885">
        <w:rPr>
          <w:lang w:val="cs-CZ"/>
        </w:rPr>
        <w:t xml:space="preserve">(pokud to bylo možné) </w:t>
      </w:r>
      <w:r w:rsidRPr="008E4885">
        <w:rPr>
          <w:lang w:val="cs-CZ"/>
        </w:rPr>
        <w:t>s odvětvími a hospodářskými činnostmi uvedenými v nařízení Komise v přenesené pravomoci (EU) 2021/2139</w:t>
      </w:r>
      <w:r w:rsidR="297023A1" w:rsidRPr="008E4885">
        <w:rPr>
          <w:lang w:val="cs-CZ"/>
        </w:rPr>
        <w:t xml:space="preserve">), </w:t>
      </w:r>
      <w:r w:rsidRPr="008E4885">
        <w:rPr>
          <w:lang w:val="cs-CZ"/>
        </w:rPr>
        <w:t>aby se zajistila konzistentnost terminologie použité v analýze.</w:t>
      </w:r>
    </w:p>
    <w:p w:rsidR="00DA4AF9" w:rsidRPr="008E4885" w:rsidRDefault="00DA4AF9" w:rsidP="007D1B51">
      <w:pPr>
        <w:ind w:left="0"/>
        <w:rPr>
          <w:lang w:val="cs-CZ"/>
        </w:rPr>
      </w:pPr>
    </w:p>
    <w:p w:rsidR="00F87DD0" w:rsidRPr="008E4885" w:rsidRDefault="008E4885">
      <w:pPr>
        <w:pStyle w:val="Nadpis3"/>
        <w:rPr>
          <w:lang w:val="cs-CZ"/>
        </w:rPr>
      </w:pPr>
      <w:bookmarkStart w:id="16" w:name="_Toc133944256"/>
      <w:r w:rsidRPr="008E4885">
        <w:rPr>
          <w:lang w:val="cs-CZ"/>
        </w:rPr>
        <w:t xml:space="preserve">Kategorizace podle </w:t>
      </w:r>
      <w:r w:rsidR="18C0960F" w:rsidRPr="008E4885">
        <w:rPr>
          <w:lang w:val="cs-CZ"/>
        </w:rPr>
        <w:t>typů</w:t>
      </w:r>
      <w:r w:rsidRPr="008E4885">
        <w:rPr>
          <w:lang w:val="cs-CZ"/>
        </w:rPr>
        <w:t xml:space="preserve"> investic</w:t>
      </w:r>
      <w:bookmarkEnd w:id="16"/>
    </w:p>
    <w:p w:rsidR="00F87DD0" w:rsidRPr="008E4885" w:rsidRDefault="008E4885">
      <w:pPr>
        <w:rPr>
          <w:rFonts w:eastAsia="Trebuchet MS" w:cs="Trebuchet MS"/>
          <w:szCs w:val="18"/>
          <w:lang w:val="cs-CZ"/>
        </w:rPr>
      </w:pPr>
      <w:r w:rsidRPr="008E4885">
        <w:rPr>
          <w:rFonts w:eastAsia="Trebuchet MS" w:cs="Trebuchet MS"/>
          <w:szCs w:val="18"/>
          <w:lang w:val="cs-CZ"/>
        </w:rPr>
        <w:t>Jak bylo popsáno v předchozích oddílech</w:t>
      </w:r>
      <w:r w:rsidRPr="008E4885">
        <w:rPr>
          <w:rFonts w:eastAsia="Trebuchet MS" w:cs="Trebuchet MS"/>
          <w:szCs w:val="18"/>
          <w:lang w:val="cs-CZ"/>
        </w:rPr>
        <w:t>, kategorizace investic byla vytvořena na základě společných charakteristik a nejvýraznějších rysů identifikovaných typů investic. Tyto charakteristiky zahrnují odvětvové a tematické aspekty, vnímané důsledky pro uplatňování zásady DNSH a potenciální požad</w:t>
      </w:r>
      <w:r w:rsidRPr="008E4885">
        <w:rPr>
          <w:rFonts w:eastAsia="Trebuchet MS" w:cs="Trebuchet MS"/>
          <w:szCs w:val="18"/>
          <w:lang w:val="cs-CZ"/>
        </w:rPr>
        <w:t xml:space="preserve">avek na posouzení KP. </w:t>
      </w:r>
      <w:r w:rsidR="4352FFE3" w:rsidRPr="008E4885">
        <w:rPr>
          <w:rFonts w:eastAsia="Trebuchet MS" w:cs="Trebuchet MS"/>
          <w:szCs w:val="18"/>
          <w:lang w:val="cs-CZ"/>
        </w:rPr>
        <w:t xml:space="preserve">Pro vytvoření kategorií byly </w:t>
      </w:r>
      <w:r w:rsidR="5E834C63" w:rsidRPr="008E4885">
        <w:rPr>
          <w:rFonts w:eastAsia="Trebuchet MS" w:cs="Trebuchet MS"/>
          <w:szCs w:val="18"/>
          <w:lang w:val="cs-CZ"/>
        </w:rPr>
        <w:t xml:space="preserve">typy </w:t>
      </w:r>
      <w:r w:rsidRPr="008E4885">
        <w:rPr>
          <w:rFonts w:eastAsia="Trebuchet MS" w:cs="Trebuchet MS"/>
          <w:szCs w:val="18"/>
          <w:lang w:val="cs-CZ"/>
        </w:rPr>
        <w:t>sloučeny do zastřešujících skupin vysoké úrovně (tj. kategorií investic). Kategorie byly navrženy tak, aby každý typ investice spadal alespoň do jedné (nebo více) kategorií.</w:t>
      </w:r>
    </w:p>
    <w:p w:rsidR="001508DA" w:rsidRPr="008E4885" w:rsidRDefault="001508DA">
      <w:pPr>
        <w:spacing w:after="200" w:line="276" w:lineRule="auto"/>
        <w:ind w:left="0"/>
        <w:rPr>
          <w:rFonts w:eastAsia="Trebuchet MS" w:cs="Trebuchet MS"/>
          <w:szCs w:val="18"/>
          <w:lang w:val="cs-CZ"/>
        </w:rPr>
      </w:pPr>
      <w:r w:rsidRPr="008E4885">
        <w:rPr>
          <w:rFonts w:eastAsia="Trebuchet MS" w:cs="Trebuchet MS"/>
          <w:szCs w:val="18"/>
          <w:lang w:val="cs-CZ"/>
        </w:rPr>
        <w:br w:type="page"/>
      </w:r>
    </w:p>
    <w:p w:rsidR="00F87DD0" w:rsidRPr="008E4885" w:rsidRDefault="00823D42">
      <w:pPr>
        <w:pStyle w:val="Nadpis1"/>
        <w:rPr>
          <w:lang w:val="cs-CZ"/>
        </w:rPr>
      </w:pPr>
      <w:bookmarkStart w:id="17" w:name="_Toc133944257"/>
      <w:r w:rsidRPr="008E4885">
        <w:rPr>
          <w:lang w:val="cs-CZ"/>
        </w:rPr>
        <w:lastRenderedPageBreak/>
        <w:t xml:space="preserve">Typologie a </w:t>
      </w:r>
      <w:r w:rsidR="008E4885" w:rsidRPr="008E4885">
        <w:rPr>
          <w:lang w:val="cs-CZ"/>
        </w:rPr>
        <w:t>kategorizace</w:t>
      </w:r>
      <w:r w:rsidR="008E4885" w:rsidRPr="008E4885">
        <w:rPr>
          <w:lang w:val="cs-CZ"/>
        </w:rPr>
        <w:t xml:space="preserve"> investic</w:t>
      </w:r>
      <w:bookmarkStart w:id="18" w:name="_Toc338338707"/>
      <w:bookmarkStart w:id="19" w:name="_Toc338338779"/>
      <w:bookmarkStart w:id="20" w:name="_Toc338338710"/>
      <w:bookmarkStart w:id="21" w:name="_Toc338338782"/>
      <w:bookmarkStart w:id="22" w:name="_Toc429670961"/>
      <w:bookmarkEnd w:id="17"/>
      <w:bookmarkEnd w:id="18"/>
      <w:bookmarkEnd w:id="19"/>
      <w:bookmarkEnd w:id="20"/>
      <w:bookmarkEnd w:id="21"/>
    </w:p>
    <w:p w:rsidR="00F87DD0" w:rsidRPr="008E4885" w:rsidRDefault="55EA6F5F">
      <w:pPr>
        <w:rPr>
          <w:lang w:val="cs-CZ"/>
        </w:rPr>
      </w:pPr>
      <w:r w:rsidRPr="008E4885">
        <w:rPr>
          <w:lang w:val="cs-CZ"/>
        </w:rPr>
        <w:t xml:space="preserve">Následující </w:t>
      </w:r>
      <w:r w:rsidR="008E4885" w:rsidRPr="008E4885">
        <w:rPr>
          <w:lang w:val="cs-CZ"/>
        </w:rPr>
        <w:t xml:space="preserve">oddíly poskytují přehled klíčových zjištění, která </w:t>
      </w:r>
      <w:r w:rsidR="6948B097" w:rsidRPr="008E4885">
        <w:rPr>
          <w:lang w:val="cs-CZ"/>
        </w:rPr>
        <w:t xml:space="preserve">vyplynula z identifikace </w:t>
      </w:r>
      <w:r w:rsidR="008E4885" w:rsidRPr="008E4885">
        <w:rPr>
          <w:lang w:val="cs-CZ"/>
        </w:rPr>
        <w:t xml:space="preserve">typů investic/intervencí a z vytvoření kategorizace investic. Kromě toho </w:t>
      </w:r>
      <w:r w:rsidR="4F49ED02" w:rsidRPr="008E4885">
        <w:rPr>
          <w:lang w:val="cs-CZ"/>
        </w:rPr>
        <w:t xml:space="preserve">tento </w:t>
      </w:r>
      <w:r w:rsidR="008E4885" w:rsidRPr="008E4885">
        <w:rPr>
          <w:lang w:val="cs-CZ"/>
        </w:rPr>
        <w:t xml:space="preserve">oddíl zkoumá hlavní </w:t>
      </w:r>
      <w:r w:rsidR="506F974A" w:rsidRPr="008E4885">
        <w:rPr>
          <w:lang w:val="cs-CZ"/>
        </w:rPr>
        <w:t xml:space="preserve">důsledky </w:t>
      </w:r>
      <w:r w:rsidR="008E4885" w:rsidRPr="008E4885">
        <w:rPr>
          <w:lang w:val="cs-CZ"/>
        </w:rPr>
        <w:t xml:space="preserve">identifikovaných typů investic v programech a fondech v České republice na uplatňování DNSH a hodnocení KP. </w:t>
      </w:r>
    </w:p>
    <w:p w:rsidR="002022F4" w:rsidRPr="008E4885" w:rsidRDefault="002022F4" w:rsidP="002B5230">
      <w:pPr>
        <w:ind w:left="0"/>
        <w:rPr>
          <w:lang w:val="cs-CZ"/>
        </w:rPr>
      </w:pPr>
    </w:p>
    <w:p w:rsidR="00F87DD0" w:rsidRPr="008E4885" w:rsidRDefault="008E4885">
      <w:pPr>
        <w:pStyle w:val="Nadpis2"/>
        <w:ind w:firstLine="0"/>
        <w:rPr>
          <w:lang w:val="cs-CZ"/>
        </w:rPr>
      </w:pPr>
      <w:bookmarkStart w:id="23" w:name="_Toc133944258"/>
      <w:r w:rsidRPr="008E4885">
        <w:rPr>
          <w:lang w:val="cs-CZ"/>
        </w:rPr>
        <w:t>Typy investic</w:t>
      </w:r>
      <w:bookmarkEnd w:id="23"/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 xml:space="preserve">Celkem bylo identifikováno </w:t>
      </w:r>
      <w:r w:rsidR="005D0977" w:rsidRPr="008E4885">
        <w:rPr>
          <w:lang w:val="cs-CZ"/>
        </w:rPr>
        <w:t xml:space="preserve">44 </w:t>
      </w:r>
      <w:r w:rsidRPr="008E4885">
        <w:rPr>
          <w:lang w:val="cs-CZ"/>
        </w:rPr>
        <w:t xml:space="preserve">typů investic v rámci priorit a specifických cílů programů a fondů, které jsou v oblasti působnosti. Z těchto typů investic bylo vytvořeno 16 investičních kategorií. </w:t>
      </w:r>
    </w:p>
    <w:p w:rsidR="00090515" w:rsidRPr="008E4885" w:rsidRDefault="00090515" w:rsidP="00A95256">
      <w:pPr>
        <w:rPr>
          <w:lang w:val="cs-CZ"/>
        </w:rPr>
      </w:pPr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 xml:space="preserve">Vzhledem k tomu, že </w:t>
      </w:r>
      <w:r w:rsidR="00090515" w:rsidRPr="008E4885">
        <w:rPr>
          <w:lang w:val="cs-CZ"/>
        </w:rPr>
        <w:t xml:space="preserve">identifikované typy investic se skládají z různých akcí na úrovni specifických cílů složek, některé z nich zahrnují činnosti a intervence, které spadají do více různých investičních kategorií nebo do jejich kombinace. Například pokud je investice zaměřena na novou inovativní technologii výroby energie z obnovitelných zdrojů (např. </w:t>
      </w:r>
      <w:r w:rsidR="00625020" w:rsidRPr="008E4885">
        <w:rPr>
          <w:lang w:val="cs-CZ"/>
        </w:rPr>
        <w:t xml:space="preserve">program TAC), byla zařazena </w:t>
      </w:r>
      <w:r w:rsidR="00090515" w:rsidRPr="008E4885">
        <w:rPr>
          <w:lang w:val="cs-CZ"/>
        </w:rPr>
        <w:t xml:space="preserve">do tří samostatných kategorií: Energetika / Inovace / Technologie. </w:t>
      </w:r>
    </w:p>
    <w:p w:rsidR="00CF2D33" w:rsidRPr="008E4885" w:rsidRDefault="00CF2D33" w:rsidP="00A95256">
      <w:pPr>
        <w:rPr>
          <w:lang w:val="cs-CZ"/>
        </w:rPr>
      </w:pPr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 xml:space="preserve">Úplný seznam typů investic a přiřazených kategorií pro každý z nich je uveden v tabulce </w:t>
      </w:r>
      <w:r w:rsidR="006910C8" w:rsidRPr="008E4885">
        <w:rPr>
          <w:lang w:val="cs-CZ"/>
        </w:rPr>
        <w:t>níže</w:t>
      </w:r>
      <w:r w:rsidRPr="008E4885">
        <w:rPr>
          <w:lang w:val="cs-CZ"/>
        </w:rPr>
        <w:t xml:space="preserve">.  </w:t>
      </w:r>
    </w:p>
    <w:p w:rsidR="001508DA" w:rsidRPr="008E4885" w:rsidRDefault="001508DA" w:rsidP="00A95256">
      <w:pPr>
        <w:rPr>
          <w:lang w:val="cs-CZ"/>
        </w:rPr>
      </w:pPr>
    </w:p>
    <w:p w:rsidR="00F87DD0" w:rsidRPr="008E4885" w:rsidRDefault="008E4885">
      <w:pPr>
        <w:pStyle w:val="Titulek"/>
        <w:rPr>
          <w:lang w:val="cs-CZ"/>
        </w:rPr>
      </w:pPr>
      <w:r w:rsidRPr="008E4885">
        <w:rPr>
          <w:lang w:val="cs-CZ"/>
        </w:rPr>
        <w:t xml:space="preserve">Tabulka </w:t>
      </w:r>
      <w:r w:rsidRPr="008E4885">
        <w:rPr>
          <w:lang w:val="cs-CZ"/>
        </w:rPr>
        <w:fldChar w:fldCharType="begin"/>
      </w:r>
      <w:r w:rsidRPr="008E4885">
        <w:rPr>
          <w:lang w:val="cs-CZ"/>
        </w:rPr>
        <w:instrText xml:space="preserve"> SEQ Table \* ARABIC </w:instrText>
      </w:r>
      <w:r w:rsidRPr="008E4885">
        <w:rPr>
          <w:lang w:val="cs-CZ"/>
        </w:rPr>
        <w:fldChar w:fldCharType="separate"/>
      </w:r>
      <w:r w:rsidR="00253CEB" w:rsidRPr="008E4885">
        <w:rPr>
          <w:lang w:val="cs-CZ"/>
        </w:rPr>
        <w:t>1</w:t>
      </w:r>
      <w:r w:rsidRPr="008E4885">
        <w:rPr>
          <w:lang w:val="cs-CZ"/>
        </w:rPr>
        <w:fldChar w:fldCharType="end"/>
      </w:r>
      <w:r w:rsidRPr="008E4885">
        <w:rPr>
          <w:lang w:val="cs-CZ"/>
        </w:rPr>
        <w:t xml:space="preserve"> Úplný seznam typů i</w:t>
      </w:r>
      <w:r w:rsidRPr="008E4885">
        <w:rPr>
          <w:lang w:val="cs-CZ"/>
        </w:rPr>
        <w:t xml:space="preserve">nvestic a </w:t>
      </w:r>
      <w:r w:rsidRPr="008E4885">
        <w:rPr>
          <w:lang w:val="cs-CZ"/>
        </w:rPr>
        <w:t xml:space="preserve">jim </w:t>
      </w:r>
      <w:r w:rsidRPr="008E4885">
        <w:rPr>
          <w:lang w:val="cs-CZ"/>
        </w:rPr>
        <w:t>přiřazených kategorií</w:t>
      </w:r>
    </w:p>
    <w:tbl>
      <w:tblPr>
        <w:tblStyle w:val="Mkatabulky"/>
        <w:tblW w:w="8528" w:type="dxa"/>
        <w:tblInd w:w="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78"/>
        <w:gridCol w:w="3850"/>
      </w:tblGrid>
      <w:tr w:rsidR="00333A87" w:rsidRPr="008E4885" w:rsidTr="001508DA">
        <w:trPr>
          <w:trHeight w:val="315"/>
        </w:trPr>
        <w:tc>
          <w:tcPr>
            <w:tcW w:w="4678" w:type="dxa"/>
            <w:shd w:val="clear" w:color="auto" w:fill="004242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333A87">
            <w:pPr>
              <w:spacing w:before="20" w:after="20" w:line="240" w:lineRule="auto"/>
              <w:ind w:left="0"/>
              <w:rPr>
                <w:b/>
                <w:bCs/>
                <w:color w:val="FFFFFF" w:themeColor="background1"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color w:val="FFFFFF" w:themeColor="background1"/>
                <w:sz w:val="16"/>
                <w:szCs w:val="16"/>
                <w:lang w:val="cs-CZ"/>
              </w:rPr>
              <w:t xml:space="preserve"> Typy</w:t>
            </w:r>
            <w:r w:rsidR="008E4885" w:rsidRPr="008E4885">
              <w:rPr>
                <w:b/>
                <w:bCs/>
                <w:color w:val="FFFFFF" w:themeColor="background1"/>
                <w:sz w:val="16"/>
                <w:szCs w:val="16"/>
                <w:lang w:val="cs-CZ"/>
              </w:rPr>
              <w:t xml:space="preserve"> investic</w:t>
            </w:r>
          </w:p>
        </w:tc>
        <w:tc>
          <w:tcPr>
            <w:tcW w:w="3850" w:type="dxa"/>
            <w:shd w:val="clear" w:color="auto" w:fill="004242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4B796E">
            <w:pPr>
              <w:spacing w:before="20" w:after="20" w:line="240" w:lineRule="auto"/>
              <w:ind w:left="0"/>
              <w:rPr>
                <w:b/>
                <w:bCs/>
                <w:color w:val="FFFFFF" w:themeColor="background1"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color w:val="FFFFFF" w:themeColor="background1"/>
                <w:sz w:val="16"/>
                <w:szCs w:val="16"/>
                <w:lang w:val="cs-CZ"/>
              </w:rPr>
              <w:t xml:space="preserve"> Kategorie </w:t>
            </w:r>
            <w:r w:rsidR="008E4885" w:rsidRPr="008E4885">
              <w:rPr>
                <w:b/>
                <w:bCs/>
                <w:color w:val="FFFFFF" w:themeColor="background1"/>
                <w:sz w:val="16"/>
                <w:szCs w:val="16"/>
                <w:lang w:val="cs-CZ"/>
              </w:rPr>
              <w:t>přiřazení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Administrativní kapacita a technická pomoc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Administrativní, procesní a projektová kapacita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Právní reformy / poradenství / odborné znalosti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Administrativní, procesní a projektová kapacita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Příprava projektu a dokumentace / podpora projektu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Administrativní, procesní a projektová kapacita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Zlepšení obchodních / administrativních procesů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Administrativní, procesní a projektová kapacita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Řízení ces</w:t>
            </w:r>
            <w:r w:rsidRPr="008E4885">
              <w:rPr>
                <w:sz w:val="16"/>
                <w:szCs w:val="16"/>
                <w:lang w:val="cs-CZ"/>
              </w:rPr>
              <w:t xml:space="preserve">tovního ruchu 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Kultura a cestovní ruch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Zachování kulturního dědictví 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Kultura a cestovní ruch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Revitalizace krajiny (např. </w:t>
            </w:r>
            <w:proofErr w:type="spellStart"/>
            <w:r w:rsidRPr="008E4885">
              <w:rPr>
                <w:sz w:val="16"/>
                <w:szCs w:val="16"/>
                <w:lang w:val="cs-CZ"/>
              </w:rPr>
              <w:t>brownfields</w:t>
            </w:r>
            <w:proofErr w:type="spellEnd"/>
            <w:r w:rsidR="310B06EA" w:rsidRPr="008E4885">
              <w:rPr>
                <w:sz w:val="16"/>
                <w:szCs w:val="16"/>
                <w:lang w:val="cs-CZ"/>
              </w:rPr>
              <w:t>)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Krajina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Zlepšení stavu biotopů a volně žijících živočichů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Ochrana přírody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Ochrana biologické rozmanitosti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Ochrana přírody</w:t>
            </w:r>
          </w:p>
        </w:tc>
      </w:tr>
      <w:tr w:rsidR="00333A87" w:rsidRPr="008E4885" w:rsidTr="001508DA">
        <w:trPr>
          <w:trHeight w:val="315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Výstavba a rozvoj zelené infrastruktury (např. městské lesy, sběr vody</w:t>
            </w:r>
            <w:r w:rsidR="00FE23D8" w:rsidRPr="008E4885">
              <w:rPr>
                <w:sz w:val="16"/>
                <w:szCs w:val="16"/>
                <w:lang w:val="cs-CZ"/>
              </w:rPr>
              <w:t>).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Ochrana přírody</w:t>
            </w:r>
          </w:p>
        </w:tc>
      </w:tr>
      <w:tr w:rsidR="00333A87" w:rsidRPr="008E4885" w:rsidTr="001508DA">
        <w:trPr>
          <w:trHeight w:val="315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Výstavba a rozvoj nízkouhlíkové dopravní infrastruktury (např. železnice, elektromobily, multimodální doprava).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doprava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Výstavba a rozvoj ostatní dopravní infrastruktury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doprava</w:t>
            </w:r>
          </w:p>
        </w:tc>
      </w:tr>
      <w:tr w:rsidR="00333A87" w:rsidRPr="008E4885" w:rsidTr="001508DA">
        <w:trPr>
          <w:trHeight w:val="139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Výstavba a rozvoj IT a telekomunikační infrastruktury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technologie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Digitalizace a informační systémy (mimo infrastrukturu)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Technologie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Další nové technologie a vybavení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Technologie</w:t>
            </w:r>
          </w:p>
        </w:tc>
      </w:tr>
      <w:tr w:rsidR="00333A87" w:rsidRPr="008E4885" w:rsidTr="001508DA">
        <w:trPr>
          <w:trHeight w:val="315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Výstavba a rozvoj dalších veřejných služeb a soukromé infrastruktury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Infrastruktura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Vzdělávání (investiční </w:t>
            </w:r>
            <w:r w:rsidR="0045769F" w:rsidRPr="008E4885">
              <w:rPr>
                <w:sz w:val="16"/>
                <w:szCs w:val="16"/>
                <w:lang w:val="cs-CZ"/>
              </w:rPr>
              <w:t>výdaje</w:t>
            </w:r>
            <w:r w:rsidRPr="008E4885">
              <w:rPr>
                <w:sz w:val="16"/>
                <w:szCs w:val="16"/>
                <w:lang w:val="cs-CZ"/>
              </w:rPr>
              <w:t>)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Vzdělávání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Vzdělávání (náklady)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Vzdělávání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Školení a budování kapacit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Vzdělávání / Sociální a zdravotní podpora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Zlepšení zaměstnatelnosti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Sociální a zdravotní podpora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Zlepšení pracovních podmínek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Sociální a zdravotní podpora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Modernizace služeb zaměstnanosti a rozvoj trhu práce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Sociální a zdravotní podpora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Zlepšení socioe</w:t>
            </w:r>
            <w:r w:rsidRPr="008E4885">
              <w:rPr>
                <w:sz w:val="16"/>
                <w:szCs w:val="16"/>
                <w:lang w:val="cs-CZ"/>
              </w:rPr>
              <w:t xml:space="preserve">konomických podmínek 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Sociální a zdravotní podpora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Ostatní sociální a zdravotní podpora (náklady)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Sociální a zdravotní podpora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Ostatní sociální a zdravotní podpora (investice)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Sociální a zdravotní podpora</w:t>
            </w:r>
          </w:p>
        </w:tc>
      </w:tr>
      <w:tr w:rsidR="00333A87" w:rsidRPr="008E4885" w:rsidTr="001508DA">
        <w:trPr>
          <w:trHeight w:val="179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lastRenderedPageBreak/>
              <w:t>Výroba energie (OZE a nízkouhlíkové zdroje)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Energetika / Technologie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Výroba energie (plynná fosilní paliva)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Energetika / Technologie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Výroba energie (ostatní)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Energetika / Technologie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Přenos a distribuce energie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Energetika / Technologie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Skladování a transformace energie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Energetika / Technologie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Výroba bioplynu a biopaliv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Energetika / Technologie</w:t>
            </w:r>
          </w:p>
        </w:tc>
      </w:tr>
      <w:tr w:rsidR="00333A87" w:rsidRPr="008E4885" w:rsidTr="001508DA">
        <w:trPr>
          <w:trHeight w:val="63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Energetická účinnost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Energie / Budovy / Technologie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Výstavba nových budov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budovy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Renovace stávajících budov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budovy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Čištění a správa vody/odpadních vod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Vodní hospodářství a nakládání s odpady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Zpracování a nakládání s odpady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Vodní hospodářství a nakládání s odpady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Výzkum a vývoj (investice)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výzkum a vývoj / technologie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Výzkum a vývoj (náklady)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VÝZKUM A VÝVOJ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Inovace služeb a produktů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Inovace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Inovační kapacit</w:t>
            </w:r>
            <w:r w:rsidRPr="008E4885">
              <w:rPr>
                <w:sz w:val="16"/>
                <w:szCs w:val="16"/>
                <w:lang w:val="cs-CZ"/>
              </w:rPr>
              <w:t>a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Inovace</w:t>
            </w:r>
          </w:p>
        </w:tc>
      </w:tr>
      <w:tr w:rsidR="00333A87" w:rsidRPr="008E4885" w:rsidTr="001508DA">
        <w:trPr>
          <w:trHeight w:val="102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Nákup vozidel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/ Doprava / Akvizice majetku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Akvizice pozemků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Akvizice aktiv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Pořízení majetku (kromě pozemků a vozidel)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Akvizice aktiv</w:t>
            </w:r>
          </w:p>
        </w:tc>
      </w:tr>
      <w:tr w:rsidR="00333A87" w:rsidRPr="008E4885" w:rsidTr="001508DA">
        <w:trPr>
          <w:trHeight w:val="56"/>
        </w:trPr>
        <w:tc>
          <w:tcPr>
            <w:tcW w:w="467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Finanční nástroje nebo produkty (např. malé a střední podniky, začínající podniky)</w:t>
            </w:r>
          </w:p>
        </w:tc>
        <w:tc>
          <w:tcPr>
            <w:tcW w:w="3850" w:type="dxa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Finanční nástroje</w:t>
            </w:r>
          </w:p>
        </w:tc>
      </w:tr>
    </w:tbl>
    <w:p w:rsidR="00090515" w:rsidRPr="008E4885" w:rsidRDefault="00090515" w:rsidP="005F498A">
      <w:pPr>
        <w:spacing w:line="240" w:lineRule="auto"/>
        <w:ind w:left="0"/>
        <w:rPr>
          <w:rFonts w:ascii="Arial" w:eastAsia="Arial" w:hAnsi="Arial" w:cs="Arial"/>
          <w:sz w:val="20"/>
          <w:szCs w:val="20"/>
          <w:lang w:val="cs-CZ"/>
        </w:rPr>
      </w:pPr>
    </w:p>
    <w:p w:rsidR="00F87DD0" w:rsidRPr="008E4885" w:rsidRDefault="008E4885">
      <w:pPr>
        <w:pStyle w:val="Nadpis2"/>
        <w:ind w:firstLine="0"/>
        <w:rPr>
          <w:lang w:val="cs-CZ"/>
        </w:rPr>
      </w:pPr>
      <w:bookmarkStart w:id="24" w:name="_Toc133944259"/>
      <w:r w:rsidRPr="008E4885">
        <w:rPr>
          <w:lang w:val="cs-CZ"/>
        </w:rPr>
        <w:t>Kategorizace investic</w:t>
      </w:r>
      <w:bookmarkEnd w:id="24"/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 xml:space="preserve">Níže jsou analyzovány kategorie investic </w:t>
      </w:r>
      <w:r w:rsidR="474703E8" w:rsidRPr="008E4885">
        <w:rPr>
          <w:lang w:val="cs-CZ"/>
        </w:rPr>
        <w:t xml:space="preserve">vytvořené </w:t>
      </w:r>
      <w:r w:rsidRPr="008E4885">
        <w:rPr>
          <w:lang w:val="cs-CZ"/>
        </w:rPr>
        <w:t xml:space="preserve">na </w:t>
      </w:r>
      <w:r w:rsidR="00C7315F" w:rsidRPr="008E4885">
        <w:rPr>
          <w:lang w:val="cs-CZ"/>
        </w:rPr>
        <w:t xml:space="preserve">základě </w:t>
      </w:r>
      <w:r w:rsidRPr="008E4885">
        <w:rPr>
          <w:lang w:val="cs-CZ"/>
        </w:rPr>
        <w:t>zjištěných typů investic (v abecedním pořadí):</w:t>
      </w:r>
    </w:p>
    <w:p w:rsidR="00F30E9F" w:rsidRPr="008E4885" w:rsidRDefault="00F30E9F" w:rsidP="00F30E9F">
      <w:pPr>
        <w:rPr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10"/>
        </w:numPr>
        <w:rPr>
          <w:b/>
          <w:bCs/>
          <w:szCs w:val="18"/>
          <w:lang w:val="cs-CZ"/>
        </w:rPr>
      </w:pPr>
      <w:r w:rsidRPr="008E4885">
        <w:rPr>
          <w:b/>
          <w:bCs/>
          <w:szCs w:val="18"/>
          <w:lang w:val="cs-CZ"/>
        </w:rPr>
        <w:t>Administrativní, procesní a projektová kapacita</w:t>
      </w:r>
    </w:p>
    <w:p w:rsidR="00F87DD0" w:rsidRPr="008E4885" w:rsidRDefault="008E4885">
      <w:pPr>
        <w:ind w:left="1211"/>
        <w:rPr>
          <w:szCs w:val="18"/>
          <w:lang w:val="cs-CZ"/>
        </w:rPr>
      </w:pPr>
      <w:r w:rsidRPr="008E4885">
        <w:rPr>
          <w:szCs w:val="18"/>
          <w:lang w:val="cs-CZ"/>
        </w:rPr>
        <w:t>Tato kategorie investic se skládá z kombinace typů investic, které zahrnují nehmotné intervence bez prvků infrastruktury a jsou zaměřeny na administrativní typy činností</w:t>
      </w:r>
      <w:r w:rsidR="00030BCF" w:rsidRPr="008E4885">
        <w:rPr>
          <w:szCs w:val="18"/>
          <w:lang w:val="cs-CZ"/>
        </w:rPr>
        <w:t xml:space="preserve">, </w:t>
      </w:r>
      <w:r w:rsidR="00BF414B" w:rsidRPr="008E4885">
        <w:rPr>
          <w:szCs w:val="18"/>
          <w:lang w:val="cs-CZ"/>
        </w:rPr>
        <w:t xml:space="preserve">zlepšení procesů, </w:t>
      </w:r>
      <w:r w:rsidR="00A827C1" w:rsidRPr="008E4885">
        <w:rPr>
          <w:szCs w:val="18"/>
          <w:lang w:val="cs-CZ"/>
        </w:rPr>
        <w:t xml:space="preserve">přípravu </w:t>
      </w:r>
      <w:r w:rsidR="00BF414B" w:rsidRPr="008E4885">
        <w:rPr>
          <w:szCs w:val="18"/>
          <w:lang w:val="cs-CZ"/>
        </w:rPr>
        <w:t xml:space="preserve">projektů </w:t>
      </w:r>
      <w:r w:rsidR="00A827C1" w:rsidRPr="008E4885">
        <w:rPr>
          <w:szCs w:val="18"/>
          <w:lang w:val="cs-CZ"/>
        </w:rPr>
        <w:t xml:space="preserve">v soukromém sektoru </w:t>
      </w:r>
      <w:r w:rsidRPr="008E4885">
        <w:rPr>
          <w:szCs w:val="18"/>
          <w:lang w:val="cs-CZ"/>
        </w:rPr>
        <w:t>a získání odborného a/nebo pr</w:t>
      </w:r>
      <w:r w:rsidRPr="008E4885">
        <w:rPr>
          <w:szCs w:val="18"/>
          <w:lang w:val="cs-CZ"/>
        </w:rPr>
        <w:t>ávního poradenství. Tato kategorie zahrnuje také akce v rámci rozpočtu technické pomoci v programu JAC, IROP a Doprava, které jsou konkrétně zaměřeny na zajištění kvalitního řízení a úspěšné implementace těchto programů, například zlepšením administrativní</w:t>
      </w:r>
      <w:r w:rsidRPr="008E4885">
        <w:rPr>
          <w:szCs w:val="18"/>
          <w:lang w:val="cs-CZ"/>
        </w:rPr>
        <w:t xml:space="preserve"> kapacity příslušného řídicího orgánu, řízení programu nebo technické podpory a komunikace. Podobně, jako např. v programu Spravedlivý přechod v rámci specifického cíle Obnova území a opatření </w:t>
      </w:r>
      <w:r w:rsidRPr="008E4885">
        <w:rPr>
          <w:i/>
          <w:iCs/>
          <w:szCs w:val="18"/>
          <w:lang w:val="cs-CZ"/>
        </w:rPr>
        <w:t xml:space="preserve">Opětovné využití lokalit po těžbě hnědého uhlí a souvisejících </w:t>
      </w:r>
      <w:r w:rsidRPr="008E4885">
        <w:rPr>
          <w:i/>
          <w:iCs/>
          <w:szCs w:val="18"/>
          <w:lang w:val="cs-CZ"/>
        </w:rPr>
        <w:t xml:space="preserve">průmyslových odvětví, </w:t>
      </w:r>
      <w:r w:rsidRPr="008E4885">
        <w:rPr>
          <w:szCs w:val="18"/>
          <w:lang w:val="cs-CZ"/>
        </w:rPr>
        <w:t xml:space="preserve">zahrnuje potenciální investice také podporu přípravy projektů a plánování. </w:t>
      </w:r>
    </w:p>
    <w:p w:rsidR="00F30E9F" w:rsidRPr="008E4885" w:rsidRDefault="00F30E9F" w:rsidP="00962C80">
      <w:pPr>
        <w:ind w:left="0"/>
        <w:rPr>
          <w:szCs w:val="18"/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10"/>
        </w:numPr>
        <w:rPr>
          <w:b/>
          <w:bCs/>
          <w:szCs w:val="18"/>
          <w:lang w:val="cs-CZ"/>
        </w:rPr>
      </w:pPr>
      <w:r w:rsidRPr="008E4885">
        <w:rPr>
          <w:b/>
          <w:bCs/>
          <w:szCs w:val="18"/>
          <w:lang w:val="cs-CZ"/>
        </w:rPr>
        <w:t>Akvizice aktiv</w:t>
      </w:r>
    </w:p>
    <w:p w:rsidR="00F87DD0" w:rsidRPr="008E4885" w:rsidRDefault="007E479A">
      <w:pPr>
        <w:ind w:left="1211"/>
        <w:rPr>
          <w:szCs w:val="18"/>
          <w:lang w:val="cs-CZ"/>
        </w:rPr>
      </w:pPr>
      <w:r w:rsidRPr="008E4885">
        <w:rPr>
          <w:szCs w:val="18"/>
          <w:lang w:val="cs-CZ"/>
        </w:rPr>
        <w:t xml:space="preserve">Kategorie pořízení majetku znamená investice ve formě přímého nákupu nebo pořízení majetku, jako jsou vozidla, pozemky nebo jiné. Například akce/aktivita pořizující vozidla má v nařízení o aktu v přenesené pravomoci zahrnuta specifická kritéria DNSH, a představuje tak určitá omezení, jaký typ vozidel maty a nelze pořídit. Konkrétně český NRP obsahuje několik opatření zaměřených na investiční podporu přímého nákupu vozidel (ať už na elektrický, nebo vodíkový pohon) pro soukromé firmy, obce a veřejné subjekty, resp. veřejnou dopravu v Praze. </w:t>
      </w:r>
      <w:r w:rsidR="00586881" w:rsidRPr="008E4885">
        <w:rPr>
          <w:szCs w:val="18"/>
          <w:lang w:val="cs-CZ"/>
        </w:rPr>
        <w:br/>
      </w:r>
    </w:p>
    <w:p w:rsidR="00F87DD0" w:rsidRPr="008E4885" w:rsidRDefault="008E4885">
      <w:pPr>
        <w:pStyle w:val="Odstavecseseznamem"/>
        <w:numPr>
          <w:ilvl w:val="0"/>
          <w:numId w:val="10"/>
        </w:numPr>
        <w:rPr>
          <w:b/>
          <w:bCs/>
          <w:szCs w:val="18"/>
          <w:lang w:val="cs-CZ"/>
        </w:rPr>
      </w:pPr>
      <w:r w:rsidRPr="008E4885">
        <w:rPr>
          <w:b/>
          <w:bCs/>
          <w:szCs w:val="18"/>
          <w:lang w:val="cs-CZ"/>
        </w:rPr>
        <w:t>Budovy</w:t>
      </w:r>
    </w:p>
    <w:p w:rsidR="00F87DD0" w:rsidRPr="008E4885" w:rsidRDefault="008E4885">
      <w:pPr>
        <w:ind w:left="1211"/>
        <w:rPr>
          <w:lang w:val="cs-CZ"/>
        </w:rPr>
      </w:pPr>
      <w:r w:rsidRPr="008E4885">
        <w:rPr>
          <w:lang w:val="cs-CZ"/>
        </w:rPr>
        <w:lastRenderedPageBreak/>
        <w:t>Kategorie investic do budov zahrnuje především typy investic zaměřené na výstavbu nových budov a/ne</w:t>
      </w:r>
      <w:r w:rsidRPr="008E4885">
        <w:rPr>
          <w:lang w:val="cs-CZ"/>
        </w:rPr>
        <w:t>bo rekonstrukci a modernizaci stávajících budov. Tyto typy akcí mají meziodvětvový charakter a jsou zahrnuty v různých programech a fondech v rámci působnosti. Vzhledem k obecné a průřezové povaze těchto činností budou neodmyslitelně spadat do několika nav</w:t>
      </w:r>
      <w:r w:rsidRPr="008E4885">
        <w:rPr>
          <w:lang w:val="cs-CZ"/>
        </w:rPr>
        <w:t>rhovaných investičních kategorií, jako je například energetika (pokud jde o investice do energetické účinnosti) nebo infrastruktura (protože budovy a nové objekty zahrnují také investice do infrastruktury</w:t>
      </w:r>
      <w:r w:rsidR="008637C9" w:rsidRPr="008E4885">
        <w:rPr>
          <w:lang w:val="cs-CZ"/>
        </w:rPr>
        <w:t xml:space="preserve">). </w:t>
      </w:r>
      <w:r w:rsidRPr="008E4885">
        <w:rPr>
          <w:lang w:val="cs-CZ"/>
        </w:rPr>
        <w:t>Podobně mohou projekty a akce v jiných investiční</w:t>
      </w:r>
      <w:r w:rsidRPr="008E4885">
        <w:rPr>
          <w:lang w:val="cs-CZ"/>
        </w:rPr>
        <w:t xml:space="preserve">ch kategoriích zahrnovat stavební aspekty, jako jsou například investice do výroby energie z obnovitelných zdrojů (např. výstavba nových </w:t>
      </w:r>
      <w:r w:rsidR="005F0AA4" w:rsidRPr="008E4885">
        <w:rPr>
          <w:lang w:val="cs-CZ"/>
        </w:rPr>
        <w:t>elektráren</w:t>
      </w:r>
      <w:r w:rsidR="34A449AC" w:rsidRPr="008E4885">
        <w:rPr>
          <w:lang w:val="cs-CZ"/>
        </w:rPr>
        <w:t>)</w:t>
      </w:r>
      <w:r w:rsidRPr="008E4885">
        <w:rPr>
          <w:lang w:val="cs-CZ"/>
        </w:rPr>
        <w:t>. Například Program Životní prostředí investice do staveb v rámci svých specifických cílů Podpora přístupu k</w:t>
      </w:r>
      <w:r w:rsidRPr="008E4885">
        <w:rPr>
          <w:lang w:val="cs-CZ"/>
        </w:rPr>
        <w:t xml:space="preserve"> vodě a udržitelného hospodaření s vodou (např. Výstavba čistíren odpadních vod) nebo Podpora energetické účinnosti a snižování emisí skleníkových plynů (např. Výstavba a rekonstrukce obnovitelných zdrojů energie pro veřejné budovy)</w:t>
      </w:r>
      <w:r w:rsidR="32349480" w:rsidRPr="008E4885">
        <w:rPr>
          <w:lang w:val="cs-CZ"/>
        </w:rPr>
        <w:t xml:space="preserve">. </w:t>
      </w:r>
    </w:p>
    <w:p w:rsidR="00F30E9F" w:rsidRPr="008E4885" w:rsidRDefault="00F30E9F" w:rsidP="00962C80">
      <w:pPr>
        <w:ind w:left="1211"/>
        <w:rPr>
          <w:szCs w:val="18"/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10"/>
        </w:numPr>
        <w:rPr>
          <w:b/>
          <w:bCs/>
          <w:szCs w:val="18"/>
          <w:lang w:val="cs-CZ"/>
        </w:rPr>
      </w:pPr>
      <w:r w:rsidRPr="008E4885">
        <w:rPr>
          <w:b/>
          <w:bCs/>
          <w:szCs w:val="18"/>
          <w:lang w:val="cs-CZ"/>
        </w:rPr>
        <w:t>Kultura a cestovní r</w:t>
      </w:r>
      <w:r w:rsidRPr="008E4885">
        <w:rPr>
          <w:b/>
          <w:bCs/>
          <w:szCs w:val="18"/>
          <w:lang w:val="cs-CZ"/>
        </w:rPr>
        <w:t>uch</w:t>
      </w:r>
    </w:p>
    <w:p w:rsidR="00F87DD0" w:rsidRPr="008E4885" w:rsidRDefault="008E4885">
      <w:pPr>
        <w:ind w:left="1211"/>
        <w:rPr>
          <w:szCs w:val="18"/>
          <w:lang w:val="cs-CZ"/>
        </w:rPr>
      </w:pPr>
      <w:r w:rsidRPr="008E4885">
        <w:rPr>
          <w:szCs w:val="18"/>
          <w:lang w:val="cs-CZ"/>
        </w:rPr>
        <w:t xml:space="preserve">Tato kategorie zahrnuje typy investic zaměřené na řízení cestovního ruchu a zachování kulturního dědictví. </w:t>
      </w:r>
      <w:r w:rsidR="00791EB3" w:rsidRPr="008E4885">
        <w:rPr>
          <w:szCs w:val="18"/>
          <w:lang w:val="cs-CZ"/>
        </w:rPr>
        <w:t xml:space="preserve">Některé </w:t>
      </w:r>
      <w:r w:rsidRPr="008E4885">
        <w:rPr>
          <w:szCs w:val="18"/>
          <w:lang w:val="cs-CZ"/>
        </w:rPr>
        <w:t xml:space="preserve">typy akcí zařazených do této kategorie zahrnují výstavbu nebo rozvoj infrastruktury na podporu cestovního ruchu nebo umožnění lepšího přístupu ke kulturním památkám. Například v programu Just </w:t>
      </w:r>
      <w:proofErr w:type="spellStart"/>
      <w:r w:rsidRPr="008E4885">
        <w:rPr>
          <w:szCs w:val="18"/>
          <w:lang w:val="cs-CZ"/>
        </w:rPr>
        <w:t>Transition</w:t>
      </w:r>
      <w:proofErr w:type="spellEnd"/>
      <w:r w:rsidRPr="008E4885">
        <w:rPr>
          <w:szCs w:val="18"/>
          <w:lang w:val="cs-CZ"/>
        </w:rPr>
        <w:t xml:space="preserve"> v rámci specifického cíle zaměřeného na Obnovu území </w:t>
      </w:r>
      <w:r w:rsidRPr="008E4885">
        <w:rPr>
          <w:szCs w:val="18"/>
          <w:lang w:val="cs-CZ"/>
        </w:rPr>
        <w:t>jsou některé investice zaměřeny na podporu kultury a zachování kulturního dědictví, budování veřejných prostranství, sportovní a multifunkční infrastruktury zaměřené na kulturu a rekreaci. Podobně v rámci programu IROP jsou některé investice zaměřeny na zl</w:t>
      </w:r>
      <w:r w:rsidRPr="008E4885">
        <w:rPr>
          <w:szCs w:val="18"/>
          <w:lang w:val="cs-CZ"/>
        </w:rPr>
        <w:t>epšení kvality a vzdělávací infrastruktury a rozvoj kulturního dědictví.</w:t>
      </w:r>
    </w:p>
    <w:p w:rsidR="00F30E9F" w:rsidRPr="008E4885" w:rsidRDefault="00F30E9F" w:rsidP="00962C80">
      <w:pPr>
        <w:ind w:left="1211"/>
        <w:rPr>
          <w:szCs w:val="18"/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10"/>
        </w:numPr>
        <w:rPr>
          <w:b/>
          <w:bCs/>
          <w:szCs w:val="18"/>
          <w:lang w:val="cs-CZ"/>
        </w:rPr>
      </w:pPr>
      <w:r w:rsidRPr="008E4885">
        <w:rPr>
          <w:b/>
          <w:bCs/>
          <w:szCs w:val="18"/>
          <w:lang w:val="cs-CZ"/>
        </w:rPr>
        <w:t>Vzdělávání</w:t>
      </w:r>
    </w:p>
    <w:p w:rsidR="00F87DD0" w:rsidRPr="008E4885" w:rsidRDefault="008E4885">
      <w:pPr>
        <w:ind w:left="1211"/>
        <w:rPr>
          <w:szCs w:val="18"/>
          <w:lang w:val="cs-CZ"/>
        </w:rPr>
      </w:pPr>
      <w:r w:rsidRPr="008E4885">
        <w:rPr>
          <w:szCs w:val="18"/>
          <w:lang w:val="cs-CZ"/>
        </w:rPr>
        <w:t>Investiční kategorie Vzdělávání sdružuje tři typy investic. Jedná se o tyto investice:</w:t>
      </w:r>
    </w:p>
    <w:p w:rsidR="00F87DD0" w:rsidRPr="008E4885" w:rsidRDefault="008E4885">
      <w:pPr>
        <w:pStyle w:val="Odstavecseseznamem"/>
        <w:numPr>
          <w:ilvl w:val="1"/>
          <w:numId w:val="10"/>
        </w:numPr>
        <w:rPr>
          <w:szCs w:val="18"/>
          <w:lang w:val="cs-CZ"/>
        </w:rPr>
      </w:pPr>
      <w:r w:rsidRPr="008E4885">
        <w:rPr>
          <w:szCs w:val="18"/>
          <w:lang w:val="cs-CZ"/>
        </w:rPr>
        <w:t>akce/aktivity související se vzděláváním, které představují určité investice s fyzic</w:t>
      </w:r>
      <w:r w:rsidRPr="008E4885">
        <w:rPr>
          <w:szCs w:val="18"/>
          <w:lang w:val="cs-CZ"/>
        </w:rPr>
        <w:t xml:space="preserve">kým nebo hmotným (např. infrastruktura) prvkem nebo zásahem. Může se jednat například o modernizaci a vybavení učeben ve školách (např. program Just </w:t>
      </w:r>
      <w:proofErr w:type="spellStart"/>
      <w:r w:rsidRPr="008E4885">
        <w:rPr>
          <w:szCs w:val="18"/>
          <w:lang w:val="cs-CZ"/>
        </w:rPr>
        <w:t>Transition</w:t>
      </w:r>
      <w:proofErr w:type="spellEnd"/>
      <w:r w:rsidRPr="008E4885">
        <w:rPr>
          <w:szCs w:val="18"/>
          <w:lang w:val="cs-CZ"/>
        </w:rPr>
        <w:t>) nebo rekonstrukci výukových prostor a laboratoří (např. program JAC)</w:t>
      </w:r>
      <w:r w:rsidR="001508DA" w:rsidRPr="008E4885">
        <w:rPr>
          <w:szCs w:val="18"/>
          <w:lang w:val="cs-CZ"/>
        </w:rPr>
        <w:t>;</w:t>
      </w:r>
    </w:p>
    <w:p w:rsidR="00F87DD0" w:rsidRPr="008E4885" w:rsidRDefault="008E4885">
      <w:pPr>
        <w:pStyle w:val="Odstavecseseznamem"/>
        <w:numPr>
          <w:ilvl w:val="1"/>
          <w:numId w:val="10"/>
        </w:numPr>
        <w:rPr>
          <w:szCs w:val="18"/>
          <w:lang w:val="cs-CZ"/>
        </w:rPr>
      </w:pPr>
      <w:r w:rsidRPr="008E4885">
        <w:rPr>
          <w:szCs w:val="18"/>
          <w:lang w:val="cs-CZ"/>
        </w:rPr>
        <w:t>akce/aktivity související</w:t>
      </w:r>
      <w:r w:rsidRPr="008E4885">
        <w:rPr>
          <w:szCs w:val="18"/>
          <w:lang w:val="cs-CZ"/>
        </w:rPr>
        <w:t xml:space="preserve"> se vzděláváním bez fyzického nebo hmotného prvku zaměřené na vytváření znalostí, sdílení znalostí a/nebo operace v odvětví vzdělávání (např. školy, univerzity atd.) Například spolupráce mezi školami a podpora sdílení zkušeností (např. program JAC) a </w:t>
      </w:r>
    </w:p>
    <w:p w:rsidR="00F87DD0" w:rsidRPr="008E4885" w:rsidRDefault="008E4885">
      <w:pPr>
        <w:pStyle w:val="Odstavecseseznamem"/>
        <w:numPr>
          <w:ilvl w:val="1"/>
          <w:numId w:val="10"/>
        </w:numPr>
        <w:rPr>
          <w:szCs w:val="18"/>
          <w:lang w:val="cs-CZ"/>
        </w:rPr>
      </w:pPr>
      <w:r w:rsidRPr="008E4885">
        <w:rPr>
          <w:szCs w:val="18"/>
          <w:lang w:val="cs-CZ"/>
        </w:rPr>
        <w:t xml:space="preserve">Školení a budování kapacit, které zahrnuje školení a budování kapacit pro zúčastněné strany mimo sektor vzdělávání, především školení zaměstnanců zaměřené na zlepšení zaměstnatelnosti, jako je například podpora vzdělávání s cílem posílit postavení osob na </w:t>
      </w:r>
      <w:r w:rsidRPr="008E4885">
        <w:rPr>
          <w:szCs w:val="18"/>
          <w:lang w:val="cs-CZ"/>
        </w:rPr>
        <w:t>trhu práce (program Zaměstnanost) nebo školení a rekvalifikace v podnicích postižených transformací (program Spravedlivý přechod).</w:t>
      </w:r>
    </w:p>
    <w:p w:rsidR="00F30E9F" w:rsidRPr="008E4885" w:rsidRDefault="00F30E9F" w:rsidP="00962C80">
      <w:pPr>
        <w:ind w:left="1211"/>
        <w:rPr>
          <w:szCs w:val="18"/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10"/>
        </w:numPr>
        <w:rPr>
          <w:b/>
          <w:bCs/>
          <w:szCs w:val="18"/>
          <w:lang w:val="cs-CZ"/>
        </w:rPr>
      </w:pPr>
      <w:r w:rsidRPr="008E4885">
        <w:rPr>
          <w:b/>
          <w:bCs/>
          <w:szCs w:val="18"/>
          <w:lang w:val="cs-CZ"/>
        </w:rPr>
        <w:t>Energie</w:t>
      </w:r>
    </w:p>
    <w:p w:rsidR="00F87DD0" w:rsidRPr="008E4885" w:rsidRDefault="008E4885">
      <w:pPr>
        <w:ind w:left="1211"/>
        <w:rPr>
          <w:szCs w:val="18"/>
          <w:lang w:val="cs-CZ"/>
        </w:rPr>
      </w:pPr>
      <w:r w:rsidRPr="008E4885">
        <w:rPr>
          <w:szCs w:val="18"/>
          <w:lang w:val="cs-CZ"/>
        </w:rPr>
        <w:t>Investice a intervence spadající do kategorie investic do energetiky zahrnují nejvyšší počet typů investic. Aktivity</w:t>
      </w:r>
      <w:r w:rsidRPr="008E4885">
        <w:rPr>
          <w:szCs w:val="18"/>
          <w:lang w:val="cs-CZ"/>
        </w:rPr>
        <w:t xml:space="preserve"> identifikované napříč programy a fondy v působnosti byly rozděleny do následujících typů investic: </w:t>
      </w:r>
    </w:p>
    <w:p w:rsidR="00F87DD0" w:rsidRPr="008E4885" w:rsidRDefault="008E4885">
      <w:pPr>
        <w:pStyle w:val="Odstavecseseznamem"/>
        <w:numPr>
          <w:ilvl w:val="1"/>
          <w:numId w:val="10"/>
        </w:numPr>
        <w:rPr>
          <w:szCs w:val="18"/>
          <w:lang w:val="cs-CZ"/>
        </w:rPr>
      </w:pPr>
      <w:r w:rsidRPr="008E4885">
        <w:rPr>
          <w:szCs w:val="18"/>
          <w:lang w:val="cs-CZ"/>
        </w:rPr>
        <w:t xml:space="preserve">Energie vyrobená z nízkouhlíkových nebo obnovitelných zdrojů, </w:t>
      </w:r>
    </w:p>
    <w:p w:rsidR="00F87DD0" w:rsidRPr="008E4885" w:rsidRDefault="008E4885">
      <w:pPr>
        <w:pStyle w:val="Odstavecseseznamem"/>
        <w:numPr>
          <w:ilvl w:val="1"/>
          <w:numId w:val="10"/>
        </w:numPr>
        <w:rPr>
          <w:szCs w:val="18"/>
          <w:lang w:val="cs-CZ"/>
        </w:rPr>
      </w:pPr>
      <w:r w:rsidRPr="008E4885">
        <w:rPr>
          <w:szCs w:val="18"/>
          <w:lang w:val="cs-CZ"/>
        </w:rPr>
        <w:t xml:space="preserve">Energie vyrobená z plynných fosilních paliv, </w:t>
      </w:r>
    </w:p>
    <w:p w:rsidR="00F87DD0" w:rsidRPr="008E4885" w:rsidRDefault="008E4885">
      <w:pPr>
        <w:pStyle w:val="Odstavecseseznamem"/>
        <w:numPr>
          <w:ilvl w:val="1"/>
          <w:numId w:val="10"/>
        </w:numPr>
        <w:rPr>
          <w:szCs w:val="18"/>
          <w:lang w:val="cs-CZ"/>
        </w:rPr>
      </w:pPr>
      <w:r w:rsidRPr="008E4885">
        <w:rPr>
          <w:szCs w:val="18"/>
          <w:lang w:val="cs-CZ"/>
        </w:rPr>
        <w:lastRenderedPageBreak/>
        <w:t xml:space="preserve">Energie vyrobená z jiných zdrojů, </w:t>
      </w:r>
    </w:p>
    <w:p w:rsidR="00F87DD0" w:rsidRPr="008E4885" w:rsidRDefault="008E4885">
      <w:pPr>
        <w:pStyle w:val="Odstavecseseznamem"/>
        <w:numPr>
          <w:ilvl w:val="1"/>
          <w:numId w:val="10"/>
        </w:numPr>
        <w:rPr>
          <w:szCs w:val="18"/>
          <w:lang w:val="cs-CZ"/>
        </w:rPr>
      </w:pPr>
      <w:r w:rsidRPr="008E4885">
        <w:rPr>
          <w:szCs w:val="18"/>
          <w:lang w:val="cs-CZ"/>
        </w:rPr>
        <w:t>Přenos a di</w:t>
      </w:r>
      <w:r w:rsidRPr="008E4885">
        <w:rPr>
          <w:szCs w:val="18"/>
          <w:lang w:val="cs-CZ"/>
        </w:rPr>
        <w:t xml:space="preserve">stribuce energie </w:t>
      </w:r>
    </w:p>
    <w:p w:rsidR="00F87DD0" w:rsidRPr="008E4885" w:rsidRDefault="008E4885">
      <w:pPr>
        <w:pStyle w:val="Odstavecseseznamem"/>
        <w:numPr>
          <w:ilvl w:val="1"/>
          <w:numId w:val="10"/>
        </w:numPr>
        <w:rPr>
          <w:szCs w:val="18"/>
          <w:lang w:val="cs-CZ"/>
        </w:rPr>
      </w:pPr>
      <w:r w:rsidRPr="008E4885">
        <w:rPr>
          <w:szCs w:val="18"/>
          <w:lang w:val="cs-CZ"/>
        </w:rPr>
        <w:t xml:space="preserve">Skladování a transformace energie, </w:t>
      </w:r>
    </w:p>
    <w:p w:rsidR="00F87DD0" w:rsidRPr="008E4885" w:rsidRDefault="008E4885">
      <w:pPr>
        <w:pStyle w:val="Odstavecseseznamem"/>
        <w:numPr>
          <w:ilvl w:val="1"/>
          <w:numId w:val="10"/>
        </w:numPr>
        <w:rPr>
          <w:szCs w:val="18"/>
          <w:lang w:val="cs-CZ"/>
        </w:rPr>
      </w:pPr>
      <w:r w:rsidRPr="008E4885">
        <w:rPr>
          <w:szCs w:val="18"/>
          <w:lang w:val="cs-CZ"/>
        </w:rPr>
        <w:t xml:space="preserve">Výroba bioplynu a biopaliv </w:t>
      </w:r>
      <w:r w:rsidR="001508DA" w:rsidRPr="008E4885">
        <w:rPr>
          <w:szCs w:val="18"/>
          <w:lang w:val="cs-CZ"/>
        </w:rPr>
        <w:t>a</w:t>
      </w:r>
    </w:p>
    <w:p w:rsidR="00F87DD0" w:rsidRPr="008E4885" w:rsidRDefault="008E4885">
      <w:pPr>
        <w:pStyle w:val="Odstavecseseznamem"/>
        <w:numPr>
          <w:ilvl w:val="1"/>
          <w:numId w:val="10"/>
        </w:numPr>
        <w:rPr>
          <w:szCs w:val="18"/>
          <w:lang w:val="cs-CZ"/>
        </w:rPr>
      </w:pPr>
      <w:r w:rsidRPr="008E4885">
        <w:rPr>
          <w:szCs w:val="18"/>
          <w:lang w:val="cs-CZ"/>
        </w:rPr>
        <w:t>energetická účinnost</w:t>
      </w:r>
      <w:r w:rsidR="00C67F2B" w:rsidRPr="008E4885">
        <w:rPr>
          <w:szCs w:val="18"/>
          <w:lang w:val="cs-CZ"/>
        </w:rPr>
        <w:t>.</w:t>
      </w:r>
    </w:p>
    <w:p w:rsidR="001508DA" w:rsidRPr="008E4885" w:rsidRDefault="001508DA" w:rsidP="0036768C">
      <w:pPr>
        <w:ind w:left="1211"/>
        <w:rPr>
          <w:szCs w:val="18"/>
          <w:lang w:val="cs-CZ"/>
        </w:rPr>
      </w:pPr>
    </w:p>
    <w:p w:rsidR="00F87DD0" w:rsidRPr="008E4885" w:rsidRDefault="008E4885">
      <w:pPr>
        <w:ind w:left="1211"/>
        <w:rPr>
          <w:szCs w:val="18"/>
          <w:lang w:val="cs-CZ"/>
        </w:rPr>
      </w:pPr>
      <w:r w:rsidRPr="008E4885">
        <w:rPr>
          <w:szCs w:val="18"/>
          <w:lang w:val="cs-CZ"/>
        </w:rPr>
        <w:t>Bylo zjištěno, že většina investic a intervencí v oblasti energetiky zahrnuje také prvek infrastruktury a/nebo zavádění nových technologií, a proto ty</w:t>
      </w:r>
      <w:r w:rsidRPr="008E4885">
        <w:rPr>
          <w:szCs w:val="18"/>
          <w:lang w:val="cs-CZ"/>
        </w:rPr>
        <w:t>to investice mohou rovněž spadat do kategorie investic do infrastruktury a/nebo technologií. Investice do činností nebo aktiv souvisejících s energetikou lze nalézt napříč specifickými cíli v různých programech a fondech, jako je například výstavba a moder</w:t>
      </w:r>
      <w:r w:rsidRPr="008E4885">
        <w:rPr>
          <w:szCs w:val="18"/>
          <w:lang w:val="cs-CZ"/>
        </w:rPr>
        <w:t xml:space="preserve">nizace malých vodních elektráren (program TAC), </w:t>
      </w:r>
      <w:r w:rsidR="00B34D49" w:rsidRPr="008E4885">
        <w:rPr>
          <w:szCs w:val="18"/>
          <w:lang w:val="cs-CZ"/>
        </w:rPr>
        <w:t xml:space="preserve">výstavba a rekonstrukce obnovitelných zdrojů energie pro veřejné budovy </w:t>
      </w:r>
      <w:r w:rsidRPr="008E4885">
        <w:rPr>
          <w:szCs w:val="18"/>
          <w:lang w:val="cs-CZ"/>
        </w:rPr>
        <w:t>(program Životní prostředí) nebo zlepšení energetické náročnosti státních budov (NRP/RRF).</w:t>
      </w:r>
    </w:p>
    <w:p w:rsidR="00F30E9F" w:rsidRPr="008E4885" w:rsidRDefault="00F30E9F" w:rsidP="0036768C">
      <w:pPr>
        <w:ind w:left="0"/>
        <w:rPr>
          <w:szCs w:val="18"/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10"/>
        </w:numPr>
        <w:rPr>
          <w:b/>
          <w:bCs/>
          <w:szCs w:val="18"/>
          <w:lang w:val="cs-CZ"/>
        </w:rPr>
      </w:pPr>
      <w:r w:rsidRPr="008E4885">
        <w:rPr>
          <w:b/>
          <w:bCs/>
          <w:szCs w:val="18"/>
          <w:lang w:val="cs-CZ"/>
        </w:rPr>
        <w:t>Finanční nástroje</w:t>
      </w:r>
    </w:p>
    <w:p w:rsidR="00F87DD0" w:rsidRPr="008E4885" w:rsidRDefault="008E4885">
      <w:pPr>
        <w:ind w:left="1211"/>
        <w:rPr>
          <w:szCs w:val="18"/>
          <w:lang w:val="cs-CZ"/>
        </w:rPr>
      </w:pPr>
      <w:r w:rsidRPr="008E4885">
        <w:rPr>
          <w:szCs w:val="18"/>
          <w:lang w:val="cs-CZ"/>
        </w:rPr>
        <w:t>Tato kategorie představuje</w:t>
      </w:r>
      <w:r w:rsidRPr="008E4885">
        <w:rPr>
          <w:szCs w:val="18"/>
          <w:lang w:val="cs-CZ"/>
        </w:rPr>
        <w:t xml:space="preserve"> </w:t>
      </w:r>
      <w:r w:rsidR="00F12716" w:rsidRPr="008E4885">
        <w:rPr>
          <w:szCs w:val="18"/>
          <w:lang w:val="cs-CZ"/>
        </w:rPr>
        <w:t xml:space="preserve">typy investic, které </w:t>
      </w:r>
      <w:r w:rsidRPr="008E4885">
        <w:rPr>
          <w:szCs w:val="18"/>
          <w:lang w:val="cs-CZ"/>
        </w:rPr>
        <w:t xml:space="preserve">zahrnují přímou podporu podniků prostřednictvím finančních nástrojů zaměřených na poskytování financování malým a středním podnikům a začínajícím podnikům </w:t>
      </w:r>
      <w:r w:rsidR="00BE31CF" w:rsidRPr="008E4885">
        <w:rPr>
          <w:szCs w:val="18"/>
          <w:lang w:val="cs-CZ"/>
        </w:rPr>
        <w:t xml:space="preserve">(například v rámci programu TAC a </w:t>
      </w:r>
      <w:proofErr w:type="spellStart"/>
      <w:r w:rsidR="00BE31CF" w:rsidRPr="008E4885">
        <w:rPr>
          <w:szCs w:val="18"/>
          <w:lang w:val="cs-CZ"/>
        </w:rPr>
        <w:t>InvestEU</w:t>
      </w:r>
      <w:proofErr w:type="spellEnd"/>
      <w:r w:rsidR="00BE31CF" w:rsidRPr="008E4885">
        <w:rPr>
          <w:szCs w:val="18"/>
          <w:lang w:val="cs-CZ"/>
        </w:rPr>
        <w:t>)</w:t>
      </w:r>
      <w:r w:rsidRPr="008E4885">
        <w:rPr>
          <w:szCs w:val="18"/>
          <w:lang w:val="cs-CZ"/>
        </w:rPr>
        <w:t>. Kategorie nezahrnuje investiční či</w:t>
      </w:r>
      <w:r w:rsidRPr="008E4885">
        <w:rPr>
          <w:szCs w:val="18"/>
          <w:lang w:val="cs-CZ"/>
        </w:rPr>
        <w:t xml:space="preserve">nnost jako takovou, ale vychází spíše z formátu a struktury investice. Investice do financování prostřednictvím finančních nástrojů lze nalézt v programu Just </w:t>
      </w:r>
      <w:proofErr w:type="spellStart"/>
      <w:r w:rsidRPr="008E4885">
        <w:rPr>
          <w:szCs w:val="18"/>
          <w:lang w:val="cs-CZ"/>
        </w:rPr>
        <w:t>Transition</w:t>
      </w:r>
      <w:proofErr w:type="spellEnd"/>
      <w:r w:rsidRPr="008E4885">
        <w:rPr>
          <w:szCs w:val="18"/>
          <w:lang w:val="cs-CZ"/>
        </w:rPr>
        <w:t>, který nabízí úvěrový nástroj pro malé a střední podniky na investice do hmotného i ne</w:t>
      </w:r>
      <w:r w:rsidRPr="008E4885">
        <w:rPr>
          <w:szCs w:val="18"/>
          <w:lang w:val="cs-CZ"/>
        </w:rPr>
        <w:t>hmotného majetku, a v programu TAC zaměřeném na financování podniků za účelem zlepšení konkurenceschopnosti a přímé tvorby pracovních míst.</w:t>
      </w:r>
    </w:p>
    <w:p w:rsidR="00F30E9F" w:rsidRPr="008E4885" w:rsidRDefault="00F30E9F" w:rsidP="0036768C">
      <w:pPr>
        <w:ind w:left="0"/>
        <w:rPr>
          <w:szCs w:val="18"/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10"/>
        </w:numPr>
        <w:rPr>
          <w:b/>
          <w:bCs/>
          <w:szCs w:val="18"/>
          <w:lang w:val="cs-CZ"/>
        </w:rPr>
      </w:pPr>
      <w:r w:rsidRPr="008E4885">
        <w:rPr>
          <w:b/>
          <w:bCs/>
          <w:szCs w:val="18"/>
          <w:lang w:val="cs-CZ"/>
        </w:rPr>
        <w:t>Infrastruktura</w:t>
      </w:r>
    </w:p>
    <w:p w:rsidR="00F87DD0" w:rsidRPr="008E4885" w:rsidRDefault="008E4885">
      <w:pPr>
        <w:ind w:left="1211"/>
        <w:rPr>
          <w:lang w:val="cs-CZ"/>
        </w:rPr>
      </w:pPr>
      <w:r w:rsidRPr="008E4885">
        <w:rPr>
          <w:lang w:val="cs-CZ"/>
        </w:rPr>
        <w:t xml:space="preserve">Kategorie investic do infrastruktury je nejpočetnější skupinou typů investic. Je to dáno tím, že </w:t>
      </w:r>
      <w:r w:rsidRPr="008E4885">
        <w:rPr>
          <w:lang w:val="cs-CZ"/>
        </w:rPr>
        <w:t>většina investic a intervencí napříč programy a fondy zahrnuje určitý prvek infrastruktury, a proto může spadat do této kategorie. Například investice související s energetikou, zejména do výroby energie nebo energetické účinnosti, vyžadují výstavbu nebo m</w:t>
      </w:r>
      <w:r w:rsidRPr="008E4885">
        <w:rPr>
          <w:lang w:val="cs-CZ"/>
        </w:rPr>
        <w:t xml:space="preserve">odernizaci </w:t>
      </w:r>
      <w:r w:rsidR="5BD22F1D" w:rsidRPr="008E4885">
        <w:rPr>
          <w:lang w:val="cs-CZ"/>
        </w:rPr>
        <w:t>zařízení či objektů infrastruktury</w:t>
      </w:r>
      <w:r w:rsidR="620CC8AA" w:rsidRPr="008E4885">
        <w:rPr>
          <w:lang w:val="cs-CZ"/>
        </w:rPr>
        <w:t xml:space="preserve">. </w:t>
      </w:r>
      <w:r w:rsidR="30C63073" w:rsidRPr="008E4885">
        <w:rPr>
          <w:lang w:val="cs-CZ"/>
        </w:rPr>
        <w:t xml:space="preserve">Přesto je </w:t>
      </w:r>
      <w:r w:rsidRPr="008E4885">
        <w:rPr>
          <w:lang w:val="cs-CZ"/>
        </w:rPr>
        <w:t>tato kategorie převážně specificky zaměřena na investice a intervence související s výstavbou a rozvojem infrastruktury, jako je zelená infrastruktura, dopravní infrastruktura, IT a telekomunikační i</w:t>
      </w:r>
      <w:r w:rsidRPr="008E4885">
        <w:rPr>
          <w:lang w:val="cs-CZ"/>
        </w:rPr>
        <w:t>nfrastruktura, které jsou zahrnuty v programu Doprava, programu IROP a druhém pilíři NRP</w:t>
      </w:r>
      <w:r w:rsidR="606D4AE5" w:rsidRPr="008E4885">
        <w:rPr>
          <w:lang w:val="cs-CZ"/>
        </w:rPr>
        <w:t xml:space="preserve">: </w:t>
      </w:r>
      <w:r w:rsidRPr="008E4885">
        <w:rPr>
          <w:lang w:val="cs-CZ"/>
        </w:rPr>
        <w:t xml:space="preserve">fyzická infrastruktura a přechod na zelenou. </w:t>
      </w:r>
    </w:p>
    <w:p w:rsidR="00F30E9F" w:rsidRPr="008E4885" w:rsidRDefault="00F30E9F" w:rsidP="00962C80">
      <w:pPr>
        <w:ind w:left="1211"/>
        <w:rPr>
          <w:szCs w:val="18"/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10"/>
        </w:numPr>
        <w:rPr>
          <w:b/>
          <w:bCs/>
          <w:szCs w:val="18"/>
          <w:lang w:val="cs-CZ"/>
        </w:rPr>
      </w:pPr>
      <w:r w:rsidRPr="008E4885">
        <w:rPr>
          <w:b/>
          <w:bCs/>
          <w:szCs w:val="18"/>
          <w:lang w:val="cs-CZ"/>
        </w:rPr>
        <w:t>Inovace</w:t>
      </w:r>
    </w:p>
    <w:p w:rsidR="00F87DD0" w:rsidRPr="008E4885" w:rsidRDefault="008E4885">
      <w:pPr>
        <w:ind w:left="1211"/>
        <w:rPr>
          <w:lang w:val="cs-CZ"/>
        </w:rPr>
      </w:pPr>
      <w:r w:rsidRPr="008E4885">
        <w:rPr>
          <w:lang w:val="cs-CZ"/>
        </w:rPr>
        <w:t xml:space="preserve">Kategorie investic do inovací zahrnuje investice do inovací služeb a produktů a </w:t>
      </w:r>
      <w:r w:rsidR="0EF2F8C4" w:rsidRPr="008E4885">
        <w:rPr>
          <w:lang w:val="cs-CZ"/>
        </w:rPr>
        <w:t xml:space="preserve">do </w:t>
      </w:r>
      <w:r w:rsidRPr="008E4885">
        <w:rPr>
          <w:lang w:val="cs-CZ"/>
        </w:rPr>
        <w:t>zlepšení inovační kapacity. Přestože inovační intervence mohou být zahrnuty i do různých programů a fondů, byla vytvořena samostatná kategorie, protože v současné době existuje několik investic zaměřených na inovace, jejichž jádrem je inovace služeb a/nebo</w:t>
      </w:r>
      <w:r w:rsidRPr="008E4885">
        <w:rPr>
          <w:lang w:val="cs-CZ"/>
        </w:rPr>
        <w:t xml:space="preserve"> produktů nebo rozvoj inovačních kapacit. Jedná se například o investice do inovací ve vzdělávání v souvislosti s digitalizací nebo o podporu zavádění inovací do podnikatelské praxe (NRP) či rozvoj inovačních kapacit a jejich nasazení (program JAC). </w:t>
      </w:r>
      <w:r w:rsidR="003845FD" w:rsidRPr="008E4885">
        <w:rPr>
          <w:lang w:val="cs-CZ"/>
        </w:rPr>
        <w:t xml:space="preserve">Kromě toho má program TAC širokou škálu podpor zaměřených na investice do inovací, jako jsou například </w:t>
      </w:r>
      <w:r w:rsidR="001B6761" w:rsidRPr="008E4885">
        <w:rPr>
          <w:lang w:val="cs-CZ"/>
        </w:rPr>
        <w:t>inovace výrobků a procesů, modernizace průmyslu a aplikace pokročilých technologií.</w:t>
      </w:r>
    </w:p>
    <w:p w:rsidR="00F30E9F" w:rsidRPr="008E4885" w:rsidRDefault="00F30E9F" w:rsidP="0014021F">
      <w:pPr>
        <w:ind w:left="0"/>
        <w:rPr>
          <w:szCs w:val="18"/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10"/>
        </w:numPr>
        <w:rPr>
          <w:b/>
          <w:bCs/>
          <w:szCs w:val="18"/>
          <w:lang w:val="cs-CZ"/>
        </w:rPr>
      </w:pPr>
      <w:r w:rsidRPr="008E4885">
        <w:rPr>
          <w:b/>
          <w:bCs/>
          <w:szCs w:val="18"/>
          <w:lang w:val="cs-CZ"/>
        </w:rPr>
        <w:t>Krajina</w:t>
      </w:r>
    </w:p>
    <w:p w:rsidR="00F87DD0" w:rsidRPr="008E4885" w:rsidRDefault="008E4885">
      <w:pPr>
        <w:ind w:left="1211"/>
        <w:rPr>
          <w:lang w:val="cs-CZ"/>
        </w:rPr>
      </w:pPr>
      <w:r w:rsidRPr="008E4885">
        <w:rPr>
          <w:lang w:val="cs-CZ"/>
        </w:rPr>
        <w:lastRenderedPageBreak/>
        <w:t>Tato kategorie investic zahrnuje investice a intervence do revital</w:t>
      </w:r>
      <w:r w:rsidRPr="008E4885">
        <w:rPr>
          <w:lang w:val="cs-CZ"/>
        </w:rPr>
        <w:t xml:space="preserve">izace krajiny, zejména revitalizace </w:t>
      </w:r>
      <w:proofErr w:type="spellStart"/>
      <w:r w:rsidRPr="008E4885">
        <w:rPr>
          <w:lang w:val="cs-CZ"/>
        </w:rPr>
        <w:t>brownfields</w:t>
      </w:r>
      <w:proofErr w:type="spellEnd"/>
      <w:r w:rsidRPr="008E4885">
        <w:rPr>
          <w:lang w:val="cs-CZ"/>
        </w:rPr>
        <w:t xml:space="preserve">, scelování pozemků nebo opatření související s půdou pro lepší přizpůsobení se klimatu. Velká část příslušných investic je financována z NRP, konkrétně ze složky 2.8 Revitalizace </w:t>
      </w:r>
      <w:proofErr w:type="spellStart"/>
      <w:r w:rsidRPr="008E4885">
        <w:rPr>
          <w:lang w:val="cs-CZ"/>
        </w:rPr>
        <w:t>brownfields</w:t>
      </w:r>
      <w:proofErr w:type="spellEnd"/>
      <w:r w:rsidRPr="008E4885">
        <w:rPr>
          <w:lang w:val="cs-CZ"/>
        </w:rPr>
        <w:t xml:space="preserve"> v rámci pilíře Fy</w:t>
      </w:r>
      <w:r w:rsidRPr="008E4885">
        <w:rPr>
          <w:lang w:val="cs-CZ"/>
        </w:rPr>
        <w:t xml:space="preserve">zická infrastruktura a přechod k zeleni, která poskytuje podporu revitalizaci specifických oblastí a aktivit zaměřených na zlepšení kvality půdy. </w:t>
      </w:r>
      <w:r w:rsidR="2972C034" w:rsidRPr="008E4885">
        <w:rPr>
          <w:lang w:val="cs-CZ"/>
        </w:rPr>
        <w:t>Podobně</w:t>
      </w:r>
      <w:r w:rsidR="620CC8AA" w:rsidRPr="008E4885">
        <w:rPr>
          <w:lang w:val="cs-CZ"/>
        </w:rPr>
        <w:t xml:space="preserve"> jako </w:t>
      </w:r>
      <w:r w:rsidRPr="008E4885">
        <w:rPr>
          <w:lang w:val="cs-CZ"/>
        </w:rPr>
        <w:t>ostatní typy investic lze i investice do revitalizace krajiny zařadit do více kategorií. Napříkla</w:t>
      </w:r>
      <w:r w:rsidRPr="008E4885">
        <w:rPr>
          <w:lang w:val="cs-CZ"/>
        </w:rPr>
        <w:t xml:space="preserve">d regenerace </w:t>
      </w:r>
      <w:proofErr w:type="spellStart"/>
      <w:r w:rsidRPr="008E4885">
        <w:rPr>
          <w:lang w:val="cs-CZ"/>
        </w:rPr>
        <w:t>brownfields</w:t>
      </w:r>
      <w:proofErr w:type="spellEnd"/>
      <w:r w:rsidRPr="008E4885">
        <w:rPr>
          <w:lang w:val="cs-CZ"/>
        </w:rPr>
        <w:t xml:space="preserve"> pro podnikatelské využití může zahrnovat demolice stávajících objektů, výstavbu nové infrastruktury a aktivity zaměřené na energetickou účinnost. Program Životní prostředí se zaměřuje na opatření v krajinotvorných pracích pro přizp</w:t>
      </w:r>
      <w:r w:rsidRPr="008E4885">
        <w:rPr>
          <w:lang w:val="cs-CZ"/>
        </w:rPr>
        <w:t>ůsobení se klimatu, jako je například obnova stability svahů, stabilizace a sanace extrémních svahových nestabilit v rámci prevence rizik katastrof.</w:t>
      </w:r>
    </w:p>
    <w:p w:rsidR="00F30E9F" w:rsidRPr="008E4885" w:rsidRDefault="00F30E9F" w:rsidP="00962C80">
      <w:pPr>
        <w:ind w:left="1211"/>
        <w:rPr>
          <w:szCs w:val="18"/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10"/>
        </w:numPr>
        <w:rPr>
          <w:b/>
          <w:bCs/>
          <w:szCs w:val="18"/>
          <w:lang w:val="cs-CZ"/>
        </w:rPr>
      </w:pPr>
      <w:r w:rsidRPr="008E4885">
        <w:rPr>
          <w:b/>
          <w:bCs/>
          <w:szCs w:val="18"/>
          <w:lang w:val="cs-CZ"/>
        </w:rPr>
        <w:t>Ochrana přírody</w:t>
      </w:r>
    </w:p>
    <w:p w:rsidR="00F87DD0" w:rsidRPr="008E4885" w:rsidRDefault="008E4885">
      <w:pPr>
        <w:ind w:left="1211"/>
        <w:rPr>
          <w:lang w:val="cs-CZ"/>
        </w:rPr>
      </w:pPr>
      <w:r w:rsidRPr="008E4885">
        <w:rPr>
          <w:lang w:val="cs-CZ"/>
        </w:rPr>
        <w:t>Kategorie ochrany přírody zahrnuje typy investic zaměřené na zlepšení stavu přírodních sta</w:t>
      </w:r>
      <w:r w:rsidRPr="008E4885">
        <w:rPr>
          <w:lang w:val="cs-CZ"/>
        </w:rPr>
        <w:t>novišť a volně žijících živočichů a na ochranu biologické rozmanitosti. Tyto investice jsou jednou z hlavních priorit programu Životní prostředí</w:t>
      </w:r>
      <w:r w:rsidR="0C3B5DA3" w:rsidRPr="008E4885">
        <w:rPr>
          <w:lang w:val="cs-CZ"/>
        </w:rPr>
        <w:t xml:space="preserve">, </w:t>
      </w:r>
      <w:r w:rsidRPr="008E4885">
        <w:rPr>
          <w:lang w:val="cs-CZ"/>
        </w:rPr>
        <w:t>konkrétně zaměření na Přírodu a znečištění a posílení ochrany a zachování přírody, biologické rozmanitosti a p</w:t>
      </w:r>
      <w:r w:rsidRPr="008E4885">
        <w:rPr>
          <w:lang w:val="cs-CZ"/>
        </w:rPr>
        <w:t xml:space="preserve">odporu stanovišť a druhů a péči o nejcennější části přírody a krajiny. Aktivity v </w:t>
      </w:r>
      <w:r w:rsidR="4A092888" w:rsidRPr="008E4885">
        <w:rPr>
          <w:lang w:val="cs-CZ"/>
        </w:rPr>
        <w:t>oblasti</w:t>
      </w:r>
      <w:r w:rsidRPr="008E4885">
        <w:rPr>
          <w:lang w:val="cs-CZ"/>
        </w:rPr>
        <w:t xml:space="preserve"> ochrany přírody lze zahrnout i do jiných skupin a napříč typy investic, neboť určité prvky se týkají výstavby a rozvoje zelené infrastruktury nebo vodohospodářských ř</w:t>
      </w:r>
      <w:r w:rsidRPr="008E4885">
        <w:rPr>
          <w:lang w:val="cs-CZ"/>
        </w:rPr>
        <w:t>ešení v zelených plochách.</w:t>
      </w:r>
    </w:p>
    <w:p w:rsidR="00F30E9F" w:rsidRPr="008E4885" w:rsidRDefault="00F30E9F" w:rsidP="00962C80">
      <w:pPr>
        <w:ind w:left="1211"/>
        <w:rPr>
          <w:szCs w:val="18"/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10"/>
        </w:numPr>
        <w:rPr>
          <w:b/>
          <w:bCs/>
          <w:szCs w:val="18"/>
          <w:lang w:val="cs-CZ"/>
        </w:rPr>
      </w:pPr>
      <w:r w:rsidRPr="008E4885">
        <w:rPr>
          <w:b/>
          <w:bCs/>
          <w:szCs w:val="18"/>
          <w:lang w:val="cs-CZ"/>
        </w:rPr>
        <w:t>VÝZKUM A VÝVOJ</w:t>
      </w:r>
    </w:p>
    <w:p w:rsidR="00F87DD0" w:rsidRPr="008E4885" w:rsidRDefault="008E4885">
      <w:pPr>
        <w:ind w:left="1211"/>
        <w:rPr>
          <w:szCs w:val="18"/>
          <w:lang w:val="cs-CZ"/>
        </w:rPr>
      </w:pPr>
      <w:r w:rsidRPr="008E4885">
        <w:rPr>
          <w:szCs w:val="18"/>
          <w:lang w:val="cs-CZ"/>
        </w:rPr>
        <w:t>Kategorie výzkumu a vývoje zahrnuje typy investic zaměřené na výzkumné a vývojové činnosti, které se dělí na investice a nákladové podskupiny. Intervence v podskupině investic zahrnují investice do hmotných prvků,</w:t>
      </w:r>
      <w:r w:rsidRPr="008E4885">
        <w:rPr>
          <w:szCs w:val="18"/>
          <w:lang w:val="cs-CZ"/>
        </w:rPr>
        <w:t xml:space="preserve"> jako jsou technologie nebo vybavení pořízené na podporu výzkumných činností. Na druhé straně nákladová podskupina zahrnuje investice do nehmotných intelektuálních aspektů výzkumu a vývoje, jako jsou odborné poradenství, zaměstnanci nebo činnosti spojené s</w:t>
      </w:r>
      <w:r w:rsidRPr="008E4885">
        <w:rPr>
          <w:szCs w:val="18"/>
          <w:lang w:val="cs-CZ"/>
        </w:rPr>
        <w:t xml:space="preserve">e sdílením znalostí. Výzkum zaměřený na vývoj produktů a digitalizaci je jednou ze složek NRP. Podobně program TAC zahrnuje investice do aktivit zaměřených na ověření aplikačního potenciálu nových výsledků </w:t>
      </w:r>
      <w:proofErr w:type="spellStart"/>
      <w:r w:rsidRPr="008E4885">
        <w:rPr>
          <w:szCs w:val="18"/>
          <w:lang w:val="cs-CZ"/>
        </w:rPr>
        <w:t>VaV</w:t>
      </w:r>
      <w:proofErr w:type="spellEnd"/>
      <w:r w:rsidRPr="008E4885">
        <w:rPr>
          <w:szCs w:val="18"/>
          <w:lang w:val="cs-CZ"/>
        </w:rPr>
        <w:t xml:space="preserve"> před jejich možným uplatněním v praxi a také d</w:t>
      </w:r>
      <w:r w:rsidRPr="008E4885">
        <w:rPr>
          <w:szCs w:val="18"/>
          <w:lang w:val="cs-CZ"/>
        </w:rPr>
        <w:t>o rozvoje průmyslového výzkumu. Program Životní prostředí navíc zahrnuje investice do výzkumu a průzkumu pro zkoumání znečištění a souvisejících rizik a program JAC podporuje spolupráci mezi výzkumnými organizacemi a rozvoj společných výzkumných projektů.</w:t>
      </w:r>
    </w:p>
    <w:p w:rsidR="00F30E9F" w:rsidRPr="008E4885" w:rsidRDefault="00F30E9F" w:rsidP="00794EB7">
      <w:pPr>
        <w:ind w:left="0"/>
        <w:rPr>
          <w:szCs w:val="18"/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10"/>
        </w:numPr>
        <w:rPr>
          <w:b/>
          <w:bCs/>
          <w:szCs w:val="18"/>
          <w:lang w:val="cs-CZ"/>
        </w:rPr>
      </w:pPr>
      <w:r w:rsidRPr="008E4885">
        <w:rPr>
          <w:b/>
          <w:bCs/>
          <w:szCs w:val="18"/>
          <w:lang w:val="cs-CZ"/>
        </w:rPr>
        <w:t>Sociální a zdravotní podpora</w:t>
      </w:r>
    </w:p>
    <w:p w:rsidR="00F87DD0" w:rsidRPr="008E4885" w:rsidRDefault="008E4885">
      <w:pPr>
        <w:ind w:left="1211"/>
        <w:rPr>
          <w:lang w:val="cs-CZ"/>
        </w:rPr>
      </w:pPr>
      <w:r w:rsidRPr="008E4885">
        <w:rPr>
          <w:lang w:val="cs-CZ"/>
        </w:rPr>
        <w:t>Tato kategorie zahrnuje různé typy investic zaměřené na zlepšení socioekonomických podmínek, zaměstnanosti a poskytování a modernizaci zdravotnických služeb. Tyto investice převažují v programu Zaměstnanost, který se specifick</w:t>
      </w:r>
      <w:r w:rsidRPr="008E4885">
        <w:rPr>
          <w:lang w:val="cs-CZ"/>
        </w:rPr>
        <w:t>y zaměřuje na sociální témata, jako je materiální pomoc lidem postiženým chudobou, sociální začleňování a rovnost a také sociální inovace. Kromě toho program zahrnuje četné investice a intervence do modernizace služeb zaměstnanosti a konkurenceschopnosti p</w:t>
      </w:r>
      <w:r w:rsidRPr="008E4885">
        <w:rPr>
          <w:lang w:val="cs-CZ"/>
        </w:rPr>
        <w:t xml:space="preserve">racovních sil a do vzdělávání a kvalifikace pracovníků. Na druhé straně je do NRP zahrnuta podpora zdraví a modernizace zdravotní péče, konkrétně se zaměřením na zdraví obyvatelstva a odolnost zdravotního </w:t>
      </w:r>
      <w:r w:rsidR="0095281E" w:rsidRPr="008E4885">
        <w:rPr>
          <w:lang w:val="cs-CZ"/>
        </w:rPr>
        <w:t xml:space="preserve">systému </w:t>
      </w:r>
      <w:r w:rsidRPr="008E4885">
        <w:rPr>
          <w:lang w:val="cs-CZ"/>
        </w:rPr>
        <w:t>a posílení onkologické prevence a péče. Něk</w:t>
      </w:r>
      <w:r w:rsidRPr="008E4885">
        <w:rPr>
          <w:lang w:val="cs-CZ"/>
        </w:rPr>
        <w:t xml:space="preserve">teré investice v této kategorii mohou zahrnovat i infrastrukturní prvky, například </w:t>
      </w:r>
      <w:r w:rsidR="20CF1B82" w:rsidRPr="008E4885">
        <w:rPr>
          <w:lang w:val="cs-CZ"/>
        </w:rPr>
        <w:t xml:space="preserve">v </w:t>
      </w:r>
      <w:r w:rsidRPr="008E4885">
        <w:rPr>
          <w:lang w:val="cs-CZ"/>
        </w:rPr>
        <w:t>rámci šestého pilíře v NRP, který zahrnuje investice do výstavby centra kardiovaskulární a transplantační medicíny.</w:t>
      </w:r>
    </w:p>
    <w:p w:rsidR="00F30E9F" w:rsidRPr="008E4885" w:rsidRDefault="00F30E9F" w:rsidP="00962C80">
      <w:pPr>
        <w:ind w:left="1211"/>
        <w:rPr>
          <w:szCs w:val="18"/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10"/>
        </w:numPr>
        <w:rPr>
          <w:b/>
          <w:bCs/>
          <w:szCs w:val="18"/>
          <w:lang w:val="cs-CZ"/>
        </w:rPr>
      </w:pPr>
      <w:r w:rsidRPr="008E4885">
        <w:rPr>
          <w:b/>
          <w:bCs/>
          <w:szCs w:val="18"/>
          <w:lang w:val="cs-CZ"/>
        </w:rPr>
        <w:t>Technologie</w:t>
      </w:r>
    </w:p>
    <w:p w:rsidR="00F87DD0" w:rsidRPr="008E4885" w:rsidRDefault="008E4885">
      <w:pPr>
        <w:ind w:left="1211"/>
        <w:rPr>
          <w:lang w:val="cs-CZ"/>
        </w:rPr>
      </w:pPr>
      <w:r w:rsidRPr="008E4885">
        <w:rPr>
          <w:lang w:val="cs-CZ"/>
        </w:rPr>
        <w:t>Technologie jsou jednou z největších inves</w:t>
      </w:r>
      <w:r w:rsidRPr="008E4885">
        <w:rPr>
          <w:lang w:val="cs-CZ"/>
        </w:rPr>
        <w:t>tičních kategorií. Podobně jako v případě infrastruktury je to dáno meziodvětvovou a mezioborovou povahou technologií, které jsou zahrnuty a zapojeny do různých typů investic, jako je výzkum a vývoj, vzdělávání, inovace, energetika nebo infrastruktura. Pok</w:t>
      </w:r>
      <w:r w:rsidRPr="008E4885">
        <w:rPr>
          <w:lang w:val="cs-CZ"/>
        </w:rPr>
        <w:t xml:space="preserve">ud jde o investice a intervence, které jsou </w:t>
      </w:r>
      <w:r w:rsidR="620CC8AA" w:rsidRPr="008E4885">
        <w:rPr>
          <w:lang w:val="cs-CZ"/>
        </w:rPr>
        <w:t xml:space="preserve">zaměřeny </w:t>
      </w:r>
      <w:r w:rsidRPr="008E4885">
        <w:rPr>
          <w:lang w:val="cs-CZ"/>
        </w:rPr>
        <w:t xml:space="preserve">výhradně </w:t>
      </w:r>
      <w:r w:rsidR="620CC8AA" w:rsidRPr="008E4885">
        <w:rPr>
          <w:lang w:val="cs-CZ"/>
        </w:rPr>
        <w:t xml:space="preserve">na </w:t>
      </w:r>
      <w:r w:rsidRPr="008E4885">
        <w:rPr>
          <w:lang w:val="cs-CZ"/>
        </w:rPr>
        <w:t xml:space="preserve">technologie, byly </w:t>
      </w:r>
      <w:r w:rsidR="5080EAB0" w:rsidRPr="008E4885">
        <w:rPr>
          <w:lang w:val="cs-CZ"/>
        </w:rPr>
        <w:t xml:space="preserve">seskupeny </w:t>
      </w:r>
      <w:r w:rsidRPr="008E4885">
        <w:rPr>
          <w:lang w:val="cs-CZ"/>
        </w:rPr>
        <w:t>dva typy investic</w:t>
      </w:r>
      <w:r w:rsidR="00F117C4" w:rsidRPr="008E4885">
        <w:rPr>
          <w:lang w:val="cs-CZ"/>
        </w:rPr>
        <w:t>:</w:t>
      </w:r>
      <w:r w:rsidRPr="008E4885">
        <w:rPr>
          <w:lang w:val="cs-CZ"/>
        </w:rPr>
        <w:t xml:space="preserve"> 1) digitalizace a informační systémy (</w:t>
      </w:r>
      <w:proofErr w:type="spellStart"/>
      <w:r w:rsidRPr="008E4885">
        <w:rPr>
          <w:lang w:val="cs-CZ"/>
        </w:rPr>
        <w:t>neinfrastruktura</w:t>
      </w:r>
      <w:proofErr w:type="spellEnd"/>
      <w:r w:rsidRPr="008E4885">
        <w:rPr>
          <w:lang w:val="cs-CZ"/>
        </w:rPr>
        <w:t>) a 2) ostatní nové technologie a zařízení. Investice z první skupiny jsou zahrnuty do něk</w:t>
      </w:r>
      <w:r w:rsidRPr="008E4885">
        <w:rPr>
          <w:lang w:val="cs-CZ"/>
        </w:rPr>
        <w:t xml:space="preserve">olika programů a fondů. Například program IROP se zaměřuje na digitalizaci, centralizaci a standardizaci vybraných služeb veřejné správy (např. </w:t>
      </w:r>
      <w:proofErr w:type="spellStart"/>
      <w:r w:rsidRPr="008E4885">
        <w:rPr>
          <w:lang w:val="cs-CZ"/>
        </w:rPr>
        <w:t>eHealth</w:t>
      </w:r>
      <w:proofErr w:type="spellEnd"/>
      <w:r w:rsidRPr="008E4885">
        <w:rPr>
          <w:lang w:val="cs-CZ"/>
        </w:rPr>
        <w:t xml:space="preserve">) a NRP poskytuje investice zaměřené na poskytování digitálních služeb občanům a podnikům. Druhá skupina </w:t>
      </w:r>
      <w:r w:rsidRPr="008E4885">
        <w:rPr>
          <w:lang w:val="cs-CZ"/>
        </w:rPr>
        <w:t xml:space="preserve">investuje do technologií a zařízení používaných ve výrobě a zpracovatelském průmyslu, například </w:t>
      </w:r>
      <w:r w:rsidR="4DF090F9" w:rsidRPr="008E4885">
        <w:rPr>
          <w:lang w:val="cs-CZ"/>
        </w:rPr>
        <w:t xml:space="preserve">do </w:t>
      </w:r>
      <w:r w:rsidRPr="008E4885">
        <w:rPr>
          <w:lang w:val="cs-CZ"/>
        </w:rPr>
        <w:t xml:space="preserve">technologií na výrobu druhotné suroviny a/nebo zvýšení recyklovatelnosti výrobků v rámci programu TAC nebo do investic do vysokokapacitních digitálních sítí </w:t>
      </w:r>
      <w:r w:rsidRPr="008E4885">
        <w:rPr>
          <w:lang w:val="cs-CZ"/>
        </w:rPr>
        <w:t xml:space="preserve">v rámci NRP. </w:t>
      </w:r>
    </w:p>
    <w:p w:rsidR="00F30E9F" w:rsidRPr="008E4885" w:rsidRDefault="00F30E9F" w:rsidP="00962C80">
      <w:pPr>
        <w:ind w:left="1211"/>
        <w:rPr>
          <w:szCs w:val="18"/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10"/>
        </w:numPr>
        <w:rPr>
          <w:b/>
          <w:bCs/>
          <w:szCs w:val="18"/>
          <w:lang w:val="cs-CZ"/>
        </w:rPr>
      </w:pPr>
      <w:r w:rsidRPr="008E4885">
        <w:rPr>
          <w:b/>
          <w:bCs/>
          <w:szCs w:val="18"/>
          <w:lang w:val="cs-CZ"/>
        </w:rPr>
        <w:t>Doprava</w:t>
      </w:r>
    </w:p>
    <w:p w:rsidR="00F87DD0" w:rsidRPr="008E4885" w:rsidRDefault="008E4885">
      <w:pPr>
        <w:ind w:left="1211"/>
        <w:rPr>
          <w:lang w:val="cs-CZ"/>
        </w:rPr>
      </w:pPr>
      <w:r w:rsidRPr="008E4885">
        <w:rPr>
          <w:lang w:val="cs-CZ"/>
        </w:rPr>
        <w:t xml:space="preserve">Typy investic v kategorii investic do dopravy úzce souvisejí s kategorií infrastruktury. Tato skupina však zahrnuje pouze investice, které jsou určeny na výstavbu a rozvoj dopravní infrastruktury. Konkrétně </w:t>
      </w:r>
      <w:r w:rsidRPr="008E4885">
        <w:rPr>
          <w:lang w:val="cs-CZ"/>
        </w:rPr>
        <w:t xml:space="preserve">typy investic v této kategorii zahrnují 1) výstavbu a rozvoj nízkouhlíkové dopravní infrastruktury (např. železnice, </w:t>
      </w:r>
      <w:r w:rsidR="26E721EA" w:rsidRPr="008E4885">
        <w:rPr>
          <w:lang w:val="cs-CZ"/>
        </w:rPr>
        <w:t>elektrická vozidla (</w:t>
      </w:r>
      <w:r w:rsidRPr="008E4885">
        <w:rPr>
          <w:lang w:val="cs-CZ"/>
        </w:rPr>
        <w:t>EV</w:t>
      </w:r>
      <w:r w:rsidR="26E721EA" w:rsidRPr="008E4885">
        <w:rPr>
          <w:lang w:val="cs-CZ"/>
        </w:rPr>
        <w:t>)</w:t>
      </w:r>
      <w:r w:rsidR="67AA423F" w:rsidRPr="008E4885">
        <w:rPr>
          <w:lang w:val="cs-CZ"/>
        </w:rPr>
        <w:t xml:space="preserve">, </w:t>
      </w:r>
      <w:r w:rsidRPr="008E4885">
        <w:rPr>
          <w:lang w:val="cs-CZ"/>
        </w:rPr>
        <w:t>multimodální doprava) a 2) výstavbu a rozvoj ostatní dopravní infrastruktury. Program Doprava a program IROP se za</w:t>
      </w:r>
      <w:r w:rsidRPr="008E4885">
        <w:rPr>
          <w:lang w:val="cs-CZ"/>
        </w:rPr>
        <w:t>měřují na investice v první kategorii zejména v rámci hlavních priorit Evropská, národní a regionální mobilita a udržitelná městská mobilita. Investice v tomto programu jsou konkrétně zaměřeny na rozvoj bezpečné, udržitelné a intermodální dopravní sítě a n</w:t>
      </w:r>
      <w:r w:rsidRPr="008E4885">
        <w:rPr>
          <w:lang w:val="cs-CZ"/>
        </w:rPr>
        <w:t xml:space="preserve">ízkouhlíkové, např. železniční dopravy. Podobně NRP poskytuje investice do udržitelné dopravy a čisté městské mobility, například do budování infrastruktury pro veřejnou dopravu v Praze. Druhou skupinu představuje infrastruktura pro </w:t>
      </w:r>
      <w:r w:rsidR="0081189C" w:rsidRPr="008E4885">
        <w:rPr>
          <w:lang w:val="cs-CZ"/>
        </w:rPr>
        <w:t xml:space="preserve">silniční dopravu, rovněž zařazená do programu IROP, zaměřená na </w:t>
      </w:r>
      <w:r w:rsidR="00261EB1" w:rsidRPr="008E4885">
        <w:rPr>
          <w:lang w:val="cs-CZ"/>
        </w:rPr>
        <w:t xml:space="preserve">investice </w:t>
      </w:r>
      <w:r w:rsidR="00CC2A13" w:rsidRPr="008E4885">
        <w:rPr>
          <w:lang w:val="cs-CZ"/>
        </w:rPr>
        <w:t xml:space="preserve">do </w:t>
      </w:r>
      <w:r w:rsidR="00DC15B5" w:rsidRPr="008E4885">
        <w:rPr>
          <w:lang w:val="cs-CZ"/>
        </w:rPr>
        <w:t xml:space="preserve">výstavby a modernizace </w:t>
      </w:r>
      <w:r w:rsidR="00804BCA" w:rsidRPr="008E4885">
        <w:rPr>
          <w:lang w:val="cs-CZ"/>
        </w:rPr>
        <w:t xml:space="preserve">silnic </w:t>
      </w:r>
      <w:r w:rsidR="00261EB1" w:rsidRPr="008E4885">
        <w:rPr>
          <w:lang w:val="cs-CZ"/>
        </w:rPr>
        <w:t>II. třídy, zlepšení dostupnosti TEN-T</w:t>
      </w:r>
      <w:r w:rsidR="00804BCA" w:rsidRPr="008E4885">
        <w:rPr>
          <w:lang w:val="cs-CZ"/>
        </w:rPr>
        <w:t>.</w:t>
      </w:r>
    </w:p>
    <w:p w:rsidR="00261EB1" w:rsidRPr="008E4885" w:rsidRDefault="00261EB1" w:rsidP="00962C80">
      <w:pPr>
        <w:ind w:left="1211"/>
        <w:rPr>
          <w:szCs w:val="18"/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10"/>
        </w:numPr>
        <w:rPr>
          <w:b/>
          <w:bCs/>
          <w:szCs w:val="18"/>
          <w:lang w:val="cs-CZ"/>
        </w:rPr>
      </w:pPr>
      <w:r w:rsidRPr="008E4885">
        <w:rPr>
          <w:b/>
          <w:bCs/>
          <w:szCs w:val="18"/>
          <w:lang w:val="cs-CZ"/>
        </w:rPr>
        <w:t>Hospodaření s vodou a odpady</w:t>
      </w:r>
    </w:p>
    <w:p w:rsidR="00F87DD0" w:rsidRPr="008E4885" w:rsidRDefault="008E4885">
      <w:pPr>
        <w:ind w:left="1211"/>
        <w:rPr>
          <w:szCs w:val="18"/>
          <w:lang w:val="cs-CZ"/>
        </w:rPr>
      </w:pPr>
      <w:r w:rsidRPr="008E4885">
        <w:rPr>
          <w:szCs w:val="18"/>
          <w:lang w:val="cs-CZ"/>
        </w:rPr>
        <w:t>Tato kategorie zahrnuje investice zaměřené na čištění a úpravu vody a odpadních vod a na zpracování a n</w:t>
      </w:r>
      <w:r w:rsidRPr="008E4885">
        <w:rPr>
          <w:szCs w:val="18"/>
          <w:lang w:val="cs-CZ"/>
        </w:rPr>
        <w:t xml:space="preserve">akládání s odpady. Oba typy investic mohou zahrnovat prvek infrastruktury, a proto budou spadat do jedné nebo více kategorií. Určité aspekty vodního a odpadového hospodářství jsou zahrnuty ve většině programů a fondů, konkrétně v aktivitách a intervencích </w:t>
      </w:r>
      <w:r w:rsidRPr="008E4885">
        <w:rPr>
          <w:szCs w:val="18"/>
          <w:lang w:val="cs-CZ"/>
        </w:rPr>
        <w:t>zaměřených na oběhové hospodářství a efektivní nakládání se zdroji. Například investice v programu TAC se zaměřují mimo jiné na podporu udržitelného hospodaření s vodou v rámci přechodu na oběhové hospodářství účinně využívající zdroje. Podobně program Živ</w:t>
      </w:r>
      <w:r w:rsidRPr="008E4885">
        <w:rPr>
          <w:szCs w:val="18"/>
          <w:lang w:val="cs-CZ"/>
        </w:rPr>
        <w:t>otní prostředí poskytuje investice do modernizace vodovodů a kanalizací a pilíř NRP Fyzická infrastruktura a zelený přechod zahrnuje složku zaměřenou na oběhové hospodářství, recyklaci a úspory vody používané v průmyslu.</w:t>
      </w:r>
    </w:p>
    <w:p w:rsidR="00F43086" w:rsidRPr="008E4885" w:rsidRDefault="00F43086" w:rsidP="00151272">
      <w:pPr>
        <w:rPr>
          <w:lang w:val="cs-CZ"/>
        </w:rPr>
      </w:pPr>
    </w:p>
    <w:p w:rsidR="00F87DD0" w:rsidRPr="008E4885" w:rsidRDefault="008E4885">
      <w:pPr>
        <w:pStyle w:val="Nadpis2"/>
        <w:rPr>
          <w:lang w:val="cs-CZ"/>
        </w:rPr>
      </w:pPr>
      <w:bookmarkStart w:id="25" w:name="_Toc133944260"/>
      <w:r w:rsidRPr="008E4885">
        <w:rPr>
          <w:lang w:val="cs-CZ"/>
        </w:rPr>
        <w:t xml:space="preserve">Vzájemné vazby mezi kategoriemi a </w:t>
      </w:r>
      <w:r w:rsidR="002B5E38" w:rsidRPr="008E4885">
        <w:rPr>
          <w:lang w:val="cs-CZ"/>
        </w:rPr>
        <w:t>hodnocením DNSH v Česku</w:t>
      </w:r>
      <w:bookmarkEnd w:id="25"/>
    </w:p>
    <w:p w:rsidR="00F87DD0" w:rsidRPr="008E4885" w:rsidRDefault="008E4885">
      <w:pPr>
        <w:rPr>
          <w:rFonts w:eastAsia="Times New Roman" w:cs="Times New Roman"/>
          <w:color w:val="000000" w:themeColor="text1"/>
          <w:lang w:val="cs-CZ" w:eastAsia="en-GB"/>
        </w:rPr>
      </w:pPr>
      <w:r w:rsidRPr="008E4885">
        <w:rPr>
          <w:rFonts w:eastAsia="Times New Roman" w:cs="Times New Roman"/>
          <w:color w:val="000000" w:themeColor="text1"/>
          <w:lang w:val="cs-CZ" w:eastAsia="en-GB"/>
        </w:rPr>
        <w:t xml:space="preserve">Následující oddíl poskytuje přehled vzájemných vazeb a překryvů mezi identifikovanými typy investic, kategoriemi investic a </w:t>
      </w:r>
      <w:r w:rsidR="002B5E38" w:rsidRPr="008E4885">
        <w:rPr>
          <w:rFonts w:eastAsia="Times New Roman" w:cs="Times New Roman"/>
          <w:color w:val="000000" w:themeColor="text1"/>
          <w:lang w:val="cs-CZ" w:eastAsia="en-GB"/>
        </w:rPr>
        <w:t xml:space="preserve">hodnocením </w:t>
      </w:r>
      <w:r w:rsidR="006F7C38" w:rsidRPr="008E4885">
        <w:rPr>
          <w:rFonts w:eastAsia="Times New Roman" w:cs="Times New Roman"/>
          <w:color w:val="000000" w:themeColor="text1"/>
          <w:lang w:val="cs-CZ" w:eastAsia="en-GB"/>
        </w:rPr>
        <w:t xml:space="preserve">DNSH v České republice. 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 xml:space="preserve"> </w:t>
      </w:r>
    </w:p>
    <w:p w:rsidR="00F43086" w:rsidRPr="008E4885" w:rsidRDefault="00F43086" w:rsidP="00F43086">
      <w:pPr>
        <w:rPr>
          <w:rFonts w:eastAsia="Times New Roman" w:cs="Times New Roman"/>
          <w:color w:val="000000" w:themeColor="text1"/>
          <w:lang w:val="cs-CZ" w:eastAsia="en-GB"/>
        </w:rPr>
      </w:pPr>
    </w:p>
    <w:p w:rsidR="00F87DD0" w:rsidRPr="008E4885" w:rsidRDefault="008E4885">
      <w:pPr>
        <w:rPr>
          <w:rFonts w:eastAsia="Times New Roman" w:cs="Times New Roman"/>
          <w:b/>
          <w:bCs/>
          <w:color w:val="000000" w:themeColor="text1"/>
          <w:lang w:val="cs-CZ" w:eastAsia="en-GB"/>
        </w:rPr>
      </w:pPr>
      <w:r w:rsidRPr="008E4885">
        <w:rPr>
          <w:rFonts w:eastAsia="Times New Roman" w:cs="Times New Roman"/>
          <w:b/>
          <w:bCs/>
          <w:color w:val="000000" w:themeColor="text1"/>
          <w:lang w:val="cs-CZ" w:eastAsia="en-GB"/>
        </w:rPr>
        <w:t>Kroky hodnocení a kategorie investic</w:t>
      </w:r>
    </w:p>
    <w:p w:rsidR="00F87DD0" w:rsidRPr="008E4885" w:rsidRDefault="008E4885">
      <w:pPr>
        <w:rPr>
          <w:rFonts w:eastAsia="Times New Roman" w:cs="Times New Roman"/>
          <w:color w:val="000000" w:themeColor="text1"/>
          <w:lang w:val="cs-CZ" w:eastAsia="en-GB"/>
        </w:rPr>
      </w:pPr>
      <w:r w:rsidRPr="008E4885">
        <w:rPr>
          <w:rFonts w:eastAsia="Times New Roman" w:cs="Times New Roman"/>
          <w:color w:val="000000" w:themeColor="text1"/>
          <w:lang w:val="cs-CZ" w:eastAsia="en-GB"/>
        </w:rPr>
        <w:t>Zatímco v rámci NRP existuje řada investic, které se přímo zaměřují na fyzickou infrastrukturu a ekologický přechod, pět ze šesti hlavních pilířů se zaměřuje na převážně nehmotné, na know-how založené nebo administrativní kategorie investic (např. zaměstna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>nost, administrativní a projektové kapacity, sociální podpora a zdravotní péče), u nichž může postačovat zjednodušené posouzení DNSH. Pro srovnání, z osmi fondů politiky soudržnosti, které jsou v působnosti, jich šest zahrnuje investice specificky zaměřené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 xml:space="preserve"> na výstavbu a/nebo modernizaci budov a infrastruktury. Zbývající dva, jako je program Zaměstnanost a program JAC, mohou ještě zahrnovat intervence s menším prvkem infrastruktury a výstavby. </w:t>
      </w:r>
    </w:p>
    <w:p w:rsidR="00F43086" w:rsidRPr="008E4885" w:rsidRDefault="00F43086" w:rsidP="00F43086">
      <w:pPr>
        <w:rPr>
          <w:rFonts w:eastAsia="Times New Roman" w:cs="Times New Roman"/>
          <w:color w:val="000000" w:themeColor="text1"/>
          <w:lang w:val="cs-CZ" w:eastAsia="en-GB"/>
        </w:rPr>
      </w:pPr>
    </w:p>
    <w:p w:rsidR="00F87DD0" w:rsidRPr="008E4885" w:rsidRDefault="008E4885">
      <w:pPr>
        <w:rPr>
          <w:rFonts w:eastAsia="Times New Roman" w:cs="Times New Roman"/>
          <w:color w:val="000000" w:themeColor="text1"/>
          <w:lang w:val="cs-CZ" w:eastAsia="en-GB"/>
        </w:rPr>
      </w:pPr>
      <w:r w:rsidRPr="008E4885">
        <w:rPr>
          <w:rFonts w:eastAsia="Times New Roman" w:cs="Times New Roman"/>
          <w:color w:val="000000" w:themeColor="text1"/>
          <w:lang w:val="cs-CZ" w:eastAsia="en-GB"/>
        </w:rPr>
        <w:t>Vzhledem k počtu, zaměření a rozsahu fondů politiky soudržnosti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 xml:space="preserve"> v České republice jsou tyto fondy zastoupeny ve všech zjištěných investičních kategoriích, přičemž jejich intervence na úrovni typu opatření často spadají do více kategorií. Zatímco u některých investičních kategorií by pro většinu investic mělo stačit zj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>ednodušené posouzení DNSH (např. administrativní, procesní a projektová kapacita, vzdělávání, výzkum a vývoj), u většiny kategorií (např. energetika, budovy, infrastruktura, vodní a odpadové hospodářství, technologie) lze předpokládat větší dopad na životn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 xml:space="preserve">í prostředí, a proto bude nutné provést věcné posouzení DNSH. Vzhledem k převaze těchto investic a kombinaci investičních kategorií na úrovni typu akcí to 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 xml:space="preserve">zvyšuje 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>složitost procesu posuzování DNSH pro orgány programu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 xml:space="preserve">. Proto 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>je pro zajištění dostatečného so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>uladu se zásadou klíčový jasně strukturovaný postupný návod.</w:t>
      </w:r>
      <w:r w:rsidRPr="008E4885">
        <w:rPr>
          <w:lang w:val="cs-CZ"/>
        </w:rPr>
        <w:br/>
      </w:r>
      <w:r w:rsidRPr="008E4885">
        <w:rPr>
          <w:rFonts w:eastAsia="Times New Roman" w:cs="Times New Roman"/>
          <w:color w:val="000000" w:themeColor="text1"/>
          <w:lang w:val="cs-CZ" w:eastAsia="en-GB"/>
        </w:rPr>
        <w:t>Na základě nařízení o fondu politiky soudržnosti se navíc povinné posouzení KP vztahuje na projekty s infrastrukturou bez ohledu na jejich velikost nebo náklady. Toto zjištění je v souladu s pozn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 xml:space="preserve">atky shromážděnými v rámci ad hoc podpory v DLV2, kde se většina žádostí o podporu zaměřovala na posouzení KP pro infrastrukturu. To odůvodňuje potřebu větší podpory a zdrojů, jakož i propracovanějších 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 xml:space="preserve">pokynů pro 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>proces posuzování klimatické odolnosti v me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 xml:space="preserve">todických pokynech vypracovaných v rámci DLV5. </w:t>
      </w:r>
    </w:p>
    <w:p w:rsidR="00F43086" w:rsidRPr="008E4885" w:rsidRDefault="00F43086" w:rsidP="00F43086">
      <w:pPr>
        <w:rPr>
          <w:rFonts w:eastAsia="Times New Roman" w:cs="Times New Roman"/>
          <w:color w:val="000000" w:themeColor="text1"/>
          <w:lang w:val="cs-CZ" w:eastAsia="en-GB"/>
        </w:rPr>
      </w:pPr>
    </w:p>
    <w:p w:rsidR="00F87DD0" w:rsidRPr="008E4885" w:rsidRDefault="008E4885">
      <w:pPr>
        <w:spacing w:line="360" w:lineRule="auto"/>
        <w:rPr>
          <w:rFonts w:eastAsia="Times New Roman" w:cs="Times New Roman"/>
          <w:b/>
          <w:bCs/>
          <w:color w:val="000000" w:themeColor="text1"/>
          <w:lang w:val="cs-CZ" w:eastAsia="en-GB"/>
        </w:rPr>
      </w:pPr>
      <w:r w:rsidRPr="008E4885">
        <w:rPr>
          <w:rFonts w:eastAsia="Times New Roman" w:cs="Times New Roman"/>
          <w:b/>
          <w:bCs/>
          <w:color w:val="000000" w:themeColor="text1"/>
          <w:lang w:val="cs-CZ" w:eastAsia="en-GB"/>
        </w:rPr>
        <w:t xml:space="preserve">Výjimky </w:t>
      </w:r>
      <w:r w:rsidRPr="008E4885">
        <w:rPr>
          <w:rFonts w:eastAsia="Times New Roman" w:cs="Times New Roman"/>
          <w:b/>
          <w:bCs/>
          <w:color w:val="000000" w:themeColor="text1"/>
          <w:lang w:val="cs-CZ" w:eastAsia="en-GB"/>
        </w:rPr>
        <w:t>a investiční kategorie</w:t>
      </w:r>
    </w:p>
    <w:p w:rsidR="00F87DD0" w:rsidRPr="008E4885" w:rsidRDefault="008E4885">
      <w:pPr>
        <w:spacing w:line="360" w:lineRule="auto"/>
        <w:rPr>
          <w:lang w:val="cs-CZ"/>
        </w:rPr>
      </w:pPr>
      <w:r w:rsidRPr="008E4885">
        <w:rPr>
          <w:rFonts w:eastAsia="Times New Roman" w:cs="Times New Roman"/>
          <w:color w:val="000000" w:themeColor="text1"/>
          <w:lang w:val="cs-CZ" w:eastAsia="en-GB"/>
        </w:rPr>
        <w:t>Povaha některých nejvíce zastoupených kategorií napříč fondy a programy, které jsou v oblasti působnosti, se rovněž vyznačuje určitými výjimkami, omezeními a/nebo podmínkami, k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>teré je třeba zohlednit v procesu hodnocení DNSH (zejména ve fázi přípravy výzvy). Zejména, jak je rovněž uvedeno v příloze B, jsou povoleny investice do bydlení, pokud nesouvisejí s podporou energetické účinnosti nebo využívání obnovitelných zdrojů energi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>e (investiční kategorie: Budovy, Energie). Podobně jsou z oblasti působnosti vyloučeny investice do letištní infrastruktury (investiční kategorie: Infrastruktura) typu investice a odstraňování odpadů na skládkách (investiční kategorie: Zpracování a nakládá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>ní s odpady). Kromě toho podle odvětvových specifik v rámci Technických pokynů k CP, článek 3.2 (2021/C 373/01), projekty infrastruktury poháněné fosilními palivy nebo přepravující fosilní paliva, kde se vyžaduje zvláštní posouzení (kategorie investic: Inf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>rastruktura, Pořízení majetku (nákup vozidel))</w:t>
      </w:r>
      <w:r w:rsidRPr="008E4885">
        <w:rPr>
          <w:lang w:val="cs-CZ"/>
        </w:rPr>
        <w:t xml:space="preserve">. </w:t>
      </w:r>
    </w:p>
    <w:p w:rsidR="001508DA" w:rsidRPr="008E4885" w:rsidRDefault="001508DA">
      <w:pPr>
        <w:spacing w:after="200" w:line="276" w:lineRule="auto"/>
        <w:ind w:left="0"/>
        <w:rPr>
          <w:lang w:val="cs-CZ"/>
        </w:rPr>
      </w:pPr>
      <w:r w:rsidRPr="008E4885">
        <w:rPr>
          <w:lang w:val="cs-CZ"/>
        </w:rPr>
        <w:br w:type="page"/>
      </w:r>
    </w:p>
    <w:p w:rsidR="00F87DD0" w:rsidRPr="008E4885" w:rsidRDefault="008E4885">
      <w:pPr>
        <w:pStyle w:val="Nadpis1"/>
        <w:rPr>
          <w:lang w:val="cs-CZ"/>
        </w:rPr>
      </w:pPr>
      <w:bookmarkStart w:id="26" w:name="_Toc133944261"/>
      <w:r w:rsidRPr="008E4885">
        <w:rPr>
          <w:lang w:val="cs-CZ"/>
        </w:rPr>
        <w:lastRenderedPageBreak/>
        <w:t>Doporučení pro daný účel</w:t>
      </w:r>
      <w:bookmarkEnd w:id="26"/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 xml:space="preserve">Na základě výše uvedených zjištění a </w:t>
      </w:r>
      <w:r w:rsidR="3ADA0B19" w:rsidRPr="008E4885">
        <w:rPr>
          <w:lang w:val="cs-CZ"/>
        </w:rPr>
        <w:t xml:space="preserve">typů </w:t>
      </w:r>
      <w:r w:rsidRPr="008E4885">
        <w:rPr>
          <w:lang w:val="cs-CZ"/>
        </w:rPr>
        <w:t xml:space="preserve">a kategorií investic uvedených </w:t>
      </w:r>
      <w:r w:rsidR="00F707DF" w:rsidRPr="008E4885">
        <w:rPr>
          <w:lang w:val="cs-CZ"/>
        </w:rPr>
        <w:t xml:space="preserve">v předchozích částech, jakož i </w:t>
      </w:r>
      <w:r w:rsidRPr="008E4885">
        <w:rPr>
          <w:lang w:val="cs-CZ"/>
        </w:rPr>
        <w:t xml:space="preserve">poznatků získaných v </w:t>
      </w:r>
      <w:r w:rsidR="00F707DF" w:rsidRPr="008E4885">
        <w:rPr>
          <w:lang w:val="cs-CZ"/>
        </w:rPr>
        <w:t xml:space="preserve">rámci </w:t>
      </w:r>
      <w:r w:rsidRPr="008E4885">
        <w:rPr>
          <w:lang w:val="cs-CZ"/>
        </w:rPr>
        <w:t>předchozích výstupů, sestavil projektový tým soub</w:t>
      </w:r>
      <w:r w:rsidRPr="008E4885">
        <w:rPr>
          <w:lang w:val="cs-CZ"/>
        </w:rPr>
        <w:t xml:space="preserve">or doporučení vhodných pro daný účel. Tato doporučení se konkrétně zaměřují na přístup a strukturu metodických pokynů, které budou vypracovány jako součást DLV5 a/nebo mohou být zváženy pro případné </w:t>
      </w:r>
      <w:r w:rsidR="00513705" w:rsidRPr="008E4885">
        <w:rPr>
          <w:lang w:val="cs-CZ"/>
        </w:rPr>
        <w:t xml:space="preserve">propojení a revize </w:t>
      </w:r>
      <w:r w:rsidRPr="008E4885">
        <w:rPr>
          <w:lang w:val="cs-CZ"/>
        </w:rPr>
        <w:t>stávajících pokynů na národní úrovni k</w:t>
      </w:r>
      <w:r w:rsidRPr="008E4885">
        <w:rPr>
          <w:lang w:val="cs-CZ"/>
        </w:rPr>
        <w:t xml:space="preserve"> uplatňování zásady DNSH a posuzování CP. Kromě toho </w:t>
      </w:r>
      <w:r w:rsidR="00B025F4" w:rsidRPr="008E4885">
        <w:rPr>
          <w:lang w:val="cs-CZ"/>
        </w:rPr>
        <w:t xml:space="preserve">se </w:t>
      </w:r>
      <w:r w:rsidR="001A348C" w:rsidRPr="008E4885">
        <w:rPr>
          <w:lang w:val="cs-CZ"/>
        </w:rPr>
        <w:t xml:space="preserve">doporučení v příslušných případech vztahují ke konkrétním částem </w:t>
      </w:r>
      <w:r w:rsidR="008D63C2" w:rsidRPr="008E4885">
        <w:rPr>
          <w:lang w:val="cs-CZ"/>
        </w:rPr>
        <w:t>již existujících metodických dokumentů k DNSH v ČR, převážně se zaměřením na rámcový metodický pokyn pro uplatňování zásady DNSH a posuzování CP vypracovaný MŽP</w:t>
      </w:r>
      <w:r w:rsidR="00B025F4" w:rsidRPr="008E4885">
        <w:rPr>
          <w:lang w:val="cs-CZ"/>
        </w:rPr>
        <w:t xml:space="preserve">. </w:t>
      </w:r>
      <w:r w:rsidR="006B4D9F" w:rsidRPr="008E4885">
        <w:rPr>
          <w:lang w:val="cs-CZ"/>
        </w:rPr>
        <w:t xml:space="preserve">Důvodem je skutečnost, že metodický pokyn pro uplatňování principu DNSH vypracovaný </w:t>
      </w:r>
      <w:r w:rsidR="008D63C2" w:rsidRPr="008E4885">
        <w:rPr>
          <w:lang w:val="cs-CZ"/>
        </w:rPr>
        <w:t xml:space="preserve">MPO </w:t>
      </w:r>
      <w:r w:rsidR="006B4D9F" w:rsidRPr="008E4885">
        <w:rPr>
          <w:lang w:val="cs-CZ"/>
        </w:rPr>
        <w:t xml:space="preserve">obsahuje </w:t>
      </w:r>
      <w:r w:rsidR="008D63C2" w:rsidRPr="008E4885">
        <w:rPr>
          <w:lang w:val="cs-CZ"/>
        </w:rPr>
        <w:t xml:space="preserve">pouze </w:t>
      </w:r>
      <w:r w:rsidR="00B025F4" w:rsidRPr="008E4885">
        <w:rPr>
          <w:lang w:val="cs-CZ"/>
        </w:rPr>
        <w:t xml:space="preserve">pokyny pro RRF a </w:t>
      </w:r>
      <w:r w:rsidR="006B4D9F" w:rsidRPr="008E4885">
        <w:rPr>
          <w:lang w:val="cs-CZ"/>
        </w:rPr>
        <w:t xml:space="preserve">nezahrnuje fondy politiky soudržnosti ani </w:t>
      </w:r>
      <w:proofErr w:type="spellStart"/>
      <w:r w:rsidR="006B4D9F" w:rsidRPr="008E4885">
        <w:rPr>
          <w:lang w:val="cs-CZ"/>
        </w:rPr>
        <w:t>InvestEU</w:t>
      </w:r>
      <w:proofErr w:type="spellEnd"/>
      <w:r w:rsidR="006B4D9F" w:rsidRPr="008E4885">
        <w:rPr>
          <w:lang w:val="cs-CZ"/>
        </w:rPr>
        <w:t xml:space="preserve">. </w:t>
      </w:r>
      <w:r w:rsidR="3C56B582" w:rsidRPr="008E4885">
        <w:rPr>
          <w:lang w:val="cs-CZ"/>
        </w:rPr>
        <w:t xml:space="preserve">Soubor </w:t>
      </w:r>
      <w:r w:rsidR="00862277" w:rsidRPr="008E4885">
        <w:rPr>
          <w:lang w:val="cs-CZ"/>
        </w:rPr>
        <w:t xml:space="preserve">hlavních doporučení bude uveden v následujících oddílech. </w:t>
      </w:r>
    </w:p>
    <w:p w:rsidR="00EB0046" w:rsidRPr="008E4885" w:rsidRDefault="00EB0046" w:rsidP="00B6521E">
      <w:pPr>
        <w:rPr>
          <w:lang w:val="cs-CZ"/>
        </w:rPr>
      </w:pPr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 xml:space="preserve">Ty </w:t>
      </w:r>
      <w:r w:rsidR="11EF77BF" w:rsidRPr="008E4885">
        <w:rPr>
          <w:lang w:val="cs-CZ"/>
        </w:rPr>
        <w:t xml:space="preserve">lze rozdělit do </w:t>
      </w:r>
      <w:r w:rsidRPr="008E4885">
        <w:rPr>
          <w:lang w:val="cs-CZ"/>
        </w:rPr>
        <w:t>následujících</w:t>
      </w:r>
      <w:r w:rsidR="11EF77BF" w:rsidRPr="008E4885">
        <w:rPr>
          <w:lang w:val="cs-CZ"/>
        </w:rPr>
        <w:t xml:space="preserve"> kategorií:</w:t>
      </w:r>
    </w:p>
    <w:p w:rsidR="00F87DD0" w:rsidRPr="008E4885" w:rsidRDefault="008E4885">
      <w:pPr>
        <w:pStyle w:val="Odstavecseseznamem"/>
        <w:numPr>
          <w:ilvl w:val="0"/>
          <w:numId w:val="14"/>
        </w:numPr>
        <w:rPr>
          <w:lang w:val="cs-CZ"/>
        </w:rPr>
      </w:pPr>
      <w:r w:rsidRPr="008E4885">
        <w:rPr>
          <w:lang w:val="cs-CZ"/>
        </w:rPr>
        <w:t>Podklad pro doporučení týkající se struktury a přístupu k poradenství</w:t>
      </w:r>
    </w:p>
    <w:p w:rsidR="00F87DD0" w:rsidRPr="008E4885" w:rsidRDefault="008E4885">
      <w:pPr>
        <w:pStyle w:val="Odstavecseseznamem"/>
        <w:numPr>
          <w:ilvl w:val="0"/>
          <w:numId w:val="14"/>
        </w:numPr>
        <w:rPr>
          <w:lang w:val="cs-CZ"/>
        </w:rPr>
      </w:pPr>
      <w:r w:rsidRPr="008E4885">
        <w:rPr>
          <w:lang w:val="cs-CZ"/>
        </w:rPr>
        <w:t>Doporučení k obsahu a srozumitelnosti pokynů</w:t>
      </w:r>
      <w:r w:rsidR="00D80820" w:rsidRPr="008E4885">
        <w:rPr>
          <w:lang w:val="cs-CZ"/>
        </w:rPr>
        <w:br/>
      </w:r>
    </w:p>
    <w:p w:rsidR="00F87DD0" w:rsidRPr="008E4885" w:rsidRDefault="0EAD0BD2">
      <w:pPr>
        <w:rPr>
          <w:lang w:val="cs-CZ"/>
        </w:rPr>
      </w:pPr>
      <w:r w:rsidRPr="008E4885">
        <w:rPr>
          <w:lang w:val="cs-CZ"/>
        </w:rPr>
        <w:t xml:space="preserve">V následujících oddílech jsou </w:t>
      </w:r>
      <w:r w:rsidR="7347C7BA" w:rsidRPr="008E4885">
        <w:rPr>
          <w:lang w:val="cs-CZ"/>
        </w:rPr>
        <w:t>doporučení</w:t>
      </w:r>
      <w:r w:rsidRPr="008E4885">
        <w:rPr>
          <w:lang w:val="cs-CZ"/>
        </w:rPr>
        <w:t xml:space="preserve"> popsána </w:t>
      </w:r>
      <w:r w:rsidR="45BA4F6D" w:rsidRPr="008E4885">
        <w:rPr>
          <w:lang w:val="cs-CZ"/>
        </w:rPr>
        <w:t>podrobněji.</w:t>
      </w:r>
    </w:p>
    <w:p w:rsidR="00EB0046" w:rsidRPr="008E4885" w:rsidRDefault="00EB0046" w:rsidP="232E7DD7">
      <w:pPr>
        <w:rPr>
          <w:lang w:val="cs-CZ"/>
        </w:rPr>
      </w:pPr>
    </w:p>
    <w:p w:rsidR="00F87DD0" w:rsidRPr="008E4885" w:rsidRDefault="008E4885">
      <w:pPr>
        <w:pStyle w:val="Nadpis2"/>
        <w:ind w:left="567" w:firstLine="0"/>
        <w:rPr>
          <w:lang w:val="cs-CZ"/>
        </w:rPr>
      </w:pPr>
      <w:bookmarkStart w:id="27" w:name="_Toc133944262"/>
      <w:r w:rsidRPr="008E4885">
        <w:rPr>
          <w:lang w:val="cs-CZ"/>
        </w:rPr>
        <w:t xml:space="preserve">Podklad pro </w:t>
      </w:r>
      <w:r w:rsidR="3952D83D" w:rsidRPr="008E4885">
        <w:rPr>
          <w:lang w:val="cs-CZ"/>
        </w:rPr>
        <w:t xml:space="preserve">doporučení </w:t>
      </w:r>
      <w:r w:rsidR="61D17941" w:rsidRPr="008E4885">
        <w:rPr>
          <w:lang w:val="cs-CZ"/>
        </w:rPr>
        <w:t>týkající se struktury a přístupu k poradenství</w:t>
      </w:r>
      <w:bookmarkEnd w:id="27"/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 xml:space="preserve">Projektový tým </w:t>
      </w:r>
      <w:r w:rsidR="688A0F84" w:rsidRPr="008E4885">
        <w:rPr>
          <w:lang w:val="cs-CZ"/>
        </w:rPr>
        <w:t xml:space="preserve">doporučuje </w:t>
      </w:r>
      <w:r w:rsidR="005F7469" w:rsidRPr="008E4885">
        <w:rPr>
          <w:lang w:val="cs-CZ"/>
        </w:rPr>
        <w:t xml:space="preserve">dodržet </w:t>
      </w:r>
      <w:r w:rsidR="6C22649C" w:rsidRPr="008E4885">
        <w:rPr>
          <w:lang w:val="cs-CZ"/>
        </w:rPr>
        <w:t xml:space="preserve">a </w:t>
      </w:r>
      <w:r w:rsidR="005F7469" w:rsidRPr="008E4885">
        <w:rPr>
          <w:lang w:val="cs-CZ"/>
        </w:rPr>
        <w:t>začlenit</w:t>
      </w:r>
      <w:r w:rsidR="6C22649C" w:rsidRPr="008E4885">
        <w:rPr>
          <w:lang w:val="cs-CZ"/>
        </w:rPr>
        <w:t xml:space="preserve"> do </w:t>
      </w:r>
      <w:r w:rsidR="2CD1F32A" w:rsidRPr="008E4885">
        <w:rPr>
          <w:lang w:val="cs-CZ"/>
        </w:rPr>
        <w:t xml:space="preserve">metodického pokynu </w:t>
      </w:r>
      <w:r w:rsidR="40A3017A" w:rsidRPr="008E4885">
        <w:rPr>
          <w:lang w:val="cs-CZ"/>
        </w:rPr>
        <w:t xml:space="preserve">níže uvedený </w:t>
      </w:r>
      <w:r w:rsidR="3A0253EC" w:rsidRPr="008E4885">
        <w:rPr>
          <w:lang w:val="cs-CZ"/>
        </w:rPr>
        <w:t xml:space="preserve">formát a přístup ke </w:t>
      </w:r>
      <w:r w:rsidR="2CD1F32A" w:rsidRPr="008E4885">
        <w:rPr>
          <w:lang w:val="cs-CZ"/>
        </w:rPr>
        <w:t xml:space="preserve">strukturování kroků pro </w:t>
      </w:r>
      <w:r w:rsidR="40A3017A" w:rsidRPr="008E4885">
        <w:rPr>
          <w:lang w:val="cs-CZ"/>
        </w:rPr>
        <w:t>uplatňování zásady DNSH.</w:t>
      </w:r>
    </w:p>
    <w:p w:rsidR="006920E6" w:rsidRPr="008E4885" w:rsidRDefault="006920E6" w:rsidP="00147417">
      <w:pPr>
        <w:ind w:left="0"/>
        <w:rPr>
          <w:lang w:val="cs-CZ"/>
        </w:rPr>
      </w:pPr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 xml:space="preserve">Podrobnější </w:t>
      </w:r>
      <w:r w:rsidR="00E76FB6" w:rsidRPr="008E4885">
        <w:rPr>
          <w:lang w:val="cs-CZ"/>
        </w:rPr>
        <w:t xml:space="preserve">zdůvodnění </w:t>
      </w:r>
      <w:r w:rsidR="009D6848" w:rsidRPr="008E4885">
        <w:rPr>
          <w:lang w:val="cs-CZ"/>
        </w:rPr>
        <w:t xml:space="preserve">poskytnutých doporučení k </w:t>
      </w:r>
      <w:r w:rsidR="00E76FB6" w:rsidRPr="008E4885">
        <w:rPr>
          <w:lang w:val="cs-CZ"/>
        </w:rPr>
        <w:t>použití tohoto přístupu je následující:</w:t>
      </w:r>
    </w:p>
    <w:p w:rsidR="00E76FB6" w:rsidRPr="008E4885" w:rsidRDefault="00E76FB6" w:rsidP="00E76FB6">
      <w:pPr>
        <w:rPr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b/>
          <w:bCs/>
          <w:lang w:val="cs-CZ"/>
        </w:rPr>
        <w:t xml:space="preserve">Zjištění z podpory ad hoc </w:t>
      </w:r>
      <w:r w:rsidRPr="008E4885">
        <w:rPr>
          <w:lang w:val="cs-CZ"/>
        </w:rPr>
        <w:t xml:space="preserve">- Na </w:t>
      </w:r>
      <w:r w:rsidR="006F6959" w:rsidRPr="008E4885">
        <w:rPr>
          <w:lang w:val="cs-CZ"/>
        </w:rPr>
        <w:t xml:space="preserve">základě analýzy v DLV2 a konkrétních žádostí </w:t>
      </w:r>
      <w:r w:rsidR="00017020" w:rsidRPr="008E4885">
        <w:rPr>
          <w:lang w:val="cs-CZ"/>
        </w:rPr>
        <w:t xml:space="preserve">obdržených </w:t>
      </w:r>
      <w:r w:rsidR="009D6848" w:rsidRPr="008E4885">
        <w:rPr>
          <w:lang w:val="cs-CZ"/>
        </w:rPr>
        <w:t xml:space="preserve">zejména v </w:t>
      </w:r>
      <w:r w:rsidR="00017020" w:rsidRPr="008E4885">
        <w:rPr>
          <w:lang w:val="cs-CZ"/>
        </w:rPr>
        <w:t xml:space="preserve">rámci </w:t>
      </w:r>
      <w:r w:rsidR="006F6959" w:rsidRPr="008E4885">
        <w:rPr>
          <w:lang w:val="cs-CZ"/>
        </w:rPr>
        <w:t xml:space="preserve">podpory ad hoc konzultací </w:t>
      </w:r>
      <w:r w:rsidR="00DB136E" w:rsidRPr="008E4885">
        <w:rPr>
          <w:lang w:val="cs-CZ"/>
        </w:rPr>
        <w:t>se ukáz</w:t>
      </w:r>
      <w:r w:rsidRPr="008E4885">
        <w:rPr>
          <w:lang w:val="cs-CZ"/>
        </w:rPr>
        <w:t xml:space="preserve">alo, </w:t>
      </w:r>
      <w:r w:rsidRPr="008E4885">
        <w:rPr>
          <w:lang w:val="cs-CZ"/>
        </w:rPr>
        <w:t xml:space="preserve">že hlavní problémy a výzvy týkající </w:t>
      </w:r>
      <w:r w:rsidR="009D6848" w:rsidRPr="008E4885">
        <w:rPr>
          <w:lang w:val="cs-CZ"/>
        </w:rPr>
        <w:t xml:space="preserve">se </w:t>
      </w:r>
      <w:r w:rsidRPr="008E4885">
        <w:rPr>
          <w:lang w:val="cs-CZ"/>
        </w:rPr>
        <w:t xml:space="preserve">investic </w:t>
      </w:r>
      <w:r w:rsidR="009F5586" w:rsidRPr="008E4885">
        <w:rPr>
          <w:lang w:val="cs-CZ"/>
        </w:rPr>
        <w:t xml:space="preserve">nevyplývají z </w:t>
      </w:r>
      <w:r w:rsidRPr="008E4885">
        <w:rPr>
          <w:lang w:val="cs-CZ"/>
        </w:rPr>
        <w:t>konkrétních typů investic a odvětvových kategorií investic</w:t>
      </w:r>
      <w:r w:rsidR="2DCEC4BE" w:rsidRPr="008E4885">
        <w:rPr>
          <w:lang w:val="cs-CZ"/>
        </w:rPr>
        <w:t xml:space="preserve">, </w:t>
      </w:r>
      <w:r w:rsidRPr="008E4885">
        <w:rPr>
          <w:lang w:val="cs-CZ"/>
        </w:rPr>
        <w:t>ale spíše z nepochopení a neúplného výkladu procesu a požadavků stanovených v pokynech a nařízeních na úrovni EU.</w:t>
      </w:r>
      <w:r w:rsidR="00915A51" w:rsidRPr="008E4885">
        <w:rPr>
          <w:lang w:val="cs-CZ"/>
        </w:rPr>
        <w:t xml:space="preserve"> Kromě toho, jak uvedly některé orgány programu, je to způsobeno také určitou mírou nejednoznačnosti a nejednotnosti při vysvětlování praktického uplatňování daných nařízení EU. Na </w:t>
      </w:r>
      <w:r w:rsidRPr="008E4885">
        <w:rPr>
          <w:lang w:val="cs-CZ"/>
        </w:rPr>
        <w:t xml:space="preserve">základě tohoto zjištění projektový tým </w:t>
      </w:r>
      <w:r w:rsidR="00F03E63" w:rsidRPr="008E4885">
        <w:rPr>
          <w:lang w:val="cs-CZ"/>
        </w:rPr>
        <w:t xml:space="preserve">doporučuje </w:t>
      </w:r>
      <w:r w:rsidR="00774CB3" w:rsidRPr="008E4885">
        <w:rPr>
          <w:lang w:val="cs-CZ"/>
        </w:rPr>
        <w:t xml:space="preserve">buď </w:t>
      </w:r>
      <w:r w:rsidR="007F5BA6" w:rsidRPr="008E4885">
        <w:rPr>
          <w:lang w:val="cs-CZ"/>
        </w:rPr>
        <w:t xml:space="preserve">vypracovat, nebo </w:t>
      </w:r>
      <w:r w:rsidR="00505794" w:rsidRPr="008E4885">
        <w:rPr>
          <w:lang w:val="cs-CZ"/>
        </w:rPr>
        <w:t>upravit stávající pokyny způsobem</w:t>
      </w:r>
      <w:r w:rsidRPr="008E4885">
        <w:rPr>
          <w:lang w:val="cs-CZ"/>
        </w:rPr>
        <w:t xml:space="preserve">, který by </w:t>
      </w:r>
      <w:r w:rsidR="081D6B41" w:rsidRPr="008E4885">
        <w:rPr>
          <w:lang w:val="cs-CZ"/>
        </w:rPr>
        <w:t xml:space="preserve">řešil </w:t>
      </w:r>
      <w:r w:rsidRPr="008E4885">
        <w:rPr>
          <w:lang w:val="cs-CZ"/>
        </w:rPr>
        <w:t xml:space="preserve">celé spektrum možných situací napříč různými programy a/nebo složkami, </w:t>
      </w:r>
      <w:r w:rsidR="4F383CB2" w:rsidRPr="008E4885">
        <w:rPr>
          <w:lang w:val="cs-CZ"/>
        </w:rPr>
        <w:t xml:space="preserve">a </w:t>
      </w:r>
      <w:r w:rsidRPr="008E4885">
        <w:rPr>
          <w:lang w:val="cs-CZ"/>
        </w:rPr>
        <w:t xml:space="preserve">přinesl tak uživateli co největší hodnotu. </w:t>
      </w:r>
    </w:p>
    <w:p w:rsidR="00E76FB6" w:rsidRPr="008E4885" w:rsidRDefault="00E76FB6" w:rsidP="00E76FB6">
      <w:pPr>
        <w:rPr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b/>
          <w:bCs/>
          <w:lang w:val="cs-CZ"/>
        </w:rPr>
        <w:t xml:space="preserve">Praktičnost </w:t>
      </w:r>
      <w:r w:rsidRPr="008E4885">
        <w:rPr>
          <w:lang w:val="cs-CZ"/>
        </w:rPr>
        <w:t xml:space="preserve">- doporučený přístup představuje možné </w:t>
      </w:r>
      <w:r w:rsidR="007C7CE9" w:rsidRPr="008E4885">
        <w:rPr>
          <w:lang w:val="cs-CZ"/>
        </w:rPr>
        <w:t xml:space="preserve">varianty </w:t>
      </w:r>
      <w:r w:rsidRPr="008E4885">
        <w:rPr>
          <w:lang w:val="cs-CZ"/>
        </w:rPr>
        <w:t xml:space="preserve">pro různé </w:t>
      </w:r>
      <w:r w:rsidR="00EF6EB6" w:rsidRPr="008E4885">
        <w:rPr>
          <w:lang w:val="cs-CZ"/>
        </w:rPr>
        <w:t xml:space="preserve">fáze </w:t>
      </w:r>
      <w:r w:rsidRPr="008E4885">
        <w:rPr>
          <w:lang w:val="cs-CZ"/>
        </w:rPr>
        <w:t>aplikace DNSH a již nyní může vytvořit</w:t>
      </w:r>
      <w:r w:rsidRPr="008E4885">
        <w:rPr>
          <w:lang w:val="cs-CZ"/>
        </w:rPr>
        <w:t xml:space="preserve"> pevný základ pro strukturu a formát metodického pokynu (DLV5), který bude </w:t>
      </w:r>
      <w:r w:rsidR="00BF1743" w:rsidRPr="008E4885">
        <w:rPr>
          <w:lang w:val="cs-CZ"/>
        </w:rPr>
        <w:t xml:space="preserve">dále doplněn </w:t>
      </w:r>
      <w:r w:rsidR="002D023B" w:rsidRPr="008E4885">
        <w:rPr>
          <w:lang w:val="cs-CZ"/>
        </w:rPr>
        <w:t xml:space="preserve">o </w:t>
      </w:r>
      <w:r w:rsidRPr="008E4885">
        <w:rPr>
          <w:lang w:val="cs-CZ"/>
        </w:rPr>
        <w:t xml:space="preserve">vizuální prvky, jako jsou rozhodovací stromy </w:t>
      </w:r>
      <w:r w:rsidR="002D023B" w:rsidRPr="008E4885">
        <w:rPr>
          <w:lang w:val="cs-CZ"/>
        </w:rPr>
        <w:t xml:space="preserve">a diagramy, aby byla zajištěna </w:t>
      </w:r>
      <w:r w:rsidR="002B74F3" w:rsidRPr="008E4885">
        <w:rPr>
          <w:lang w:val="cs-CZ"/>
        </w:rPr>
        <w:t>lepší použitelnost</w:t>
      </w:r>
      <w:r w:rsidRPr="008E4885">
        <w:rPr>
          <w:lang w:val="cs-CZ"/>
        </w:rPr>
        <w:t xml:space="preserve">. </w:t>
      </w:r>
      <w:r w:rsidR="00C67748" w:rsidRPr="008E4885">
        <w:rPr>
          <w:lang w:val="cs-CZ"/>
        </w:rPr>
        <w:t xml:space="preserve">Stejně tak </w:t>
      </w:r>
      <w:r w:rsidR="00606174" w:rsidRPr="008E4885">
        <w:rPr>
          <w:lang w:val="cs-CZ"/>
        </w:rPr>
        <w:t xml:space="preserve">bude </w:t>
      </w:r>
      <w:r w:rsidR="00C67748" w:rsidRPr="008E4885">
        <w:rPr>
          <w:lang w:val="cs-CZ"/>
        </w:rPr>
        <w:t xml:space="preserve">tento </w:t>
      </w:r>
      <w:r w:rsidR="00331D8C" w:rsidRPr="008E4885">
        <w:rPr>
          <w:lang w:val="cs-CZ"/>
        </w:rPr>
        <w:t xml:space="preserve">přístup </w:t>
      </w:r>
      <w:r w:rsidR="00606174" w:rsidRPr="008E4885">
        <w:rPr>
          <w:lang w:val="cs-CZ"/>
        </w:rPr>
        <w:t xml:space="preserve">použit v </w:t>
      </w:r>
      <w:r w:rsidR="00CC3289" w:rsidRPr="008E4885">
        <w:rPr>
          <w:lang w:val="cs-CZ"/>
        </w:rPr>
        <w:t xml:space="preserve">pilotní fázi testování, která v současné době probíhá v rámci projektu TSI, </w:t>
      </w:r>
      <w:r w:rsidR="00B16EBF" w:rsidRPr="008E4885">
        <w:rPr>
          <w:lang w:val="cs-CZ"/>
        </w:rPr>
        <w:t xml:space="preserve">a </w:t>
      </w:r>
      <w:r w:rsidR="346D7065" w:rsidRPr="008E4885">
        <w:rPr>
          <w:lang w:val="cs-CZ"/>
        </w:rPr>
        <w:t xml:space="preserve">může </w:t>
      </w:r>
      <w:r w:rsidR="00B16EBF" w:rsidRPr="008E4885">
        <w:rPr>
          <w:lang w:val="cs-CZ"/>
        </w:rPr>
        <w:t xml:space="preserve">tak být </w:t>
      </w:r>
      <w:r w:rsidR="00E35169" w:rsidRPr="008E4885">
        <w:rPr>
          <w:lang w:val="cs-CZ"/>
        </w:rPr>
        <w:t xml:space="preserve">ověřen z hlediska </w:t>
      </w:r>
      <w:r w:rsidRPr="008E4885">
        <w:rPr>
          <w:lang w:val="cs-CZ"/>
        </w:rPr>
        <w:t xml:space="preserve">použitelnosti a praktičnosti </w:t>
      </w:r>
      <w:r w:rsidR="146C30C1" w:rsidRPr="008E4885">
        <w:rPr>
          <w:lang w:val="cs-CZ"/>
        </w:rPr>
        <w:t xml:space="preserve">- </w:t>
      </w:r>
      <w:r w:rsidR="00E35169" w:rsidRPr="008E4885">
        <w:rPr>
          <w:lang w:val="cs-CZ"/>
        </w:rPr>
        <w:t xml:space="preserve">předtím, než bude </w:t>
      </w:r>
      <w:r w:rsidR="008C5A64" w:rsidRPr="008E4885">
        <w:rPr>
          <w:lang w:val="cs-CZ"/>
        </w:rPr>
        <w:t xml:space="preserve">aplikován na vývoj metodického pokynu </w:t>
      </w:r>
      <w:r w:rsidR="00273105" w:rsidRPr="008E4885">
        <w:rPr>
          <w:lang w:val="cs-CZ"/>
        </w:rPr>
        <w:t xml:space="preserve">nebo </w:t>
      </w:r>
      <w:r w:rsidR="00721179" w:rsidRPr="008E4885">
        <w:rPr>
          <w:lang w:val="cs-CZ"/>
        </w:rPr>
        <w:t xml:space="preserve">použit jako základ pro revize, které doplní stávající </w:t>
      </w:r>
      <w:r w:rsidR="008C5A64" w:rsidRPr="008E4885">
        <w:rPr>
          <w:lang w:val="cs-CZ"/>
        </w:rPr>
        <w:t xml:space="preserve">pokyny, aby se </w:t>
      </w:r>
      <w:r w:rsidR="00DE5FDA" w:rsidRPr="008E4885">
        <w:rPr>
          <w:lang w:val="cs-CZ"/>
        </w:rPr>
        <w:t>zvýšila srozumitelnost a použitelnost stávajícího pokynu, který se v současné době používá.</w:t>
      </w:r>
    </w:p>
    <w:p w:rsidR="00E76FB6" w:rsidRPr="008E4885" w:rsidRDefault="00E76FB6" w:rsidP="00E76FB6">
      <w:pPr>
        <w:rPr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9"/>
        </w:numPr>
        <w:rPr>
          <w:lang w:val="cs-CZ"/>
        </w:rPr>
      </w:pPr>
      <w:r w:rsidRPr="008E4885">
        <w:rPr>
          <w:b/>
          <w:bCs/>
          <w:lang w:val="cs-CZ"/>
        </w:rPr>
        <w:lastRenderedPageBreak/>
        <w:t xml:space="preserve">Zahrnutí různých </w:t>
      </w:r>
      <w:r w:rsidR="004F679E" w:rsidRPr="008E4885">
        <w:rPr>
          <w:b/>
          <w:bCs/>
          <w:lang w:val="cs-CZ"/>
        </w:rPr>
        <w:t xml:space="preserve">fází </w:t>
      </w:r>
      <w:r w:rsidR="005E7D9E" w:rsidRPr="008E4885">
        <w:rPr>
          <w:b/>
          <w:bCs/>
          <w:lang w:val="cs-CZ"/>
        </w:rPr>
        <w:t xml:space="preserve">aplikace DNSH </w:t>
      </w:r>
      <w:r w:rsidRPr="008E4885">
        <w:rPr>
          <w:lang w:val="cs-CZ"/>
        </w:rPr>
        <w:t xml:space="preserve">- doporučený </w:t>
      </w:r>
      <w:r w:rsidR="005E7D9E" w:rsidRPr="008E4885">
        <w:rPr>
          <w:lang w:val="cs-CZ"/>
        </w:rPr>
        <w:t xml:space="preserve">etapový </w:t>
      </w:r>
      <w:r w:rsidRPr="008E4885">
        <w:rPr>
          <w:lang w:val="cs-CZ"/>
        </w:rPr>
        <w:t xml:space="preserve">přístup ke </w:t>
      </w:r>
      <w:r w:rsidR="008E38C7" w:rsidRPr="008E4885">
        <w:rPr>
          <w:lang w:val="cs-CZ"/>
        </w:rPr>
        <w:t xml:space="preserve">strukturování pokynů DNSH </w:t>
      </w:r>
      <w:r w:rsidRPr="008E4885">
        <w:rPr>
          <w:lang w:val="cs-CZ"/>
        </w:rPr>
        <w:t>zahrnuje různé úvahy (tj. parametry), které mohou přímo ovlivnit poža</w:t>
      </w:r>
      <w:r w:rsidRPr="008E4885">
        <w:rPr>
          <w:lang w:val="cs-CZ"/>
        </w:rPr>
        <w:t xml:space="preserve">davky a proces posuzování DNSH, a </w:t>
      </w:r>
      <w:r w:rsidR="28ECA402" w:rsidRPr="008E4885">
        <w:rPr>
          <w:lang w:val="cs-CZ"/>
        </w:rPr>
        <w:t xml:space="preserve">lze je </w:t>
      </w:r>
      <w:r w:rsidRPr="008E4885">
        <w:rPr>
          <w:lang w:val="cs-CZ"/>
        </w:rPr>
        <w:t xml:space="preserve">proto dodržovat jako postup krok za krokem při </w:t>
      </w:r>
      <w:r w:rsidR="007D29C8" w:rsidRPr="008E4885">
        <w:rPr>
          <w:lang w:val="cs-CZ"/>
        </w:rPr>
        <w:t>posuzování různých typů investic a intervencí</w:t>
      </w:r>
      <w:r w:rsidRPr="008E4885">
        <w:rPr>
          <w:lang w:val="cs-CZ"/>
        </w:rPr>
        <w:t xml:space="preserve">. </w:t>
      </w:r>
      <w:r w:rsidR="00282493" w:rsidRPr="008E4885">
        <w:rPr>
          <w:lang w:val="cs-CZ"/>
        </w:rPr>
        <w:t>To umožňuje efektivněji dosáhnout cílů DLV4, neboť vede ke konkrétní analýze toho, co je třeba k překonání specifických investičních problémů. Navrhujeme tedy zvážit, kdy (tj. ve které fázi) by se měly řešit specifické investiční výzvy.</w:t>
      </w:r>
    </w:p>
    <w:p w:rsidR="00E76FB6" w:rsidRPr="008E4885" w:rsidRDefault="00E76FB6" w:rsidP="001508DA">
      <w:pPr>
        <w:rPr>
          <w:lang w:val="cs-CZ"/>
        </w:rPr>
      </w:pPr>
    </w:p>
    <w:p w:rsidR="00F87DD0" w:rsidRPr="008E4885" w:rsidRDefault="008E4885">
      <w:pPr>
        <w:pStyle w:val="Nadpis2"/>
        <w:ind w:left="567"/>
        <w:rPr>
          <w:lang w:val="cs-CZ"/>
        </w:rPr>
      </w:pPr>
      <w:bookmarkStart w:id="28" w:name="_Toc133944263"/>
      <w:r w:rsidRPr="008E4885">
        <w:rPr>
          <w:lang w:val="cs-CZ"/>
        </w:rPr>
        <w:t xml:space="preserve">Doporučené </w:t>
      </w:r>
      <w:r w:rsidR="1678269D" w:rsidRPr="008E4885">
        <w:rPr>
          <w:lang w:val="cs-CZ"/>
        </w:rPr>
        <w:t xml:space="preserve">kroky </w:t>
      </w:r>
      <w:r w:rsidR="7D3B4D1A" w:rsidRPr="008E4885">
        <w:rPr>
          <w:lang w:val="cs-CZ"/>
        </w:rPr>
        <w:t xml:space="preserve">hodnocení </w:t>
      </w:r>
      <w:r w:rsidR="13F65C23" w:rsidRPr="008E4885">
        <w:rPr>
          <w:lang w:val="cs-CZ"/>
        </w:rPr>
        <w:t>DNSH</w:t>
      </w:r>
      <w:bookmarkEnd w:id="28"/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>Výše uvedená analýza typů a kategorií investic sice poskytuje ucelený přehled o hlavních oblastech a plánov</w:t>
      </w:r>
      <w:r w:rsidRPr="008E4885">
        <w:rPr>
          <w:lang w:val="cs-CZ"/>
        </w:rPr>
        <w:t xml:space="preserve">aných investicích a intervencích ve finančním období 2021-2027, ale není to typ investice/intervence nebo kategorie investice, která explicitně stanovuje požadavky a postup pro posouzení DNSH. Jinými slovy, financovaná oblast, sektor a příslušné typy akcí </w:t>
      </w:r>
      <w:r w:rsidRPr="008E4885">
        <w:rPr>
          <w:lang w:val="cs-CZ"/>
        </w:rPr>
        <w:t xml:space="preserve">sice mohou ovlivnit složitost posouzení a požadavky na DNSH, nepředstavují však společný jmenovatel, který by přímo měnil přístup k žádosti o DNSH nebo měnil kroky při posuzování. Naopak, přesný postup pro uplatnění principu DNSH bude záviset na kombinaci </w:t>
      </w:r>
      <w:r w:rsidR="00C936F4" w:rsidRPr="008E4885">
        <w:rPr>
          <w:lang w:val="cs-CZ"/>
        </w:rPr>
        <w:t xml:space="preserve">různých </w:t>
      </w:r>
      <w:r w:rsidRPr="008E4885">
        <w:rPr>
          <w:lang w:val="cs-CZ"/>
        </w:rPr>
        <w:t xml:space="preserve">parametrů (např. zdroj finančních prostředků, dostupnost TSK atd.), které mají přímý dopad jak na kroky procesu posuzování, tak na požadavky DNSH. Z tohoto důvodu, aby byla zajištěna soudržnost a použitelnost metodických pokynů ve všech programech </w:t>
      </w:r>
      <w:r w:rsidRPr="008E4885">
        <w:rPr>
          <w:lang w:val="cs-CZ"/>
        </w:rPr>
        <w:t xml:space="preserve">a fondech, doporučujeme používat přístup strukturovaný podle hlavních fází procesu hodnocení s jasným uvedením toho, jak </w:t>
      </w:r>
      <w:r w:rsidR="00FD2558" w:rsidRPr="008E4885">
        <w:rPr>
          <w:lang w:val="cs-CZ"/>
        </w:rPr>
        <w:t xml:space="preserve">konkrétní </w:t>
      </w:r>
      <w:r w:rsidR="00027612" w:rsidRPr="008E4885">
        <w:rPr>
          <w:lang w:val="cs-CZ"/>
        </w:rPr>
        <w:t xml:space="preserve">parametry </w:t>
      </w:r>
      <w:r w:rsidRPr="008E4885">
        <w:rPr>
          <w:lang w:val="cs-CZ"/>
        </w:rPr>
        <w:t xml:space="preserve">v každé fázi ovlivňují hodnocení. Tento přístup </w:t>
      </w:r>
      <w:r w:rsidR="00027612" w:rsidRPr="008E4885">
        <w:rPr>
          <w:lang w:val="cs-CZ"/>
        </w:rPr>
        <w:t xml:space="preserve">je podrobněji </w:t>
      </w:r>
      <w:r w:rsidRPr="008E4885">
        <w:rPr>
          <w:lang w:val="cs-CZ"/>
        </w:rPr>
        <w:t xml:space="preserve">vysvětlen níže. </w:t>
      </w:r>
    </w:p>
    <w:p w:rsidR="00BC0586" w:rsidRPr="008E4885" w:rsidRDefault="00BC0586" w:rsidP="001508DA">
      <w:pPr>
        <w:rPr>
          <w:lang w:val="cs-CZ"/>
        </w:rPr>
      </w:pPr>
    </w:p>
    <w:p w:rsidR="00F87DD0" w:rsidRPr="008E4885" w:rsidRDefault="003A0FE3">
      <w:pPr>
        <w:pStyle w:val="Nadpis3"/>
        <w:rPr>
          <w:lang w:val="cs-CZ"/>
        </w:rPr>
      </w:pPr>
      <w:bookmarkStart w:id="29" w:name="_Toc133944264"/>
      <w:r w:rsidRPr="008E4885">
        <w:rPr>
          <w:lang w:val="cs-CZ"/>
        </w:rPr>
        <w:t xml:space="preserve">Fáze </w:t>
      </w:r>
      <w:r w:rsidR="008E4885" w:rsidRPr="008E4885">
        <w:rPr>
          <w:lang w:val="cs-CZ"/>
        </w:rPr>
        <w:t>hodnocení DNSH a klíčové param</w:t>
      </w:r>
      <w:r w:rsidR="008E4885" w:rsidRPr="008E4885">
        <w:rPr>
          <w:lang w:val="cs-CZ"/>
        </w:rPr>
        <w:t>etry</w:t>
      </w:r>
      <w:bookmarkEnd w:id="29"/>
    </w:p>
    <w:p w:rsidR="00F87DD0" w:rsidRPr="008E4885" w:rsidRDefault="00E77367">
      <w:pPr>
        <w:rPr>
          <w:lang w:val="cs-CZ"/>
        </w:rPr>
      </w:pPr>
      <w:r w:rsidRPr="008E4885">
        <w:rPr>
          <w:lang w:val="cs-CZ"/>
        </w:rPr>
        <w:t xml:space="preserve">V následujícím oddíle </w:t>
      </w:r>
      <w:r w:rsidR="003B50E3" w:rsidRPr="008E4885">
        <w:rPr>
          <w:lang w:val="cs-CZ"/>
        </w:rPr>
        <w:t>jsou</w:t>
      </w:r>
      <w:r w:rsidRPr="008E4885">
        <w:rPr>
          <w:lang w:val="cs-CZ"/>
        </w:rPr>
        <w:t xml:space="preserve"> popsány </w:t>
      </w:r>
      <w:r w:rsidR="008E4885" w:rsidRPr="008E4885">
        <w:rPr>
          <w:lang w:val="cs-CZ"/>
        </w:rPr>
        <w:t xml:space="preserve">úvahy (parametry) </w:t>
      </w:r>
      <w:r w:rsidR="009957B4" w:rsidRPr="008E4885">
        <w:rPr>
          <w:lang w:val="cs-CZ"/>
        </w:rPr>
        <w:t xml:space="preserve">zahrnuté do navrhovaného přístupu. </w:t>
      </w:r>
      <w:r w:rsidR="000C6B67" w:rsidRPr="008E4885">
        <w:rPr>
          <w:lang w:val="cs-CZ"/>
        </w:rPr>
        <w:t xml:space="preserve">Úvahy byly vybrány </w:t>
      </w:r>
      <w:r w:rsidR="00DF7515" w:rsidRPr="008E4885">
        <w:rPr>
          <w:lang w:val="cs-CZ"/>
        </w:rPr>
        <w:t xml:space="preserve">podle toho, zda a jak </w:t>
      </w:r>
      <w:r w:rsidR="008E4885" w:rsidRPr="008E4885">
        <w:rPr>
          <w:lang w:val="cs-CZ"/>
        </w:rPr>
        <w:t xml:space="preserve">přímo ovlivňují </w:t>
      </w:r>
      <w:r w:rsidR="00764F22" w:rsidRPr="008E4885">
        <w:rPr>
          <w:lang w:val="cs-CZ"/>
        </w:rPr>
        <w:t xml:space="preserve">použití DNSH, </w:t>
      </w:r>
      <w:r w:rsidR="008E4885" w:rsidRPr="008E4885">
        <w:rPr>
          <w:lang w:val="cs-CZ"/>
        </w:rPr>
        <w:t xml:space="preserve">složitost posouzení, </w:t>
      </w:r>
      <w:r w:rsidR="00764F22" w:rsidRPr="008E4885">
        <w:rPr>
          <w:lang w:val="cs-CZ"/>
        </w:rPr>
        <w:t xml:space="preserve">soubor </w:t>
      </w:r>
      <w:r w:rsidR="008E4885" w:rsidRPr="008E4885">
        <w:rPr>
          <w:lang w:val="cs-CZ"/>
        </w:rPr>
        <w:t xml:space="preserve">požadavků a další metodiky, které je třeba v určitých případech zapojit (např. </w:t>
      </w:r>
      <w:r w:rsidR="008E4885" w:rsidRPr="008E4885">
        <w:rPr>
          <w:lang w:val="cs-CZ"/>
        </w:rPr>
        <w:t xml:space="preserve">klimatická odolnost infrastruktury). Každá </w:t>
      </w:r>
      <w:r w:rsidR="00BF3A6C" w:rsidRPr="008E4885">
        <w:rPr>
          <w:lang w:val="cs-CZ"/>
        </w:rPr>
        <w:t xml:space="preserve">z pěti </w:t>
      </w:r>
      <w:r w:rsidR="002B4D0E" w:rsidRPr="008E4885">
        <w:rPr>
          <w:lang w:val="cs-CZ"/>
        </w:rPr>
        <w:t xml:space="preserve">fází byla založena </w:t>
      </w:r>
      <w:r w:rsidR="008E4885" w:rsidRPr="008E4885">
        <w:rPr>
          <w:lang w:val="cs-CZ"/>
        </w:rPr>
        <w:t xml:space="preserve">na nařízení na úrovni EU a/nebo technických pokynech a obsahuje </w:t>
      </w:r>
      <w:r w:rsidR="00B32029" w:rsidRPr="008E4885">
        <w:rPr>
          <w:lang w:val="cs-CZ"/>
        </w:rPr>
        <w:t xml:space="preserve">stručné zdůvodnění, proč byla vybrána a jak ovlivňuje proces posuzování DNSH. </w:t>
      </w:r>
      <w:r w:rsidR="00282493" w:rsidRPr="008E4885">
        <w:rPr>
          <w:rStyle w:val="cf01"/>
          <w:lang w:val="cs-CZ"/>
        </w:rPr>
        <w:t xml:space="preserve">Pokyny budou ve fázi programování řídit zaměření na investice bez potenciálních škod, zatímco ve fázi realizace by měly být zaměřeny také na návrh některých zmírňujících opatření. </w:t>
      </w:r>
      <w:r w:rsidR="00A73A8A" w:rsidRPr="008E4885">
        <w:rPr>
          <w:lang w:val="cs-CZ"/>
        </w:rPr>
        <w:t xml:space="preserve">Podrobnější informace a popis </w:t>
      </w:r>
      <w:r w:rsidR="001028FA" w:rsidRPr="008E4885">
        <w:rPr>
          <w:lang w:val="cs-CZ"/>
        </w:rPr>
        <w:t xml:space="preserve">jednotlivých etap a parametrů, které </w:t>
      </w:r>
      <w:r w:rsidR="009C1134" w:rsidRPr="008E4885">
        <w:rPr>
          <w:lang w:val="cs-CZ"/>
        </w:rPr>
        <w:t>zahrnují, naleznete v příloze B.</w:t>
      </w:r>
    </w:p>
    <w:p w:rsidR="00BF3A6C" w:rsidRPr="008E4885" w:rsidRDefault="00BF3A6C" w:rsidP="00BF3A6C">
      <w:pPr>
        <w:rPr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15"/>
        </w:numPr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cs-CZ"/>
        </w:rPr>
      </w:pPr>
      <w:r w:rsidRPr="008E4885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cs-CZ"/>
        </w:rPr>
        <w:t>Fond EU</w:t>
      </w:r>
    </w:p>
    <w:p w:rsidR="00F87DD0" w:rsidRPr="008E4885" w:rsidRDefault="008E4885">
      <w:pPr>
        <w:ind w:left="1287"/>
        <w:rPr>
          <w:lang w:val="cs-CZ"/>
        </w:rPr>
      </w:pPr>
      <w:r w:rsidRPr="008E4885">
        <w:rPr>
          <w:lang w:val="cs-CZ"/>
        </w:rPr>
        <w:t xml:space="preserve">Fond EU (tj. zdroj finančních prostředků </w:t>
      </w:r>
      <w:r w:rsidR="005E5B9A" w:rsidRPr="008E4885">
        <w:rPr>
          <w:lang w:val="cs-CZ"/>
        </w:rPr>
        <w:t xml:space="preserve">pro programy a investice na národní úrovni) představuje </w:t>
      </w:r>
      <w:r w:rsidR="00514B18" w:rsidRPr="008E4885">
        <w:rPr>
          <w:lang w:val="cs-CZ"/>
        </w:rPr>
        <w:t xml:space="preserve">první a </w:t>
      </w:r>
      <w:r w:rsidR="005E5B9A" w:rsidRPr="008E4885">
        <w:rPr>
          <w:lang w:val="cs-CZ"/>
        </w:rPr>
        <w:t xml:space="preserve">nejzásadnější </w:t>
      </w:r>
      <w:r w:rsidR="00CA52CB" w:rsidRPr="008E4885">
        <w:rPr>
          <w:lang w:val="cs-CZ"/>
        </w:rPr>
        <w:t xml:space="preserve">hledisko, </w:t>
      </w:r>
      <w:r w:rsidR="00222995" w:rsidRPr="008E4885">
        <w:rPr>
          <w:lang w:val="cs-CZ"/>
        </w:rPr>
        <w:t xml:space="preserve">které </w:t>
      </w:r>
      <w:r w:rsidR="00807A70" w:rsidRPr="008E4885">
        <w:rPr>
          <w:lang w:val="cs-CZ"/>
        </w:rPr>
        <w:t xml:space="preserve">ovlivňuje </w:t>
      </w:r>
      <w:r w:rsidR="007B7668" w:rsidRPr="008E4885">
        <w:rPr>
          <w:lang w:val="cs-CZ"/>
        </w:rPr>
        <w:t xml:space="preserve">všechny </w:t>
      </w:r>
      <w:r w:rsidR="00152F7C" w:rsidRPr="008E4885">
        <w:rPr>
          <w:lang w:val="cs-CZ"/>
        </w:rPr>
        <w:t xml:space="preserve">kroky v </w:t>
      </w:r>
      <w:r w:rsidR="00807A70" w:rsidRPr="008E4885">
        <w:rPr>
          <w:lang w:val="cs-CZ"/>
        </w:rPr>
        <w:t xml:space="preserve">rámci hodnocení DNSH. V </w:t>
      </w:r>
      <w:r w:rsidR="00682A2D" w:rsidRPr="008E4885">
        <w:rPr>
          <w:lang w:val="cs-CZ"/>
        </w:rPr>
        <w:t xml:space="preserve">závislosti na tom, zda se jedná o prostředky z </w:t>
      </w:r>
      <w:r w:rsidR="009C2FDF" w:rsidRPr="008E4885">
        <w:rPr>
          <w:lang w:val="cs-CZ"/>
        </w:rPr>
        <w:t xml:space="preserve">nástroje pro obnovu a odolnost (RRF), </w:t>
      </w:r>
      <w:proofErr w:type="spellStart"/>
      <w:r w:rsidR="009C2FDF" w:rsidRPr="008E4885">
        <w:rPr>
          <w:lang w:val="cs-CZ"/>
        </w:rPr>
        <w:t>InvestEU</w:t>
      </w:r>
      <w:proofErr w:type="spellEnd"/>
      <w:r w:rsidR="009C2FDF" w:rsidRPr="008E4885">
        <w:rPr>
          <w:lang w:val="cs-CZ"/>
        </w:rPr>
        <w:t xml:space="preserve"> nebo z fondů politiky soudržnosti (CPF)), </w:t>
      </w:r>
      <w:r w:rsidR="00682A2D" w:rsidRPr="008E4885">
        <w:rPr>
          <w:lang w:val="cs-CZ"/>
        </w:rPr>
        <w:t xml:space="preserve">to bude mít přímý dopad na </w:t>
      </w:r>
      <w:r w:rsidR="00F5072B" w:rsidRPr="008E4885">
        <w:rPr>
          <w:lang w:val="cs-CZ"/>
        </w:rPr>
        <w:t xml:space="preserve">různé </w:t>
      </w:r>
      <w:r w:rsidR="00E10D23" w:rsidRPr="008E4885">
        <w:rPr>
          <w:lang w:val="cs-CZ"/>
        </w:rPr>
        <w:t xml:space="preserve">fáze </w:t>
      </w:r>
      <w:r w:rsidR="003E2791" w:rsidRPr="008E4885">
        <w:rPr>
          <w:lang w:val="cs-CZ"/>
        </w:rPr>
        <w:t xml:space="preserve">žádosti o DNSH </w:t>
      </w:r>
      <w:r w:rsidR="00A32F84" w:rsidRPr="008E4885">
        <w:rPr>
          <w:lang w:val="cs-CZ"/>
        </w:rPr>
        <w:t xml:space="preserve">od předběžného posouzení až po fáze </w:t>
      </w:r>
      <w:r w:rsidR="000C69CF" w:rsidRPr="008E4885">
        <w:rPr>
          <w:lang w:val="cs-CZ"/>
        </w:rPr>
        <w:t>vyřazení z provozu</w:t>
      </w:r>
      <w:r w:rsidR="3684F878" w:rsidRPr="008E4885">
        <w:rPr>
          <w:lang w:val="cs-CZ"/>
        </w:rPr>
        <w:t xml:space="preserve">, jakož </w:t>
      </w:r>
      <w:r w:rsidR="00913BB1" w:rsidRPr="008E4885">
        <w:rPr>
          <w:lang w:val="cs-CZ"/>
        </w:rPr>
        <w:t xml:space="preserve">i na </w:t>
      </w:r>
      <w:r w:rsidR="00433DEB" w:rsidRPr="008E4885">
        <w:rPr>
          <w:lang w:val="cs-CZ"/>
        </w:rPr>
        <w:t xml:space="preserve">požadavek </w:t>
      </w:r>
      <w:r w:rsidR="00913BB1" w:rsidRPr="008E4885">
        <w:rPr>
          <w:lang w:val="cs-CZ"/>
        </w:rPr>
        <w:t xml:space="preserve">a provázanost s </w:t>
      </w:r>
      <w:r w:rsidR="00D60B2F" w:rsidRPr="008E4885">
        <w:rPr>
          <w:lang w:val="cs-CZ"/>
        </w:rPr>
        <w:t xml:space="preserve">dalšími </w:t>
      </w:r>
      <w:r w:rsidR="00433DEB" w:rsidRPr="008E4885">
        <w:rPr>
          <w:lang w:val="cs-CZ"/>
        </w:rPr>
        <w:t xml:space="preserve">environmentálními metodikami, jako je například prokázání vlivu na klima a udržitelnost. Kromě toho </w:t>
      </w:r>
      <w:r w:rsidR="000B2E4E" w:rsidRPr="008E4885">
        <w:rPr>
          <w:lang w:val="cs-CZ"/>
        </w:rPr>
        <w:t xml:space="preserve">bude na </w:t>
      </w:r>
      <w:r w:rsidR="00AC522C" w:rsidRPr="008E4885">
        <w:rPr>
          <w:lang w:val="cs-CZ"/>
        </w:rPr>
        <w:t xml:space="preserve">základě </w:t>
      </w:r>
      <w:r w:rsidR="006E6452" w:rsidRPr="008E4885">
        <w:rPr>
          <w:lang w:val="cs-CZ"/>
        </w:rPr>
        <w:t xml:space="preserve">dokumentů nařízení pro jednotlivé </w:t>
      </w:r>
      <w:r w:rsidR="5BC0CE11" w:rsidRPr="008E4885">
        <w:rPr>
          <w:lang w:val="cs-CZ"/>
        </w:rPr>
        <w:t xml:space="preserve">fondy </w:t>
      </w:r>
      <w:r w:rsidR="000B2E4E" w:rsidRPr="008E4885">
        <w:rPr>
          <w:lang w:val="cs-CZ"/>
        </w:rPr>
        <w:t xml:space="preserve">zdroj financování diktovat odvětvová specifika a </w:t>
      </w:r>
      <w:r w:rsidR="00E108CB" w:rsidRPr="008E4885">
        <w:rPr>
          <w:lang w:val="cs-CZ"/>
        </w:rPr>
        <w:t>případné výjimky.</w:t>
      </w:r>
      <w:r w:rsidR="00BB5011" w:rsidRPr="008E4885">
        <w:rPr>
          <w:lang w:val="cs-CZ"/>
        </w:rPr>
        <w:br/>
      </w:r>
    </w:p>
    <w:p w:rsidR="00F87DD0" w:rsidRPr="008E4885" w:rsidRDefault="008E4885">
      <w:pPr>
        <w:pStyle w:val="Odstavecseseznamem"/>
        <w:numPr>
          <w:ilvl w:val="0"/>
          <w:numId w:val="15"/>
        </w:numPr>
        <w:rPr>
          <w:b/>
          <w:bCs/>
          <w:lang w:val="cs-CZ"/>
        </w:rPr>
      </w:pPr>
      <w:r w:rsidRPr="008E4885">
        <w:rPr>
          <w:b/>
          <w:bCs/>
          <w:lang w:val="cs-CZ"/>
        </w:rPr>
        <w:t>Odvětvová a národní specifika</w:t>
      </w:r>
      <w:r w:rsidR="00E108CB" w:rsidRPr="008E4885">
        <w:rPr>
          <w:lang w:val="cs-CZ"/>
        </w:rPr>
        <w:br/>
      </w:r>
      <w:r w:rsidR="001C6357" w:rsidRPr="008E4885">
        <w:rPr>
          <w:lang w:val="cs-CZ"/>
        </w:rPr>
        <w:t xml:space="preserve">Každý fond </w:t>
      </w:r>
      <w:r w:rsidR="00DC3B25" w:rsidRPr="008E4885">
        <w:rPr>
          <w:lang w:val="cs-CZ"/>
        </w:rPr>
        <w:t xml:space="preserve">může zahrnovat </w:t>
      </w:r>
      <w:r w:rsidR="1EBDFA6C" w:rsidRPr="008E4885">
        <w:rPr>
          <w:lang w:val="cs-CZ"/>
        </w:rPr>
        <w:t>specifická</w:t>
      </w:r>
      <w:r w:rsidR="00547781" w:rsidRPr="008E4885">
        <w:rPr>
          <w:lang w:val="cs-CZ"/>
        </w:rPr>
        <w:t xml:space="preserve"> odvětví a/nebo činnosti, </w:t>
      </w:r>
      <w:r w:rsidR="00DF5AF0" w:rsidRPr="008E4885">
        <w:rPr>
          <w:lang w:val="cs-CZ"/>
        </w:rPr>
        <w:t xml:space="preserve">které </w:t>
      </w:r>
      <w:r w:rsidR="00D7756D" w:rsidRPr="008E4885">
        <w:rPr>
          <w:lang w:val="cs-CZ"/>
        </w:rPr>
        <w:t xml:space="preserve">jsou vyloučeny ze </w:t>
      </w:r>
      <w:r w:rsidR="006E7FAD" w:rsidRPr="008E4885">
        <w:rPr>
          <w:lang w:val="cs-CZ"/>
        </w:rPr>
        <w:t xml:space="preserve">způsobilých investic </w:t>
      </w:r>
      <w:r w:rsidR="00A7532B" w:rsidRPr="008E4885">
        <w:rPr>
          <w:lang w:val="cs-CZ"/>
        </w:rPr>
        <w:t xml:space="preserve">(např. </w:t>
      </w:r>
      <w:r w:rsidR="0054525E" w:rsidRPr="008E4885">
        <w:rPr>
          <w:lang w:val="cs-CZ"/>
        </w:rPr>
        <w:t>výroba fosilních paliv</w:t>
      </w:r>
      <w:r w:rsidR="00976F1D" w:rsidRPr="008E4885">
        <w:rPr>
          <w:lang w:val="cs-CZ"/>
        </w:rPr>
        <w:t xml:space="preserve">, </w:t>
      </w:r>
      <w:r w:rsidR="00355FC1" w:rsidRPr="008E4885">
        <w:rPr>
          <w:lang w:val="cs-CZ"/>
        </w:rPr>
        <w:t xml:space="preserve">spalovny odpadů) </w:t>
      </w:r>
      <w:r w:rsidR="00251948" w:rsidRPr="008E4885">
        <w:rPr>
          <w:lang w:val="cs-CZ"/>
        </w:rPr>
        <w:t>nebo zahrnují další podmínky, které musí být splněny, aby mohly být činnosti do programu zařazeny</w:t>
      </w:r>
      <w:r w:rsidR="006E7FAD" w:rsidRPr="008E4885">
        <w:rPr>
          <w:lang w:val="cs-CZ"/>
        </w:rPr>
        <w:t xml:space="preserve">. </w:t>
      </w:r>
      <w:r w:rsidR="00AA53F0" w:rsidRPr="008E4885">
        <w:rPr>
          <w:lang w:val="cs-CZ"/>
        </w:rPr>
        <w:t xml:space="preserve">Vyloučení </w:t>
      </w:r>
      <w:r w:rsidR="3DA4A9CE" w:rsidRPr="008E4885">
        <w:rPr>
          <w:lang w:val="cs-CZ"/>
        </w:rPr>
        <w:t xml:space="preserve">a </w:t>
      </w:r>
      <w:r w:rsidR="00AA53F0" w:rsidRPr="008E4885">
        <w:rPr>
          <w:lang w:val="cs-CZ"/>
        </w:rPr>
        <w:lastRenderedPageBreak/>
        <w:t xml:space="preserve">omezení jsou </w:t>
      </w:r>
      <w:r w:rsidR="00743CB9" w:rsidRPr="008E4885">
        <w:rPr>
          <w:lang w:val="cs-CZ"/>
        </w:rPr>
        <w:t xml:space="preserve">uvedena </w:t>
      </w:r>
      <w:r w:rsidR="00062B75" w:rsidRPr="008E4885">
        <w:rPr>
          <w:lang w:val="cs-CZ"/>
        </w:rPr>
        <w:t xml:space="preserve">v nařízení na úrovni EU souvisejícím s fondem nebo v technických pokynech, </w:t>
      </w:r>
      <w:r w:rsidR="005853C5" w:rsidRPr="008E4885">
        <w:rPr>
          <w:lang w:val="cs-CZ"/>
        </w:rPr>
        <w:t xml:space="preserve">jejichž </w:t>
      </w:r>
      <w:r w:rsidR="6BCC0175" w:rsidRPr="008E4885">
        <w:rPr>
          <w:lang w:val="cs-CZ"/>
        </w:rPr>
        <w:t xml:space="preserve">seznam </w:t>
      </w:r>
      <w:r w:rsidR="774EB777" w:rsidRPr="008E4885">
        <w:rPr>
          <w:lang w:val="cs-CZ"/>
        </w:rPr>
        <w:t xml:space="preserve">je </w:t>
      </w:r>
      <w:r w:rsidR="005853C5" w:rsidRPr="008E4885">
        <w:rPr>
          <w:lang w:val="cs-CZ"/>
        </w:rPr>
        <w:t xml:space="preserve">uveden v příloze B. </w:t>
      </w:r>
      <w:r w:rsidR="00AC78A0" w:rsidRPr="008E4885">
        <w:rPr>
          <w:lang w:val="cs-CZ"/>
        </w:rPr>
        <w:t xml:space="preserve">Odvětvová specifika je třeba </w:t>
      </w:r>
      <w:r w:rsidR="00641E62" w:rsidRPr="008E4885">
        <w:rPr>
          <w:lang w:val="cs-CZ"/>
        </w:rPr>
        <w:t xml:space="preserve">zvážit </w:t>
      </w:r>
      <w:r w:rsidR="002B125A" w:rsidRPr="008E4885">
        <w:rPr>
          <w:lang w:val="cs-CZ"/>
        </w:rPr>
        <w:t xml:space="preserve">před následujícími fázemi žádosti o DNSH, </w:t>
      </w:r>
      <w:r w:rsidR="00155DDA" w:rsidRPr="008E4885">
        <w:rPr>
          <w:lang w:val="cs-CZ"/>
        </w:rPr>
        <w:t xml:space="preserve">aby byl zajištěn soulad s příslušným nařízením </w:t>
      </w:r>
      <w:r w:rsidR="00AA272D" w:rsidRPr="008E4885">
        <w:rPr>
          <w:lang w:val="cs-CZ"/>
        </w:rPr>
        <w:t xml:space="preserve">a/nebo </w:t>
      </w:r>
      <w:r w:rsidR="00304B02" w:rsidRPr="008E4885">
        <w:rPr>
          <w:lang w:val="cs-CZ"/>
        </w:rPr>
        <w:t xml:space="preserve">správný </w:t>
      </w:r>
      <w:r w:rsidR="00440C1A" w:rsidRPr="008E4885">
        <w:rPr>
          <w:lang w:val="cs-CZ"/>
        </w:rPr>
        <w:t xml:space="preserve">výklad </w:t>
      </w:r>
      <w:r w:rsidR="00967E03" w:rsidRPr="008E4885">
        <w:rPr>
          <w:lang w:val="cs-CZ"/>
        </w:rPr>
        <w:t xml:space="preserve">a </w:t>
      </w:r>
      <w:r w:rsidR="002B4574" w:rsidRPr="008E4885">
        <w:rPr>
          <w:lang w:val="cs-CZ"/>
        </w:rPr>
        <w:t xml:space="preserve">zahrnutí </w:t>
      </w:r>
      <w:r w:rsidR="00440C1A" w:rsidRPr="008E4885">
        <w:rPr>
          <w:lang w:val="cs-CZ"/>
        </w:rPr>
        <w:t xml:space="preserve">dodatečných </w:t>
      </w:r>
      <w:r w:rsidR="00490EB2" w:rsidRPr="008E4885">
        <w:rPr>
          <w:lang w:val="cs-CZ"/>
        </w:rPr>
        <w:t xml:space="preserve">podmínek </w:t>
      </w:r>
      <w:r w:rsidR="00967E03" w:rsidRPr="008E4885">
        <w:rPr>
          <w:lang w:val="cs-CZ"/>
        </w:rPr>
        <w:t xml:space="preserve">do programové dokumentace. </w:t>
      </w:r>
      <w:r w:rsidR="00521587" w:rsidRPr="008E4885">
        <w:rPr>
          <w:lang w:val="cs-CZ"/>
        </w:rPr>
        <w:t xml:space="preserve">Stejně tak </w:t>
      </w:r>
      <w:r w:rsidR="006A7ED8" w:rsidRPr="008E4885">
        <w:rPr>
          <w:lang w:val="cs-CZ"/>
        </w:rPr>
        <w:t xml:space="preserve">je třeba v této fázi zvážit </w:t>
      </w:r>
      <w:r w:rsidR="00521587" w:rsidRPr="008E4885">
        <w:rPr>
          <w:lang w:val="cs-CZ"/>
        </w:rPr>
        <w:t xml:space="preserve">dodatečná vnitrostátní </w:t>
      </w:r>
      <w:r w:rsidR="006A7ED8" w:rsidRPr="008E4885">
        <w:rPr>
          <w:lang w:val="cs-CZ"/>
        </w:rPr>
        <w:t>omezení, aby byl zajištěn soulad s vnitrostátními právními předpisy.</w:t>
      </w:r>
    </w:p>
    <w:p w:rsidR="006A7ED8" w:rsidRPr="008E4885" w:rsidRDefault="006A7ED8" w:rsidP="006A7ED8">
      <w:pPr>
        <w:pStyle w:val="Odstavecseseznamem"/>
        <w:ind w:left="1287"/>
        <w:rPr>
          <w:b/>
          <w:bCs/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15"/>
        </w:numPr>
        <w:rPr>
          <w:rStyle w:val="normaltextrun"/>
          <w:rFonts w:cs="Arial"/>
          <w:b/>
          <w:bCs/>
          <w:color w:val="000000"/>
          <w:szCs w:val="18"/>
          <w:shd w:val="clear" w:color="auto" w:fill="FFFFFF"/>
          <w:lang w:val="cs-CZ"/>
        </w:rPr>
      </w:pPr>
      <w:r w:rsidRPr="008E4885">
        <w:rPr>
          <w:rStyle w:val="normaltextrun"/>
          <w:rFonts w:cs="Arial"/>
          <w:b/>
          <w:bCs/>
          <w:color w:val="000000"/>
          <w:shd w:val="clear" w:color="auto" w:fill="FFFFFF"/>
          <w:lang w:val="cs-CZ"/>
        </w:rPr>
        <w:t xml:space="preserve">Úroveň hodnocení </w:t>
      </w:r>
    </w:p>
    <w:p w:rsidR="00F87DD0" w:rsidRPr="008E4885" w:rsidRDefault="008E4885">
      <w:pPr>
        <w:pStyle w:val="Odstavecseseznamem"/>
        <w:ind w:left="1287"/>
        <w:rPr>
          <w:rStyle w:val="normaltextrun"/>
          <w:rFonts w:cs="Arial"/>
          <w:color w:val="000000"/>
          <w:shd w:val="clear" w:color="auto" w:fill="FFFFFF"/>
          <w:lang w:val="cs-CZ"/>
        </w:rPr>
      </w:pPr>
      <w:r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Zdroj finančních prostředků, z nichž </w:t>
      </w:r>
      <w:r w:rsidR="00E45CBE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jsou programy na národní úrovni financovány, rovněž </w:t>
      </w:r>
      <w:r w:rsidR="00CD477E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určuje úroveň, na níž by mělo být hodnocení DNSH prováděno. V </w:t>
      </w:r>
      <w:r w:rsidR="00997BDC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závislosti na fondu </w:t>
      </w:r>
      <w:r w:rsidR="00F41644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se </w:t>
      </w:r>
      <w:r w:rsidR="00444AE7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úroveň </w:t>
      </w:r>
      <w:r w:rsidR="00F41644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pro </w:t>
      </w:r>
      <w:r w:rsidR="006761CB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ex-ante posouzení </w:t>
      </w:r>
      <w:r w:rsidR="00F41644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bude lišit </w:t>
      </w:r>
      <w:r w:rsidR="00731853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mezi </w:t>
      </w:r>
      <w:r w:rsidR="0016301B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úrovní </w:t>
      </w:r>
      <w:r w:rsidR="00ED7474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opatření/investic </w:t>
      </w:r>
      <w:r w:rsidR="0016301B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>(RRF)</w:t>
      </w:r>
      <w:r w:rsidR="00A11006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, </w:t>
      </w:r>
      <w:r w:rsidR="00FF026C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úrovní </w:t>
      </w:r>
      <w:r w:rsidR="004C7D2F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typů akcí </w:t>
      </w:r>
      <w:r w:rsidR="00FF026C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>definovaných v programu (CPF</w:t>
      </w:r>
      <w:r w:rsidR="0223CCC0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) </w:t>
      </w:r>
      <w:r w:rsidR="00FF026C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>nebo projektovou úrovní (</w:t>
      </w:r>
      <w:proofErr w:type="spellStart"/>
      <w:r w:rsidR="00FF026C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>InvestEU</w:t>
      </w:r>
      <w:proofErr w:type="spellEnd"/>
      <w:r w:rsidR="00FF026C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). </w:t>
      </w:r>
      <w:r w:rsidR="000C07BC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Úroveň posouzení bude </w:t>
      </w:r>
      <w:r w:rsidR="00F1179F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dále specifikovat činnosti, u nichž je třeba v </w:t>
      </w:r>
      <w:r w:rsidR="0031629A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rámci následujícího kroku </w:t>
      </w:r>
      <w:r w:rsidR="00F1179F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t xml:space="preserve">identifikovat a dodržet požadavky DNSH. </w:t>
      </w:r>
      <w:r w:rsidR="00BF3A6C" w:rsidRPr="008E4885">
        <w:rPr>
          <w:rStyle w:val="normaltextrun"/>
          <w:rFonts w:cs="Arial"/>
          <w:color w:val="000000"/>
          <w:shd w:val="clear" w:color="auto" w:fill="FFFFFF"/>
          <w:lang w:val="cs-CZ"/>
        </w:rPr>
        <w:br/>
      </w:r>
    </w:p>
    <w:p w:rsidR="00F87DD0" w:rsidRPr="008E4885" w:rsidRDefault="008E4885">
      <w:pPr>
        <w:pStyle w:val="Odstavecseseznamem"/>
        <w:numPr>
          <w:ilvl w:val="0"/>
          <w:numId w:val="15"/>
        </w:numPr>
        <w:rPr>
          <w:rStyle w:val="eop"/>
          <w:rFonts w:cs="Arial"/>
          <w:b/>
          <w:bCs/>
          <w:color w:val="000000"/>
          <w:szCs w:val="18"/>
          <w:shd w:val="clear" w:color="auto" w:fill="FFFFFF"/>
          <w:lang w:val="cs-CZ"/>
        </w:rPr>
      </w:pPr>
      <w:r w:rsidRPr="008E4885">
        <w:rPr>
          <w:rStyle w:val="eop"/>
          <w:rFonts w:cs="Arial"/>
          <w:b/>
          <w:bCs/>
          <w:color w:val="000000"/>
          <w:szCs w:val="18"/>
          <w:shd w:val="clear" w:color="auto" w:fill="FFFFFF"/>
          <w:lang w:val="cs-CZ"/>
        </w:rPr>
        <w:t>Typ</w:t>
      </w:r>
      <w:r w:rsidRPr="008E4885">
        <w:rPr>
          <w:rStyle w:val="normaltextrun"/>
          <w:rFonts w:cs="Arial"/>
          <w:b/>
          <w:bCs/>
          <w:color w:val="000000"/>
          <w:szCs w:val="18"/>
          <w:shd w:val="clear" w:color="auto" w:fill="FFFFFF"/>
          <w:lang w:val="cs-CZ"/>
        </w:rPr>
        <w:t xml:space="preserve"> hodnocení </w:t>
      </w:r>
    </w:p>
    <w:p w:rsidR="00F87DD0" w:rsidRPr="008E4885" w:rsidRDefault="008E4885">
      <w:pPr>
        <w:pStyle w:val="Odstavecseseznamem"/>
        <w:ind w:left="1287"/>
        <w:rPr>
          <w:rStyle w:val="eop"/>
          <w:rFonts w:cs="Arial"/>
          <w:color w:val="000000"/>
          <w:shd w:val="clear" w:color="auto" w:fill="FFFFFF"/>
          <w:lang w:val="cs-CZ"/>
        </w:rPr>
      </w:pPr>
      <w:r w:rsidRPr="008E4885">
        <w:rPr>
          <w:rStyle w:val="eop"/>
          <w:rFonts w:cs="Arial"/>
          <w:color w:val="000000"/>
          <w:shd w:val="clear" w:color="auto" w:fill="FFFFFF"/>
          <w:lang w:val="cs-CZ"/>
        </w:rPr>
        <w:t xml:space="preserve">Na základě </w:t>
      </w:r>
      <w:r w:rsidR="006738AC" w:rsidRPr="008E4885">
        <w:rPr>
          <w:rStyle w:val="eop"/>
          <w:rFonts w:cs="Arial"/>
          <w:color w:val="000000"/>
          <w:shd w:val="clear" w:color="auto" w:fill="FFFFFF"/>
          <w:lang w:val="cs-CZ"/>
        </w:rPr>
        <w:t xml:space="preserve">činností/investic </w:t>
      </w:r>
      <w:r w:rsidR="003C6DE8" w:rsidRPr="008E4885">
        <w:rPr>
          <w:rStyle w:val="eop"/>
          <w:rFonts w:cs="Arial"/>
          <w:color w:val="000000"/>
          <w:shd w:val="clear" w:color="auto" w:fill="FFFFFF"/>
          <w:lang w:val="cs-CZ"/>
        </w:rPr>
        <w:t xml:space="preserve">identifikovaných </w:t>
      </w:r>
      <w:r w:rsidR="00697918" w:rsidRPr="008E4885">
        <w:rPr>
          <w:rStyle w:val="eop"/>
          <w:rFonts w:cs="Arial"/>
          <w:color w:val="000000"/>
          <w:shd w:val="clear" w:color="auto" w:fill="FFFFFF"/>
          <w:lang w:val="cs-CZ"/>
        </w:rPr>
        <w:t xml:space="preserve">na příslušných úrovních </w:t>
      </w:r>
      <w:r w:rsidR="00027BC2" w:rsidRPr="008E4885">
        <w:rPr>
          <w:rStyle w:val="eop"/>
          <w:rFonts w:cs="Arial"/>
          <w:color w:val="000000"/>
          <w:shd w:val="clear" w:color="auto" w:fill="FFFFFF"/>
          <w:lang w:val="cs-CZ"/>
        </w:rPr>
        <w:t xml:space="preserve">mohou být vyžadovány </w:t>
      </w:r>
      <w:r w:rsidR="00D71576" w:rsidRPr="008E4885">
        <w:rPr>
          <w:rStyle w:val="eop"/>
          <w:rFonts w:cs="Arial"/>
          <w:color w:val="000000"/>
          <w:shd w:val="clear" w:color="auto" w:fill="FFFFFF"/>
          <w:lang w:val="cs-CZ"/>
        </w:rPr>
        <w:t xml:space="preserve">různé typy </w:t>
      </w:r>
      <w:r w:rsidR="00027BC2" w:rsidRPr="008E4885">
        <w:rPr>
          <w:rStyle w:val="eop"/>
          <w:rFonts w:cs="Arial"/>
          <w:color w:val="000000"/>
          <w:shd w:val="clear" w:color="auto" w:fill="FFFFFF"/>
          <w:lang w:val="cs-CZ"/>
        </w:rPr>
        <w:t xml:space="preserve">hodnocení. </w:t>
      </w:r>
      <w:r w:rsidR="00FC7728" w:rsidRPr="008E4885">
        <w:rPr>
          <w:rStyle w:val="eop"/>
          <w:rFonts w:cs="Arial"/>
          <w:color w:val="000000"/>
          <w:shd w:val="clear" w:color="auto" w:fill="FFFFFF"/>
          <w:lang w:val="cs-CZ"/>
        </w:rPr>
        <w:t xml:space="preserve">Tento krok slouží ke </w:t>
      </w:r>
      <w:r w:rsidR="00541764" w:rsidRPr="008E4885">
        <w:rPr>
          <w:rStyle w:val="eop"/>
          <w:rFonts w:cs="Arial"/>
          <w:color w:val="000000"/>
          <w:shd w:val="clear" w:color="auto" w:fill="FFFFFF"/>
          <w:lang w:val="cs-CZ"/>
        </w:rPr>
        <w:t xml:space="preserve">zvážení a potvrzení, </w:t>
      </w:r>
      <w:r w:rsidR="005E1E93" w:rsidRPr="008E4885">
        <w:rPr>
          <w:rStyle w:val="eop"/>
          <w:rFonts w:cs="Arial"/>
          <w:color w:val="000000"/>
          <w:shd w:val="clear" w:color="auto" w:fill="FFFFFF"/>
          <w:lang w:val="cs-CZ"/>
        </w:rPr>
        <w:t xml:space="preserve">zda </w:t>
      </w:r>
      <w:r w:rsidR="00717770" w:rsidRPr="008E4885">
        <w:rPr>
          <w:rStyle w:val="eop"/>
          <w:rFonts w:cs="Arial"/>
          <w:color w:val="000000"/>
          <w:shd w:val="clear" w:color="auto" w:fill="FFFFFF"/>
          <w:lang w:val="cs-CZ"/>
        </w:rPr>
        <w:t xml:space="preserve">bude stačit </w:t>
      </w:r>
      <w:r w:rsidR="004301DF" w:rsidRPr="008E4885">
        <w:rPr>
          <w:rStyle w:val="eop"/>
          <w:rFonts w:cs="Arial"/>
          <w:color w:val="000000"/>
          <w:shd w:val="clear" w:color="auto" w:fill="FFFFFF"/>
          <w:lang w:val="cs-CZ"/>
        </w:rPr>
        <w:t xml:space="preserve">zjednodušené </w:t>
      </w:r>
      <w:r w:rsidR="00717770" w:rsidRPr="008E4885">
        <w:rPr>
          <w:rStyle w:val="eop"/>
          <w:rFonts w:cs="Arial"/>
          <w:color w:val="000000"/>
          <w:shd w:val="clear" w:color="auto" w:fill="FFFFFF"/>
          <w:lang w:val="cs-CZ"/>
        </w:rPr>
        <w:t xml:space="preserve">posouzení, nebo </w:t>
      </w:r>
      <w:r w:rsidR="00C219D4" w:rsidRPr="008E4885">
        <w:rPr>
          <w:rStyle w:val="eop"/>
          <w:rFonts w:cs="Arial"/>
          <w:color w:val="000000"/>
          <w:shd w:val="clear" w:color="auto" w:fill="FFFFFF"/>
          <w:lang w:val="cs-CZ"/>
        </w:rPr>
        <w:t xml:space="preserve">je zapotřebí podstatnější posouzení. </w:t>
      </w:r>
      <w:r w:rsidR="6BF80B92" w:rsidRPr="008E4885">
        <w:rPr>
          <w:rStyle w:val="eop"/>
          <w:rFonts w:cs="Arial"/>
          <w:color w:val="000000"/>
          <w:shd w:val="clear" w:color="auto" w:fill="FFFFFF"/>
          <w:lang w:val="cs-CZ"/>
        </w:rPr>
        <w:t xml:space="preserve">V </w:t>
      </w:r>
      <w:r w:rsidR="00C219D4" w:rsidRPr="008E4885">
        <w:rPr>
          <w:rStyle w:val="eop"/>
          <w:rFonts w:cs="Arial"/>
          <w:color w:val="000000"/>
          <w:shd w:val="clear" w:color="auto" w:fill="FFFFFF"/>
          <w:lang w:val="cs-CZ"/>
        </w:rPr>
        <w:t xml:space="preserve">případě zjednodušeného </w:t>
      </w:r>
      <w:r w:rsidR="00075FF1" w:rsidRPr="008E4885">
        <w:rPr>
          <w:rStyle w:val="eop"/>
          <w:rFonts w:cs="Arial"/>
          <w:color w:val="000000"/>
          <w:shd w:val="clear" w:color="auto" w:fill="FFFFFF"/>
          <w:lang w:val="cs-CZ"/>
        </w:rPr>
        <w:t xml:space="preserve">posouzení </w:t>
      </w:r>
      <w:r w:rsidR="000A0706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lze poskytnout stručné zdůvodnění s ohledem na ty cíle ochrany životního prostředí, u nichž nelze předpokládat žádný nebo nevýznamný vliv. U </w:t>
      </w:r>
      <w:r w:rsidR="00B10388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činností a investic, které vyžadují věcné posouzení, </w:t>
      </w:r>
      <w:r w:rsidR="007C7F07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by měla být použita </w:t>
      </w:r>
      <w:r w:rsidR="00CD0012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technická </w:t>
      </w:r>
      <w:r w:rsidR="007C7F07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screeningová kritéria pro DNSH - buď obecná, nebo specifická - pro provedení hloubkového posouzení a/nebo vypracování požadavků na </w:t>
      </w:r>
      <w:r w:rsidR="00744436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>DNSH</w:t>
      </w:r>
      <w:r w:rsidR="007C5EF1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. </w:t>
      </w:r>
      <w:r w:rsidR="00BF3A6C" w:rsidRPr="008E4885">
        <w:rPr>
          <w:rStyle w:val="normaltextrun"/>
          <w:bdr w:val="none" w:sz="0" w:space="0" w:color="auto" w:frame="1"/>
          <w:lang w:val="cs-CZ"/>
        </w:rPr>
        <w:br/>
      </w:r>
    </w:p>
    <w:p w:rsidR="00F87DD0" w:rsidRPr="008E4885" w:rsidRDefault="008E4885">
      <w:pPr>
        <w:pStyle w:val="Odstavecseseznamem"/>
        <w:numPr>
          <w:ilvl w:val="0"/>
          <w:numId w:val="15"/>
        </w:numPr>
        <w:rPr>
          <w:rStyle w:val="normaltextrun"/>
          <w:rFonts w:cs="Arial"/>
          <w:b/>
          <w:bCs/>
          <w:color w:val="000000"/>
          <w:szCs w:val="18"/>
          <w:shd w:val="clear" w:color="auto" w:fill="FFFFFF"/>
          <w:lang w:val="cs-CZ"/>
        </w:rPr>
      </w:pPr>
      <w:r w:rsidRPr="008E4885">
        <w:rPr>
          <w:rStyle w:val="normaltextrun"/>
          <w:rFonts w:cs="Arial"/>
          <w:b/>
          <w:bCs/>
          <w:color w:val="000000"/>
          <w:szCs w:val="18"/>
          <w:bdr w:val="none" w:sz="0" w:space="0" w:color="auto" w:frame="1"/>
          <w:lang w:val="cs-CZ"/>
        </w:rPr>
        <w:t xml:space="preserve">Vzájemné vazby s </w:t>
      </w:r>
      <w:r w:rsidR="00F80486" w:rsidRPr="008E4885">
        <w:rPr>
          <w:rStyle w:val="normaltextrun"/>
          <w:rFonts w:cs="Arial"/>
          <w:b/>
          <w:bCs/>
          <w:color w:val="000000"/>
          <w:szCs w:val="18"/>
          <w:bdr w:val="none" w:sz="0" w:space="0" w:color="auto" w:frame="1"/>
          <w:lang w:val="cs-CZ"/>
        </w:rPr>
        <w:t>odolností proti klimatickým změnám (CP) nebo odolností proti udržitelnosti (SP)</w:t>
      </w:r>
    </w:p>
    <w:p w:rsidR="00F87DD0" w:rsidRPr="008E4885" w:rsidRDefault="008E4885">
      <w:pPr>
        <w:pStyle w:val="Odstavecseseznamem"/>
        <w:ind w:left="1287"/>
        <w:rPr>
          <w:rStyle w:val="normaltextrun"/>
          <w:rFonts w:cs="Arial"/>
          <w:color w:val="000000"/>
          <w:bdr w:val="none" w:sz="0" w:space="0" w:color="auto" w:frame="1"/>
          <w:lang w:val="cs-CZ"/>
        </w:rPr>
      </w:pPr>
      <w:r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Zdroj finančních prostředků bude </w:t>
      </w:r>
      <w:r w:rsidR="00BD0659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diktovat </w:t>
      </w:r>
      <w:r w:rsidR="003C67EA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požadavek (tj. doporučený nebo povinný) na </w:t>
      </w:r>
      <w:r w:rsidR="00CB28C7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konkrétní </w:t>
      </w:r>
      <w:r w:rsidR="00497AA3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environmentální </w:t>
      </w:r>
      <w:r w:rsidR="00CB28C7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metodiku </w:t>
      </w:r>
      <w:r w:rsidR="00821FD5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(např. </w:t>
      </w:r>
      <w:proofErr w:type="spellStart"/>
      <w:r w:rsidR="00821FD5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>Climate</w:t>
      </w:r>
      <w:proofErr w:type="spellEnd"/>
      <w:r w:rsidR="00821FD5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 </w:t>
      </w:r>
      <w:proofErr w:type="spellStart"/>
      <w:r w:rsidR="00821FD5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>Proofing</w:t>
      </w:r>
      <w:proofErr w:type="spellEnd"/>
      <w:r w:rsidR="00821FD5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 nebo </w:t>
      </w:r>
      <w:proofErr w:type="spellStart"/>
      <w:r w:rsidR="00821FD5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>Sustainability</w:t>
      </w:r>
      <w:proofErr w:type="spellEnd"/>
      <w:r w:rsidR="00821FD5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 </w:t>
      </w:r>
      <w:proofErr w:type="spellStart"/>
      <w:r w:rsidR="00821FD5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>Proofing</w:t>
      </w:r>
      <w:proofErr w:type="spellEnd"/>
      <w:r w:rsidR="1A942787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>)</w:t>
      </w:r>
      <w:r w:rsidR="00B41630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, </w:t>
      </w:r>
      <w:r w:rsidR="00497AA3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kterou je </w:t>
      </w:r>
      <w:r w:rsidR="005E1517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třeba </w:t>
      </w:r>
      <w:r w:rsidR="003C03F3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dodržet a dokončit, </w:t>
      </w:r>
      <w:r w:rsidR="00D40A02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pokud investice </w:t>
      </w:r>
      <w:r w:rsidR="00BE0A68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nebo projekt </w:t>
      </w:r>
      <w:r w:rsidR="00D40A02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splňuje určité podmínky </w:t>
      </w:r>
      <w:r w:rsidR="00574336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uvedené v technických </w:t>
      </w:r>
      <w:r w:rsidR="00AC56CF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pokynech na </w:t>
      </w:r>
      <w:r w:rsidR="00671D45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úrovni EU </w:t>
      </w:r>
      <w:r w:rsidR="00956240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>(např. očekávaná životnost infrastruktury v CP</w:t>
      </w:r>
      <w:r w:rsidR="00AC56CF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>)</w:t>
      </w:r>
      <w:r w:rsidR="003C03F3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. </w:t>
      </w:r>
      <w:r w:rsidR="00A87226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Tento krok představuje zásadní </w:t>
      </w:r>
      <w:r w:rsidR="00860282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úvahu, </w:t>
      </w:r>
      <w:r w:rsidR="008B069A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neboť </w:t>
      </w:r>
      <w:r w:rsidR="00D03650" w:rsidRPr="008E4885">
        <w:rPr>
          <w:rFonts w:ascii="Arial" w:eastAsia="Times New Roman" w:hAnsi="Arial" w:cs="Arial"/>
          <w:color w:val="000000"/>
          <w:bdr w:val="none" w:sz="0" w:space="0" w:color="auto" w:frame="1"/>
          <w:lang w:val="cs-CZ" w:eastAsia="en-GB"/>
        </w:rPr>
        <w:t xml:space="preserve">uplatňování zásady DNSH a CP je oddělené </w:t>
      </w:r>
      <w:r w:rsidR="00B87DF4" w:rsidRPr="008E4885">
        <w:rPr>
          <w:rFonts w:ascii="Arial" w:eastAsia="Times New Roman" w:hAnsi="Arial" w:cs="Arial"/>
          <w:color w:val="000000"/>
          <w:bdr w:val="none" w:sz="0" w:space="0" w:color="auto" w:frame="1"/>
          <w:lang w:val="cs-CZ" w:eastAsia="en-GB"/>
        </w:rPr>
        <w:t xml:space="preserve">a </w:t>
      </w:r>
      <w:r w:rsidR="00D03650" w:rsidRPr="008E4885">
        <w:rPr>
          <w:rFonts w:ascii="Arial" w:eastAsia="Times New Roman" w:hAnsi="Arial" w:cs="Arial"/>
          <w:color w:val="000000"/>
          <w:bdr w:val="none" w:sz="0" w:space="0" w:color="auto" w:frame="1"/>
          <w:lang w:val="cs-CZ" w:eastAsia="en-GB"/>
        </w:rPr>
        <w:t xml:space="preserve">probíhá na </w:t>
      </w:r>
      <w:r w:rsidR="00B87DF4" w:rsidRPr="008E4885">
        <w:rPr>
          <w:rFonts w:ascii="Arial" w:eastAsia="Times New Roman" w:hAnsi="Arial" w:cs="Arial"/>
          <w:color w:val="000000"/>
          <w:bdr w:val="none" w:sz="0" w:space="0" w:color="auto" w:frame="1"/>
          <w:lang w:val="cs-CZ" w:eastAsia="en-GB"/>
        </w:rPr>
        <w:t xml:space="preserve">různých </w:t>
      </w:r>
      <w:r w:rsidR="2878C301" w:rsidRPr="008E4885">
        <w:rPr>
          <w:rFonts w:ascii="Arial" w:eastAsia="Times New Roman" w:hAnsi="Arial" w:cs="Arial"/>
          <w:color w:val="000000"/>
          <w:bdr w:val="none" w:sz="0" w:space="0" w:color="auto" w:frame="1"/>
          <w:lang w:val="cs-CZ" w:eastAsia="en-GB"/>
        </w:rPr>
        <w:t xml:space="preserve">úrovních </w:t>
      </w:r>
      <w:r w:rsidR="00B87DF4" w:rsidRPr="008E4885">
        <w:rPr>
          <w:rFonts w:ascii="Arial" w:eastAsia="Times New Roman" w:hAnsi="Arial" w:cs="Arial"/>
          <w:color w:val="000000"/>
          <w:bdr w:val="none" w:sz="0" w:space="0" w:color="auto" w:frame="1"/>
          <w:lang w:val="cs-CZ" w:eastAsia="en-GB"/>
        </w:rPr>
        <w:t xml:space="preserve">(např. </w:t>
      </w:r>
      <w:r w:rsidR="70B49DC7" w:rsidRPr="008E4885">
        <w:rPr>
          <w:rFonts w:ascii="Arial" w:eastAsia="Times New Roman" w:hAnsi="Arial" w:cs="Arial"/>
          <w:color w:val="000000"/>
          <w:bdr w:val="none" w:sz="0" w:space="0" w:color="auto" w:frame="1"/>
          <w:lang w:val="cs-CZ" w:eastAsia="en-GB"/>
        </w:rPr>
        <w:t xml:space="preserve">zásada </w:t>
      </w:r>
      <w:r w:rsidR="00B87DF4" w:rsidRPr="008E4885">
        <w:rPr>
          <w:rFonts w:ascii="Arial" w:eastAsia="Times New Roman" w:hAnsi="Arial" w:cs="Arial"/>
          <w:color w:val="000000"/>
          <w:bdr w:val="none" w:sz="0" w:space="0" w:color="auto" w:frame="1"/>
          <w:lang w:val="cs-CZ" w:eastAsia="en-GB"/>
        </w:rPr>
        <w:t xml:space="preserve">DNSH v CPF na </w:t>
      </w:r>
      <w:r w:rsidR="00D03650" w:rsidRPr="008E4885">
        <w:rPr>
          <w:rFonts w:ascii="Arial" w:eastAsia="Times New Roman" w:hAnsi="Arial" w:cs="Arial"/>
          <w:color w:val="000000"/>
          <w:bdr w:val="none" w:sz="0" w:space="0" w:color="auto" w:frame="1"/>
          <w:lang w:val="cs-CZ" w:eastAsia="en-GB"/>
        </w:rPr>
        <w:t>úrovni typů opatření, zatímco CP se uplatňuje zásadně na úrovni investic</w:t>
      </w:r>
      <w:r w:rsidR="717CA83E" w:rsidRPr="008E4885">
        <w:rPr>
          <w:rFonts w:ascii="Arial" w:eastAsia="Times New Roman" w:hAnsi="Arial" w:cs="Arial"/>
          <w:color w:val="000000"/>
          <w:bdr w:val="none" w:sz="0" w:space="0" w:color="auto" w:frame="1"/>
          <w:lang w:val="cs-CZ" w:eastAsia="en-GB"/>
        </w:rPr>
        <w:t>)</w:t>
      </w:r>
      <w:r w:rsidR="21681E95" w:rsidRPr="008E4885">
        <w:rPr>
          <w:rFonts w:ascii="Arial" w:eastAsia="Times New Roman" w:hAnsi="Arial" w:cs="Arial"/>
          <w:color w:val="000000"/>
          <w:bdr w:val="none" w:sz="0" w:space="0" w:color="auto" w:frame="1"/>
          <w:lang w:val="cs-CZ" w:eastAsia="en-GB"/>
        </w:rPr>
        <w:t xml:space="preserve">. </w:t>
      </w:r>
      <w:r w:rsidR="008B069A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Požadavek na další </w:t>
      </w:r>
      <w:r w:rsidR="00574336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metodiku </w:t>
      </w:r>
      <w:r w:rsidR="21681E95" w:rsidRPr="008E4885">
        <w:rPr>
          <w:rFonts w:ascii="Arial" w:eastAsia="Times New Roman" w:hAnsi="Arial" w:cs="Arial"/>
          <w:color w:val="000000"/>
          <w:bdr w:val="none" w:sz="0" w:space="0" w:color="auto" w:frame="1"/>
          <w:lang w:val="cs-CZ" w:eastAsia="en-GB"/>
        </w:rPr>
        <w:t xml:space="preserve">proto </w:t>
      </w:r>
      <w:r w:rsidR="00574336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>může celkové posouzení ještě více zkomplikovat</w:t>
      </w:r>
      <w:r w:rsidR="000A344F" w:rsidRPr="008E4885">
        <w:rPr>
          <w:rStyle w:val="normaltextrun"/>
          <w:rFonts w:cs="Arial"/>
          <w:color w:val="000000"/>
          <w:bdr w:val="none" w:sz="0" w:space="0" w:color="auto" w:frame="1"/>
          <w:lang w:val="cs-CZ"/>
        </w:rPr>
        <w:t xml:space="preserve">. </w:t>
      </w:r>
    </w:p>
    <w:p w:rsidR="00ED2691" w:rsidRPr="008E4885" w:rsidRDefault="00ED2691" w:rsidP="00940E94">
      <w:pPr>
        <w:spacing w:line="360" w:lineRule="auto"/>
        <w:ind w:left="0"/>
        <w:rPr>
          <w:rStyle w:val="normaltextrun"/>
          <w:rFonts w:cs="Arial"/>
          <w:szCs w:val="18"/>
          <w:bdr w:val="none" w:sz="0" w:space="0" w:color="auto" w:frame="1"/>
          <w:lang w:val="cs-CZ"/>
        </w:rPr>
      </w:pPr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 xml:space="preserve">V příloze C je uveden názorný příklad toho, jak by tento přístup </w:t>
      </w:r>
      <w:r w:rsidRPr="008E4885">
        <w:rPr>
          <w:lang w:val="cs-CZ"/>
        </w:rPr>
        <w:t xml:space="preserve">ex ante </w:t>
      </w:r>
      <w:r w:rsidRPr="008E4885">
        <w:rPr>
          <w:lang w:val="cs-CZ"/>
        </w:rPr>
        <w:t xml:space="preserve">fungoval v </w:t>
      </w:r>
      <w:r w:rsidR="00FF4C48" w:rsidRPr="008E4885">
        <w:rPr>
          <w:lang w:val="cs-CZ"/>
        </w:rPr>
        <w:t xml:space="preserve">praxi pro </w:t>
      </w:r>
      <w:r w:rsidR="00766A01" w:rsidRPr="008E4885">
        <w:rPr>
          <w:lang w:val="cs-CZ"/>
        </w:rPr>
        <w:t xml:space="preserve">vybraný typ investice, </w:t>
      </w:r>
      <w:r w:rsidRPr="008E4885">
        <w:rPr>
          <w:lang w:val="cs-CZ"/>
        </w:rPr>
        <w:t xml:space="preserve">přičemž jsou </w:t>
      </w:r>
      <w:r w:rsidR="007E1ABD" w:rsidRPr="008E4885">
        <w:rPr>
          <w:lang w:val="cs-CZ"/>
        </w:rPr>
        <w:t xml:space="preserve">sledovány </w:t>
      </w:r>
      <w:r w:rsidRPr="008E4885">
        <w:rPr>
          <w:lang w:val="cs-CZ"/>
        </w:rPr>
        <w:t xml:space="preserve">jednotlivé kroky a zvažovány jednotlivé parametry ovlivňující posouzení. </w:t>
      </w:r>
      <w:r w:rsidRPr="008E4885">
        <w:rPr>
          <w:lang w:val="cs-CZ"/>
        </w:rPr>
        <w:t xml:space="preserve">Zahrnuté </w:t>
      </w:r>
      <w:r w:rsidR="00185DCA" w:rsidRPr="008E4885">
        <w:rPr>
          <w:lang w:val="cs-CZ"/>
        </w:rPr>
        <w:t xml:space="preserve">kroky se převážně zaměřují na předběžné posouzení DNSH a nezahrnují kroky pro proces hodnocení, </w:t>
      </w:r>
      <w:r w:rsidR="0088690E" w:rsidRPr="008E4885">
        <w:rPr>
          <w:lang w:val="cs-CZ"/>
        </w:rPr>
        <w:t xml:space="preserve">realizace </w:t>
      </w:r>
      <w:r w:rsidR="00185DCA" w:rsidRPr="008E4885">
        <w:rPr>
          <w:lang w:val="cs-CZ"/>
        </w:rPr>
        <w:t>a vyřazení z provozu, které budou podrobně rozpracovány v DLV5</w:t>
      </w:r>
      <w:r w:rsidR="006A218F" w:rsidRPr="008E4885">
        <w:rPr>
          <w:lang w:val="cs-CZ"/>
        </w:rPr>
        <w:t xml:space="preserve">. </w:t>
      </w:r>
    </w:p>
    <w:p w:rsidR="00F87DD0" w:rsidRPr="008E4885" w:rsidRDefault="008E4885">
      <w:pPr>
        <w:spacing w:line="360" w:lineRule="auto"/>
        <w:rPr>
          <w:b/>
          <w:bCs/>
          <w:lang w:val="cs-CZ"/>
        </w:rPr>
      </w:pPr>
      <w:r w:rsidRPr="008E4885">
        <w:rPr>
          <w:lang w:val="cs-CZ"/>
        </w:rPr>
        <w:br/>
      </w:r>
      <w:r w:rsidR="00240213" w:rsidRPr="008E4885">
        <w:rPr>
          <w:b/>
          <w:bCs/>
          <w:lang w:val="cs-CZ"/>
        </w:rPr>
        <w:t xml:space="preserve">Odkaz na </w:t>
      </w:r>
      <w:r w:rsidRPr="008E4885">
        <w:rPr>
          <w:b/>
          <w:bCs/>
          <w:lang w:val="cs-CZ"/>
        </w:rPr>
        <w:t xml:space="preserve">stávající </w:t>
      </w:r>
      <w:r w:rsidR="00D00150" w:rsidRPr="008E4885">
        <w:rPr>
          <w:b/>
          <w:bCs/>
          <w:lang w:val="cs-CZ"/>
        </w:rPr>
        <w:t xml:space="preserve">pokyny </w:t>
      </w:r>
    </w:p>
    <w:p w:rsidR="00F87DD0" w:rsidRPr="008E4885" w:rsidRDefault="008E4885">
      <w:pPr>
        <w:spacing w:line="360" w:lineRule="auto"/>
        <w:rPr>
          <w:lang w:val="cs-CZ"/>
        </w:rPr>
      </w:pPr>
      <w:r w:rsidRPr="008E4885">
        <w:rPr>
          <w:lang w:val="cs-CZ"/>
        </w:rPr>
        <w:t>V předchozích částech zprávy byl uveden seznam klíčových fází a aspektů, které je třeba zohlednit a vyhodnotit při uplatňování zásady DNSH na fondy a programy. Poky</w:t>
      </w:r>
      <w:r w:rsidRPr="008E4885">
        <w:rPr>
          <w:lang w:val="cs-CZ"/>
        </w:rPr>
        <w:t xml:space="preserve">ny, které budou vypracovány v rámci dalšího výstupu (DLV5), budou mít za cíl poskytnout jasné pokyny s klíčovými informacemi o tom, jak dostatečně dokončit každou z etap s </w:t>
      </w:r>
      <w:r w:rsidR="00436779" w:rsidRPr="008E4885">
        <w:rPr>
          <w:lang w:val="cs-CZ"/>
        </w:rPr>
        <w:t xml:space="preserve">ohledem na různé </w:t>
      </w:r>
      <w:r w:rsidRPr="008E4885">
        <w:rPr>
          <w:lang w:val="cs-CZ"/>
        </w:rPr>
        <w:t xml:space="preserve">parametry a/nebo scénáře. Avšak namísto duplikování a </w:t>
      </w:r>
      <w:proofErr w:type="spellStart"/>
      <w:r w:rsidRPr="008E4885">
        <w:rPr>
          <w:lang w:val="cs-CZ"/>
        </w:rPr>
        <w:t>znovuvytvářen</w:t>
      </w:r>
      <w:r w:rsidRPr="008E4885">
        <w:rPr>
          <w:lang w:val="cs-CZ"/>
        </w:rPr>
        <w:t>í</w:t>
      </w:r>
      <w:proofErr w:type="spellEnd"/>
      <w:r w:rsidRPr="008E4885">
        <w:rPr>
          <w:lang w:val="cs-CZ"/>
        </w:rPr>
        <w:t xml:space="preserve"> podrobného obsahu, který je již obsažen ve stávajících dokumentech s </w:t>
      </w:r>
      <w:r w:rsidRPr="008E4885">
        <w:rPr>
          <w:lang w:val="cs-CZ"/>
        </w:rPr>
        <w:lastRenderedPageBreak/>
        <w:t xml:space="preserve">pokyny k DNSH v České republice nebo v technických pokynech na úrovni EU, bude dokument vypracovaný v rámci DLV5 </w:t>
      </w:r>
      <w:r w:rsidR="0006325C" w:rsidRPr="008E4885">
        <w:rPr>
          <w:lang w:val="cs-CZ"/>
        </w:rPr>
        <w:t xml:space="preserve">usilovat o to, aby v co největší </w:t>
      </w:r>
      <w:r w:rsidRPr="008E4885">
        <w:rPr>
          <w:lang w:val="cs-CZ"/>
        </w:rPr>
        <w:t>míře přímo odkazoval na konkrétní části</w:t>
      </w:r>
      <w:r w:rsidRPr="008E4885">
        <w:rPr>
          <w:lang w:val="cs-CZ"/>
        </w:rPr>
        <w:t xml:space="preserve"> stávajících pokynů. Jinými slovy, dokument vytvořený v rámci DLV5 bude sloužit jako "kostra", která bude poskytovat metodické pokyny k postupu při </w:t>
      </w:r>
      <w:r w:rsidR="00FF0310" w:rsidRPr="008E4885">
        <w:rPr>
          <w:lang w:val="cs-CZ"/>
        </w:rPr>
        <w:t>posuzování</w:t>
      </w:r>
      <w:r w:rsidRPr="008E4885">
        <w:rPr>
          <w:lang w:val="cs-CZ"/>
        </w:rPr>
        <w:t xml:space="preserve"> DNSH </w:t>
      </w:r>
      <w:r w:rsidR="00FF0310" w:rsidRPr="008E4885">
        <w:rPr>
          <w:lang w:val="cs-CZ"/>
        </w:rPr>
        <w:t xml:space="preserve">(vč. </w:t>
      </w:r>
      <w:r w:rsidRPr="008E4885">
        <w:rPr>
          <w:lang w:val="cs-CZ"/>
        </w:rPr>
        <w:t xml:space="preserve">vizuálních prvků a rozhodovacího diagramu pro orientaci </w:t>
      </w:r>
      <w:r w:rsidR="00606FF5" w:rsidRPr="008E4885">
        <w:rPr>
          <w:lang w:val="cs-CZ"/>
        </w:rPr>
        <w:t>uživatelů)</w:t>
      </w:r>
      <w:r w:rsidR="00FF0310" w:rsidRPr="008E4885">
        <w:rPr>
          <w:lang w:val="cs-CZ"/>
        </w:rPr>
        <w:t xml:space="preserve">, </w:t>
      </w:r>
      <w:r w:rsidRPr="008E4885">
        <w:rPr>
          <w:lang w:val="cs-CZ"/>
        </w:rPr>
        <w:t xml:space="preserve">nicméně bude </w:t>
      </w:r>
      <w:r w:rsidR="00AF3CE2" w:rsidRPr="008E4885">
        <w:rPr>
          <w:lang w:val="cs-CZ"/>
        </w:rPr>
        <w:t xml:space="preserve">přímo odkazovat </w:t>
      </w:r>
      <w:r w:rsidRPr="008E4885">
        <w:rPr>
          <w:lang w:val="cs-CZ"/>
        </w:rPr>
        <w:t xml:space="preserve">na již zpracované oddíly ve stávajících pokynech pro </w:t>
      </w:r>
      <w:r w:rsidR="00AF3CE2" w:rsidRPr="008E4885">
        <w:rPr>
          <w:lang w:val="cs-CZ"/>
        </w:rPr>
        <w:t xml:space="preserve">obsah týkající se </w:t>
      </w:r>
      <w:r w:rsidRPr="008E4885">
        <w:rPr>
          <w:lang w:val="cs-CZ"/>
        </w:rPr>
        <w:t xml:space="preserve">konkrétních pojmů a témat (např. seznam relevantních českých právních předpisů pro různé cíle ochrany životního prostředí, základní informace o legislativním rámci, technické </w:t>
      </w:r>
      <w:r w:rsidRPr="008E4885">
        <w:rPr>
          <w:lang w:val="cs-CZ"/>
        </w:rPr>
        <w:t>pokyny k posouzení KP atd. Tento přístup umožní projektovému týmu využít konkrétní užitečné oddíly a zároveň se stále soustředit na zlepšení přehlednosti, použitelnosti a navigace pro jednotlivé kroky, potřeby a požadavky v celém procesu aplikace DNSH. Uži</w:t>
      </w:r>
      <w:r w:rsidRPr="008E4885">
        <w:rPr>
          <w:lang w:val="cs-CZ"/>
        </w:rPr>
        <w:t>tečnost a srozumitelnost různých částí stávajícího dokumentu s pokyny bude vycházet ze zpětné vazby od zúčastněných stran v rámci dalších konzultací v rámci DLV5</w:t>
      </w:r>
      <w:r w:rsidR="002B1BB9" w:rsidRPr="008E4885">
        <w:rPr>
          <w:lang w:val="cs-CZ"/>
        </w:rPr>
        <w:t>.</w:t>
      </w:r>
    </w:p>
    <w:p w:rsidR="00692E4E" w:rsidRPr="008E4885" w:rsidRDefault="00692E4E" w:rsidP="00692E4E">
      <w:pPr>
        <w:spacing w:line="360" w:lineRule="auto"/>
        <w:rPr>
          <w:lang w:val="cs-CZ"/>
        </w:rPr>
      </w:pPr>
    </w:p>
    <w:p w:rsidR="00F87DD0" w:rsidRPr="008E4885" w:rsidRDefault="008E4885">
      <w:pPr>
        <w:spacing w:line="360" w:lineRule="auto"/>
        <w:rPr>
          <w:lang w:val="cs-CZ"/>
        </w:rPr>
      </w:pPr>
      <w:r w:rsidRPr="008E4885">
        <w:rPr>
          <w:lang w:val="cs-CZ"/>
        </w:rPr>
        <w:t xml:space="preserve">Například kapitola 3 rámcových pokynů vypracovaných MŽP poskytuje přehled o </w:t>
      </w:r>
    </w:p>
    <w:p w:rsidR="00F87DD0" w:rsidRPr="008E4885" w:rsidRDefault="008E48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8E4885">
        <w:rPr>
          <w:lang w:val="cs-CZ"/>
        </w:rPr>
        <w:t>přístup k identifikaci požadavků DNSH pro fondy RRF i CPR, spolu s podrobnými kontextovými informacemi a hlavními úvahami o procesu posuzování DNSH na úrovni programu i složky. V této části jsou již také nastíněny jednotlivé kroky aplikace DNSH, nicméně vz</w:t>
      </w:r>
      <w:r w:rsidRPr="008E4885">
        <w:rPr>
          <w:lang w:val="cs-CZ"/>
        </w:rPr>
        <w:t>hledem k absenci vizuálních prvků se obsah může zdát textově náročný, a tudíž obtížně sledovatelný. Spojení stávajícího obsahu s metodickou mapou jednotlivých kroků vypracovanou v rámci DLV5 by zlepšilo celkovou přehlednost procesu. Stejně tak dokument MŽP</w:t>
      </w:r>
      <w:r w:rsidRPr="008E4885">
        <w:rPr>
          <w:lang w:val="cs-CZ"/>
        </w:rPr>
        <w:t xml:space="preserve"> poskytuje podrobný a ucelený návod pro proces posuzování PK. </w:t>
      </w:r>
      <w:r w:rsidR="00AE3712" w:rsidRPr="008E4885">
        <w:rPr>
          <w:lang w:val="cs-CZ"/>
        </w:rPr>
        <w:t xml:space="preserve">Obsah týkající se KP </w:t>
      </w:r>
      <w:r w:rsidR="00397B71" w:rsidRPr="008E4885">
        <w:rPr>
          <w:lang w:val="cs-CZ"/>
        </w:rPr>
        <w:t xml:space="preserve">vychází přímo </w:t>
      </w:r>
      <w:r w:rsidR="00C24C67" w:rsidRPr="008E4885">
        <w:rPr>
          <w:lang w:val="cs-CZ"/>
        </w:rPr>
        <w:t xml:space="preserve">z </w:t>
      </w:r>
      <w:r w:rsidR="00452C35" w:rsidRPr="008E4885">
        <w:rPr>
          <w:lang w:val="cs-CZ"/>
        </w:rPr>
        <w:t xml:space="preserve">Technického pokynu k zajištění odolnosti infrastruktury vůči změně klimatu v období 2021-2027 </w:t>
      </w:r>
      <w:r w:rsidR="007E75D0" w:rsidRPr="008E4885">
        <w:rPr>
          <w:lang w:val="cs-CZ"/>
        </w:rPr>
        <w:t xml:space="preserve">(2021/C 373/01), který </w:t>
      </w:r>
      <w:r w:rsidR="00397B71" w:rsidRPr="008E4885">
        <w:rPr>
          <w:lang w:val="cs-CZ"/>
        </w:rPr>
        <w:t xml:space="preserve">poskytuje </w:t>
      </w:r>
      <w:r w:rsidR="00A729B4" w:rsidRPr="008E4885">
        <w:rPr>
          <w:lang w:val="cs-CZ"/>
        </w:rPr>
        <w:t xml:space="preserve">pokyny krok za krokem pro </w:t>
      </w:r>
      <w:r w:rsidR="003871F5" w:rsidRPr="008E4885">
        <w:rPr>
          <w:lang w:val="cs-CZ"/>
        </w:rPr>
        <w:t xml:space="preserve">klíčové fáze </w:t>
      </w:r>
      <w:r w:rsidR="00A2182D" w:rsidRPr="008E4885">
        <w:rPr>
          <w:lang w:val="cs-CZ"/>
        </w:rPr>
        <w:t xml:space="preserve">KP jak pro cíl zmírnění změny klimatu, tak pro cíl přizpůsobení se změně klimatu, </w:t>
      </w:r>
      <w:r w:rsidR="00A729B4" w:rsidRPr="008E4885">
        <w:rPr>
          <w:lang w:val="cs-CZ"/>
        </w:rPr>
        <w:t xml:space="preserve">spolu s </w:t>
      </w:r>
      <w:r w:rsidR="007536D0" w:rsidRPr="008E4885">
        <w:rPr>
          <w:lang w:val="cs-CZ"/>
        </w:rPr>
        <w:t xml:space="preserve">vizuálními </w:t>
      </w:r>
      <w:r w:rsidR="00B816F7" w:rsidRPr="008E4885">
        <w:rPr>
          <w:lang w:val="cs-CZ"/>
        </w:rPr>
        <w:t>schématy</w:t>
      </w:r>
      <w:r w:rsidR="00031BF3" w:rsidRPr="008E4885">
        <w:rPr>
          <w:lang w:val="cs-CZ"/>
        </w:rPr>
        <w:t xml:space="preserve">, tabulkami a </w:t>
      </w:r>
      <w:r w:rsidR="001B26D6" w:rsidRPr="008E4885">
        <w:rPr>
          <w:lang w:val="cs-CZ"/>
        </w:rPr>
        <w:t xml:space="preserve">případně </w:t>
      </w:r>
      <w:r w:rsidR="00031BF3" w:rsidRPr="008E4885">
        <w:rPr>
          <w:lang w:val="cs-CZ"/>
        </w:rPr>
        <w:t xml:space="preserve">odkazy na </w:t>
      </w:r>
      <w:r w:rsidR="004714DA" w:rsidRPr="008E4885">
        <w:rPr>
          <w:lang w:val="cs-CZ"/>
        </w:rPr>
        <w:t xml:space="preserve">příslušné </w:t>
      </w:r>
      <w:r w:rsidR="00031BF3" w:rsidRPr="008E4885">
        <w:rPr>
          <w:lang w:val="cs-CZ"/>
        </w:rPr>
        <w:t xml:space="preserve">zdroje </w:t>
      </w:r>
      <w:r w:rsidR="004714DA" w:rsidRPr="008E4885">
        <w:rPr>
          <w:lang w:val="cs-CZ"/>
        </w:rPr>
        <w:t xml:space="preserve">(např. </w:t>
      </w:r>
      <w:r w:rsidR="00C73146" w:rsidRPr="008E4885">
        <w:rPr>
          <w:lang w:val="cs-CZ"/>
        </w:rPr>
        <w:t xml:space="preserve">zdroje </w:t>
      </w:r>
      <w:r w:rsidR="001B26D6" w:rsidRPr="008E4885">
        <w:rPr>
          <w:lang w:val="cs-CZ"/>
        </w:rPr>
        <w:t xml:space="preserve">s </w:t>
      </w:r>
      <w:r w:rsidR="00C73146" w:rsidRPr="008E4885">
        <w:rPr>
          <w:lang w:val="cs-CZ"/>
        </w:rPr>
        <w:t xml:space="preserve">údaji potřebnými pro </w:t>
      </w:r>
      <w:r w:rsidR="00374325" w:rsidRPr="008E4885">
        <w:rPr>
          <w:lang w:val="cs-CZ"/>
        </w:rPr>
        <w:t xml:space="preserve">analýzu </w:t>
      </w:r>
      <w:r w:rsidR="00DE61F3" w:rsidRPr="008E4885">
        <w:rPr>
          <w:lang w:val="cs-CZ"/>
        </w:rPr>
        <w:t xml:space="preserve">citlivosti, expozice a zranitelnosti). </w:t>
      </w:r>
      <w:r w:rsidR="00676317" w:rsidRPr="008E4885">
        <w:rPr>
          <w:lang w:val="cs-CZ"/>
        </w:rPr>
        <w:t xml:space="preserve">Pokyny vypracované v rámci DLV5 by tedy přímo odkazovaly na </w:t>
      </w:r>
      <w:r w:rsidR="003E422C" w:rsidRPr="008E4885">
        <w:rPr>
          <w:lang w:val="cs-CZ"/>
        </w:rPr>
        <w:t xml:space="preserve">podrobné pokyny v </w:t>
      </w:r>
      <w:r w:rsidR="00676317" w:rsidRPr="008E4885">
        <w:rPr>
          <w:lang w:val="cs-CZ"/>
        </w:rPr>
        <w:t xml:space="preserve">části CP v rámcových pokynech MŽP </w:t>
      </w:r>
      <w:r w:rsidR="00B35B40" w:rsidRPr="008E4885">
        <w:rPr>
          <w:lang w:val="cs-CZ"/>
        </w:rPr>
        <w:t xml:space="preserve">v etapě 5 (tj. </w:t>
      </w:r>
      <w:r w:rsidR="00ED608C" w:rsidRPr="008E4885">
        <w:rPr>
          <w:lang w:val="cs-CZ"/>
        </w:rPr>
        <w:t>vzájemné vazby s CP a SP).</w:t>
      </w:r>
    </w:p>
    <w:p w:rsidR="00A73478" w:rsidRPr="008E4885" w:rsidRDefault="00A73478" w:rsidP="00185DCA">
      <w:pPr>
        <w:ind w:left="0"/>
        <w:rPr>
          <w:lang w:val="cs-CZ"/>
        </w:rPr>
      </w:pPr>
    </w:p>
    <w:p w:rsidR="00F87DD0" w:rsidRPr="008E4885" w:rsidRDefault="008E4885">
      <w:pPr>
        <w:pStyle w:val="Nadpis2"/>
        <w:ind w:left="567" w:firstLine="0"/>
        <w:rPr>
          <w:lang w:val="cs-CZ"/>
        </w:rPr>
      </w:pPr>
      <w:bookmarkStart w:id="30" w:name="_Toc133944265"/>
      <w:r w:rsidRPr="008E4885">
        <w:rPr>
          <w:lang w:val="cs-CZ"/>
        </w:rPr>
        <w:t xml:space="preserve">Doporučení k </w:t>
      </w:r>
      <w:r w:rsidR="0C2D040B" w:rsidRPr="008E4885">
        <w:rPr>
          <w:lang w:val="cs-CZ"/>
        </w:rPr>
        <w:t xml:space="preserve">obsahu </w:t>
      </w:r>
      <w:r w:rsidR="3A84E848" w:rsidRPr="008E4885">
        <w:rPr>
          <w:lang w:val="cs-CZ"/>
        </w:rPr>
        <w:t xml:space="preserve">a </w:t>
      </w:r>
      <w:r w:rsidR="3D5C5D74" w:rsidRPr="008E4885">
        <w:rPr>
          <w:lang w:val="cs-CZ"/>
        </w:rPr>
        <w:t xml:space="preserve">srozumitelnosti </w:t>
      </w:r>
      <w:r w:rsidR="3A84E848" w:rsidRPr="008E4885">
        <w:rPr>
          <w:lang w:val="cs-CZ"/>
        </w:rPr>
        <w:t xml:space="preserve">pokynů </w:t>
      </w:r>
      <w:bookmarkEnd w:id="30"/>
    </w:p>
    <w:p w:rsidR="00F87DD0" w:rsidRPr="008E4885" w:rsidRDefault="008E4885">
      <w:pPr>
        <w:rPr>
          <w:lang w:val="cs-CZ"/>
        </w:rPr>
      </w:pPr>
      <w:r w:rsidRPr="008E4885">
        <w:rPr>
          <w:lang w:val="cs-CZ"/>
        </w:rPr>
        <w:t>Účelem metodického pokynu by mělo být poskytnout jasné info</w:t>
      </w:r>
      <w:r w:rsidRPr="008E4885">
        <w:rPr>
          <w:lang w:val="cs-CZ"/>
        </w:rPr>
        <w:t xml:space="preserve">rmace o jednotlivých fázích a krocích uplatňování zásady DNSH, </w:t>
      </w:r>
      <w:r w:rsidR="00B804D9" w:rsidRPr="008E4885">
        <w:rPr>
          <w:lang w:val="cs-CZ"/>
        </w:rPr>
        <w:t xml:space="preserve">přičemž by se měl </w:t>
      </w:r>
      <w:r w:rsidR="00531842" w:rsidRPr="008E4885">
        <w:rPr>
          <w:lang w:val="cs-CZ"/>
        </w:rPr>
        <w:t xml:space="preserve">zaměřit především na </w:t>
      </w:r>
      <w:r w:rsidR="002E2624" w:rsidRPr="008E4885">
        <w:rPr>
          <w:lang w:val="cs-CZ"/>
        </w:rPr>
        <w:t xml:space="preserve">fázi posuzování a hodnocení a poskytnout další rady k ostatním </w:t>
      </w:r>
      <w:r w:rsidR="00157FF9" w:rsidRPr="008E4885">
        <w:rPr>
          <w:lang w:val="cs-CZ"/>
        </w:rPr>
        <w:t xml:space="preserve">fázím </w:t>
      </w:r>
      <w:r w:rsidRPr="008E4885">
        <w:rPr>
          <w:lang w:val="cs-CZ"/>
        </w:rPr>
        <w:t xml:space="preserve">procesu životního cyklu </w:t>
      </w:r>
      <w:r w:rsidR="00B804D9" w:rsidRPr="008E4885">
        <w:rPr>
          <w:lang w:val="cs-CZ"/>
        </w:rPr>
        <w:t>projektu.</w:t>
      </w:r>
      <w:r w:rsidRPr="008E4885">
        <w:rPr>
          <w:lang w:val="cs-CZ"/>
        </w:rPr>
        <w:t xml:space="preserve"> Aby byla zajištěna srozumitelnost a snadné používání poradenského dokumentu a aby byla uživateli poskytnuta podpora při orientaci v procesu, je třeba, aby strukturování oddílů v celém dokumentu dodržovalo předem stanovený formát a bylo v celém dokumentu k</w:t>
      </w:r>
      <w:r w:rsidRPr="008E4885">
        <w:rPr>
          <w:lang w:val="cs-CZ"/>
        </w:rPr>
        <w:t xml:space="preserve">onzistentní. Doporučujeme dodržovat níže uvedený přístup ke strukturování </w:t>
      </w:r>
      <w:r w:rsidR="00FA58CD" w:rsidRPr="008E4885">
        <w:rPr>
          <w:lang w:val="cs-CZ"/>
        </w:rPr>
        <w:t xml:space="preserve">a propojení </w:t>
      </w:r>
      <w:r w:rsidRPr="008E4885">
        <w:rPr>
          <w:lang w:val="cs-CZ"/>
        </w:rPr>
        <w:t xml:space="preserve">kapitol </w:t>
      </w:r>
      <w:r w:rsidR="00441E23" w:rsidRPr="008E4885">
        <w:rPr>
          <w:lang w:val="cs-CZ"/>
        </w:rPr>
        <w:t xml:space="preserve">mezi stávajícím a nově vytvořeným </w:t>
      </w:r>
      <w:r w:rsidRPr="008E4885">
        <w:rPr>
          <w:lang w:val="cs-CZ"/>
        </w:rPr>
        <w:t xml:space="preserve">dokumentem s pokyny </w:t>
      </w:r>
      <w:r w:rsidR="00441E23" w:rsidRPr="008E4885">
        <w:rPr>
          <w:lang w:val="cs-CZ"/>
        </w:rPr>
        <w:t>(DLV5</w:t>
      </w:r>
      <w:r w:rsidRPr="008E4885">
        <w:rPr>
          <w:lang w:val="cs-CZ"/>
        </w:rPr>
        <w:t>)</w:t>
      </w:r>
      <w:r w:rsidR="009E3E42" w:rsidRPr="008E4885">
        <w:rPr>
          <w:lang w:val="cs-CZ"/>
        </w:rPr>
        <w:t>.</w:t>
      </w:r>
    </w:p>
    <w:p w:rsidR="00960C07" w:rsidRPr="008E4885" w:rsidRDefault="00960C07" w:rsidP="001508DA">
      <w:pPr>
        <w:rPr>
          <w:lang w:val="cs-CZ"/>
        </w:rPr>
      </w:pPr>
    </w:p>
    <w:p w:rsidR="00F87DD0" w:rsidRPr="008E4885" w:rsidRDefault="008E4885">
      <w:pPr>
        <w:ind w:firstLine="142"/>
        <w:rPr>
          <w:b/>
          <w:bCs/>
          <w:color w:val="F04E30" w:themeColor="accent2"/>
          <w:lang w:val="cs-CZ"/>
        </w:rPr>
      </w:pPr>
      <w:r w:rsidRPr="008E4885">
        <w:rPr>
          <w:b/>
          <w:bCs/>
          <w:color w:val="F04E30" w:themeColor="accent2"/>
          <w:lang w:val="cs-CZ"/>
        </w:rPr>
        <w:t xml:space="preserve">Základní </w:t>
      </w:r>
      <w:r w:rsidR="5A9486F9" w:rsidRPr="008E4885">
        <w:rPr>
          <w:b/>
          <w:bCs/>
          <w:color w:val="F04E30" w:themeColor="accent2"/>
          <w:lang w:val="cs-CZ"/>
        </w:rPr>
        <w:t xml:space="preserve">a </w:t>
      </w:r>
      <w:r w:rsidR="00303B25" w:rsidRPr="008E4885">
        <w:rPr>
          <w:b/>
          <w:bCs/>
          <w:color w:val="F04E30" w:themeColor="accent2"/>
          <w:lang w:val="cs-CZ"/>
        </w:rPr>
        <w:t xml:space="preserve">vysvětlující </w:t>
      </w:r>
      <w:r w:rsidR="420D4A4F" w:rsidRPr="008E4885">
        <w:rPr>
          <w:b/>
          <w:bCs/>
          <w:color w:val="F04E30" w:themeColor="accent2"/>
          <w:lang w:val="cs-CZ"/>
        </w:rPr>
        <w:t xml:space="preserve">kontextové </w:t>
      </w:r>
      <w:r w:rsidRPr="008E4885">
        <w:rPr>
          <w:b/>
          <w:bCs/>
          <w:color w:val="F04E30" w:themeColor="accent2"/>
          <w:lang w:val="cs-CZ"/>
        </w:rPr>
        <w:t xml:space="preserve">informace (např. </w:t>
      </w:r>
      <w:r w:rsidR="4B38EBCD" w:rsidRPr="008E4885">
        <w:rPr>
          <w:b/>
          <w:bCs/>
          <w:color w:val="F04E30" w:themeColor="accent2"/>
          <w:lang w:val="cs-CZ"/>
        </w:rPr>
        <w:t>otázky a odpovědi)</w:t>
      </w:r>
    </w:p>
    <w:p w:rsidR="00F87DD0" w:rsidRPr="008E4885" w:rsidRDefault="05300C1D">
      <w:pPr>
        <w:pStyle w:val="Odstavecseseznamem"/>
        <w:numPr>
          <w:ilvl w:val="0"/>
          <w:numId w:val="17"/>
        </w:numPr>
        <w:ind w:left="720"/>
        <w:rPr>
          <w:lang w:val="cs-CZ"/>
        </w:rPr>
      </w:pPr>
      <w:r w:rsidRPr="008E4885">
        <w:rPr>
          <w:lang w:val="cs-CZ"/>
        </w:rPr>
        <w:t xml:space="preserve">Měla by být uvedena </w:t>
      </w:r>
      <w:r w:rsidR="008E4885" w:rsidRPr="008E4885">
        <w:rPr>
          <w:b/>
          <w:lang w:val="cs-CZ"/>
        </w:rPr>
        <w:t>přehledn</w:t>
      </w:r>
      <w:r w:rsidR="008E4885" w:rsidRPr="008E4885">
        <w:rPr>
          <w:b/>
          <w:lang w:val="cs-CZ"/>
        </w:rPr>
        <w:t xml:space="preserve">á tabulka s přehledem všech relevantních nařízení EU, </w:t>
      </w:r>
      <w:r w:rsidR="052E3B41" w:rsidRPr="008E4885">
        <w:rPr>
          <w:b/>
          <w:lang w:val="cs-CZ"/>
        </w:rPr>
        <w:t xml:space="preserve">technických pokynů, dalších </w:t>
      </w:r>
      <w:r w:rsidR="2189F023" w:rsidRPr="008E4885">
        <w:rPr>
          <w:b/>
          <w:lang w:val="cs-CZ"/>
        </w:rPr>
        <w:t xml:space="preserve">doplňujících </w:t>
      </w:r>
      <w:r w:rsidR="00252BA5" w:rsidRPr="008E4885">
        <w:rPr>
          <w:b/>
          <w:lang w:val="cs-CZ"/>
        </w:rPr>
        <w:t xml:space="preserve">pracovních </w:t>
      </w:r>
      <w:r w:rsidR="69077649" w:rsidRPr="008E4885">
        <w:rPr>
          <w:b/>
          <w:lang w:val="cs-CZ"/>
        </w:rPr>
        <w:t xml:space="preserve">dokumentů </w:t>
      </w:r>
      <w:r w:rsidR="69077649" w:rsidRPr="008E4885">
        <w:rPr>
          <w:lang w:val="cs-CZ"/>
        </w:rPr>
        <w:t xml:space="preserve">(např. </w:t>
      </w:r>
      <w:r w:rsidR="2189F023" w:rsidRPr="008E4885">
        <w:rPr>
          <w:lang w:val="cs-CZ"/>
        </w:rPr>
        <w:t xml:space="preserve">vysvětlující poznámka Komise), </w:t>
      </w:r>
      <w:r w:rsidR="60D9BC7C" w:rsidRPr="008E4885">
        <w:rPr>
          <w:lang w:val="cs-CZ"/>
        </w:rPr>
        <w:t xml:space="preserve">spolu se stručným popisem </w:t>
      </w:r>
      <w:r w:rsidR="6C96DD45" w:rsidRPr="008E4885">
        <w:rPr>
          <w:lang w:val="cs-CZ"/>
        </w:rPr>
        <w:t>obsahu</w:t>
      </w:r>
      <w:r w:rsidR="60D9BC7C" w:rsidRPr="008E4885">
        <w:rPr>
          <w:lang w:val="cs-CZ"/>
        </w:rPr>
        <w:t xml:space="preserve">, účelu a </w:t>
      </w:r>
      <w:r w:rsidR="170793B5" w:rsidRPr="008E4885">
        <w:rPr>
          <w:lang w:val="cs-CZ"/>
        </w:rPr>
        <w:t xml:space="preserve">úlohy daného </w:t>
      </w:r>
      <w:r w:rsidR="7D98B263" w:rsidRPr="008E4885">
        <w:rPr>
          <w:lang w:val="cs-CZ"/>
        </w:rPr>
        <w:t xml:space="preserve">právního předpisu/dokumentu </w:t>
      </w:r>
      <w:r w:rsidR="0A16BEBF" w:rsidRPr="008E4885">
        <w:rPr>
          <w:lang w:val="cs-CZ"/>
        </w:rPr>
        <w:t xml:space="preserve">a přímým odkazem na českou </w:t>
      </w:r>
      <w:r w:rsidR="1367DF41" w:rsidRPr="008E4885">
        <w:rPr>
          <w:lang w:val="cs-CZ"/>
        </w:rPr>
        <w:t xml:space="preserve">online </w:t>
      </w:r>
      <w:r w:rsidR="0A16BEBF" w:rsidRPr="008E4885">
        <w:rPr>
          <w:lang w:val="cs-CZ"/>
        </w:rPr>
        <w:t xml:space="preserve">verzi </w:t>
      </w:r>
      <w:r w:rsidR="1367DF41" w:rsidRPr="008E4885">
        <w:rPr>
          <w:lang w:val="cs-CZ"/>
        </w:rPr>
        <w:t xml:space="preserve">na stránkách Evropské komise </w:t>
      </w:r>
      <w:r w:rsidR="2B3863E7" w:rsidRPr="008E4885">
        <w:rPr>
          <w:lang w:val="cs-CZ"/>
        </w:rPr>
        <w:t xml:space="preserve">(nebo jiného relevantního zdroje). </w:t>
      </w:r>
      <w:r w:rsidR="6C96DD45" w:rsidRPr="008E4885">
        <w:rPr>
          <w:lang w:val="cs-CZ"/>
        </w:rPr>
        <w:t xml:space="preserve">To zajistí, že uživatel bude mít k dispozici všechny relevantní zdroje pro zbývající část pokynů a bude </w:t>
      </w:r>
      <w:r w:rsidR="32776B52" w:rsidRPr="008E4885">
        <w:rPr>
          <w:lang w:val="cs-CZ"/>
        </w:rPr>
        <w:t xml:space="preserve">mít </w:t>
      </w:r>
      <w:r w:rsidR="219DBC7E" w:rsidRPr="008E4885">
        <w:rPr>
          <w:lang w:val="cs-CZ"/>
        </w:rPr>
        <w:t xml:space="preserve">jasnější představu o </w:t>
      </w:r>
      <w:r w:rsidR="7E263081" w:rsidRPr="008E4885">
        <w:rPr>
          <w:lang w:val="cs-CZ"/>
        </w:rPr>
        <w:t xml:space="preserve">pozadí </w:t>
      </w:r>
      <w:r w:rsidR="219DBC7E" w:rsidRPr="008E4885">
        <w:rPr>
          <w:lang w:val="cs-CZ"/>
        </w:rPr>
        <w:t xml:space="preserve">a legislativním kontextu pro aplikaci DNSH a dalších environmentálních metodik. </w:t>
      </w:r>
      <w:r w:rsidR="005338C2" w:rsidRPr="008E4885">
        <w:rPr>
          <w:lang w:val="cs-CZ"/>
        </w:rPr>
        <w:lastRenderedPageBreak/>
        <w:t xml:space="preserve">Oddíl 2.3 rámcových pokynů vypracovaných MŽP </w:t>
      </w:r>
      <w:r w:rsidR="005D2CC3" w:rsidRPr="008E4885">
        <w:rPr>
          <w:lang w:val="cs-CZ"/>
        </w:rPr>
        <w:t xml:space="preserve">již poskytuje podrobné </w:t>
      </w:r>
      <w:r w:rsidR="00187479" w:rsidRPr="008E4885">
        <w:rPr>
          <w:lang w:val="cs-CZ"/>
        </w:rPr>
        <w:t xml:space="preserve">základní informace o jednotlivých právních předpisech relevantních pro </w:t>
      </w:r>
      <w:r w:rsidR="00A13AFA" w:rsidRPr="008E4885">
        <w:rPr>
          <w:lang w:val="cs-CZ"/>
        </w:rPr>
        <w:t xml:space="preserve">princip </w:t>
      </w:r>
      <w:r w:rsidR="00187479" w:rsidRPr="008E4885">
        <w:rPr>
          <w:lang w:val="cs-CZ"/>
        </w:rPr>
        <w:t xml:space="preserve">DNSH </w:t>
      </w:r>
      <w:r w:rsidR="00A13AFA" w:rsidRPr="008E4885">
        <w:rPr>
          <w:lang w:val="cs-CZ"/>
        </w:rPr>
        <w:t xml:space="preserve">a hodnocení PK, </w:t>
      </w:r>
      <w:r w:rsidR="00242D09" w:rsidRPr="008E4885">
        <w:rPr>
          <w:lang w:val="cs-CZ"/>
        </w:rPr>
        <w:t xml:space="preserve">a proto by uživatelé byli </w:t>
      </w:r>
      <w:r w:rsidR="00D33CBF" w:rsidRPr="008E4885">
        <w:rPr>
          <w:lang w:val="cs-CZ"/>
        </w:rPr>
        <w:t xml:space="preserve">odkázáni </w:t>
      </w:r>
      <w:r w:rsidR="0098376C" w:rsidRPr="008E4885">
        <w:rPr>
          <w:lang w:val="cs-CZ"/>
        </w:rPr>
        <w:t xml:space="preserve">na tento oddíl, kde by získali další </w:t>
      </w:r>
      <w:r w:rsidR="00912347" w:rsidRPr="008E4885">
        <w:rPr>
          <w:lang w:val="cs-CZ"/>
        </w:rPr>
        <w:t xml:space="preserve">informace </w:t>
      </w:r>
      <w:r w:rsidR="00613A37" w:rsidRPr="008E4885">
        <w:rPr>
          <w:lang w:val="cs-CZ"/>
        </w:rPr>
        <w:t>(v případě, že by nebyly plně pokryty v pokynech DLV5).</w:t>
      </w:r>
    </w:p>
    <w:p w:rsidR="0054193F" w:rsidRPr="008E4885" w:rsidRDefault="0054193F" w:rsidP="00551FC9">
      <w:pPr>
        <w:pStyle w:val="Odstavecseseznamem"/>
        <w:ind w:left="720"/>
        <w:rPr>
          <w:lang w:val="cs-CZ"/>
        </w:rPr>
      </w:pPr>
    </w:p>
    <w:p w:rsidR="00F87DD0" w:rsidRPr="008E4885" w:rsidRDefault="11026096">
      <w:pPr>
        <w:pStyle w:val="Odstavecseseznamem"/>
        <w:numPr>
          <w:ilvl w:val="0"/>
          <w:numId w:val="17"/>
        </w:numPr>
        <w:ind w:left="720"/>
        <w:rPr>
          <w:lang w:val="cs-CZ"/>
        </w:rPr>
      </w:pPr>
      <w:r w:rsidRPr="008E4885">
        <w:rPr>
          <w:lang w:val="cs-CZ"/>
        </w:rPr>
        <w:t xml:space="preserve">V první kapitole pokynů by měla být uvedena </w:t>
      </w:r>
      <w:r w:rsidR="051EABFF" w:rsidRPr="008E4885">
        <w:rPr>
          <w:b/>
          <w:lang w:val="cs-CZ"/>
        </w:rPr>
        <w:t xml:space="preserve">tabulka </w:t>
      </w:r>
      <w:r w:rsidR="1CB426C7" w:rsidRPr="008E4885">
        <w:rPr>
          <w:b/>
          <w:lang w:val="cs-CZ"/>
        </w:rPr>
        <w:t xml:space="preserve">s </w:t>
      </w:r>
      <w:r w:rsidRPr="008E4885">
        <w:rPr>
          <w:b/>
          <w:lang w:val="cs-CZ"/>
        </w:rPr>
        <w:t>klíčovou terminologií</w:t>
      </w:r>
      <w:r w:rsidR="008E4885" w:rsidRPr="008E4885">
        <w:rPr>
          <w:b/>
          <w:bCs/>
          <w:lang w:val="cs-CZ"/>
        </w:rPr>
        <w:t xml:space="preserve">, </w:t>
      </w:r>
      <w:r w:rsidR="10A64F89" w:rsidRPr="008E4885">
        <w:rPr>
          <w:lang w:val="cs-CZ"/>
        </w:rPr>
        <w:t>aby se zmírnily nejasnosti způsobené zavedením řady nových pojmů</w:t>
      </w:r>
      <w:r w:rsidR="7673BF7B" w:rsidRPr="008E4885">
        <w:rPr>
          <w:lang w:val="cs-CZ"/>
        </w:rPr>
        <w:t xml:space="preserve">. </w:t>
      </w:r>
      <w:r w:rsidRPr="008E4885">
        <w:rPr>
          <w:lang w:val="cs-CZ"/>
        </w:rPr>
        <w:t xml:space="preserve">Tabulka by měla rovněž obsahovat </w:t>
      </w:r>
      <w:r w:rsidR="12228EC7" w:rsidRPr="008E4885">
        <w:rPr>
          <w:lang w:val="cs-CZ"/>
        </w:rPr>
        <w:t xml:space="preserve">všechny pojmy, které budou v </w:t>
      </w:r>
      <w:r w:rsidR="5D133C0F" w:rsidRPr="008E4885">
        <w:rPr>
          <w:lang w:val="cs-CZ"/>
        </w:rPr>
        <w:t xml:space="preserve">celém </w:t>
      </w:r>
      <w:r w:rsidR="12228EC7" w:rsidRPr="008E4885">
        <w:rPr>
          <w:lang w:val="cs-CZ"/>
        </w:rPr>
        <w:t xml:space="preserve">dokumentu používány, a u </w:t>
      </w:r>
      <w:r w:rsidR="42DE5457" w:rsidRPr="008E4885">
        <w:rPr>
          <w:lang w:val="cs-CZ"/>
        </w:rPr>
        <w:t xml:space="preserve">každého pojmu uvést jeho </w:t>
      </w:r>
      <w:r w:rsidR="0D9C3BD2" w:rsidRPr="008E4885">
        <w:rPr>
          <w:lang w:val="cs-CZ"/>
        </w:rPr>
        <w:t xml:space="preserve">stručný popis </w:t>
      </w:r>
      <w:r w:rsidRPr="008E4885">
        <w:rPr>
          <w:lang w:val="cs-CZ"/>
        </w:rPr>
        <w:t xml:space="preserve">a </w:t>
      </w:r>
      <w:r w:rsidR="5D133C0F" w:rsidRPr="008E4885">
        <w:rPr>
          <w:lang w:val="cs-CZ"/>
        </w:rPr>
        <w:t xml:space="preserve">definici, </w:t>
      </w:r>
      <w:r w:rsidR="66FEEC45" w:rsidRPr="008E4885">
        <w:rPr>
          <w:lang w:val="cs-CZ"/>
        </w:rPr>
        <w:t xml:space="preserve">zejména pokud jde o </w:t>
      </w:r>
      <w:r w:rsidR="09770B1E" w:rsidRPr="008E4885">
        <w:rPr>
          <w:lang w:val="cs-CZ"/>
        </w:rPr>
        <w:t xml:space="preserve">terminologii </w:t>
      </w:r>
      <w:r w:rsidR="002C35F8" w:rsidRPr="008E4885">
        <w:rPr>
          <w:lang w:val="cs-CZ"/>
        </w:rPr>
        <w:t xml:space="preserve">související s DNSH </w:t>
      </w:r>
      <w:r w:rsidR="09770B1E" w:rsidRPr="008E4885">
        <w:rPr>
          <w:lang w:val="cs-CZ"/>
        </w:rPr>
        <w:t xml:space="preserve">nebo </w:t>
      </w:r>
      <w:r w:rsidR="723E4FDB" w:rsidRPr="008E4885">
        <w:rPr>
          <w:lang w:val="cs-CZ"/>
        </w:rPr>
        <w:t xml:space="preserve">role </w:t>
      </w:r>
      <w:r w:rsidR="03049CD8" w:rsidRPr="008E4885">
        <w:rPr>
          <w:lang w:val="cs-CZ"/>
        </w:rPr>
        <w:t xml:space="preserve">subjektů/osob </w:t>
      </w:r>
      <w:r w:rsidR="09770B1E" w:rsidRPr="008E4885">
        <w:rPr>
          <w:lang w:val="cs-CZ"/>
        </w:rPr>
        <w:t xml:space="preserve">a </w:t>
      </w:r>
      <w:r w:rsidR="03049CD8" w:rsidRPr="008E4885">
        <w:rPr>
          <w:lang w:val="cs-CZ"/>
        </w:rPr>
        <w:t xml:space="preserve">typy dokumentů </w:t>
      </w:r>
      <w:r w:rsidR="09770B1E" w:rsidRPr="008E4885">
        <w:rPr>
          <w:lang w:val="cs-CZ"/>
        </w:rPr>
        <w:t xml:space="preserve">(tj. žadatel projektu, orgán programu příjemce projektu, formulář prohlášení atd.) </w:t>
      </w:r>
      <w:r w:rsidR="00464EB3" w:rsidRPr="008E4885">
        <w:rPr>
          <w:lang w:val="cs-CZ"/>
        </w:rPr>
        <w:t xml:space="preserve">Rámcový návod v současné době obsahuje stručný výčet terminologie na začátku dokumentu, nicméně </w:t>
      </w:r>
      <w:r w:rsidR="00BF5C95" w:rsidRPr="008E4885">
        <w:rPr>
          <w:lang w:val="cs-CZ"/>
        </w:rPr>
        <w:t xml:space="preserve">pro uživatele by mohly být přínosné </w:t>
      </w:r>
      <w:r w:rsidR="00464EB3" w:rsidRPr="008E4885">
        <w:rPr>
          <w:lang w:val="cs-CZ"/>
        </w:rPr>
        <w:t xml:space="preserve">další informace </w:t>
      </w:r>
      <w:r w:rsidR="00BF5C95" w:rsidRPr="008E4885">
        <w:rPr>
          <w:lang w:val="cs-CZ"/>
        </w:rPr>
        <w:t xml:space="preserve">(např. stručný popis) k danému pojmu. </w:t>
      </w:r>
    </w:p>
    <w:p w:rsidR="64ABC293" w:rsidRPr="008E4885" w:rsidRDefault="64ABC293" w:rsidP="08ABA0B0">
      <w:pPr>
        <w:ind w:left="207"/>
        <w:rPr>
          <w:lang w:val="cs-CZ"/>
        </w:rPr>
      </w:pPr>
    </w:p>
    <w:p w:rsidR="00F87DD0" w:rsidRPr="008E4885" w:rsidRDefault="008E4885">
      <w:pPr>
        <w:spacing w:line="360" w:lineRule="auto"/>
        <w:ind w:firstLine="142"/>
        <w:rPr>
          <w:b/>
          <w:color w:val="F04E30" w:themeColor="accent2"/>
          <w:lang w:val="cs-CZ"/>
        </w:rPr>
      </w:pPr>
      <w:r w:rsidRPr="008E4885">
        <w:rPr>
          <w:b/>
          <w:color w:val="F04E30" w:themeColor="accent2"/>
          <w:lang w:val="cs-CZ"/>
        </w:rPr>
        <w:t xml:space="preserve">Pokyny k procesu </w:t>
      </w:r>
    </w:p>
    <w:p w:rsidR="00F87DD0" w:rsidRPr="008E4885" w:rsidRDefault="008E4885">
      <w:pPr>
        <w:spacing w:line="360" w:lineRule="auto"/>
        <w:ind w:left="709"/>
        <w:rPr>
          <w:lang w:val="cs-CZ"/>
        </w:rPr>
      </w:pPr>
      <w:r w:rsidRPr="008E4885">
        <w:rPr>
          <w:lang w:val="cs-CZ"/>
        </w:rPr>
        <w:t>Klíčové je zachovat konzistentnost formátu a struktury celého dokumentu, aby byl zajištěn logický tok a snadné sledování. V celém dokumentu by měla být použita jasná struktura poskytující informace pro každou fázi životního cyklu, ve stejném formátu a posk</w:t>
      </w:r>
      <w:r w:rsidRPr="008E4885">
        <w:rPr>
          <w:lang w:val="cs-CZ"/>
        </w:rPr>
        <w:t xml:space="preserve">ytující stejný styl vizuálních prvků. </w:t>
      </w:r>
      <w:r w:rsidR="005A35B5" w:rsidRPr="008E4885">
        <w:rPr>
          <w:lang w:val="cs-CZ"/>
        </w:rPr>
        <w:t xml:space="preserve">Oddíl 4 </w:t>
      </w:r>
      <w:r w:rsidR="00C16931" w:rsidRPr="008E4885">
        <w:rPr>
          <w:lang w:val="cs-CZ"/>
        </w:rPr>
        <w:t xml:space="preserve">rámcových pokynů </w:t>
      </w:r>
      <w:r w:rsidR="005A35B5" w:rsidRPr="008E4885">
        <w:rPr>
          <w:lang w:val="cs-CZ"/>
        </w:rPr>
        <w:t xml:space="preserve">se řídí stanovenou strukturou, která se skládá z pozadí každého environmentálního cíle, způsobu zajištění souladu na vnitrostátní úrovni, požadavků DNSH, které nejsou zahrnuty ve vnitrostátních právních předpisech, a seznamu příslušných vnitrostátních právních předpisů. </w:t>
      </w:r>
      <w:r w:rsidR="00705B78" w:rsidRPr="008E4885">
        <w:rPr>
          <w:lang w:val="cs-CZ"/>
        </w:rPr>
        <w:t xml:space="preserve">Oddíl </w:t>
      </w:r>
      <w:r w:rsidR="00024652" w:rsidRPr="008E4885">
        <w:rPr>
          <w:lang w:val="cs-CZ"/>
        </w:rPr>
        <w:t xml:space="preserve">již </w:t>
      </w:r>
      <w:r w:rsidR="00705B78" w:rsidRPr="008E4885">
        <w:rPr>
          <w:lang w:val="cs-CZ"/>
        </w:rPr>
        <w:t xml:space="preserve">poskytuje </w:t>
      </w:r>
      <w:r w:rsidR="007D6B27" w:rsidRPr="008E4885">
        <w:rPr>
          <w:lang w:val="cs-CZ"/>
        </w:rPr>
        <w:t xml:space="preserve">relevantní obsah, nicméně by mohl </w:t>
      </w:r>
      <w:r w:rsidR="003546AC" w:rsidRPr="008E4885">
        <w:rPr>
          <w:lang w:val="cs-CZ"/>
        </w:rPr>
        <w:t xml:space="preserve">být rozšířen o vizuální </w:t>
      </w:r>
      <w:r w:rsidR="005A35B5" w:rsidRPr="008E4885">
        <w:rPr>
          <w:lang w:val="cs-CZ"/>
        </w:rPr>
        <w:t>prvky nebo rozhodovací stromy/diagramy, které by nastínily kroky procesu a vzájemné vazby mezi jednotlivými fázemi</w:t>
      </w:r>
      <w:r w:rsidR="00F80F10" w:rsidRPr="008E4885">
        <w:rPr>
          <w:lang w:val="cs-CZ"/>
        </w:rPr>
        <w:t xml:space="preserve">. </w:t>
      </w:r>
      <w:r w:rsidR="00B44613" w:rsidRPr="008E4885">
        <w:rPr>
          <w:lang w:val="cs-CZ"/>
        </w:rPr>
        <w:t xml:space="preserve">Tyto </w:t>
      </w:r>
      <w:r w:rsidR="00F80F10" w:rsidRPr="008E4885">
        <w:rPr>
          <w:lang w:val="cs-CZ"/>
        </w:rPr>
        <w:t xml:space="preserve">aspekty by </w:t>
      </w:r>
      <w:r w:rsidR="00B44613" w:rsidRPr="008E4885">
        <w:rPr>
          <w:lang w:val="cs-CZ"/>
        </w:rPr>
        <w:t xml:space="preserve">místo toho byly </w:t>
      </w:r>
      <w:r w:rsidR="00F80F10" w:rsidRPr="008E4885">
        <w:rPr>
          <w:lang w:val="cs-CZ"/>
        </w:rPr>
        <w:t xml:space="preserve">zahrnuty v pokynech DLV5, které </w:t>
      </w:r>
      <w:r w:rsidR="00B44613" w:rsidRPr="008E4885">
        <w:rPr>
          <w:lang w:val="cs-CZ"/>
        </w:rPr>
        <w:t xml:space="preserve">přímo odkazují na oddíl 4 rámcových pokynů, kde jsou uvedeny další informace o </w:t>
      </w:r>
      <w:r w:rsidR="00E13D14" w:rsidRPr="008E4885">
        <w:rPr>
          <w:lang w:val="cs-CZ"/>
        </w:rPr>
        <w:t xml:space="preserve">již zahrnutých informacích uvedených výše. </w:t>
      </w:r>
    </w:p>
    <w:p w:rsidR="0054193F" w:rsidRPr="008E4885" w:rsidRDefault="0054193F" w:rsidP="00B74E8D">
      <w:pPr>
        <w:pStyle w:val="Odstavecseseznamem"/>
        <w:spacing w:line="360" w:lineRule="auto"/>
        <w:ind w:left="720"/>
        <w:rPr>
          <w:lang w:val="cs-CZ"/>
        </w:rPr>
      </w:pPr>
    </w:p>
    <w:p w:rsidR="00F87DD0" w:rsidRPr="008E4885" w:rsidRDefault="7C347A6B">
      <w:pPr>
        <w:pStyle w:val="Odstavecseseznamem"/>
        <w:numPr>
          <w:ilvl w:val="0"/>
          <w:numId w:val="1"/>
        </w:numPr>
        <w:rPr>
          <w:lang w:val="cs-CZ"/>
        </w:rPr>
      </w:pPr>
      <w:r w:rsidRPr="008E4885">
        <w:rPr>
          <w:lang w:val="cs-CZ"/>
        </w:rPr>
        <w:t xml:space="preserve">Pro </w:t>
      </w:r>
      <w:r w:rsidR="09ECA27F" w:rsidRPr="008E4885">
        <w:rPr>
          <w:lang w:val="cs-CZ"/>
        </w:rPr>
        <w:t xml:space="preserve">každý fond v působnosti (RRF, CPF, </w:t>
      </w:r>
      <w:proofErr w:type="spellStart"/>
      <w:r w:rsidR="09ECA27F" w:rsidRPr="008E4885">
        <w:rPr>
          <w:lang w:val="cs-CZ"/>
        </w:rPr>
        <w:t>InvestEU</w:t>
      </w:r>
      <w:proofErr w:type="spellEnd"/>
      <w:r w:rsidR="09ECA27F" w:rsidRPr="008E4885">
        <w:rPr>
          <w:lang w:val="cs-CZ"/>
        </w:rPr>
        <w:t xml:space="preserve">) </w:t>
      </w:r>
      <w:r w:rsidR="1C722499" w:rsidRPr="008E4885">
        <w:rPr>
          <w:lang w:val="cs-CZ"/>
        </w:rPr>
        <w:t xml:space="preserve">by měla být zahrnuta </w:t>
      </w:r>
      <w:r w:rsidR="75B35620" w:rsidRPr="008E4885">
        <w:rPr>
          <w:b/>
          <w:lang w:val="cs-CZ"/>
        </w:rPr>
        <w:t xml:space="preserve">vizuální </w:t>
      </w:r>
      <w:r w:rsidR="008E4885" w:rsidRPr="008E4885">
        <w:rPr>
          <w:b/>
          <w:lang w:val="cs-CZ"/>
        </w:rPr>
        <w:t xml:space="preserve">mapa procesu </w:t>
      </w:r>
      <w:r w:rsidR="1C722499" w:rsidRPr="008E4885">
        <w:rPr>
          <w:lang w:val="cs-CZ"/>
        </w:rPr>
        <w:t xml:space="preserve">posuzování souladu s DNSH v průběhu projektového cyklu z pohledu financujícího orgánu i příjemce/předkladatele projektu. </w:t>
      </w:r>
      <w:r w:rsidR="4EBAB8FD" w:rsidRPr="008E4885">
        <w:rPr>
          <w:lang w:val="cs-CZ"/>
        </w:rPr>
        <w:t xml:space="preserve">Tato mapa by měla </w:t>
      </w:r>
      <w:r w:rsidR="3AF0FFCD" w:rsidRPr="008E4885">
        <w:rPr>
          <w:lang w:val="cs-CZ"/>
        </w:rPr>
        <w:t xml:space="preserve">poskytnout stručný přehled o úloze, </w:t>
      </w:r>
      <w:r w:rsidR="0341EAFD" w:rsidRPr="008E4885">
        <w:rPr>
          <w:lang w:val="cs-CZ"/>
        </w:rPr>
        <w:t xml:space="preserve">odpovědnosti </w:t>
      </w:r>
      <w:r w:rsidR="0A49E617" w:rsidRPr="008E4885">
        <w:rPr>
          <w:lang w:val="cs-CZ"/>
        </w:rPr>
        <w:t xml:space="preserve">(např. požadované činnosti) a klíčových výstupech pro oba typy zúčastněných stran a naznačit vazby mezi nimi. </w:t>
      </w:r>
      <w:r w:rsidR="2E3AB3B4" w:rsidRPr="008E4885">
        <w:rPr>
          <w:lang w:val="cs-CZ"/>
        </w:rPr>
        <w:t xml:space="preserve">Jednotlivé části této mapy (tj. různé fáze procesu podávání žádostí o DNSH) by pak byly podrobně </w:t>
      </w:r>
      <w:r w:rsidR="36C5D6C8" w:rsidRPr="008E4885">
        <w:rPr>
          <w:lang w:val="cs-CZ"/>
        </w:rPr>
        <w:t xml:space="preserve">rozpracovány v následujících kapitolách/oddílech </w:t>
      </w:r>
      <w:r w:rsidR="397C78E1" w:rsidRPr="008E4885">
        <w:rPr>
          <w:lang w:val="cs-CZ"/>
        </w:rPr>
        <w:t xml:space="preserve">metodického dokumentu. </w:t>
      </w:r>
      <w:r w:rsidR="004D2210" w:rsidRPr="008E4885">
        <w:rPr>
          <w:lang w:val="cs-CZ"/>
        </w:rPr>
        <w:t xml:space="preserve">Schematické znázornění procesu </w:t>
      </w:r>
      <w:r w:rsidR="00CE24BB" w:rsidRPr="008E4885">
        <w:rPr>
          <w:lang w:val="cs-CZ"/>
        </w:rPr>
        <w:t xml:space="preserve">podávání žádostí o </w:t>
      </w:r>
      <w:r w:rsidR="004D2210" w:rsidRPr="008E4885">
        <w:rPr>
          <w:lang w:val="cs-CZ"/>
        </w:rPr>
        <w:t xml:space="preserve">DNSH není v současné době ve stávajících </w:t>
      </w:r>
      <w:r w:rsidR="002920F1" w:rsidRPr="008E4885">
        <w:rPr>
          <w:lang w:val="cs-CZ"/>
        </w:rPr>
        <w:t xml:space="preserve">českých </w:t>
      </w:r>
      <w:r w:rsidR="004D2210" w:rsidRPr="008E4885">
        <w:rPr>
          <w:lang w:val="cs-CZ"/>
        </w:rPr>
        <w:t xml:space="preserve">metodických </w:t>
      </w:r>
      <w:r w:rsidR="002920F1" w:rsidRPr="008E4885">
        <w:rPr>
          <w:lang w:val="cs-CZ"/>
        </w:rPr>
        <w:t xml:space="preserve">dokumentech </w:t>
      </w:r>
      <w:r w:rsidR="004D2210" w:rsidRPr="008E4885">
        <w:rPr>
          <w:lang w:val="cs-CZ"/>
        </w:rPr>
        <w:t>obsaženo</w:t>
      </w:r>
      <w:r w:rsidR="001D58D1" w:rsidRPr="008E4885">
        <w:rPr>
          <w:lang w:val="cs-CZ"/>
        </w:rPr>
        <w:t xml:space="preserve">. </w:t>
      </w:r>
      <w:r w:rsidR="00093AAB" w:rsidRPr="008E4885">
        <w:rPr>
          <w:lang w:val="cs-CZ"/>
        </w:rPr>
        <w:t xml:space="preserve">Doplnění </w:t>
      </w:r>
      <w:r w:rsidR="000F2F31" w:rsidRPr="008E4885">
        <w:rPr>
          <w:lang w:val="cs-CZ"/>
        </w:rPr>
        <w:t xml:space="preserve">mapy procesu do </w:t>
      </w:r>
      <w:r w:rsidR="006549A0" w:rsidRPr="008E4885">
        <w:rPr>
          <w:lang w:val="cs-CZ"/>
        </w:rPr>
        <w:t xml:space="preserve">prvních kapitol dokumentu, </w:t>
      </w:r>
      <w:r w:rsidR="005112E9" w:rsidRPr="008E4885">
        <w:rPr>
          <w:lang w:val="cs-CZ"/>
        </w:rPr>
        <w:t xml:space="preserve">byť ve </w:t>
      </w:r>
      <w:r w:rsidR="006549A0" w:rsidRPr="008E4885">
        <w:rPr>
          <w:lang w:val="cs-CZ"/>
        </w:rPr>
        <w:t>zjednodušené podobě</w:t>
      </w:r>
      <w:r w:rsidR="00E85284" w:rsidRPr="008E4885">
        <w:rPr>
          <w:lang w:val="cs-CZ"/>
        </w:rPr>
        <w:t xml:space="preserve">, </w:t>
      </w:r>
      <w:r w:rsidR="004A6F5B" w:rsidRPr="008E4885">
        <w:rPr>
          <w:lang w:val="cs-CZ"/>
        </w:rPr>
        <w:t xml:space="preserve">může </w:t>
      </w:r>
      <w:r w:rsidR="00357ED0" w:rsidRPr="008E4885">
        <w:rPr>
          <w:lang w:val="cs-CZ"/>
        </w:rPr>
        <w:t xml:space="preserve">uživatelům </w:t>
      </w:r>
      <w:r w:rsidR="00140F20" w:rsidRPr="008E4885">
        <w:rPr>
          <w:lang w:val="cs-CZ"/>
        </w:rPr>
        <w:t xml:space="preserve">zlepšit </w:t>
      </w:r>
      <w:r w:rsidR="00357ED0" w:rsidRPr="008E4885">
        <w:rPr>
          <w:lang w:val="cs-CZ"/>
        </w:rPr>
        <w:t xml:space="preserve">pochopení jednotlivých kroků posuzování, jejich účelu a </w:t>
      </w:r>
      <w:r w:rsidR="00F07EDB" w:rsidRPr="008E4885">
        <w:rPr>
          <w:lang w:val="cs-CZ"/>
        </w:rPr>
        <w:t>postavení/pořadí</w:t>
      </w:r>
      <w:r w:rsidR="00357ED0" w:rsidRPr="008E4885">
        <w:rPr>
          <w:lang w:val="cs-CZ"/>
        </w:rPr>
        <w:t xml:space="preserve"> v </w:t>
      </w:r>
      <w:r w:rsidR="00F07EDB" w:rsidRPr="008E4885">
        <w:rPr>
          <w:lang w:val="cs-CZ"/>
        </w:rPr>
        <w:t xml:space="preserve">celém </w:t>
      </w:r>
      <w:r w:rsidR="00357ED0" w:rsidRPr="008E4885">
        <w:rPr>
          <w:lang w:val="cs-CZ"/>
        </w:rPr>
        <w:t>procesu</w:t>
      </w:r>
      <w:r w:rsidR="00F07EDB" w:rsidRPr="008E4885">
        <w:rPr>
          <w:lang w:val="cs-CZ"/>
        </w:rPr>
        <w:t>.</w:t>
      </w:r>
    </w:p>
    <w:p w:rsidR="00515106" w:rsidRPr="008E4885" w:rsidRDefault="00515106" w:rsidP="00B74E8D">
      <w:pPr>
        <w:pStyle w:val="Odstavecseseznamem"/>
        <w:ind w:left="720"/>
        <w:rPr>
          <w:lang w:val="cs-CZ"/>
        </w:rPr>
      </w:pPr>
    </w:p>
    <w:p w:rsidR="00F87DD0" w:rsidRPr="008E4885" w:rsidRDefault="008E4885">
      <w:pPr>
        <w:pStyle w:val="Odstavecseseznamem"/>
        <w:numPr>
          <w:ilvl w:val="0"/>
          <w:numId w:val="1"/>
        </w:numPr>
        <w:rPr>
          <w:rFonts w:eastAsia="Times New Roman" w:cs="Times New Roman"/>
          <w:color w:val="000000" w:themeColor="text1"/>
          <w:lang w:val="cs-CZ" w:eastAsia="en-GB"/>
        </w:rPr>
      </w:pPr>
      <w:r w:rsidRPr="008E4885">
        <w:rPr>
          <w:rFonts w:eastAsia="Times New Roman" w:cs="Times New Roman"/>
          <w:b/>
          <w:bCs/>
          <w:color w:val="000000" w:themeColor="text1"/>
          <w:lang w:val="cs-CZ" w:eastAsia="en-GB"/>
        </w:rPr>
        <w:t xml:space="preserve">Fáze životního cyklu projektu 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 xml:space="preserve">(tj. návrh programu/výzev, hodnocení/posouzení DNSH, zadávací řízení, realizace atd.) - první část oddílu by měla obsahovat klíčové informace o dané fázi 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>spolu s jasným vizuálním znázorněním rolí (tj. řízení) různých zúčastněných stran, vazeb mezi nimi a výstupů, které musí poskytnout a/nebo vytvořit. Klíčové informace by měly zahrnovat účel, cíle a pozici v časové ose. V případě potřeby může oddíl obsahova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 xml:space="preserve">t také další informace o definicích a rolích jednotlivých zúčastněných stran (kromě výše uvedené terminologické tabulky) spolu s přehledem klíčových pojmů specifických pro danou etapu. Zaměření a podrobnost uvedených informací se může lišit podle cílového 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 xml:space="preserve">uživatele pokynů (tj. programového orgánu 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>i předkladatelů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 xml:space="preserve"> projektů</w:t>
      </w:r>
      <w:r w:rsidR="05490FA9" w:rsidRPr="008E4885">
        <w:rPr>
          <w:rFonts w:eastAsia="Times New Roman" w:cs="Times New Roman"/>
          <w:color w:val="000000" w:themeColor="text1"/>
          <w:lang w:val="cs-CZ" w:eastAsia="en-GB"/>
        </w:rPr>
        <w:t xml:space="preserve">), 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lastRenderedPageBreak/>
        <w:t xml:space="preserve">doporučujeme však 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 xml:space="preserve">pro každou cílovou skupinu 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>zahrnout role a odpovědnosti všech zúčastněných stran, aby uživatelé měli přístup k informacím o celém kontextu a průběhu procesu aplikace DNS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>H.</w:t>
      </w:r>
    </w:p>
    <w:p w:rsidR="00366AA6" w:rsidRPr="008E4885" w:rsidRDefault="00366AA6" w:rsidP="00366AA6">
      <w:pPr>
        <w:ind w:left="0"/>
        <w:rPr>
          <w:rFonts w:eastAsia="Times New Roman" w:cs="Times New Roman"/>
          <w:color w:val="000000" w:themeColor="text1"/>
          <w:lang w:val="cs-CZ" w:eastAsia="en-GB"/>
        </w:rPr>
      </w:pPr>
    </w:p>
    <w:p w:rsidR="00F87DD0" w:rsidRPr="008E4885" w:rsidRDefault="008E4885">
      <w:pPr>
        <w:pStyle w:val="Odstavecseseznamem"/>
        <w:numPr>
          <w:ilvl w:val="0"/>
          <w:numId w:val="1"/>
        </w:numPr>
        <w:rPr>
          <w:b/>
          <w:bCs/>
          <w:i/>
          <w:iCs/>
          <w:lang w:val="cs-CZ"/>
        </w:rPr>
      </w:pPr>
      <w:r w:rsidRPr="008E4885">
        <w:rPr>
          <w:b/>
          <w:bCs/>
          <w:lang w:val="cs-CZ"/>
        </w:rPr>
        <w:t xml:space="preserve">Konkrétní kroky </w:t>
      </w:r>
      <w:r w:rsidR="00556A27" w:rsidRPr="008E4885">
        <w:rPr>
          <w:b/>
          <w:bCs/>
          <w:lang w:val="cs-CZ"/>
        </w:rPr>
        <w:t xml:space="preserve">popsané v každé </w:t>
      </w:r>
      <w:r w:rsidRPr="008E4885">
        <w:rPr>
          <w:b/>
          <w:bCs/>
          <w:lang w:val="cs-CZ"/>
        </w:rPr>
        <w:t xml:space="preserve">fázi </w:t>
      </w:r>
      <w:r w:rsidRPr="008E4885">
        <w:rPr>
          <w:i/>
          <w:iCs/>
          <w:lang w:val="cs-CZ"/>
        </w:rPr>
        <w:t xml:space="preserve">(tj. potvrzení splnění předpokladů DNSH, určení typu 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 xml:space="preserve">posouzení </w:t>
      </w:r>
      <w:r w:rsidRPr="008E4885">
        <w:rPr>
          <w:i/>
          <w:iCs/>
          <w:lang w:val="cs-CZ"/>
        </w:rPr>
        <w:t xml:space="preserve">DNSH požadovaného pro každý environmentální cíl, určení konkrétních požadavků DNSH) </w:t>
      </w:r>
      <w:r w:rsidRPr="008E4885">
        <w:rPr>
          <w:lang w:val="cs-CZ"/>
        </w:rPr>
        <w:t xml:space="preserve">- Každá fáze </w:t>
      </w:r>
      <w:r w:rsidR="00556A27" w:rsidRPr="008E4885">
        <w:rPr>
          <w:lang w:val="cs-CZ"/>
        </w:rPr>
        <w:t xml:space="preserve">žádosti o DNSH </w:t>
      </w:r>
      <w:r w:rsidRPr="008E4885">
        <w:rPr>
          <w:lang w:val="cs-CZ"/>
        </w:rPr>
        <w:t xml:space="preserve">by měla být rozdělena na konkrétní kroky, které je třeba dodržet a dokončit, spolu s jasnými pokyny, jak je dostatečně dokončit. </w:t>
      </w:r>
      <w:r w:rsidR="00266CAC" w:rsidRPr="008E4885">
        <w:rPr>
          <w:lang w:val="cs-CZ"/>
        </w:rPr>
        <w:t xml:space="preserve">Jednotlivé kroky </w:t>
      </w:r>
      <w:r w:rsidRPr="008E4885">
        <w:rPr>
          <w:lang w:val="cs-CZ"/>
        </w:rPr>
        <w:t>by měly být podrobně rozpracovány a měla by v nich být jasně uvedena úloha a odpovědnost jednotlivých zúčastně</w:t>
      </w:r>
      <w:r w:rsidRPr="008E4885">
        <w:rPr>
          <w:lang w:val="cs-CZ"/>
        </w:rPr>
        <w:t xml:space="preserve">ných stran. U každého kroku by měl být případně uveden diagram rozhodovacího stromu, který uživateli poskytne jasnou cestu přes otázky a odpovědi ANO/NE a provede ho celým procesem (např. podobný postup jako v doporučení 1, který uživatele provede různými </w:t>
      </w:r>
      <w:r w:rsidRPr="008E4885">
        <w:rPr>
          <w:lang w:val="cs-CZ"/>
        </w:rPr>
        <w:t xml:space="preserve">parametry, jež ovlivní úroveň a typ posouzení DNSH). </w:t>
      </w:r>
      <w:r w:rsidR="00BB5569" w:rsidRPr="008E4885">
        <w:rPr>
          <w:lang w:val="cs-CZ"/>
        </w:rPr>
        <w:t xml:space="preserve">Stávající </w:t>
      </w:r>
      <w:r w:rsidR="00F45C35" w:rsidRPr="008E4885">
        <w:rPr>
          <w:lang w:val="cs-CZ"/>
        </w:rPr>
        <w:t xml:space="preserve">metodický dokument v </w:t>
      </w:r>
      <w:r w:rsidR="00167682" w:rsidRPr="008E4885">
        <w:rPr>
          <w:lang w:val="cs-CZ"/>
        </w:rPr>
        <w:t xml:space="preserve">současné době poskytuje </w:t>
      </w:r>
      <w:r w:rsidR="00F45C35" w:rsidRPr="008E4885">
        <w:rPr>
          <w:lang w:val="cs-CZ"/>
        </w:rPr>
        <w:t xml:space="preserve">procesní schémata a </w:t>
      </w:r>
      <w:r w:rsidR="00F44E6B" w:rsidRPr="008E4885">
        <w:rPr>
          <w:lang w:val="cs-CZ"/>
        </w:rPr>
        <w:t xml:space="preserve">rozhodovací stromy pro posouzení CP, </w:t>
      </w:r>
      <w:r w:rsidR="007E5BD9" w:rsidRPr="008E4885">
        <w:rPr>
          <w:lang w:val="cs-CZ"/>
        </w:rPr>
        <w:t xml:space="preserve">je </w:t>
      </w:r>
      <w:r w:rsidR="00305C44" w:rsidRPr="008E4885">
        <w:rPr>
          <w:lang w:val="cs-CZ"/>
        </w:rPr>
        <w:t xml:space="preserve">však </w:t>
      </w:r>
      <w:r w:rsidR="007E5BD9" w:rsidRPr="008E4885">
        <w:rPr>
          <w:lang w:val="cs-CZ"/>
        </w:rPr>
        <w:t xml:space="preserve">třeba je doplnit pro proces žádosti o DNSH. </w:t>
      </w:r>
      <w:r w:rsidR="00791EB0" w:rsidRPr="008E4885">
        <w:rPr>
          <w:lang w:val="cs-CZ"/>
        </w:rPr>
        <w:t xml:space="preserve">Tyto vizuální prvky </w:t>
      </w:r>
      <w:r w:rsidR="007E5BD9" w:rsidRPr="008E4885">
        <w:rPr>
          <w:lang w:val="cs-CZ"/>
        </w:rPr>
        <w:t>by byly zahrnuty jako součást pokynů DLV5</w:t>
      </w:r>
      <w:r w:rsidR="00791EB0" w:rsidRPr="008E4885">
        <w:rPr>
          <w:lang w:val="cs-CZ"/>
        </w:rPr>
        <w:t>.</w:t>
      </w:r>
      <w:r w:rsidR="0054193F" w:rsidRPr="008E4885">
        <w:rPr>
          <w:lang w:val="cs-CZ"/>
        </w:rPr>
        <w:br/>
      </w:r>
      <w:r w:rsidR="00551FC9" w:rsidRPr="008E4885">
        <w:rPr>
          <w:lang w:val="cs-CZ"/>
        </w:rPr>
        <w:br/>
      </w:r>
      <w:r w:rsidR="00551FC9" w:rsidRPr="008E4885">
        <w:rPr>
          <w:b/>
          <w:bCs/>
          <w:color w:val="F04E30" w:themeColor="accent2"/>
          <w:lang w:val="cs-CZ"/>
        </w:rPr>
        <w:t>Obsah pokynů</w:t>
      </w:r>
    </w:p>
    <w:p w:rsidR="00F87DD0" w:rsidRPr="008E4885" w:rsidRDefault="008E4885">
      <w:pPr>
        <w:pStyle w:val="Odstavecseseznamem"/>
        <w:numPr>
          <w:ilvl w:val="0"/>
          <w:numId w:val="1"/>
        </w:numPr>
        <w:rPr>
          <w:rFonts w:eastAsia="Times New Roman" w:cs="Times New Roman"/>
          <w:color w:val="000000" w:themeColor="text1"/>
          <w:lang w:val="cs-CZ" w:eastAsia="en-GB"/>
        </w:rPr>
      </w:pPr>
      <w:r w:rsidRPr="008E4885">
        <w:rPr>
          <w:b/>
          <w:bCs/>
          <w:lang w:val="cs-CZ"/>
        </w:rPr>
        <w:t xml:space="preserve">Požadavky a </w:t>
      </w:r>
      <w:r w:rsidR="2D363651" w:rsidRPr="008E4885">
        <w:rPr>
          <w:b/>
          <w:bCs/>
          <w:lang w:val="cs-CZ"/>
        </w:rPr>
        <w:t xml:space="preserve">kontrolní seznam. </w:t>
      </w:r>
      <w:r w:rsidR="07AA86D6" w:rsidRPr="008E4885">
        <w:rPr>
          <w:lang w:val="cs-CZ"/>
        </w:rPr>
        <w:t xml:space="preserve">Na </w:t>
      </w:r>
      <w:r w:rsidR="0088706C" w:rsidRPr="008E4885">
        <w:rPr>
          <w:lang w:val="cs-CZ"/>
        </w:rPr>
        <w:t xml:space="preserve">konci </w:t>
      </w:r>
      <w:r w:rsidRPr="008E4885">
        <w:rPr>
          <w:lang w:val="cs-CZ"/>
        </w:rPr>
        <w:t xml:space="preserve">každého oddílu </w:t>
      </w:r>
      <w:r w:rsidR="0033554D" w:rsidRPr="008E4885">
        <w:rPr>
          <w:lang w:val="cs-CZ"/>
        </w:rPr>
        <w:t xml:space="preserve">by měl být uveden </w:t>
      </w:r>
      <w:r w:rsidR="4B5E1EBD" w:rsidRPr="008E4885">
        <w:rPr>
          <w:lang w:val="cs-CZ"/>
        </w:rPr>
        <w:t xml:space="preserve">kontrolní seznam </w:t>
      </w:r>
      <w:r w:rsidR="0033554D" w:rsidRPr="008E4885">
        <w:rPr>
          <w:lang w:val="cs-CZ"/>
        </w:rPr>
        <w:t xml:space="preserve">jako pomocná pomůcka, která </w:t>
      </w:r>
      <w:r w:rsidRPr="008E4885">
        <w:rPr>
          <w:lang w:val="cs-CZ"/>
        </w:rPr>
        <w:t xml:space="preserve">nastíní činnosti a kontroly, které je třeba dostatečně splnit, aby bylo možné přejít k následujícímu </w:t>
      </w:r>
      <w:r w:rsidRPr="008E4885">
        <w:rPr>
          <w:lang w:val="cs-CZ"/>
        </w:rPr>
        <w:t xml:space="preserve">kroku </w:t>
      </w:r>
      <w:r w:rsidR="38C1D851" w:rsidRPr="008E4885">
        <w:rPr>
          <w:lang w:val="cs-CZ"/>
        </w:rPr>
        <w:t xml:space="preserve">(např. 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 xml:space="preserve">u environmentálních cílů, pro které 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 xml:space="preserve">nestačí zjednodušené posouzení DNSH, je třeba od žadatelů vyžádat důkazy podporující věcné posouzení DNSH). Kromě toho by měly být zahrnuty vybrané tipy na řešení </w:t>
      </w:r>
      <w:r w:rsidRPr="008E4885">
        <w:rPr>
          <w:lang w:val="cs-CZ"/>
        </w:rPr>
        <w:t xml:space="preserve">předvídatelných </w:t>
      </w:r>
      <w:r w:rsidRPr="008E4885">
        <w:rPr>
          <w:rFonts w:eastAsia="Times New Roman" w:cs="Times New Roman"/>
          <w:color w:val="000000" w:themeColor="text1"/>
          <w:lang w:val="cs-CZ" w:eastAsia="en-GB"/>
        </w:rPr>
        <w:t>problémů - např. zjištění zjištěná v rámci DLV2 a ad hoc podpory lze využít při tvorbě metodického pokynu, aby bylo zajištěno zahrnutí reálných problémů.</w:t>
      </w:r>
      <w:r w:rsidR="0054193F" w:rsidRPr="008E4885">
        <w:rPr>
          <w:lang w:val="cs-CZ"/>
        </w:rPr>
        <w:br/>
      </w:r>
    </w:p>
    <w:p w:rsidR="00F87DD0" w:rsidRPr="008E4885" w:rsidRDefault="008E4885">
      <w:pPr>
        <w:pStyle w:val="Odstavecseseznamem"/>
        <w:numPr>
          <w:ilvl w:val="0"/>
          <w:numId w:val="1"/>
        </w:numPr>
        <w:rPr>
          <w:lang w:val="cs-CZ"/>
        </w:rPr>
      </w:pPr>
      <w:r w:rsidRPr="008E4885">
        <w:rPr>
          <w:b/>
          <w:bCs/>
          <w:lang w:val="cs-CZ"/>
        </w:rPr>
        <w:t>Seznam důkazní dokumentace</w:t>
      </w:r>
      <w:r w:rsidR="274A2CC0" w:rsidRPr="008E4885">
        <w:rPr>
          <w:b/>
          <w:bCs/>
          <w:lang w:val="cs-CZ"/>
        </w:rPr>
        <w:t xml:space="preserve">. </w:t>
      </w:r>
      <w:r w:rsidR="549124CE" w:rsidRPr="008E4885">
        <w:rPr>
          <w:lang w:val="cs-CZ"/>
        </w:rPr>
        <w:t>Pokyny by měly obsahovat instrukce k vypracování předběžného seznamu důkazní dokumentace potřebné k prokázání souladu s DNSH. Seznam by měl obsahovat dokumentaci, kterou budou muset žadatelé předložit, aby byli způsobilí pro financování v průběhu procesu podávání žádostí, spolu s informacemi o tom, kdy a jakou dokumentaci/důkazy je třeba předložit v průběhu celého životního cyklu projektu. Účelem takového seznamu je dvojí: 1) bude interně informovat o procesu, aby bylo zřejmé, jaký typ informací musí financující orgány shromáždit v kterém bodě cyklu financování, aby bylo zajištěno, že projekt splňuje požadavky DNSH, a 2) umožní žadatelům posoudit, zda splňují (a mohou prokázat splnění) kritéria DNSH.</w:t>
      </w:r>
      <w:r w:rsidRPr="008E4885">
        <w:rPr>
          <w:lang w:val="cs-CZ"/>
        </w:rPr>
        <w:br/>
      </w:r>
    </w:p>
    <w:p w:rsidR="00F87DD0" w:rsidRPr="008E4885" w:rsidRDefault="008E4885">
      <w:pPr>
        <w:pStyle w:val="Odstavecseseznamem"/>
        <w:numPr>
          <w:ilvl w:val="0"/>
          <w:numId w:val="1"/>
        </w:numPr>
        <w:rPr>
          <w:lang w:val="cs-CZ"/>
        </w:rPr>
      </w:pPr>
      <w:r w:rsidRPr="008E4885">
        <w:rPr>
          <w:b/>
          <w:bCs/>
          <w:lang w:val="cs-CZ"/>
        </w:rPr>
        <w:t>Šablony</w:t>
      </w:r>
      <w:r w:rsidR="1B5ECF00" w:rsidRPr="008E4885">
        <w:rPr>
          <w:b/>
          <w:bCs/>
          <w:lang w:val="cs-CZ"/>
        </w:rPr>
        <w:t xml:space="preserve">. </w:t>
      </w:r>
      <w:r w:rsidR="00364FD3" w:rsidRPr="008E4885">
        <w:rPr>
          <w:lang w:val="cs-CZ"/>
        </w:rPr>
        <w:t xml:space="preserve">V příloze by měla být uvedena snadno použitelná šablona pro jakýkoli dokument nebo formulář, který se doporučuje zahrnout nebo použít v poradenském dokumentu. Orgány programu ji mohou využít při přípravě návrhu výzvy a zadávací dokumentace. </w:t>
      </w:r>
      <w:r w:rsidR="00592302" w:rsidRPr="008E4885">
        <w:rPr>
          <w:lang w:val="cs-CZ"/>
        </w:rPr>
        <w:t xml:space="preserve">Stávající pokyny poskytují na </w:t>
      </w:r>
      <w:r w:rsidR="002A240D" w:rsidRPr="008E4885">
        <w:rPr>
          <w:lang w:val="cs-CZ"/>
        </w:rPr>
        <w:t xml:space="preserve">konci dokumentu </w:t>
      </w:r>
      <w:r w:rsidR="007F4B1E" w:rsidRPr="008E4885">
        <w:rPr>
          <w:lang w:val="cs-CZ"/>
        </w:rPr>
        <w:t xml:space="preserve">rozpracovaný příklad pro </w:t>
      </w:r>
      <w:r w:rsidR="00B8668A" w:rsidRPr="008E4885">
        <w:rPr>
          <w:lang w:val="cs-CZ"/>
        </w:rPr>
        <w:t xml:space="preserve">identifikaci </w:t>
      </w:r>
      <w:r w:rsidR="00F72880" w:rsidRPr="008E4885">
        <w:rPr>
          <w:lang w:val="cs-CZ"/>
        </w:rPr>
        <w:t xml:space="preserve">požadavků na DNSH pro různé činnosti </w:t>
      </w:r>
      <w:r w:rsidR="002A240D" w:rsidRPr="008E4885">
        <w:rPr>
          <w:lang w:val="cs-CZ"/>
        </w:rPr>
        <w:t xml:space="preserve">(např. </w:t>
      </w:r>
      <w:r w:rsidR="00F72880" w:rsidRPr="008E4885">
        <w:rPr>
          <w:lang w:val="cs-CZ"/>
        </w:rPr>
        <w:t xml:space="preserve">výstavbu </w:t>
      </w:r>
      <w:r w:rsidR="00243653" w:rsidRPr="008E4885">
        <w:rPr>
          <w:lang w:val="cs-CZ"/>
        </w:rPr>
        <w:t xml:space="preserve">budov </w:t>
      </w:r>
      <w:r w:rsidR="00F72880" w:rsidRPr="008E4885">
        <w:rPr>
          <w:lang w:val="cs-CZ"/>
        </w:rPr>
        <w:t xml:space="preserve">nebo </w:t>
      </w:r>
      <w:r w:rsidR="00243653" w:rsidRPr="008E4885">
        <w:rPr>
          <w:lang w:val="cs-CZ"/>
        </w:rPr>
        <w:t>rekonstrukci stávajících budov)</w:t>
      </w:r>
      <w:r w:rsidR="002920F1" w:rsidRPr="008E4885">
        <w:rPr>
          <w:lang w:val="cs-CZ"/>
        </w:rPr>
        <w:t xml:space="preserve">. </w:t>
      </w:r>
      <w:r w:rsidR="002A240D" w:rsidRPr="008E4885">
        <w:rPr>
          <w:lang w:val="cs-CZ"/>
        </w:rPr>
        <w:t xml:space="preserve">Neposkytuje vzory, které </w:t>
      </w:r>
      <w:r w:rsidR="00427CDF" w:rsidRPr="008E4885">
        <w:rPr>
          <w:lang w:val="cs-CZ"/>
        </w:rPr>
        <w:t xml:space="preserve">by mohly být použity </w:t>
      </w:r>
      <w:r w:rsidR="00B86326" w:rsidRPr="008E4885">
        <w:rPr>
          <w:lang w:val="cs-CZ"/>
        </w:rPr>
        <w:t xml:space="preserve">pro </w:t>
      </w:r>
      <w:r w:rsidR="003B3DCC" w:rsidRPr="008E4885">
        <w:rPr>
          <w:lang w:val="cs-CZ"/>
        </w:rPr>
        <w:t xml:space="preserve">vypracování dokumentace související s DNSH pro konkrétní program </w:t>
      </w:r>
      <w:r w:rsidR="00427CDF" w:rsidRPr="008E4885">
        <w:rPr>
          <w:lang w:val="cs-CZ"/>
        </w:rPr>
        <w:t>ze</w:t>
      </w:r>
      <w:r w:rsidR="003B3DCC" w:rsidRPr="008E4885">
        <w:rPr>
          <w:lang w:val="cs-CZ"/>
        </w:rPr>
        <w:t xml:space="preserve"> strany </w:t>
      </w:r>
      <w:r w:rsidR="00B86326" w:rsidRPr="008E4885">
        <w:rPr>
          <w:lang w:val="cs-CZ"/>
        </w:rPr>
        <w:t xml:space="preserve">orgánů programu. </w:t>
      </w:r>
      <w:r w:rsidR="00707910" w:rsidRPr="008E4885">
        <w:rPr>
          <w:lang w:val="cs-CZ"/>
        </w:rPr>
        <w:t xml:space="preserve">Je důležité poznamenat, </w:t>
      </w:r>
      <w:r w:rsidR="00777CAB" w:rsidRPr="008E4885">
        <w:rPr>
          <w:lang w:val="cs-CZ"/>
        </w:rPr>
        <w:t xml:space="preserve">že v době vydání tohoto pokynu </w:t>
      </w:r>
      <w:r w:rsidR="00214EB4" w:rsidRPr="008E4885">
        <w:rPr>
          <w:lang w:val="cs-CZ"/>
        </w:rPr>
        <w:t xml:space="preserve">(leden 2023) </w:t>
      </w:r>
      <w:r w:rsidR="00777CAB" w:rsidRPr="008E4885">
        <w:rPr>
          <w:lang w:val="cs-CZ"/>
        </w:rPr>
        <w:t>již orgány programu vytvořily své vlastní dokumenty</w:t>
      </w:r>
      <w:r w:rsidR="000B3774" w:rsidRPr="008E4885">
        <w:rPr>
          <w:lang w:val="cs-CZ"/>
        </w:rPr>
        <w:t xml:space="preserve">. Zahrnutí souboru šablon </w:t>
      </w:r>
      <w:r w:rsidR="00F60DEB" w:rsidRPr="008E4885">
        <w:rPr>
          <w:lang w:val="cs-CZ"/>
        </w:rPr>
        <w:t xml:space="preserve">na konci dokumentu </w:t>
      </w:r>
      <w:r w:rsidR="000B3774" w:rsidRPr="008E4885">
        <w:rPr>
          <w:lang w:val="cs-CZ"/>
        </w:rPr>
        <w:t xml:space="preserve">by mohlo </w:t>
      </w:r>
      <w:r w:rsidR="003B2F2F" w:rsidRPr="008E4885">
        <w:rPr>
          <w:lang w:val="cs-CZ"/>
        </w:rPr>
        <w:t xml:space="preserve">sloužit jako užitečný zdroj, </w:t>
      </w:r>
      <w:r w:rsidR="00694279" w:rsidRPr="008E4885">
        <w:rPr>
          <w:lang w:val="cs-CZ"/>
        </w:rPr>
        <w:t xml:space="preserve">podle </w:t>
      </w:r>
      <w:r w:rsidR="003B2F2F" w:rsidRPr="008E4885">
        <w:rPr>
          <w:lang w:val="cs-CZ"/>
        </w:rPr>
        <w:t xml:space="preserve">kterého </w:t>
      </w:r>
      <w:r w:rsidR="00EC5DE1" w:rsidRPr="008E4885">
        <w:rPr>
          <w:lang w:val="cs-CZ"/>
        </w:rPr>
        <w:t xml:space="preserve">by </w:t>
      </w:r>
      <w:r w:rsidR="003B2F2F" w:rsidRPr="008E4885">
        <w:rPr>
          <w:lang w:val="cs-CZ"/>
        </w:rPr>
        <w:t xml:space="preserve">orgány programů </w:t>
      </w:r>
      <w:r w:rsidR="00EC5DE1" w:rsidRPr="008E4885">
        <w:rPr>
          <w:lang w:val="cs-CZ"/>
        </w:rPr>
        <w:t xml:space="preserve">mohly </w:t>
      </w:r>
      <w:r w:rsidR="00B567BC" w:rsidRPr="008E4885">
        <w:rPr>
          <w:lang w:val="cs-CZ"/>
        </w:rPr>
        <w:t xml:space="preserve">upravit své stávající šablony, </w:t>
      </w:r>
      <w:r w:rsidR="00F60DEB" w:rsidRPr="008E4885">
        <w:rPr>
          <w:lang w:val="cs-CZ"/>
        </w:rPr>
        <w:t xml:space="preserve">zjednodušit dokument (pokud je to vhodné) a zajistit konzistentnost dokumentů napříč programy a fondy. </w:t>
      </w:r>
      <w:r w:rsidR="00B567BC" w:rsidRPr="008E4885">
        <w:rPr>
          <w:lang w:val="cs-CZ"/>
        </w:rPr>
        <w:t xml:space="preserve"> </w:t>
      </w:r>
      <w:r w:rsidR="00565685" w:rsidRPr="008E4885">
        <w:rPr>
          <w:lang w:val="cs-CZ"/>
        </w:rPr>
        <w:br/>
      </w:r>
    </w:p>
    <w:p w:rsidR="00F87DD0" w:rsidRPr="008E4885" w:rsidRDefault="008E4885">
      <w:pPr>
        <w:pStyle w:val="Odstavecseseznamem"/>
        <w:numPr>
          <w:ilvl w:val="0"/>
          <w:numId w:val="1"/>
        </w:numPr>
        <w:rPr>
          <w:lang w:val="cs-CZ"/>
        </w:rPr>
      </w:pPr>
      <w:r w:rsidRPr="008E4885">
        <w:rPr>
          <w:b/>
          <w:bCs/>
          <w:lang w:val="cs-CZ"/>
        </w:rPr>
        <w:t>Komunikace</w:t>
      </w:r>
      <w:r w:rsidR="2514B14D" w:rsidRPr="008E4885">
        <w:rPr>
          <w:b/>
          <w:bCs/>
          <w:lang w:val="cs-CZ"/>
        </w:rPr>
        <w:t xml:space="preserve">. </w:t>
      </w:r>
      <w:r w:rsidR="0D561FF7" w:rsidRPr="008E4885">
        <w:rPr>
          <w:lang w:val="cs-CZ"/>
        </w:rPr>
        <w:t xml:space="preserve">Je nezbytné poskytnout jasné pokyny, jak má orgán programu informovat o </w:t>
      </w:r>
      <w:r w:rsidR="686D3077" w:rsidRPr="008E4885">
        <w:rPr>
          <w:lang w:val="cs-CZ"/>
        </w:rPr>
        <w:t xml:space="preserve">uplatňování </w:t>
      </w:r>
      <w:r w:rsidR="0D561FF7" w:rsidRPr="008E4885">
        <w:rPr>
          <w:lang w:val="cs-CZ"/>
        </w:rPr>
        <w:t xml:space="preserve">zásady DNSH a požadavků DNSH v dokumentaci k výzvě, aby byla zajištěna konzistentnost napříč </w:t>
      </w:r>
      <w:r w:rsidR="0D561FF7" w:rsidRPr="008E4885">
        <w:rPr>
          <w:lang w:val="cs-CZ"/>
        </w:rPr>
        <w:lastRenderedPageBreak/>
        <w:t xml:space="preserve">programy/fondy. To by mělo zahrnovat formát, podrobnosti, jazyk a (pokud možno) umístění v konkrétním programovém dokumentu (např. </w:t>
      </w:r>
      <w:r w:rsidR="433D3981" w:rsidRPr="008E4885">
        <w:rPr>
          <w:lang w:val="cs-CZ"/>
        </w:rPr>
        <w:t xml:space="preserve">v </w:t>
      </w:r>
      <w:r w:rsidR="0D561FF7" w:rsidRPr="008E4885">
        <w:rPr>
          <w:lang w:val="cs-CZ"/>
        </w:rPr>
        <w:t>Pravidlech pro žadatele a příjemce - CZ: "Pravidla pro žadatele a příjemce podpory")</w:t>
      </w:r>
      <w:r w:rsidR="00B6521E" w:rsidRPr="008E4885">
        <w:rPr>
          <w:lang w:val="cs-CZ"/>
        </w:rPr>
        <w:t xml:space="preserve">. </w:t>
      </w:r>
      <w:r w:rsidR="00D43BCF" w:rsidRPr="008E4885">
        <w:rPr>
          <w:lang w:val="cs-CZ"/>
        </w:rPr>
        <w:t xml:space="preserve">Současný pokyn uvádí povinnost orgánů programu uvádět v dokumentaci programu (např. ve výzvách, veřejných zakázkách, právních aktech, pravidlech pro žadatele apod. jasný seznam s konkrétními požadavky na DNSH, namísto toho, aby se odpovědnost za identifikaci požadavků na DNSH přenášela na žadatele. Metodický pokyn však neposkytuje další informace o formátu, jazyku a umístění požadavků DNSH v této dokumentaci. </w:t>
      </w:r>
    </w:p>
    <w:p w:rsidR="001508DA" w:rsidRPr="008E4885" w:rsidRDefault="001508DA">
      <w:pPr>
        <w:spacing w:after="200" w:line="276" w:lineRule="auto"/>
        <w:ind w:left="0"/>
        <w:rPr>
          <w:b/>
          <w:bCs/>
          <w:lang w:val="cs-CZ"/>
        </w:rPr>
      </w:pPr>
      <w:r w:rsidRPr="008E4885">
        <w:rPr>
          <w:b/>
          <w:bCs/>
          <w:lang w:val="cs-CZ"/>
        </w:rPr>
        <w:br w:type="page"/>
      </w:r>
    </w:p>
    <w:p w:rsidR="00F87DD0" w:rsidRPr="008E4885" w:rsidRDefault="008E4885">
      <w:pPr>
        <w:pStyle w:val="Nadpis1"/>
        <w:numPr>
          <w:ilvl w:val="0"/>
          <w:numId w:val="0"/>
        </w:numPr>
        <w:rPr>
          <w:lang w:val="cs-CZ"/>
        </w:rPr>
      </w:pPr>
      <w:bookmarkStart w:id="31" w:name="_Toc133944266"/>
      <w:r w:rsidRPr="008E4885">
        <w:rPr>
          <w:lang w:val="cs-CZ"/>
        </w:rPr>
        <w:lastRenderedPageBreak/>
        <w:t xml:space="preserve">4 </w:t>
      </w:r>
      <w:r w:rsidR="00C9137C" w:rsidRPr="008E4885">
        <w:rPr>
          <w:lang w:val="cs-CZ"/>
        </w:rPr>
        <w:t xml:space="preserve">Závěr a důsledky pro </w:t>
      </w:r>
      <w:r w:rsidR="00E031FA" w:rsidRPr="008E4885">
        <w:rPr>
          <w:lang w:val="cs-CZ"/>
        </w:rPr>
        <w:t xml:space="preserve">DLV </w:t>
      </w:r>
      <w:r w:rsidR="00C9137C" w:rsidRPr="008E4885">
        <w:rPr>
          <w:lang w:val="cs-CZ"/>
        </w:rPr>
        <w:t>5</w:t>
      </w:r>
      <w:bookmarkEnd w:id="31"/>
    </w:p>
    <w:p w:rsidR="00F87DD0" w:rsidRPr="008E4885" w:rsidRDefault="009A3E3A">
      <w:pPr>
        <w:pStyle w:val="paragraph"/>
        <w:spacing w:before="0" w:beforeAutospacing="0" w:after="0" w:afterAutospacing="0" w:line="360" w:lineRule="auto"/>
        <w:ind w:left="555"/>
        <w:textAlignment w:val="baseline"/>
        <w:rPr>
          <w:rStyle w:val="normaltextrun"/>
          <w:rFonts w:ascii="Trebuchet MS" w:hAnsi="Trebuchet MS" w:cs="Segoe UI"/>
          <w:sz w:val="18"/>
          <w:szCs w:val="18"/>
          <w:lang w:val="cs-CZ"/>
        </w:rPr>
      </w:pPr>
      <w:r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Tento výstup se zaměřil na identifikaci </w:t>
      </w:r>
      <w:r w:rsidR="00F26AEF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typů a kategorií investic pro </w:t>
      </w:r>
      <w:r w:rsidR="00D61D9A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>fondy a programy v České republice</w:t>
      </w:r>
      <w:r w:rsidR="00FE73D7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, </w:t>
      </w:r>
      <w:r w:rsidR="002E5433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u nichž je vyžadováno </w:t>
      </w:r>
      <w:r w:rsidR="00D61D9A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dodržování </w:t>
      </w:r>
      <w:r w:rsidR="002E5433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zásady DNSH. </w:t>
      </w:r>
      <w:r w:rsidR="007E270B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Analýza v </w:t>
      </w:r>
      <w:r w:rsidR="00530519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kapitole 2 zprávy poskytla přehled </w:t>
      </w:r>
      <w:r w:rsidR="004A6E77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otevřených i </w:t>
      </w:r>
      <w:r w:rsidR="001E659C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plánovaných investic a </w:t>
      </w:r>
      <w:r w:rsidR="005C4630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intervencí na </w:t>
      </w:r>
      <w:r w:rsidR="001E659C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>národní úrovni</w:t>
      </w:r>
      <w:r w:rsidR="00F01C5A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. Na </w:t>
      </w:r>
      <w:r w:rsidR="00483690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základě zjištění je </w:t>
      </w:r>
      <w:r w:rsidR="009B47FD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zřejmá </w:t>
      </w:r>
      <w:r w:rsidR="00D7411D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heterogenita </w:t>
      </w:r>
      <w:r w:rsidR="00F86E12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sektorů, oblastí a typů projektů, na které </w:t>
      </w:r>
      <w:r w:rsidR="00CB633D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jsou v Česku alokovány prostředky z fondů EU, </w:t>
      </w:r>
      <w:r w:rsidR="003820A6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přičemž </w:t>
      </w:r>
      <w:r w:rsidR="004001F8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převažují investice, které mohou </w:t>
      </w:r>
      <w:r w:rsidR="005C393E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obsahovat infrastrukturní </w:t>
      </w:r>
      <w:r w:rsidR="00485DEE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nebo stavební </w:t>
      </w:r>
      <w:r w:rsidR="005C393E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prvek </w:t>
      </w:r>
      <w:r w:rsidR="0041556E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>a u nichž bude vyžadováno věcné posouzení DNSH</w:t>
      </w:r>
      <w:r w:rsidR="00485DEE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>.</w:t>
      </w:r>
      <w:r w:rsidR="00B7448B" w:rsidRPr="008E4885">
        <w:rPr>
          <w:lang w:val="cs-CZ"/>
        </w:rPr>
        <w:br/>
      </w:r>
      <w:r w:rsidR="008E4885" w:rsidRPr="008E4885">
        <w:rPr>
          <w:lang w:val="cs-CZ"/>
        </w:rPr>
        <w:br/>
      </w:r>
      <w:r w:rsidR="00BF7910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Na základě </w:t>
      </w:r>
      <w:r w:rsidR="00C05565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výše uvedeného, </w:t>
      </w:r>
      <w:r w:rsidR="00BF7910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jak je uvedeno </w:t>
      </w:r>
      <w:r w:rsidR="00396472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v </w:t>
      </w:r>
      <w:r w:rsidR="00C55491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prvním doporučení v kapitole 3, </w:t>
      </w:r>
      <w:r w:rsidR="00954782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byl navržen etapový přístup, který bude použit jako </w:t>
      </w:r>
      <w:r w:rsidR="00FF76A7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základ pro strukturu metodického pokynu, který bude vytvořen v rámci DLV5. </w:t>
      </w:r>
      <w:r w:rsidR="000925A0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Tuto strukturu, která </w:t>
      </w:r>
      <w:r w:rsidR="004C0C97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poskytuje </w:t>
      </w:r>
      <w:r w:rsidR="00EF1F8C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informace a pokyny ke každé etapě ve formátu krok za krokem, </w:t>
      </w:r>
      <w:r w:rsidR="00316ADA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lze snadno upravit do podoby rozhodovacího stromu nebo jiných vizuálních schémat, </w:t>
      </w:r>
      <w:r w:rsidR="00BC78E3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což je klíčové pro </w:t>
      </w:r>
      <w:r w:rsidR="00456F11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lepší přehlednost a snadnější používání - </w:t>
      </w:r>
      <w:r w:rsidR="00312A42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podle </w:t>
      </w:r>
      <w:r w:rsidR="00BF7A68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souboru </w:t>
      </w:r>
      <w:r w:rsidR="009172D1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>návrhů v druhém doporučení pro obsah a přehlednost pokynů</w:t>
      </w:r>
      <w:r w:rsidR="00D265D4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. </w:t>
      </w:r>
    </w:p>
    <w:p w:rsidR="00172762" w:rsidRPr="008E4885" w:rsidRDefault="00172762" w:rsidP="00B75357">
      <w:pPr>
        <w:pStyle w:val="paragraph"/>
        <w:spacing w:before="0" w:beforeAutospacing="0" w:after="0" w:afterAutospacing="0" w:line="360" w:lineRule="auto"/>
        <w:ind w:left="555"/>
        <w:textAlignment w:val="baseline"/>
        <w:rPr>
          <w:rStyle w:val="normaltextrun"/>
          <w:rFonts w:ascii="Trebuchet MS" w:hAnsi="Trebuchet MS" w:cs="Segoe UI"/>
          <w:sz w:val="18"/>
          <w:szCs w:val="18"/>
          <w:lang w:val="cs-CZ"/>
        </w:rPr>
      </w:pPr>
    </w:p>
    <w:p w:rsidR="00F87DD0" w:rsidRPr="008E4885" w:rsidRDefault="008E4885">
      <w:pPr>
        <w:pStyle w:val="paragraph"/>
        <w:spacing w:before="0" w:beforeAutospacing="0" w:after="0" w:afterAutospacing="0" w:line="360" w:lineRule="auto"/>
        <w:ind w:left="555"/>
        <w:textAlignment w:val="baseline"/>
        <w:rPr>
          <w:rStyle w:val="normaltextrun"/>
          <w:rFonts w:ascii="Trebuchet MS" w:hAnsi="Trebuchet MS" w:cs="Segoe UI"/>
          <w:sz w:val="18"/>
          <w:szCs w:val="18"/>
          <w:lang w:val="cs-CZ"/>
        </w:rPr>
      </w:pPr>
      <w:r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Jak bylo nedávno dohodnuto s GŘ </w:t>
      </w:r>
      <w:r w:rsidR="005D5776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REFORM </w:t>
      </w:r>
      <w:r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a příjemci tohoto projektu TSI, navrhovaný </w:t>
      </w:r>
      <w:r w:rsidR="00FF76A7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přístup se v současné době </w:t>
      </w:r>
      <w:r w:rsidR="00EC328F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používá v </w:t>
      </w:r>
      <w:r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rámci pilotního testování </w:t>
      </w:r>
      <w:r w:rsidR="009857AD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>(</w:t>
      </w:r>
      <w:r w:rsidR="003F5A77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>DLV7</w:t>
      </w:r>
      <w:r w:rsidR="009857AD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>)</w:t>
      </w:r>
      <w:r w:rsidR="00A0243E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, </w:t>
      </w:r>
      <w:r w:rsidR="00027DDE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aby se </w:t>
      </w:r>
      <w:r w:rsidR="00BB605B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zajistila potřebná podpora pro </w:t>
      </w:r>
      <w:r w:rsidR="00A75C33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vysoký počet žádostí o konzultace ad hoc. </w:t>
      </w:r>
      <w:r w:rsidR="00EC328F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To umožňuje projektovému týmu </w:t>
      </w:r>
      <w:r w:rsidR="00665BDE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vyzkoušet použitelnost a praktičnost přístupu a následně jej upravit pro </w:t>
      </w:r>
      <w:r w:rsidR="00CB5AF2" w:rsidRPr="008E4885">
        <w:rPr>
          <w:rStyle w:val="normaltextrun"/>
          <w:rFonts w:ascii="Trebuchet MS" w:hAnsi="Trebuchet MS" w:cs="Segoe UI"/>
          <w:sz w:val="18"/>
          <w:szCs w:val="18"/>
          <w:lang w:val="cs-CZ"/>
        </w:rPr>
        <w:t xml:space="preserve">zvýšení efektivity a použitelnosti pro DLV5. </w:t>
      </w:r>
    </w:p>
    <w:p w:rsidR="001508DA" w:rsidRPr="008E4885" w:rsidRDefault="001508DA">
      <w:pPr>
        <w:spacing w:after="200" w:line="276" w:lineRule="auto"/>
        <w:ind w:left="0"/>
        <w:rPr>
          <w:rStyle w:val="normaltextrun"/>
          <w:rFonts w:eastAsia="Times New Roman" w:cs="Segoe UI"/>
          <w:szCs w:val="18"/>
          <w:lang w:val="cs-CZ" w:eastAsia="en-GB"/>
        </w:rPr>
      </w:pPr>
      <w:r w:rsidRPr="008E4885">
        <w:rPr>
          <w:rStyle w:val="normaltextrun"/>
          <w:rFonts w:cs="Segoe UI"/>
          <w:szCs w:val="18"/>
          <w:lang w:val="cs-CZ"/>
        </w:rPr>
        <w:br w:type="page"/>
      </w:r>
    </w:p>
    <w:p w:rsidR="00F87DD0" w:rsidRPr="008E4885" w:rsidRDefault="008E4885">
      <w:pPr>
        <w:pStyle w:val="Nadpis1"/>
        <w:numPr>
          <w:ilvl w:val="0"/>
          <w:numId w:val="0"/>
        </w:numPr>
        <w:ind w:left="567" w:hanging="567"/>
        <w:rPr>
          <w:lang w:val="cs-CZ"/>
        </w:rPr>
      </w:pPr>
      <w:bookmarkStart w:id="32" w:name="_Toc133944267"/>
      <w:bookmarkEnd w:id="22"/>
      <w:r w:rsidRPr="008E4885">
        <w:rPr>
          <w:lang w:val="cs-CZ"/>
        </w:rPr>
        <w:lastRenderedPageBreak/>
        <w:t xml:space="preserve">Příloha </w:t>
      </w:r>
      <w:r w:rsidR="002022F4" w:rsidRPr="008E4885">
        <w:rPr>
          <w:lang w:val="cs-CZ"/>
        </w:rPr>
        <w:t xml:space="preserve">A </w:t>
      </w:r>
      <w:r w:rsidR="00CD1220" w:rsidRPr="008E4885">
        <w:rPr>
          <w:lang w:val="cs-CZ"/>
        </w:rPr>
        <w:t xml:space="preserve">Seznam </w:t>
      </w:r>
      <w:r w:rsidR="00534298" w:rsidRPr="008E4885">
        <w:rPr>
          <w:lang w:val="cs-CZ"/>
        </w:rPr>
        <w:t xml:space="preserve">priorit </w:t>
      </w:r>
      <w:r w:rsidR="002648B4" w:rsidRPr="008E4885">
        <w:rPr>
          <w:lang w:val="cs-CZ"/>
        </w:rPr>
        <w:t xml:space="preserve">a </w:t>
      </w:r>
      <w:r w:rsidR="000D7839" w:rsidRPr="008E4885">
        <w:rPr>
          <w:lang w:val="cs-CZ"/>
        </w:rPr>
        <w:t xml:space="preserve">specifických cílů </w:t>
      </w:r>
      <w:r w:rsidR="004C5EED" w:rsidRPr="008E4885">
        <w:rPr>
          <w:lang w:val="cs-CZ"/>
        </w:rPr>
        <w:t>programů</w:t>
      </w:r>
      <w:bookmarkEnd w:id="32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993"/>
        <w:gridCol w:w="2543"/>
        <w:gridCol w:w="5479"/>
      </w:tblGrid>
      <w:tr w:rsidR="003A61E0" w:rsidRPr="008E4885" w:rsidTr="00205D7D">
        <w:trPr>
          <w:trHeight w:val="315"/>
        </w:trPr>
        <w:tc>
          <w:tcPr>
            <w:tcW w:w="993" w:type="dxa"/>
            <w:shd w:val="clear" w:color="auto" w:fill="004242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EE1A76">
            <w:pPr>
              <w:spacing w:line="240" w:lineRule="auto"/>
              <w:ind w:left="0"/>
              <w:rPr>
                <w:color w:val="FFFFFF" w:themeColor="background1"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color w:val="FFFFFF" w:themeColor="background1"/>
                <w:sz w:val="16"/>
                <w:szCs w:val="16"/>
                <w:lang w:val="cs-CZ"/>
              </w:rPr>
              <w:t xml:space="preserve"> Program</w:t>
            </w:r>
          </w:p>
        </w:tc>
        <w:tc>
          <w:tcPr>
            <w:tcW w:w="2543" w:type="dxa"/>
            <w:shd w:val="clear" w:color="auto" w:fill="004242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37702A">
            <w:pPr>
              <w:spacing w:line="240" w:lineRule="auto"/>
              <w:ind w:left="0"/>
              <w:rPr>
                <w:color w:val="FFFFFF" w:themeColor="background1"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color w:val="FFFFFF" w:themeColor="background1"/>
                <w:sz w:val="16"/>
                <w:szCs w:val="16"/>
                <w:lang w:val="cs-CZ"/>
              </w:rPr>
              <w:t xml:space="preserve"> Priority</w:t>
            </w:r>
          </w:p>
        </w:tc>
        <w:tc>
          <w:tcPr>
            <w:tcW w:w="5479" w:type="dxa"/>
            <w:shd w:val="clear" w:color="auto" w:fill="004242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37702A">
            <w:pPr>
              <w:spacing w:line="240" w:lineRule="auto"/>
              <w:ind w:left="0"/>
              <w:rPr>
                <w:color w:val="FFFFFF" w:themeColor="background1"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color w:val="FFFFFF" w:themeColor="background1"/>
                <w:sz w:val="16"/>
                <w:szCs w:val="16"/>
                <w:lang w:val="cs-CZ"/>
              </w:rPr>
              <w:t xml:space="preserve"> Specifický cíl </w:t>
            </w:r>
          </w:p>
        </w:tc>
      </w:tr>
      <w:tr w:rsidR="00BB3BF6" w:rsidRPr="008E4885" w:rsidTr="00205D7D">
        <w:trPr>
          <w:trHeight w:val="369"/>
        </w:trPr>
        <w:tc>
          <w:tcPr>
            <w:tcW w:w="993" w:type="dxa"/>
            <w:vMerge w:val="restart"/>
            <w:shd w:val="clear" w:color="auto" w:fill="EFF6F6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BB3BF6">
            <w:pPr>
              <w:spacing w:line="240" w:lineRule="auto"/>
              <w:ind w:left="0"/>
              <w:rPr>
                <w:b/>
                <w:bCs/>
                <w:color w:val="000000" w:themeColor="text1"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color w:val="000000" w:themeColor="text1"/>
                <w:sz w:val="16"/>
                <w:szCs w:val="16"/>
                <w:lang w:val="cs-CZ"/>
              </w:rPr>
              <w:t xml:space="preserve"> IROP</w:t>
            </w:r>
          </w:p>
          <w:p w:rsidR="00BB3BF6" w:rsidRPr="008E4885" w:rsidRDefault="00BB3BF6" w:rsidP="0083147C">
            <w:pPr>
              <w:spacing w:line="240" w:lineRule="auto"/>
              <w:ind w:left="0"/>
              <w:rPr>
                <w:color w:val="FFFFFF" w:themeColor="background1"/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Komunitně vedený místní rozvoj SC 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Podpora integrovaného a inkluzivního sociálního, hospodářského a environmentálního místního rozvoje, kultury, přírodního dědictví, udržitelného cestovního ruchu a bezpečnosti v </w:t>
            </w:r>
            <w:proofErr w:type="spellStart"/>
            <w:r w:rsidRPr="008E4885">
              <w:rPr>
                <w:sz w:val="16"/>
                <w:szCs w:val="16"/>
                <w:lang w:val="cs-CZ"/>
              </w:rPr>
              <w:t>neměstských</w:t>
            </w:r>
            <w:proofErr w:type="spellEnd"/>
            <w:r w:rsidRPr="008E4885">
              <w:rPr>
                <w:sz w:val="16"/>
                <w:szCs w:val="16"/>
                <w:lang w:val="cs-CZ"/>
              </w:rPr>
              <w:t xml:space="preserve"> oblastech.</w:t>
            </w:r>
          </w:p>
        </w:tc>
      </w:tr>
      <w:tr w:rsidR="00BB3BF6" w:rsidRPr="008E4885" w:rsidTr="08ABA0B0">
        <w:trPr>
          <w:trHeight w:val="50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BB3BF6" w:rsidRPr="008E4885" w:rsidRDefault="00BB3BF6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Rozvoj dopravní inf</w:t>
            </w:r>
            <w:r w:rsidRPr="008E4885">
              <w:rPr>
                <w:sz w:val="16"/>
                <w:szCs w:val="16"/>
                <w:lang w:val="cs-CZ"/>
              </w:rPr>
              <w:t xml:space="preserve">rastruktury 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Rozvoj a posílení udržitelné, inteligentní a intermodální vnitrostátní, regionální a místní mobility odolné vůči změně klimatu, včetně lepšího přístupu k síti TEN-T a přeshraniční mobility. </w:t>
            </w:r>
          </w:p>
        </w:tc>
      </w:tr>
      <w:tr w:rsidR="00BB3BF6" w:rsidRPr="008E4885" w:rsidTr="08ABA0B0">
        <w:trPr>
          <w:trHeight w:val="330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BB3BF6" w:rsidRPr="008E4885" w:rsidRDefault="00BB3BF6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Rozvoj městské mobility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Podpora udržitelné multimodální městské mobility v kontextu přechodu na uhlíkově neutrální hospodářství </w:t>
            </w:r>
          </w:p>
        </w:tc>
      </w:tr>
      <w:tr w:rsidR="00BB3BF6" w:rsidRPr="008E4885" w:rsidTr="08ABA0B0">
        <w:trPr>
          <w:trHeight w:val="545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BB3BF6" w:rsidRPr="008E4885" w:rsidRDefault="00BB3BF6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Zelená infrastruktura pro města a obce a ochrana obyvatelstva 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Podpora přizpůsobení se změně klimatu, prevence rizik katastrof a odolnosti s </w:t>
            </w:r>
            <w:r w:rsidR="18E05A63" w:rsidRPr="008E4885">
              <w:rPr>
                <w:sz w:val="16"/>
                <w:szCs w:val="16"/>
                <w:lang w:val="cs-CZ"/>
              </w:rPr>
              <w:t xml:space="preserve">ohledem na </w:t>
            </w:r>
            <w:r w:rsidRPr="008E4885">
              <w:rPr>
                <w:sz w:val="16"/>
                <w:szCs w:val="16"/>
                <w:lang w:val="cs-CZ"/>
              </w:rPr>
              <w:t xml:space="preserve">ekosystémové přístupy. </w:t>
            </w:r>
            <w:r w:rsidRPr="008E4885">
              <w:rPr>
                <w:lang w:val="cs-CZ"/>
              </w:rPr>
              <w:br/>
            </w:r>
            <w:r w:rsidRPr="008E4885">
              <w:rPr>
                <w:sz w:val="16"/>
                <w:szCs w:val="16"/>
                <w:lang w:val="cs-CZ"/>
              </w:rPr>
              <w:t xml:space="preserve">Posílení ochrany a zachování přírody, biologické rozmanitosti a zelené infrastruktury, včetně městských oblastí, a snížení všech forem znečištění. </w:t>
            </w:r>
          </w:p>
        </w:tc>
      </w:tr>
      <w:tr w:rsidR="00BB3BF6" w:rsidRPr="008E4885" w:rsidTr="08ABA0B0">
        <w:trPr>
          <w:trHeight w:val="330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BB3BF6" w:rsidRPr="008E4885" w:rsidRDefault="00BB3BF6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Zlepšení výkonu veřejné správy 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Využití výhod digitalizace pro občany, podniky, výzkumné organizace a orgány veřejné správy </w:t>
            </w:r>
          </w:p>
        </w:tc>
      </w:tr>
      <w:tr w:rsidR="00BB3BF6" w:rsidRPr="008E4885" w:rsidTr="08ABA0B0">
        <w:trPr>
          <w:trHeight w:val="2235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BB3BF6" w:rsidRPr="008E4885" w:rsidRDefault="00BB3BF6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Zlepšení kvality a dostupnosti sociálních a zdravotních služeb, vzdělávací infrastruktury a rozvoje kulturního dědictví. 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Zajištění spravedlivého přístupu ke zdravotní péči a posílení odolnosti systémů zdravotní péče, včetně primární péče, a podpora přechodu od institucionální péče k rodinné a komunitní péči </w:t>
            </w:r>
            <w:r w:rsidRPr="008E4885">
              <w:rPr>
                <w:sz w:val="16"/>
                <w:szCs w:val="16"/>
                <w:lang w:val="cs-CZ"/>
              </w:rPr>
              <w:br/>
              <w:t>Posílení úlohy kultury a udržitelného cestovního ruchu v hospodářsk</w:t>
            </w:r>
            <w:r w:rsidRPr="008E4885">
              <w:rPr>
                <w:sz w:val="16"/>
                <w:szCs w:val="16"/>
                <w:lang w:val="cs-CZ"/>
              </w:rPr>
              <w:t xml:space="preserve">ém rozvoji, sociálním začleňování a sociálních inovacích </w:t>
            </w:r>
            <w:r w:rsidRPr="008E4885">
              <w:rPr>
                <w:sz w:val="16"/>
                <w:szCs w:val="16"/>
                <w:lang w:val="cs-CZ"/>
              </w:rPr>
              <w:br/>
              <w:t>Zlepšení spravedlivého přístupu k inkluzivnímu a kvalitnímu vzdělávání, odborné přípravě a službám celoživotního učení prostřednictvím rozvoje dostupné infrastruktury, včetně posílení odolnosti dist</w:t>
            </w:r>
            <w:r w:rsidRPr="008E4885">
              <w:rPr>
                <w:sz w:val="16"/>
                <w:szCs w:val="16"/>
                <w:lang w:val="cs-CZ"/>
              </w:rPr>
              <w:t xml:space="preserve">ančního a online vzdělávání a odborné přípravy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Podpora socioekonomického začleňování </w:t>
            </w:r>
            <w:proofErr w:type="spellStart"/>
            <w:r w:rsidRPr="008E4885">
              <w:rPr>
                <w:sz w:val="16"/>
                <w:szCs w:val="16"/>
                <w:lang w:val="cs-CZ"/>
              </w:rPr>
              <w:t>marginalizovaných</w:t>
            </w:r>
            <w:proofErr w:type="spellEnd"/>
            <w:r w:rsidRPr="008E4885">
              <w:rPr>
                <w:sz w:val="16"/>
                <w:szCs w:val="16"/>
                <w:lang w:val="cs-CZ"/>
              </w:rPr>
              <w:t xml:space="preserve"> komunit, domácností s nízkými příjmy a znevýhodněných skupin, včetně osob se zvláštními potřebami, prostřednictvím integrovaných opatření, včetně bydlen</w:t>
            </w:r>
            <w:r w:rsidRPr="008E4885">
              <w:rPr>
                <w:sz w:val="16"/>
                <w:szCs w:val="16"/>
                <w:lang w:val="cs-CZ"/>
              </w:rPr>
              <w:t xml:space="preserve">í a sociálních služeb. </w:t>
            </w:r>
          </w:p>
        </w:tc>
      </w:tr>
      <w:tr w:rsidR="00BB3BF6" w:rsidRPr="008E4885" w:rsidTr="08ABA0B0">
        <w:trPr>
          <w:trHeight w:val="50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BB3BF6" w:rsidRPr="008E4885" w:rsidRDefault="00BB3BF6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Technická pomoc 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Technická pomoc</w:t>
            </w:r>
          </w:p>
        </w:tc>
      </w:tr>
      <w:tr w:rsidR="005A444D" w:rsidRPr="008E4885" w:rsidTr="00205D7D">
        <w:trPr>
          <w:trHeight w:val="403"/>
        </w:trPr>
        <w:tc>
          <w:tcPr>
            <w:tcW w:w="993" w:type="dxa"/>
            <w:vMerge w:val="restart"/>
            <w:shd w:val="clear" w:color="auto" w:fill="B1CFCD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b/>
                <w:bCs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>OP Zaměstnání</w:t>
            </w:r>
          </w:p>
          <w:p w:rsidR="00A20440" w:rsidRPr="008E4885" w:rsidRDefault="00A20440" w:rsidP="00396B4C">
            <w:pPr>
              <w:spacing w:line="240" w:lineRule="auto"/>
              <w:ind w:left="0"/>
              <w:rPr>
                <w:b/>
                <w:bCs/>
                <w:sz w:val="16"/>
                <w:szCs w:val="16"/>
                <w:lang w:val="cs-CZ"/>
              </w:rPr>
            </w:pPr>
          </w:p>
          <w:p w:rsidR="00A20440" w:rsidRPr="008E4885" w:rsidRDefault="00A20440" w:rsidP="00396B4C">
            <w:pPr>
              <w:spacing w:line="240" w:lineRule="auto"/>
              <w:ind w:left="0"/>
              <w:rPr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Materiální pomoc nejchudším lidem</w:t>
            </w:r>
          </w:p>
        </w:tc>
        <w:tc>
          <w:tcPr>
            <w:tcW w:w="5479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Řešit materiální deprivaci poskytováním potravin nebo základní materiální pomoci nejchudším, včetně dětí, a poskytovat doprovodná opatření na podporu jejich sociálního začlenění.</w:t>
            </w:r>
          </w:p>
        </w:tc>
      </w:tr>
      <w:tr w:rsidR="005A444D" w:rsidRPr="008E4885" w:rsidTr="08ABA0B0">
        <w:trPr>
          <w:trHeight w:val="1275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5A444D" w:rsidRPr="008E4885" w:rsidRDefault="005A444D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Sociální začlenění</w:t>
            </w:r>
          </w:p>
        </w:tc>
        <w:tc>
          <w:tcPr>
            <w:tcW w:w="5479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Posílení aktivního začleňování, podpora rovných příležitostí, zlepšení zaměstnatelnosti (pro znevýhodněné skupiny) </w:t>
            </w:r>
            <w:r w:rsidRPr="008E4885">
              <w:rPr>
                <w:sz w:val="16"/>
                <w:szCs w:val="16"/>
                <w:lang w:val="cs-CZ"/>
              </w:rPr>
              <w:br/>
              <w:t>Větší přístup ke kvalitnímu, udržitelnému a cenově dostupnému bydlení a službám osobní péče, službám zdravotní péče; sociální ochrana dětí a</w:t>
            </w:r>
            <w:r w:rsidRPr="008E4885">
              <w:rPr>
                <w:sz w:val="16"/>
                <w:szCs w:val="16"/>
                <w:lang w:val="cs-CZ"/>
              </w:rPr>
              <w:t xml:space="preserve"> znevýhodněných skupin; zlepšení účinnosti a odolnosti systémů zdravotní péče a služeb dlouhodobé péče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Podpora socioekonomické integrace </w:t>
            </w:r>
            <w:proofErr w:type="spellStart"/>
            <w:r w:rsidRPr="008E4885">
              <w:rPr>
                <w:sz w:val="16"/>
                <w:szCs w:val="16"/>
                <w:lang w:val="cs-CZ"/>
              </w:rPr>
              <w:t>marginalizovaných</w:t>
            </w:r>
            <w:proofErr w:type="spellEnd"/>
            <w:r w:rsidRPr="008E4885">
              <w:rPr>
                <w:sz w:val="16"/>
                <w:szCs w:val="16"/>
                <w:lang w:val="cs-CZ"/>
              </w:rPr>
              <w:t xml:space="preserve"> komunit (např. Romů).</w:t>
            </w:r>
          </w:p>
        </w:tc>
      </w:tr>
      <w:tr w:rsidR="005A444D" w:rsidRPr="008E4885" w:rsidTr="08ABA0B0">
        <w:trPr>
          <w:trHeight w:val="330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5A444D" w:rsidRPr="008E4885" w:rsidRDefault="005A444D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Sociální inovace</w:t>
            </w:r>
          </w:p>
        </w:tc>
        <w:tc>
          <w:tcPr>
            <w:tcW w:w="5479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Posílení aktivního začleňování s cílem podpořit rovné příležitosti a zlepšit zaměstnatelnost.</w:t>
            </w:r>
          </w:p>
        </w:tc>
      </w:tr>
      <w:tr w:rsidR="005A444D" w:rsidRPr="008E4885" w:rsidTr="08ABA0B0">
        <w:trPr>
          <w:trHeight w:val="1346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5A444D" w:rsidRPr="008E4885" w:rsidRDefault="005A444D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Budoucnost práce</w:t>
            </w:r>
          </w:p>
        </w:tc>
        <w:tc>
          <w:tcPr>
            <w:tcW w:w="5479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Zlepšit přístup k zaměstnání a podpořit začlenění znevýhodněných skupin na trhu práce.</w:t>
            </w:r>
            <w:r w:rsidRPr="008E4885">
              <w:rPr>
                <w:lang w:val="cs-CZ"/>
              </w:rPr>
              <w:br/>
            </w:r>
            <w:r w:rsidRPr="008E4885">
              <w:rPr>
                <w:sz w:val="16"/>
                <w:szCs w:val="16"/>
                <w:lang w:val="cs-CZ"/>
              </w:rPr>
              <w:t>Podporovat zlepšení a rovnost pracovních podmínek</w:t>
            </w:r>
            <w:r w:rsidRPr="008E4885">
              <w:rPr>
                <w:lang w:val="cs-CZ"/>
              </w:rPr>
              <w:br/>
            </w:r>
            <w:r w:rsidRPr="008E4885">
              <w:rPr>
                <w:sz w:val="16"/>
                <w:szCs w:val="16"/>
                <w:lang w:val="cs-CZ"/>
              </w:rPr>
              <w:t>Podporovat přizpůsobení pracovníků, podniků a podnikatelů změnám (zaměřené na zlepšení pracovního prostředí s ohledem na zdravotní rizika).</w:t>
            </w:r>
            <w:r w:rsidRPr="008E4885">
              <w:rPr>
                <w:lang w:val="cs-CZ"/>
              </w:rPr>
              <w:br/>
            </w:r>
            <w:r w:rsidRPr="008E4885">
              <w:rPr>
                <w:sz w:val="16"/>
                <w:szCs w:val="16"/>
                <w:lang w:val="cs-CZ"/>
              </w:rPr>
              <w:t>Modernizovat instituce a služby na trhu práce, aby bylo možné posoudit a předvídat potřeby v oblasti dovedností, pos</w:t>
            </w:r>
            <w:r w:rsidRPr="008E4885">
              <w:rPr>
                <w:sz w:val="16"/>
                <w:szCs w:val="16"/>
                <w:lang w:val="cs-CZ"/>
              </w:rPr>
              <w:t>kytovat pomoc a podporu na míru, aby odpovídaly nabídce a poptávce na trhu práce.</w:t>
            </w:r>
          </w:p>
        </w:tc>
      </w:tr>
      <w:tr w:rsidR="006011D4" w:rsidRPr="008E4885" w:rsidTr="00205D7D">
        <w:trPr>
          <w:trHeight w:val="330"/>
        </w:trPr>
        <w:tc>
          <w:tcPr>
            <w:tcW w:w="993" w:type="dxa"/>
            <w:vMerge w:val="restart"/>
            <w:shd w:val="clear" w:color="auto" w:fill="EFF6F6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b/>
                <w:bCs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>OP Životní prostředí</w:t>
            </w: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Přizpůsobení se změně klimatu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Podpora přizpůsobování se změně klimatu, prevence rizik katastrof a odolnosti s ohledem na ekosystémové přístupy.</w:t>
            </w:r>
          </w:p>
        </w:tc>
      </w:tr>
      <w:tr w:rsidR="006011D4" w:rsidRPr="008E4885" w:rsidTr="08ABA0B0">
        <w:trPr>
          <w:trHeight w:val="170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6011D4" w:rsidRPr="008E4885" w:rsidRDefault="006011D4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Oběhové hospodářství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Podpora přechodu na oběhové hospodářství účinně využívající zdroje</w:t>
            </w:r>
          </w:p>
        </w:tc>
      </w:tr>
      <w:tr w:rsidR="006011D4" w:rsidRPr="008E4885" w:rsidTr="08ABA0B0">
        <w:trPr>
          <w:trHeight w:val="217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6011D4" w:rsidRPr="008E4885" w:rsidRDefault="006011D4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Energetická účinnost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Podpora energetické účinnosti a snižování emisí skleníkových plynů.</w:t>
            </w:r>
          </w:p>
        </w:tc>
      </w:tr>
      <w:tr w:rsidR="006011D4" w:rsidRPr="008E4885" w:rsidTr="08ABA0B0">
        <w:trPr>
          <w:trHeight w:val="338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6011D4" w:rsidRPr="008E4885" w:rsidRDefault="006011D4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Příroda a znečištění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Posílení ochrany a zachování přírody, biologické rozmanitosti a zelené infrastruktury, včetně městských oblastí, a snížení všech forem znečištění.</w:t>
            </w:r>
          </w:p>
        </w:tc>
      </w:tr>
      <w:tr w:rsidR="006011D4" w:rsidRPr="008E4885" w:rsidTr="08ABA0B0">
        <w:trPr>
          <w:trHeight w:val="50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6011D4" w:rsidRPr="008E4885" w:rsidRDefault="006011D4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Obnovitelné zdroje energie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Podporovat energii z obnovitelných zdrojů v souladu se směrnicí (EU) 2018/2001, včetně kritérií udržitelnosti stanovených v této směrnici.</w:t>
            </w:r>
          </w:p>
        </w:tc>
      </w:tr>
      <w:tr w:rsidR="006011D4" w:rsidRPr="008E4885" w:rsidTr="08ABA0B0">
        <w:trPr>
          <w:trHeight w:val="330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6011D4" w:rsidRPr="008E4885" w:rsidRDefault="006011D4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Zásobování vodou a kanalizace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Podpora přístupu k vodě a udržitelného hospodaření s vodou</w:t>
            </w:r>
          </w:p>
        </w:tc>
      </w:tr>
    </w:tbl>
    <w:p w:rsidR="00997678" w:rsidRPr="008E4885" w:rsidRDefault="00997678">
      <w:pPr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993"/>
        <w:gridCol w:w="2543"/>
        <w:gridCol w:w="5479"/>
      </w:tblGrid>
      <w:tr w:rsidR="002E789F" w:rsidRPr="008E4885" w:rsidTr="00631C9D">
        <w:trPr>
          <w:trHeight w:val="315"/>
        </w:trPr>
        <w:tc>
          <w:tcPr>
            <w:tcW w:w="993" w:type="dxa"/>
            <w:shd w:val="clear" w:color="auto" w:fill="004242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2E789F">
            <w:pPr>
              <w:spacing w:line="240" w:lineRule="auto"/>
              <w:ind w:left="0"/>
              <w:rPr>
                <w:color w:val="FFFFFF" w:themeColor="background1"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color w:val="FFFFFF" w:themeColor="background1"/>
                <w:sz w:val="16"/>
                <w:szCs w:val="16"/>
                <w:lang w:val="cs-CZ"/>
              </w:rPr>
              <w:t xml:space="preserve"> Fond</w:t>
            </w:r>
          </w:p>
        </w:tc>
        <w:tc>
          <w:tcPr>
            <w:tcW w:w="2543" w:type="dxa"/>
            <w:shd w:val="clear" w:color="auto" w:fill="004242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color w:val="FFFFFF" w:themeColor="background1"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color w:val="FFFFFF" w:themeColor="background1"/>
                <w:sz w:val="16"/>
                <w:szCs w:val="16"/>
                <w:lang w:val="cs-CZ"/>
              </w:rPr>
              <w:t xml:space="preserve"> Priority</w:t>
            </w:r>
          </w:p>
        </w:tc>
        <w:tc>
          <w:tcPr>
            <w:tcW w:w="5479" w:type="dxa"/>
            <w:shd w:val="clear" w:color="auto" w:fill="004242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color w:val="FFFFFF" w:themeColor="background1"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color w:val="FFFFFF" w:themeColor="background1"/>
                <w:sz w:val="16"/>
                <w:szCs w:val="16"/>
                <w:lang w:val="cs-CZ"/>
              </w:rPr>
              <w:t xml:space="preserve"> Specifický cíl </w:t>
            </w:r>
          </w:p>
        </w:tc>
      </w:tr>
      <w:tr w:rsidR="00205D7D" w:rsidRPr="008E4885" w:rsidTr="00997678">
        <w:trPr>
          <w:trHeight w:val="3840"/>
        </w:trPr>
        <w:tc>
          <w:tcPr>
            <w:tcW w:w="993" w:type="dxa"/>
            <w:vMerge w:val="restart"/>
            <w:shd w:val="clear" w:color="auto" w:fill="EFF6F6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205D7D">
            <w:pPr>
              <w:spacing w:line="240" w:lineRule="auto"/>
              <w:ind w:left="0"/>
              <w:rPr>
                <w:b/>
                <w:bCs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lastRenderedPageBreak/>
              <w:t xml:space="preserve"> OP JAK</w:t>
            </w: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Vzdělávání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Zlepšení kvality, </w:t>
            </w:r>
            <w:proofErr w:type="spellStart"/>
            <w:r w:rsidRPr="008E4885">
              <w:rPr>
                <w:sz w:val="16"/>
                <w:szCs w:val="16"/>
                <w:lang w:val="cs-CZ"/>
              </w:rPr>
              <w:t>inkluzivity</w:t>
            </w:r>
            <w:proofErr w:type="spellEnd"/>
            <w:r w:rsidRPr="008E4885">
              <w:rPr>
                <w:sz w:val="16"/>
                <w:szCs w:val="16"/>
                <w:lang w:val="cs-CZ"/>
              </w:rPr>
              <w:t>, efektivity a relevance systémů vzdělávání a odborné přípravy pro trh práce, mimo jiné prostřednictvím validace neformálního a informálního učení, podpory získávání klíčových kompetencí včetně podnikatelských a digitálních dov</w:t>
            </w:r>
            <w:r w:rsidRPr="008E4885">
              <w:rPr>
                <w:sz w:val="16"/>
                <w:szCs w:val="16"/>
                <w:lang w:val="cs-CZ"/>
              </w:rPr>
              <w:t>edností a podpory zavádění duálního vzdělávání.</w:t>
            </w:r>
            <w:r w:rsidR="00D012FD" w:rsidRPr="008E4885">
              <w:rPr>
                <w:sz w:val="16"/>
                <w:szCs w:val="16"/>
                <w:lang w:val="cs-CZ"/>
              </w:rPr>
              <w:br/>
            </w:r>
            <w:r w:rsidRPr="008E4885">
              <w:rPr>
                <w:sz w:val="16"/>
                <w:szCs w:val="16"/>
                <w:lang w:val="cs-CZ"/>
              </w:rPr>
              <w:br/>
            </w:r>
            <w:r w:rsidRPr="008E4885">
              <w:rPr>
                <w:sz w:val="16"/>
                <w:szCs w:val="16"/>
                <w:lang w:val="cs-CZ"/>
              </w:rPr>
              <w:t>podpora rovného přístupu ke kvalitnímu a inkluzivnímu vzdělávání a odborné přípravě a jejich absolvování, zejména pro znevýhodněné skupiny, od předškolního vzdělávání a péče přes všeobecné a odborné vzdělává</w:t>
            </w:r>
            <w:r w:rsidRPr="008E4885">
              <w:rPr>
                <w:sz w:val="16"/>
                <w:szCs w:val="16"/>
                <w:lang w:val="cs-CZ"/>
              </w:rPr>
              <w:t xml:space="preserve">ní a přípravu až po terciární úroveň, jakož i vzdělávání a učení dospělých, včetně usnadnění mobility ve vzdělávání pro všechny a přístupnosti pro osoby se zdravotním postižením. </w:t>
            </w:r>
            <w:r w:rsidRPr="008E4885">
              <w:rPr>
                <w:sz w:val="16"/>
                <w:szCs w:val="16"/>
                <w:lang w:val="cs-CZ"/>
              </w:rPr>
              <w:br/>
            </w:r>
          </w:p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Podporovat celoživotní učení, zejména flexibilní možnosti zvyšování kvalifi</w:t>
            </w:r>
            <w:r w:rsidRPr="008E4885">
              <w:rPr>
                <w:sz w:val="16"/>
                <w:szCs w:val="16"/>
                <w:lang w:val="cs-CZ"/>
              </w:rPr>
              <w:t>kace a rekvalifikace pro všechny s ohledem na obchodní a digitální dovednosti, lépe předvídat změny a nové požadavky na dovednosti na základě</w:t>
            </w:r>
            <w:bookmarkStart w:id="33" w:name="_GoBack"/>
            <w:bookmarkEnd w:id="33"/>
            <w:r w:rsidRPr="008E4885">
              <w:rPr>
                <w:sz w:val="16"/>
                <w:szCs w:val="16"/>
                <w:lang w:val="cs-CZ"/>
              </w:rPr>
              <w:t xml:space="preserve"> potřeb trhu práce, usnadňovat přechody mezi zaměstnáními a podporovat profesní mobilitu.</w:t>
            </w:r>
          </w:p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br/>
            </w:r>
            <w:r w:rsidRPr="008E4885">
              <w:rPr>
                <w:sz w:val="16"/>
                <w:szCs w:val="16"/>
                <w:lang w:val="cs-CZ"/>
              </w:rPr>
              <w:t xml:space="preserve">Podpora socioekonomické </w:t>
            </w:r>
            <w:r w:rsidRPr="008E4885">
              <w:rPr>
                <w:sz w:val="16"/>
                <w:szCs w:val="16"/>
                <w:lang w:val="cs-CZ"/>
              </w:rPr>
              <w:t xml:space="preserve">integrace </w:t>
            </w:r>
            <w:proofErr w:type="spellStart"/>
            <w:r w:rsidRPr="008E4885">
              <w:rPr>
                <w:sz w:val="16"/>
                <w:szCs w:val="16"/>
                <w:lang w:val="cs-CZ"/>
              </w:rPr>
              <w:t>marginalizovaných</w:t>
            </w:r>
            <w:proofErr w:type="spellEnd"/>
            <w:r w:rsidRPr="008E4885">
              <w:rPr>
                <w:sz w:val="16"/>
                <w:szCs w:val="16"/>
                <w:lang w:val="cs-CZ"/>
              </w:rPr>
              <w:t xml:space="preserve"> komunit, jako jsou Romové. </w:t>
            </w:r>
            <w:r w:rsidRPr="008E4885">
              <w:rPr>
                <w:sz w:val="16"/>
                <w:szCs w:val="16"/>
                <w:lang w:val="cs-CZ"/>
              </w:rPr>
              <w:br/>
            </w:r>
            <w:r w:rsidRPr="008E4885">
              <w:rPr>
                <w:sz w:val="16"/>
                <w:szCs w:val="16"/>
                <w:lang w:val="cs-CZ"/>
              </w:rPr>
              <w:t xml:space="preserve">Zlepšení rovného přístupu ke kvalitním a inkluzivním službám v oblasti vzdělávání, odborné přípravy a celoživotního učení prostřednictvím rozvoje dostupné infrastruktury, včetně podpory odolnosti pro </w:t>
            </w:r>
            <w:r w:rsidRPr="008E4885">
              <w:rPr>
                <w:sz w:val="16"/>
                <w:szCs w:val="16"/>
                <w:lang w:val="cs-CZ"/>
              </w:rPr>
              <w:t xml:space="preserve">dálkové a on-line vzdělávání a odbornou přípravu. </w:t>
            </w:r>
          </w:p>
        </w:tc>
      </w:tr>
      <w:tr w:rsidR="00205D7D" w:rsidRPr="008E4885" w:rsidTr="6B22321E">
        <w:trPr>
          <w:trHeight w:val="50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205D7D" w:rsidRPr="008E4885" w:rsidRDefault="00205D7D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Technická pomoc ESF+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Zajištění kvalitního řízení a provádění programu. </w:t>
            </w:r>
          </w:p>
        </w:tc>
      </w:tr>
      <w:tr w:rsidR="00205D7D" w:rsidRPr="008E4885" w:rsidTr="6B22321E">
        <w:trPr>
          <w:trHeight w:val="330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205D7D" w:rsidRPr="008E4885" w:rsidRDefault="00205D7D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Výzkum a vývoj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Rozvoj a posilování výzkumných a inovačních kapacit a zavádění</w:t>
            </w:r>
          </w:p>
        </w:tc>
      </w:tr>
      <w:tr w:rsidR="00205D7D" w:rsidRPr="008E4885" w:rsidTr="6B22321E">
        <w:trPr>
          <w:trHeight w:val="330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205D7D" w:rsidRPr="008E4885" w:rsidRDefault="00205D7D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Výzkum a vývoj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Rozvoj dovedností pro inteligentní specializaci, přechod na průmyslovou výrobu a podnikání</w:t>
            </w:r>
          </w:p>
        </w:tc>
      </w:tr>
      <w:tr w:rsidR="00205D7D" w:rsidRPr="008E4885" w:rsidTr="6B22321E">
        <w:trPr>
          <w:trHeight w:val="50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205D7D" w:rsidRPr="008E4885" w:rsidRDefault="00205D7D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Technická pomoc ERDF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Zajištění kvalitního řízení a provádění programu. </w:t>
            </w:r>
          </w:p>
        </w:tc>
      </w:tr>
      <w:tr w:rsidR="00997678" w:rsidRPr="008E4885" w:rsidTr="00824D91">
        <w:trPr>
          <w:trHeight w:val="330"/>
        </w:trPr>
        <w:tc>
          <w:tcPr>
            <w:tcW w:w="993" w:type="dxa"/>
            <w:vMerge w:val="restart"/>
            <w:shd w:val="clear" w:color="auto" w:fill="B1CFCD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997678">
            <w:pPr>
              <w:spacing w:line="240" w:lineRule="auto"/>
              <w:ind w:left="0"/>
              <w:rPr>
                <w:b/>
                <w:bCs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 xml:space="preserve"> OP Jen</w:t>
            </w:r>
          </w:p>
          <w:p w:rsidR="00F87DD0" w:rsidRPr="008E4885" w:rsidRDefault="00997678">
            <w:pPr>
              <w:spacing w:line="240" w:lineRule="auto"/>
              <w:ind w:left="0"/>
              <w:rPr>
                <w:b/>
                <w:bCs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 xml:space="preserve"> Přechod</w:t>
            </w:r>
          </w:p>
        </w:tc>
        <w:tc>
          <w:tcPr>
            <w:tcW w:w="2543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Oběhové hospodářství</w:t>
            </w:r>
          </w:p>
        </w:tc>
        <w:tc>
          <w:tcPr>
            <w:tcW w:w="5479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Posílení oběhového hospodářství (předcházení vzniku odpadů, snižování množství odpadů, účinné využívání zdrojů).</w:t>
            </w:r>
          </w:p>
        </w:tc>
      </w:tr>
      <w:tr w:rsidR="00997678" w:rsidRPr="008E4885" w:rsidTr="6B22321E">
        <w:trPr>
          <w:trHeight w:val="330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997678" w:rsidRPr="008E4885" w:rsidRDefault="00997678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Digitální inovace</w:t>
            </w:r>
          </w:p>
        </w:tc>
        <w:tc>
          <w:tcPr>
            <w:tcW w:w="5479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Vývoj digitálních služeb a řešení ve veřejném a soukromém sektoru </w:t>
            </w:r>
          </w:p>
        </w:tc>
      </w:tr>
      <w:tr w:rsidR="00997678" w:rsidRPr="008E4885" w:rsidTr="6B22321E">
        <w:trPr>
          <w:trHeight w:val="330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997678" w:rsidRPr="008E4885" w:rsidRDefault="00997678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Podnikání</w:t>
            </w:r>
          </w:p>
        </w:tc>
        <w:tc>
          <w:tcPr>
            <w:tcW w:w="5479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Podpora podnikatelského sektoru a přímé vytváření pracovních míst</w:t>
            </w:r>
          </w:p>
        </w:tc>
      </w:tr>
      <w:tr w:rsidR="00997678" w:rsidRPr="008E4885" w:rsidTr="6B22321E">
        <w:trPr>
          <w:trHeight w:val="330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997678" w:rsidRPr="008E4885" w:rsidRDefault="00997678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Lidé a dovednosti</w:t>
            </w:r>
          </w:p>
        </w:tc>
        <w:tc>
          <w:tcPr>
            <w:tcW w:w="5479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Zachování zaměstnanosti při transformaci podniků </w:t>
            </w:r>
          </w:p>
        </w:tc>
      </w:tr>
      <w:tr w:rsidR="00997678" w:rsidRPr="008E4885" w:rsidTr="6B22321E">
        <w:trPr>
          <w:trHeight w:val="330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997678" w:rsidRPr="008E4885" w:rsidRDefault="00997678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Regenerace území</w:t>
            </w:r>
          </w:p>
        </w:tc>
        <w:tc>
          <w:tcPr>
            <w:tcW w:w="5479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Opětovné využití </w:t>
            </w:r>
            <w:proofErr w:type="spellStart"/>
            <w:r w:rsidRPr="008E4885">
              <w:rPr>
                <w:sz w:val="16"/>
                <w:szCs w:val="16"/>
                <w:lang w:val="cs-CZ"/>
              </w:rPr>
              <w:t>brownfieldů</w:t>
            </w:r>
            <w:proofErr w:type="spellEnd"/>
            <w:r w:rsidRPr="008E4885">
              <w:rPr>
                <w:sz w:val="16"/>
                <w:szCs w:val="16"/>
                <w:lang w:val="cs-CZ"/>
              </w:rPr>
              <w:t xml:space="preserve"> a souvisejících průmyslových odvětví včetně energetiky a teplárenství</w:t>
            </w:r>
          </w:p>
        </w:tc>
      </w:tr>
      <w:tr w:rsidR="00C14BA6" w:rsidRPr="008E4885" w:rsidTr="006532D1">
        <w:trPr>
          <w:trHeight w:val="330"/>
        </w:trPr>
        <w:tc>
          <w:tcPr>
            <w:tcW w:w="993" w:type="dxa"/>
            <w:vMerge w:val="restart"/>
            <w:shd w:val="clear" w:color="auto" w:fill="EFF6F6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b/>
                <w:bCs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 xml:space="preserve"> OP TAK</w:t>
            </w: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color w:val="000000"/>
                <w:sz w:val="16"/>
                <w:szCs w:val="16"/>
                <w:lang w:val="cs-CZ"/>
              </w:rPr>
              <w:t>1. Posílení výkonnosti podniků v oblasti výzkumu, vývoje a inovací a jejich digitální transformace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pStyle w:val="Normlnweb"/>
              <w:spacing w:before="20" w:beforeAutospacing="0" w:after="20" w:afterAutospacing="0"/>
              <w:rPr>
                <w:lang w:val="cs-CZ"/>
              </w:rPr>
            </w:pPr>
            <w:r w:rsidRPr="008E4885">
              <w:rPr>
                <w:rFonts w:ascii="Trebuchet MS" w:hAnsi="Trebuchet MS"/>
                <w:color w:val="000000"/>
                <w:sz w:val="16"/>
                <w:szCs w:val="16"/>
                <w:lang w:val="cs-CZ"/>
              </w:rPr>
              <w:t>1.1 Rozvoj a posilování výzkumných a inovačních kapacit a zavádění pokročilých technologií</w:t>
            </w:r>
          </w:p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color w:val="000000"/>
                <w:sz w:val="16"/>
                <w:szCs w:val="16"/>
                <w:lang w:val="cs-CZ"/>
              </w:rPr>
              <w:t>1.2 Využití výhod digitalizace pro občany, podniky, výzkum</w:t>
            </w:r>
            <w:r w:rsidRPr="008E4885">
              <w:rPr>
                <w:color w:val="000000"/>
                <w:sz w:val="16"/>
                <w:szCs w:val="16"/>
                <w:lang w:val="cs-CZ"/>
              </w:rPr>
              <w:t>né organizace a orgány veřejné správy</w:t>
            </w:r>
          </w:p>
        </w:tc>
      </w:tr>
      <w:tr w:rsidR="00C14BA6" w:rsidRPr="008E4885" w:rsidTr="6B22321E">
        <w:trPr>
          <w:trHeight w:val="330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C14BA6" w:rsidRPr="008E4885" w:rsidRDefault="00C14BA6" w:rsidP="00C14BA6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color w:val="000000"/>
                <w:sz w:val="16"/>
                <w:szCs w:val="16"/>
                <w:lang w:val="cs-CZ"/>
              </w:rPr>
              <w:t>2. Rozvoj podnikání a konkurenceschopnost malých a středních podniků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color w:val="000000"/>
                <w:sz w:val="16"/>
                <w:szCs w:val="16"/>
                <w:lang w:val="cs-CZ"/>
              </w:rPr>
              <w:t xml:space="preserve">2.1 Posílení udržitelného růstu a konkurenceschopnosti malých a středních podniků a vytváření pracovních míst v malých a středních podnicích, mimo </w:t>
            </w:r>
            <w:r w:rsidRPr="008E4885">
              <w:rPr>
                <w:color w:val="000000"/>
                <w:sz w:val="16"/>
                <w:szCs w:val="16"/>
                <w:lang w:val="cs-CZ"/>
              </w:rPr>
              <w:t>jiné prostřednictvím produktivních investic</w:t>
            </w:r>
          </w:p>
        </w:tc>
      </w:tr>
      <w:tr w:rsidR="00C14BA6" w:rsidRPr="008E4885" w:rsidTr="6B22321E">
        <w:trPr>
          <w:trHeight w:val="328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C14BA6" w:rsidRPr="008E4885" w:rsidRDefault="00C14BA6" w:rsidP="00C14BA6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color w:val="000000"/>
                <w:sz w:val="16"/>
                <w:szCs w:val="16"/>
                <w:lang w:val="cs-CZ"/>
              </w:rPr>
              <w:t>3. Rozvoj digitální infrastruktury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color w:val="000000"/>
                <w:sz w:val="16"/>
                <w:szCs w:val="16"/>
                <w:lang w:val="cs-CZ"/>
              </w:rPr>
              <w:t>3.1 Zlepšení digitální konektivity</w:t>
            </w:r>
          </w:p>
        </w:tc>
      </w:tr>
      <w:tr w:rsidR="00C14BA6" w:rsidRPr="008E4885" w:rsidTr="6B22321E">
        <w:trPr>
          <w:trHeight w:val="86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C14BA6" w:rsidRPr="008E4885" w:rsidRDefault="00C14BA6" w:rsidP="00C14BA6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color w:val="000000"/>
                <w:sz w:val="16"/>
                <w:szCs w:val="16"/>
                <w:lang w:val="cs-CZ"/>
              </w:rPr>
              <w:t>4. Přechod na nízkouhlíkové hospodářství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color w:val="000000"/>
                <w:sz w:val="16"/>
                <w:szCs w:val="16"/>
                <w:lang w:val="cs-CZ"/>
              </w:rPr>
              <w:t xml:space="preserve">4.3 Rozvoj inteligentních energetických systémů, sítí a skladování energie mimo transevropskou energetickou síť TEN-E </w:t>
            </w:r>
            <w:r w:rsidRPr="008E4885">
              <w:rPr>
                <w:color w:val="000000"/>
                <w:sz w:val="16"/>
                <w:szCs w:val="16"/>
                <w:lang w:val="cs-CZ"/>
              </w:rPr>
              <w:br/>
              <w:t xml:space="preserve">4.1 Podpora energetické účinnosti a snižování emisí skleníkových plynů </w:t>
            </w:r>
            <w:r w:rsidRPr="008E4885">
              <w:rPr>
                <w:color w:val="000000"/>
                <w:sz w:val="16"/>
                <w:szCs w:val="16"/>
                <w:lang w:val="cs-CZ"/>
              </w:rPr>
              <w:br/>
              <w:t xml:space="preserve">4.2 Podpora energie z obnovitelných zdrojů v souladu se směrnicí </w:t>
            </w:r>
            <w:r w:rsidRPr="008E4885">
              <w:rPr>
                <w:color w:val="000000"/>
                <w:sz w:val="16"/>
                <w:szCs w:val="16"/>
                <w:lang w:val="cs-CZ"/>
              </w:rPr>
              <w:t>(EU) 2018/2001, včetně kritérií udržitelnosti stanovených v této směrnici.</w:t>
            </w:r>
          </w:p>
        </w:tc>
      </w:tr>
      <w:tr w:rsidR="00C14BA6" w:rsidRPr="008E4885" w:rsidTr="6B22321E">
        <w:trPr>
          <w:trHeight w:val="262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C14BA6" w:rsidRPr="008E4885" w:rsidRDefault="00C14BA6" w:rsidP="00C14BA6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color w:val="000000"/>
                <w:sz w:val="16"/>
                <w:szCs w:val="16"/>
                <w:lang w:val="cs-CZ"/>
              </w:rPr>
            </w:pPr>
            <w:r w:rsidRPr="008E4885">
              <w:rPr>
                <w:color w:val="000000"/>
                <w:sz w:val="16"/>
                <w:szCs w:val="16"/>
                <w:lang w:val="cs-CZ"/>
              </w:rPr>
              <w:t>5. Efektivnější využívání zdrojů</w:t>
            </w:r>
          </w:p>
          <w:p w:rsidR="00C14BA6" w:rsidRPr="008E4885" w:rsidRDefault="00C14BA6" w:rsidP="00C14BA6">
            <w:pPr>
              <w:spacing w:before="20" w:after="20" w:line="240" w:lineRule="auto"/>
              <w:ind w:left="0"/>
              <w:rPr>
                <w:color w:val="000000"/>
                <w:sz w:val="16"/>
                <w:szCs w:val="16"/>
                <w:lang w:val="cs-CZ"/>
              </w:rPr>
            </w:pPr>
          </w:p>
          <w:p w:rsidR="00F87DD0" w:rsidRPr="008E4885" w:rsidRDefault="008E4885">
            <w:pPr>
              <w:spacing w:before="20" w:after="20" w:line="240" w:lineRule="auto"/>
              <w:ind w:left="0"/>
              <w:rPr>
                <w:color w:val="000000"/>
                <w:sz w:val="16"/>
                <w:szCs w:val="16"/>
                <w:lang w:val="cs-CZ"/>
              </w:rPr>
            </w:pPr>
            <w:r w:rsidRPr="008E4885">
              <w:rPr>
                <w:color w:val="000000"/>
                <w:sz w:val="16"/>
                <w:szCs w:val="16"/>
                <w:lang w:val="cs-CZ"/>
              </w:rPr>
              <w:t>6. Rozvoj udržitelné mobility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pStyle w:val="Normlnweb"/>
              <w:spacing w:before="20" w:beforeAutospacing="0" w:after="20" w:afterAutospacing="0"/>
              <w:rPr>
                <w:lang w:val="cs-CZ"/>
              </w:rPr>
            </w:pPr>
            <w:r w:rsidRPr="008E4885">
              <w:rPr>
                <w:rFonts w:ascii="Trebuchet MS" w:hAnsi="Trebuchet MS"/>
                <w:color w:val="000000"/>
                <w:sz w:val="16"/>
                <w:szCs w:val="16"/>
                <w:lang w:val="cs-CZ"/>
              </w:rPr>
              <w:t>5.2 Podpora přístupu k vodě a udržitelného hospodaření s vodou</w:t>
            </w:r>
          </w:p>
          <w:p w:rsidR="00F87DD0" w:rsidRPr="008E4885" w:rsidRDefault="008E4885">
            <w:pPr>
              <w:spacing w:line="240" w:lineRule="auto"/>
              <w:ind w:left="0"/>
              <w:rPr>
                <w:rFonts w:ascii="Times New Roman" w:hAnsi="Times New Roman"/>
                <w:sz w:val="24"/>
                <w:lang w:val="cs-CZ"/>
              </w:rPr>
            </w:pPr>
            <w:r w:rsidRPr="008E4885">
              <w:rPr>
                <w:color w:val="000000"/>
                <w:sz w:val="16"/>
                <w:szCs w:val="16"/>
                <w:lang w:val="cs-CZ"/>
              </w:rPr>
              <w:t xml:space="preserve">5.1 Podpora přechodu na oběhové hospodářství účinně využívající zdroje </w:t>
            </w:r>
            <w:r w:rsidRPr="008E4885">
              <w:rPr>
                <w:color w:val="000000"/>
                <w:sz w:val="16"/>
                <w:szCs w:val="16"/>
                <w:lang w:val="cs-CZ"/>
              </w:rPr>
              <w:br/>
              <w:t>6.1 Podpora udržitelné multimodální městské mobility při přechodu na uhlíkově neutrální hospodářství</w:t>
            </w:r>
          </w:p>
          <w:p w:rsidR="00C14BA6" w:rsidRPr="008E4885" w:rsidRDefault="00C14BA6" w:rsidP="00C14BA6">
            <w:pPr>
              <w:pStyle w:val="Normlnweb"/>
              <w:spacing w:before="20" w:beforeAutospacing="0" w:after="20" w:afterAutospacing="0"/>
              <w:rPr>
                <w:lang w:val="cs-CZ"/>
              </w:rPr>
            </w:pPr>
          </w:p>
          <w:p w:rsidR="00C14BA6" w:rsidRPr="008E4885" w:rsidRDefault="00C14BA6" w:rsidP="00C14BA6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</w:tr>
      <w:tr w:rsidR="006532D1" w:rsidRPr="008E4885" w:rsidTr="00806FE5">
        <w:trPr>
          <w:trHeight w:val="500"/>
        </w:trPr>
        <w:tc>
          <w:tcPr>
            <w:tcW w:w="993" w:type="dxa"/>
            <w:vMerge w:val="restart"/>
            <w:shd w:val="clear" w:color="auto" w:fill="B1CFCD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6532D1">
            <w:pPr>
              <w:spacing w:line="240" w:lineRule="auto"/>
              <w:ind w:left="0"/>
              <w:rPr>
                <w:b/>
                <w:bCs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 xml:space="preserve"> OP</w:t>
            </w:r>
          </w:p>
          <w:p w:rsidR="00F87DD0" w:rsidRPr="008E4885" w:rsidRDefault="006532D1">
            <w:pPr>
              <w:spacing w:line="240" w:lineRule="auto"/>
              <w:ind w:left="0"/>
              <w:rPr>
                <w:b/>
                <w:bCs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 xml:space="preserve"> Doprava</w:t>
            </w:r>
          </w:p>
        </w:tc>
        <w:tc>
          <w:tcPr>
            <w:tcW w:w="2543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Evropská, národní a regionální mobilita</w:t>
            </w:r>
          </w:p>
        </w:tc>
        <w:tc>
          <w:tcPr>
            <w:tcW w:w="5479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Rozvoj inteligentní, bezpeč</w:t>
            </w:r>
            <w:r w:rsidRPr="008E4885">
              <w:rPr>
                <w:sz w:val="16"/>
                <w:szCs w:val="16"/>
                <w:lang w:val="cs-CZ"/>
              </w:rPr>
              <w:t>né, udržitelné a intermodální sítě TEN-T odolné vůči změně klimatu, Rozvoj a posílení udržitelné, inteligentní, klimaticky odolné a intermodální vnitrostátní, regionální a místní mobility, včetně lepšího přístupu k síti TEN-T a přeshraniční mobility.</w:t>
            </w:r>
          </w:p>
        </w:tc>
      </w:tr>
      <w:tr w:rsidR="006532D1" w:rsidRPr="008E4885" w:rsidTr="6B22321E">
        <w:trPr>
          <w:trHeight w:val="311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6532D1" w:rsidRPr="008E4885" w:rsidRDefault="006532D1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Vnitrostátní silniční mobilita zajišťující propojení se sítí TEN-T</w:t>
            </w:r>
          </w:p>
        </w:tc>
        <w:tc>
          <w:tcPr>
            <w:tcW w:w="5479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Rozvoj a posilování udržitelné, inteligentní, vůči klimatu odolné a intermodální vnitrostátní, regionální a místní mobility, včetně lepšího přístupu k síti TEN-T a přeshraniční mobility.</w:t>
            </w:r>
          </w:p>
        </w:tc>
      </w:tr>
      <w:tr w:rsidR="006532D1" w:rsidRPr="008E4885" w:rsidTr="6B22321E">
        <w:trPr>
          <w:trHeight w:val="330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6532D1" w:rsidRPr="008E4885" w:rsidRDefault="006532D1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Udržitelná městská mobilita a alternativní paliva</w:t>
            </w:r>
          </w:p>
        </w:tc>
        <w:tc>
          <w:tcPr>
            <w:tcW w:w="5479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Podpora udržitelné multimodální městské mobility v kontextu přechodu na uhlíkově neutrální hospodářství</w:t>
            </w:r>
          </w:p>
        </w:tc>
      </w:tr>
      <w:tr w:rsidR="006532D1" w:rsidRPr="008E4885" w:rsidTr="6B22321E">
        <w:trPr>
          <w:trHeight w:val="330"/>
        </w:trPr>
        <w:tc>
          <w:tcPr>
            <w:tcW w:w="993" w:type="dxa"/>
            <w:vMerge/>
            <w:tcMar>
              <w:top w:w="15" w:type="dxa"/>
              <w:left w:w="15" w:type="dxa"/>
              <w:right w:w="15" w:type="dxa"/>
            </w:tcMar>
          </w:tcPr>
          <w:p w:rsidR="006532D1" w:rsidRPr="008E4885" w:rsidRDefault="006532D1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Technická pomoc</w:t>
            </w:r>
          </w:p>
        </w:tc>
        <w:tc>
          <w:tcPr>
            <w:tcW w:w="5479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Technická pomoc</w:t>
            </w:r>
          </w:p>
        </w:tc>
      </w:tr>
    </w:tbl>
    <w:p w:rsidR="00806FE5" w:rsidRPr="008E4885" w:rsidRDefault="00806FE5">
      <w:pPr>
        <w:rPr>
          <w:lang w:val="cs-CZ"/>
        </w:rPr>
      </w:pPr>
    </w:p>
    <w:p w:rsidR="00806FE5" w:rsidRPr="008E4885" w:rsidRDefault="00806FE5">
      <w:pPr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993"/>
        <w:gridCol w:w="2543"/>
        <w:gridCol w:w="5479"/>
      </w:tblGrid>
      <w:tr w:rsidR="00806FE5" w:rsidRPr="008E4885" w:rsidTr="00631C9D">
        <w:trPr>
          <w:trHeight w:val="315"/>
        </w:trPr>
        <w:tc>
          <w:tcPr>
            <w:tcW w:w="993" w:type="dxa"/>
            <w:shd w:val="clear" w:color="auto" w:fill="004242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2C4299">
            <w:pPr>
              <w:spacing w:line="240" w:lineRule="auto"/>
              <w:ind w:left="0"/>
              <w:rPr>
                <w:color w:val="FFFFFF" w:themeColor="background1"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color w:val="FFFFFF" w:themeColor="background1"/>
                <w:sz w:val="16"/>
                <w:szCs w:val="16"/>
                <w:lang w:val="cs-CZ"/>
              </w:rPr>
              <w:t xml:space="preserve"> Program</w:t>
            </w:r>
          </w:p>
        </w:tc>
        <w:tc>
          <w:tcPr>
            <w:tcW w:w="2543" w:type="dxa"/>
            <w:shd w:val="clear" w:color="auto" w:fill="004242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color w:val="FFFFFF" w:themeColor="background1"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color w:val="FFFFFF" w:themeColor="background1"/>
                <w:sz w:val="16"/>
                <w:szCs w:val="16"/>
                <w:lang w:val="cs-CZ"/>
              </w:rPr>
              <w:t xml:space="preserve"> Priority</w:t>
            </w:r>
          </w:p>
        </w:tc>
        <w:tc>
          <w:tcPr>
            <w:tcW w:w="5479" w:type="dxa"/>
            <w:shd w:val="clear" w:color="auto" w:fill="004242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color w:val="FFFFFF" w:themeColor="background1"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color w:val="FFFFFF" w:themeColor="background1"/>
                <w:sz w:val="16"/>
                <w:szCs w:val="16"/>
                <w:lang w:val="cs-CZ"/>
              </w:rPr>
              <w:t xml:space="preserve"> Specifický cíl </w:t>
            </w:r>
          </w:p>
        </w:tc>
      </w:tr>
      <w:tr w:rsidR="00202179" w:rsidRPr="008E4885" w:rsidTr="00617EF5">
        <w:trPr>
          <w:trHeight w:val="741"/>
        </w:trPr>
        <w:tc>
          <w:tcPr>
            <w:tcW w:w="993" w:type="dxa"/>
            <w:vMerge w:val="restart"/>
            <w:shd w:val="clear" w:color="auto" w:fill="EFF6F6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b/>
                <w:bCs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8E4885">
              <w:rPr>
                <w:b/>
                <w:bCs/>
                <w:sz w:val="16"/>
                <w:szCs w:val="16"/>
                <w:lang w:val="cs-CZ"/>
              </w:rPr>
              <w:t>Interreg</w:t>
            </w:r>
            <w:proofErr w:type="spellEnd"/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Chytřejší Evropa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Výzkumné a inovační kapacity, zavádění vyspělých technologií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Digitalizace pro občany, podniky, výzkumné organizace a orgány veřejné správy </w:t>
            </w:r>
            <w:r w:rsidRPr="008E4885">
              <w:rPr>
                <w:sz w:val="16"/>
                <w:szCs w:val="16"/>
                <w:lang w:val="cs-CZ"/>
              </w:rPr>
              <w:br/>
              <w:t>Udržitelný růst a konkurenceschopnost malých a středních podniků a vytváření pracovních míst v malých a středních p</w:t>
            </w:r>
            <w:r w:rsidRPr="008E4885">
              <w:rPr>
                <w:sz w:val="16"/>
                <w:szCs w:val="16"/>
                <w:lang w:val="cs-CZ"/>
              </w:rPr>
              <w:t xml:space="preserve">odnicích, včetně produktivních investic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Dovednosti pro inteligentní specializaci, průmyslový přechod a podnikání </w:t>
            </w:r>
            <w:r w:rsidRPr="008E4885">
              <w:rPr>
                <w:sz w:val="16"/>
                <w:szCs w:val="16"/>
                <w:lang w:val="cs-CZ"/>
              </w:rPr>
              <w:br/>
              <w:t>Digitální konektivita</w:t>
            </w:r>
          </w:p>
        </w:tc>
      </w:tr>
      <w:tr w:rsidR="00202179" w:rsidRPr="008E4885" w:rsidTr="00617EF5">
        <w:trPr>
          <w:trHeight w:val="845"/>
        </w:trPr>
        <w:tc>
          <w:tcPr>
            <w:tcW w:w="993" w:type="dxa"/>
            <w:vMerge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202179" w:rsidRPr="008E4885" w:rsidRDefault="00202179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Zelenější Evropa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Energetická účinnost a snižování emisí skleníkových plynů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Obnovitelná energie </w:t>
            </w:r>
            <w:r w:rsidRPr="008E4885">
              <w:rPr>
                <w:sz w:val="16"/>
                <w:szCs w:val="16"/>
                <w:lang w:val="cs-CZ"/>
              </w:rPr>
              <w:br/>
            </w:r>
            <w:r w:rsidRPr="008E4885">
              <w:rPr>
                <w:sz w:val="16"/>
                <w:szCs w:val="16"/>
                <w:lang w:val="cs-CZ"/>
              </w:rPr>
              <w:t xml:space="preserve">Inteligentní energetické systémy, sítě a skladování energie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Přizpůsobení se změně klimatu, prevence rizik katastrof, odolnost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Přístup k vodě a udržitelné hospodaření s vodou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Oběhové hospodářství a hospodářství účinně využívající zdroje </w:t>
            </w:r>
            <w:r w:rsidRPr="008E4885">
              <w:rPr>
                <w:sz w:val="16"/>
                <w:szCs w:val="16"/>
                <w:lang w:val="cs-CZ"/>
              </w:rPr>
              <w:br/>
              <w:t>Ochrana a zachov</w:t>
            </w:r>
            <w:r w:rsidRPr="008E4885">
              <w:rPr>
                <w:sz w:val="16"/>
                <w:szCs w:val="16"/>
                <w:lang w:val="cs-CZ"/>
              </w:rPr>
              <w:t xml:space="preserve">ání přírody a biologické rozmanitosti, zelené infrastruktury, snižování znečištění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Udržitelná městská mobilita pro </w:t>
            </w:r>
            <w:proofErr w:type="spellStart"/>
            <w:r w:rsidRPr="008E4885">
              <w:rPr>
                <w:sz w:val="16"/>
                <w:szCs w:val="16"/>
                <w:lang w:val="cs-CZ"/>
              </w:rPr>
              <w:t>bezuhlíkové</w:t>
            </w:r>
            <w:proofErr w:type="spellEnd"/>
            <w:r w:rsidRPr="008E4885">
              <w:rPr>
                <w:sz w:val="16"/>
                <w:szCs w:val="16"/>
                <w:lang w:val="cs-CZ"/>
              </w:rPr>
              <w:t xml:space="preserve"> hospodářství</w:t>
            </w:r>
          </w:p>
        </w:tc>
      </w:tr>
      <w:tr w:rsidR="00202179" w:rsidRPr="008E4885" w:rsidTr="00617EF5">
        <w:trPr>
          <w:trHeight w:val="1860"/>
        </w:trPr>
        <w:tc>
          <w:tcPr>
            <w:tcW w:w="993" w:type="dxa"/>
            <w:vMerge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202179" w:rsidRPr="008E4885" w:rsidRDefault="00202179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Více sociální Evropy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Efektivita a </w:t>
            </w:r>
            <w:proofErr w:type="spellStart"/>
            <w:r w:rsidRPr="008E4885">
              <w:rPr>
                <w:sz w:val="16"/>
                <w:szCs w:val="16"/>
                <w:lang w:val="cs-CZ"/>
              </w:rPr>
              <w:t>inkluzivita</w:t>
            </w:r>
            <w:proofErr w:type="spellEnd"/>
            <w:r w:rsidRPr="008E4885">
              <w:rPr>
                <w:sz w:val="16"/>
                <w:szCs w:val="16"/>
                <w:lang w:val="cs-CZ"/>
              </w:rPr>
              <w:t xml:space="preserve"> trhu práce, přístup ke kvalitnímu zaměstnání, sociální ekonomika </w:t>
            </w:r>
            <w:r w:rsidRPr="008E4885">
              <w:rPr>
                <w:sz w:val="16"/>
                <w:szCs w:val="16"/>
                <w:lang w:val="cs-CZ"/>
              </w:rPr>
              <w:br/>
            </w:r>
            <w:r w:rsidRPr="008E4885">
              <w:rPr>
                <w:sz w:val="16"/>
                <w:szCs w:val="16"/>
                <w:lang w:val="cs-CZ"/>
              </w:rPr>
              <w:t xml:space="preserve">Přístup ke vzdělávání, odborné přípravě a celoživotnímu učení, dálkovému a on-line vzdělávání a odborné přípravě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Začlenění </w:t>
            </w:r>
            <w:proofErr w:type="spellStart"/>
            <w:r w:rsidRPr="008E4885">
              <w:rPr>
                <w:sz w:val="16"/>
                <w:szCs w:val="16"/>
                <w:lang w:val="cs-CZ"/>
              </w:rPr>
              <w:t>marginalizovaných</w:t>
            </w:r>
            <w:proofErr w:type="spellEnd"/>
            <w:r w:rsidRPr="008E4885">
              <w:rPr>
                <w:sz w:val="16"/>
                <w:szCs w:val="16"/>
                <w:lang w:val="cs-CZ"/>
              </w:rPr>
              <w:t xml:space="preserve"> komunit, domácností s nízkými příjmy a znevýhodněných skupin </w:t>
            </w:r>
            <w:r w:rsidRPr="008E4885">
              <w:rPr>
                <w:sz w:val="16"/>
                <w:szCs w:val="16"/>
                <w:lang w:val="cs-CZ"/>
              </w:rPr>
              <w:br/>
              <w:t>Sociálně-ekonomická integrace státních příslušníků t</w:t>
            </w:r>
            <w:r w:rsidRPr="008E4885">
              <w:rPr>
                <w:sz w:val="16"/>
                <w:szCs w:val="16"/>
                <w:lang w:val="cs-CZ"/>
              </w:rPr>
              <w:t xml:space="preserve">řetích zemí, včetně migrantů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Rovný přístup ke zdravotní péči, odolnost zdravotnických systémů, rodinná a komunitní péče </w:t>
            </w:r>
            <w:r w:rsidRPr="008E4885">
              <w:rPr>
                <w:sz w:val="16"/>
                <w:szCs w:val="16"/>
                <w:lang w:val="cs-CZ"/>
              </w:rPr>
              <w:br/>
              <w:t>Kultura a cestovní ruch pro hospodářský rozvoj, sociální začlenění a sociální inovace</w:t>
            </w:r>
          </w:p>
        </w:tc>
      </w:tr>
      <w:tr w:rsidR="00202179" w:rsidRPr="008E4885" w:rsidTr="00617EF5">
        <w:trPr>
          <w:trHeight w:val="386"/>
        </w:trPr>
        <w:tc>
          <w:tcPr>
            <w:tcW w:w="993" w:type="dxa"/>
            <w:vMerge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202179" w:rsidRPr="008E4885" w:rsidRDefault="00202179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Evropa blíže občanům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Udržitelný integrovaný rozvoj území, kultura, přírodní dědictví, udržitelný cestovní ruch a bezpečnost (městské oblasti) </w:t>
            </w:r>
            <w:r w:rsidRPr="008E4885">
              <w:rPr>
                <w:sz w:val="16"/>
                <w:szCs w:val="16"/>
                <w:lang w:val="cs-CZ"/>
              </w:rPr>
              <w:br/>
              <w:t>Udržitelný integrovaný rozvoj území, kultura, přírodní dědictví, udržitelný cestovní ruch a bezpečnost (jiné než městské oblasti)</w:t>
            </w:r>
          </w:p>
        </w:tc>
      </w:tr>
      <w:tr w:rsidR="00202179" w:rsidRPr="008E4885" w:rsidTr="00617EF5">
        <w:trPr>
          <w:trHeight w:val="300"/>
        </w:trPr>
        <w:tc>
          <w:tcPr>
            <w:tcW w:w="99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202179" w:rsidRPr="008E4885" w:rsidRDefault="00202179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Propojenější Evropa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Udržitelná, inteligentní, bezpečná, udržitelná a intermodální síť TEN-T </w:t>
            </w:r>
            <w:r w:rsidRPr="008E4885">
              <w:rPr>
                <w:sz w:val="16"/>
                <w:szCs w:val="16"/>
                <w:lang w:val="cs-CZ"/>
              </w:rPr>
              <w:br/>
              <w:t>Udržitelná, klimaticky odolná, inteligentní a intermodální vnitrostátní, regionální a místní mobilita.</w:t>
            </w:r>
          </w:p>
        </w:tc>
      </w:tr>
      <w:tr w:rsidR="00202179" w:rsidRPr="008E4885" w:rsidTr="00617EF5">
        <w:trPr>
          <w:trHeight w:val="50"/>
        </w:trPr>
        <w:tc>
          <w:tcPr>
            <w:tcW w:w="99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202179" w:rsidRPr="008E4885" w:rsidRDefault="00202179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Lepší regionální správa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Řízení politiky</w:t>
            </w:r>
          </w:p>
        </w:tc>
      </w:tr>
      <w:tr w:rsidR="00806FE5" w:rsidRPr="008E4885" w:rsidTr="00617EF5">
        <w:trPr>
          <w:trHeight w:val="269"/>
        </w:trPr>
        <w:tc>
          <w:tcPr>
            <w:tcW w:w="993" w:type="dxa"/>
            <w:vMerge w:val="restart"/>
            <w:shd w:val="clear" w:color="auto" w:fill="B1CFCD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806FE5">
            <w:pPr>
              <w:spacing w:line="240" w:lineRule="auto"/>
              <w:ind w:left="0"/>
              <w:rPr>
                <w:b/>
                <w:bCs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 xml:space="preserve"> RRF</w:t>
            </w:r>
          </w:p>
        </w:tc>
        <w:tc>
          <w:tcPr>
            <w:tcW w:w="2543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Digitální transformace</w:t>
            </w:r>
          </w:p>
        </w:tc>
        <w:tc>
          <w:tcPr>
            <w:tcW w:w="5479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Digitální služby občanům a podnikům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Digitální systémy veřejné správy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Vysokokapacitní digitální sítě </w:t>
            </w:r>
            <w:r w:rsidRPr="008E4885">
              <w:rPr>
                <w:sz w:val="16"/>
                <w:szCs w:val="16"/>
                <w:lang w:val="cs-CZ"/>
              </w:rPr>
              <w:br/>
              <w:t>Digitální ekonomika a společnost, inovativní start-</w:t>
            </w:r>
            <w:proofErr w:type="spellStart"/>
            <w:r w:rsidRPr="008E4885">
              <w:rPr>
                <w:sz w:val="16"/>
                <w:szCs w:val="16"/>
                <w:lang w:val="cs-CZ"/>
              </w:rPr>
              <w:t>upy</w:t>
            </w:r>
            <w:proofErr w:type="spellEnd"/>
            <w:r w:rsidRPr="008E4885">
              <w:rPr>
                <w:sz w:val="16"/>
                <w:szCs w:val="16"/>
                <w:lang w:val="cs-CZ"/>
              </w:rPr>
              <w:t xml:space="preserve"> a nové technologie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Digitální transformace podniků </w:t>
            </w:r>
            <w:r w:rsidRPr="008E4885">
              <w:rPr>
                <w:sz w:val="16"/>
                <w:szCs w:val="16"/>
                <w:lang w:val="cs-CZ"/>
              </w:rPr>
              <w:br/>
              <w:t>Zrychlení a digitalizac</w:t>
            </w:r>
            <w:r w:rsidRPr="008E4885">
              <w:rPr>
                <w:sz w:val="16"/>
                <w:szCs w:val="16"/>
                <w:lang w:val="cs-CZ"/>
              </w:rPr>
              <w:t>e stavebního procesu</w:t>
            </w:r>
          </w:p>
        </w:tc>
      </w:tr>
      <w:tr w:rsidR="00806FE5" w:rsidRPr="008E4885" w:rsidTr="00617EF5">
        <w:trPr>
          <w:trHeight w:val="269"/>
        </w:trPr>
        <w:tc>
          <w:tcPr>
            <w:tcW w:w="993" w:type="dxa"/>
            <w:vMerge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806FE5" w:rsidRPr="008E4885" w:rsidRDefault="00806FE5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Vzdělávání a trh práce</w:t>
            </w:r>
          </w:p>
        </w:tc>
        <w:tc>
          <w:tcPr>
            <w:tcW w:w="5479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Inovace ve vzdělávání v kontextu digitalizace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Přizpůsobení školních programů </w:t>
            </w:r>
            <w:r w:rsidRPr="008E4885">
              <w:rPr>
                <w:sz w:val="16"/>
                <w:szCs w:val="16"/>
                <w:lang w:val="cs-CZ"/>
              </w:rPr>
              <w:br/>
              <w:t>Modernizace služeb zaměstnanosti a rozvoj trhu práce</w:t>
            </w:r>
          </w:p>
        </w:tc>
      </w:tr>
      <w:tr w:rsidR="00806FE5" w:rsidRPr="008E4885" w:rsidTr="00617EF5">
        <w:trPr>
          <w:trHeight w:val="972"/>
        </w:trPr>
        <w:tc>
          <w:tcPr>
            <w:tcW w:w="993" w:type="dxa"/>
            <w:vMerge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806FE5" w:rsidRPr="008E4885" w:rsidRDefault="00806FE5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Instituce a regulace a podpora podnikání v reakci na Covid-19</w:t>
            </w:r>
          </w:p>
        </w:tc>
        <w:tc>
          <w:tcPr>
            <w:tcW w:w="5479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Nové </w:t>
            </w:r>
            <w:proofErr w:type="spellStart"/>
            <w:r w:rsidRPr="008E4885">
              <w:rPr>
                <w:sz w:val="16"/>
                <w:szCs w:val="16"/>
                <w:lang w:val="cs-CZ"/>
              </w:rPr>
              <w:t>kvazikapitálové</w:t>
            </w:r>
            <w:proofErr w:type="spellEnd"/>
            <w:r w:rsidRPr="008E4885">
              <w:rPr>
                <w:sz w:val="16"/>
                <w:szCs w:val="16"/>
                <w:lang w:val="cs-CZ"/>
              </w:rPr>
              <w:t xml:space="preserve"> nástroje na podporu podnikání a rozvoj Českomoravské záruční a rozvojové banky (ČMZRB) jako národní rozvojové banky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Protikorupční reformy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Zvýšení efektivity veřejné správy </w:t>
            </w:r>
            <w:r w:rsidRPr="008E4885">
              <w:rPr>
                <w:sz w:val="16"/>
                <w:szCs w:val="16"/>
                <w:lang w:val="cs-CZ"/>
              </w:rPr>
              <w:br/>
              <w:t>Rozvoj kulturního a kreativního sektoru</w:t>
            </w:r>
          </w:p>
        </w:tc>
      </w:tr>
      <w:tr w:rsidR="00806FE5" w:rsidRPr="008E4885" w:rsidTr="00617EF5">
        <w:trPr>
          <w:trHeight w:val="1114"/>
        </w:trPr>
        <w:tc>
          <w:tcPr>
            <w:tcW w:w="993" w:type="dxa"/>
            <w:vMerge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806FE5" w:rsidRPr="008E4885" w:rsidRDefault="00806FE5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Fyzická infrastruktura a přechod na zelenou</w:t>
            </w:r>
          </w:p>
        </w:tc>
        <w:tc>
          <w:tcPr>
            <w:tcW w:w="5479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Udržitelná doprava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Snížení spotřeby energie ve veřejném sektoru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Přechod na čistší zdroje energie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Čistá mobilita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Renovace budov a ochrana ovzduší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Ochrana přírody a přizpůsobení se změně klimatu </w:t>
            </w:r>
            <w:r w:rsidRPr="008E4885">
              <w:rPr>
                <w:sz w:val="16"/>
                <w:szCs w:val="16"/>
                <w:lang w:val="cs-CZ"/>
              </w:rPr>
              <w:br/>
              <w:t>Oběhové hospo</w:t>
            </w:r>
            <w:r w:rsidRPr="008E4885">
              <w:rPr>
                <w:sz w:val="16"/>
                <w:szCs w:val="16"/>
                <w:lang w:val="cs-CZ"/>
              </w:rPr>
              <w:t xml:space="preserve">dářství, recyklace a průmyslová voda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Revitalizace </w:t>
            </w:r>
            <w:proofErr w:type="spellStart"/>
            <w:r w:rsidRPr="008E4885">
              <w:rPr>
                <w:sz w:val="16"/>
                <w:szCs w:val="16"/>
                <w:lang w:val="cs-CZ"/>
              </w:rPr>
              <w:t>brownfields</w:t>
            </w:r>
            <w:proofErr w:type="spellEnd"/>
            <w:r w:rsidRPr="008E4885">
              <w:rPr>
                <w:sz w:val="16"/>
                <w:szCs w:val="16"/>
                <w:lang w:val="cs-CZ"/>
              </w:rPr>
              <w:t xml:space="preserve"> </w:t>
            </w:r>
            <w:r w:rsidRPr="008E4885">
              <w:rPr>
                <w:sz w:val="16"/>
                <w:szCs w:val="16"/>
                <w:lang w:val="cs-CZ"/>
              </w:rPr>
              <w:br/>
              <w:t>Podpora biologické rozmanitosti a boj proti suchu</w:t>
            </w:r>
          </w:p>
        </w:tc>
      </w:tr>
      <w:tr w:rsidR="00806FE5" w:rsidRPr="008E4885" w:rsidTr="00617EF5">
        <w:trPr>
          <w:trHeight w:val="50"/>
        </w:trPr>
        <w:tc>
          <w:tcPr>
            <w:tcW w:w="993" w:type="dxa"/>
            <w:vMerge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806FE5" w:rsidRPr="008E4885" w:rsidRDefault="00806FE5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Zdraví a odolnost populace</w:t>
            </w:r>
          </w:p>
        </w:tc>
        <w:tc>
          <w:tcPr>
            <w:tcW w:w="5479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Zvýšení odolnosti zdravotnického systému </w:t>
            </w:r>
            <w:r w:rsidRPr="008E4885">
              <w:rPr>
                <w:sz w:val="16"/>
                <w:szCs w:val="16"/>
                <w:lang w:val="cs-CZ"/>
              </w:rPr>
              <w:br/>
              <w:t>Národní plán na posílení onkologické prevence a péče</w:t>
            </w:r>
          </w:p>
        </w:tc>
      </w:tr>
      <w:tr w:rsidR="00806FE5" w:rsidRPr="008E4885" w:rsidTr="00617EF5">
        <w:trPr>
          <w:trHeight w:val="181"/>
        </w:trPr>
        <w:tc>
          <w:tcPr>
            <w:tcW w:w="993" w:type="dxa"/>
            <w:vMerge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806FE5" w:rsidRPr="008E4885" w:rsidRDefault="00806FE5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Výzkum, vývoj a inovace</w:t>
            </w:r>
          </w:p>
        </w:tc>
        <w:tc>
          <w:tcPr>
            <w:tcW w:w="5479" w:type="dxa"/>
            <w:shd w:val="clear" w:color="auto" w:fill="B1CFCD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Špičkový výzkum a vývoj ve zdravotnictví </w:t>
            </w:r>
            <w:r w:rsidRPr="008E4885">
              <w:rPr>
                <w:sz w:val="16"/>
                <w:szCs w:val="16"/>
                <w:lang w:val="cs-CZ"/>
              </w:rPr>
              <w:br/>
              <w:t>Podpora výzkumu a vývoje v podnicích a zavádění inovací do podnikové praxe.</w:t>
            </w:r>
          </w:p>
        </w:tc>
      </w:tr>
    </w:tbl>
    <w:p w:rsidR="00453E20" w:rsidRPr="008E4885" w:rsidRDefault="00453E20">
      <w:pPr>
        <w:rPr>
          <w:lang w:val="cs-CZ"/>
        </w:rPr>
      </w:pPr>
    </w:p>
    <w:p w:rsidR="00453E20" w:rsidRPr="008E4885" w:rsidRDefault="00453E20">
      <w:pPr>
        <w:rPr>
          <w:lang w:val="cs-CZ"/>
        </w:rPr>
      </w:pPr>
    </w:p>
    <w:p w:rsidR="00453E20" w:rsidRPr="008E4885" w:rsidRDefault="00453E20">
      <w:pPr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993"/>
        <w:gridCol w:w="2543"/>
        <w:gridCol w:w="5479"/>
      </w:tblGrid>
      <w:tr w:rsidR="00453E20" w:rsidRPr="008E4885" w:rsidTr="00631C9D">
        <w:trPr>
          <w:trHeight w:val="315"/>
        </w:trPr>
        <w:tc>
          <w:tcPr>
            <w:tcW w:w="993" w:type="dxa"/>
            <w:shd w:val="clear" w:color="auto" w:fill="004242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4C5EED">
            <w:pPr>
              <w:spacing w:line="240" w:lineRule="auto"/>
              <w:ind w:left="0"/>
              <w:rPr>
                <w:color w:val="FFFFFF" w:themeColor="background1"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color w:val="FFFFFF" w:themeColor="background1"/>
                <w:sz w:val="16"/>
                <w:szCs w:val="16"/>
                <w:lang w:val="cs-CZ"/>
              </w:rPr>
              <w:t xml:space="preserve"> Program</w:t>
            </w:r>
          </w:p>
        </w:tc>
        <w:tc>
          <w:tcPr>
            <w:tcW w:w="2543" w:type="dxa"/>
            <w:shd w:val="clear" w:color="auto" w:fill="004242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color w:val="FFFFFF" w:themeColor="background1"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color w:val="FFFFFF" w:themeColor="background1"/>
                <w:sz w:val="16"/>
                <w:szCs w:val="16"/>
                <w:lang w:val="cs-CZ"/>
              </w:rPr>
              <w:t xml:space="preserve"> Priority</w:t>
            </w:r>
          </w:p>
        </w:tc>
        <w:tc>
          <w:tcPr>
            <w:tcW w:w="5479" w:type="dxa"/>
            <w:shd w:val="clear" w:color="auto" w:fill="004242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color w:val="FFFFFF" w:themeColor="background1"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color w:val="FFFFFF" w:themeColor="background1"/>
                <w:sz w:val="16"/>
                <w:szCs w:val="16"/>
                <w:lang w:val="cs-CZ"/>
              </w:rPr>
              <w:t xml:space="preserve"> Specifický cíl </w:t>
            </w:r>
          </w:p>
        </w:tc>
      </w:tr>
      <w:tr w:rsidR="00453E20" w:rsidRPr="008E4885" w:rsidTr="004B6775">
        <w:trPr>
          <w:trHeight w:val="1941"/>
        </w:trPr>
        <w:tc>
          <w:tcPr>
            <w:tcW w:w="993" w:type="dxa"/>
            <w:vMerge w:val="restart"/>
            <w:shd w:val="clear" w:color="auto" w:fill="EFF6F6"/>
            <w:tcMar>
              <w:top w:w="15" w:type="dxa"/>
              <w:left w:w="15" w:type="dxa"/>
              <w:right w:w="15" w:type="dxa"/>
            </w:tcMar>
            <w:vAlign w:val="center"/>
          </w:tcPr>
          <w:p w:rsidR="00F87DD0" w:rsidRPr="008E4885" w:rsidRDefault="00453E20">
            <w:pPr>
              <w:spacing w:line="240" w:lineRule="auto"/>
              <w:ind w:left="0"/>
              <w:rPr>
                <w:b/>
                <w:bCs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8E4885">
              <w:rPr>
                <w:b/>
                <w:bCs/>
                <w:sz w:val="16"/>
                <w:szCs w:val="16"/>
                <w:lang w:val="cs-CZ"/>
              </w:rPr>
              <w:t>InvestEU</w:t>
            </w:r>
            <w:proofErr w:type="spellEnd"/>
          </w:p>
          <w:p w:rsidR="00453E20" w:rsidRPr="008E4885" w:rsidRDefault="00453E20" w:rsidP="00453E2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Udržitelná infrastruktura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Doprava, zejména čisté druhy dopravy, multimodální doprava, bezpečnost silničního provozu, obnova železniční a silniční infrastruktury </w:t>
            </w:r>
            <w:r w:rsidRPr="008E4885">
              <w:rPr>
                <w:sz w:val="16"/>
                <w:szCs w:val="16"/>
                <w:lang w:val="cs-CZ"/>
              </w:rPr>
              <w:br/>
              <w:t>Energetika, zejména obnovitelné zdroje energie, energetická účinnost a projekty renovace budov zaměřené na úspory energi</w:t>
            </w:r>
            <w:r w:rsidRPr="008E4885">
              <w:rPr>
                <w:sz w:val="16"/>
                <w:szCs w:val="16"/>
                <w:lang w:val="cs-CZ"/>
              </w:rPr>
              <w:t xml:space="preserve">e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Digitální konektivita a přístup, včetně venkovských oblastí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Dodávky a zpracování surovin, vesmír, oceány, voda v souladu s hierarchií nakládání s odpady a oběhovým hospodářstvím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Příroda a další environmentální infrastruktura Kulturní </w:t>
            </w:r>
            <w:r w:rsidRPr="008E4885">
              <w:rPr>
                <w:sz w:val="16"/>
                <w:szCs w:val="16"/>
                <w:lang w:val="cs-CZ"/>
              </w:rPr>
              <w:br/>
              <w:t>dědictví, cestov</w:t>
            </w:r>
            <w:r w:rsidRPr="008E4885">
              <w:rPr>
                <w:sz w:val="16"/>
                <w:szCs w:val="16"/>
                <w:lang w:val="cs-CZ"/>
              </w:rPr>
              <w:t xml:space="preserve">ní ruch </w:t>
            </w:r>
            <w:r w:rsidRPr="008E4885">
              <w:rPr>
                <w:sz w:val="16"/>
                <w:szCs w:val="16"/>
                <w:lang w:val="cs-CZ"/>
              </w:rPr>
              <w:br/>
              <w:t>Zařízení, mobilní prostředky a inovativní technologie, které přispívají k cílům EU v oblasti odolnosti vůči změně klimatu nebo sociální udržitelnosti.</w:t>
            </w:r>
          </w:p>
        </w:tc>
      </w:tr>
      <w:tr w:rsidR="00453E20" w:rsidRPr="008E4885" w:rsidTr="004B6775">
        <w:trPr>
          <w:trHeight w:val="960"/>
        </w:trPr>
        <w:tc>
          <w:tcPr>
            <w:tcW w:w="993" w:type="dxa"/>
            <w:vMerge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453E20" w:rsidRPr="008E4885" w:rsidRDefault="00453E20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Výzkum, inovace a digitalizace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Výzkum, vývoj produktů a inovační činnosti </w:t>
            </w:r>
            <w:r w:rsidRPr="008E4885">
              <w:rPr>
                <w:sz w:val="16"/>
                <w:szCs w:val="16"/>
                <w:lang w:val="cs-CZ"/>
              </w:rPr>
              <w:br/>
            </w:r>
            <w:r w:rsidRPr="008E4885">
              <w:rPr>
                <w:sz w:val="16"/>
                <w:szCs w:val="16"/>
                <w:lang w:val="cs-CZ"/>
              </w:rPr>
              <w:t xml:space="preserve">Přenos technologií a výsledků výzkumu na trh, podpora tržních faktorů a spolupráce mezi podniky </w:t>
            </w:r>
            <w:r w:rsidRPr="008E4885">
              <w:rPr>
                <w:sz w:val="16"/>
                <w:szCs w:val="16"/>
                <w:lang w:val="cs-CZ"/>
              </w:rPr>
              <w:br/>
              <w:t>Demonstrace a zavádění inovativních řešení a podpora rozšiřování inovativních společností a digitalizace.</w:t>
            </w:r>
          </w:p>
        </w:tc>
      </w:tr>
      <w:tr w:rsidR="00453E20" w:rsidRPr="008E4885" w:rsidTr="004B6775">
        <w:trPr>
          <w:trHeight w:val="690"/>
        </w:trPr>
        <w:tc>
          <w:tcPr>
            <w:tcW w:w="993" w:type="dxa"/>
            <w:vMerge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453E20" w:rsidRPr="008E4885" w:rsidRDefault="00453E20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Malé a střední podniky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Přístup k financování a jeho dostupnost především pro malé a střední podniky, včetně inovativních podniků a podniků působících v kulturním a tvůrčím odvětví </w:t>
            </w:r>
            <w:r w:rsidRPr="008E4885">
              <w:rPr>
                <w:sz w:val="16"/>
                <w:szCs w:val="16"/>
                <w:lang w:val="cs-CZ"/>
              </w:rPr>
              <w:br/>
              <w:t>Podpora zejména podniků, které mají ztížený přístup k financování: začínající podniky, mladší a me</w:t>
            </w:r>
            <w:r w:rsidRPr="008E4885">
              <w:rPr>
                <w:sz w:val="16"/>
                <w:szCs w:val="16"/>
                <w:lang w:val="cs-CZ"/>
              </w:rPr>
              <w:t>nší podniky atd.</w:t>
            </w:r>
          </w:p>
        </w:tc>
      </w:tr>
      <w:tr w:rsidR="00453E20" w:rsidRPr="008E4885" w:rsidTr="004B6775">
        <w:trPr>
          <w:trHeight w:val="1937"/>
        </w:trPr>
        <w:tc>
          <w:tcPr>
            <w:tcW w:w="993" w:type="dxa"/>
            <w:vMerge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453E20" w:rsidRPr="008E4885" w:rsidRDefault="00453E20" w:rsidP="003A61E0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2543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Sociální investice a dovednosti</w:t>
            </w:r>
          </w:p>
        </w:tc>
        <w:tc>
          <w:tcPr>
            <w:tcW w:w="5479" w:type="dxa"/>
            <w:shd w:val="clear" w:color="auto" w:fill="EFF6F6"/>
            <w:tcMar>
              <w:top w:w="15" w:type="dxa"/>
              <w:left w:w="15" w:type="dxa"/>
              <w:right w:w="15" w:type="dxa"/>
            </w:tcMar>
          </w:tcPr>
          <w:p w:rsidR="00F87DD0" w:rsidRPr="008E4885" w:rsidRDefault="008E4885">
            <w:pPr>
              <w:spacing w:before="20" w:after="20" w:line="240" w:lineRule="auto"/>
              <w:ind w:left="0"/>
              <w:rPr>
                <w:sz w:val="16"/>
                <w:szCs w:val="16"/>
                <w:lang w:val="cs-CZ"/>
              </w:rPr>
            </w:pPr>
            <w:proofErr w:type="spellStart"/>
            <w:r w:rsidRPr="008E4885">
              <w:rPr>
                <w:sz w:val="16"/>
                <w:szCs w:val="16"/>
                <w:lang w:val="cs-CZ"/>
              </w:rPr>
              <w:t>Mikrofinancování</w:t>
            </w:r>
            <w:proofErr w:type="spellEnd"/>
            <w:r w:rsidRPr="008E4885">
              <w:rPr>
                <w:sz w:val="16"/>
                <w:szCs w:val="16"/>
                <w:lang w:val="cs-CZ"/>
              </w:rPr>
              <w:t xml:space="preserve">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Financování sociálních podniků a sociální ekonomika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Opatření na podporu rovnosti žen a mužů Dovednosti, vzdělávání, odborná příprava a související služby </w:t>
            </w:r>
            <w:r w:rsidRPr="008E4885">
              <w:rPr>
                <w:sz w:val="16"/>
                <w:szCs w:val="16"/>
                <w:lang w:val="cs-CZ"/>
              </w:rPr>
              <w:br/>
            </w:r>
            <w:r w:rsidRPr="008E4885">
              <w:rPr>
                <w:sz w:val="16"/>
                <w:szCs w:val="16"/>
                <w:lang w:val="cs-CZ"/>
              </w:rPr>
              <w:t xml:space="preserve">Sociální infrastruktura (včetně zdravotnické a vzdělávací infrastruktury a sociálního a studentského bydlení)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Sociální inovace, včetně sociálního dopadu, investic s dopadem a uzavírání smluv na sociální výsledky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Zdravotní a dlouhodobá péče </w:t>
            </w:r>
            <w:r w:rsidRPr="008E4885">
              <w:rPr>
                <w:sz w:val="16"/>
                <w:szCs w:val="16"/>
                <w:lang w:val="cs-CZ"/>
              </w:rPr>
              <w:br/>
              <w:t>Začlenění a d</w:t>
            </w:r>
            <w:r w:rsidRPr="008E4885">
              <w:rPr>
                <w:sz w:val="16"/>
                <w:szCs w:val="16"/>
                <w:lang w:val="cs-CZ"/>
              </w:rPr>
              <w:t xml:space="preserve">ostupnost </w:t>
            </w:r>
            <w:r w:rsidRPr="008E4885">
              <w:rPr>
                <w:sz w:val="16"/>
                <w:szCs w:val="16"/>
                <w:lang w:val="cs-CZ"/>
              </w:rPr>
              <w:br/>
              <w:t xml:space="preserve">Kulturní a tvůrčí činnosti se sociálním cílem </w:t>
            </w:r>
            <w:r w:rsidRPr="008E4885">
              <w:rPr>
                <w:sz w:val="16"/>
                <w:szCs w:val="16"/>
                <w:lang w:val="cs-CZ"/>
              </w:rPr>
              <w:br/>
              <w:t>Integrace zranitelných osob, včetně státních příslušníků třetích zemí</w:t>
            </w:r>
          </w:p>
        </w:tc>
      </w:tr>
    </w:tbl>
    <w:p w:rsidR="00D4662C" w:rsidRPr="008E4885" w:rsidRDefault="00D4662C" w:rsidP="007957C4">
      <w:pPr>
        <w:rPr>
          <w:lang w:val="cs-CZ"/>
        </w:rPr>
      </w:pPr>
    </w:p>
    <w:p w:rsidR="00D4662C" w:rsidRPr="008E4885" w:rsidRDefault="00D4662C">
      <w:pPr>
        <w:spacing w:after="200" w:line="276" w:lineRule="auto"/>
        <w:ind w:left="0"/>
        <w:rPr>
          <w:lang w:val="cs-CZ"/>
        </w:rPr>
      </w:pPr>
      <w:r w:rsidRPr="008E4885">
        <w:rPr>
          <w:lang w:val="cs-CZ"/>
        </w:rPr>
        <w:br w:type="page"/>
      </w:r>
    </w:p>
    <w:p w:rsidR="00F87DD0" w:rsidRPr="008E4885" w:rsidRDefault="008E4885">
      <w:pPr>
        <w:pStyle w:val="Nadpis1"/>
        <w:numPr>
          <w:ilvl w:val="0"/>
          <w:numId w:val="0"/>
        </w:numPr>
        <w:ind w:left="567" w:right="-330" w:hanging="567"/>
        <w:rPr>
          <w:sz w:val="36"/>
          <w:szCs w:val="21"/>
          <w:lang w:val="cs-CZ"/>
        </w:rPr>
      </w:pPr>
      <w:bookmarkStart w:id="34" w:name="_Toc133944268"/>
      <w:r w:rsidRPr="008E4885">
        <w:rPr>
          <w:sz w:val="36"/>
          <w:szCs w:val="21"/>
          <w:lang w:val="cs-CZ"/>
        </w:rPr>
        <w:lastRenderedPageBreak/>
        <w:t xml:space="preserve">Příloha B </w:t>
      </w:r>
      <w:r w:rsidR="00D012FD" w:rsidRPr="008E4885">
        <w:rPr>
          <w:sz w:val="36"/>
          <w:szCs w:val="21"/>
          <w:lang w:val="cs-CZ"/>
        </w:rPr>
        <w:t>Hlavní úvahy při posuzování DNSH</w:t>
      </w:r>
      <w:bookmarkEnd w:id="34"/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6095"/>
      </w:tblGrid>
      <w:tr w:rsidR="006F160C" w:rsidRPr="008E4885" w:rsidTr="001C1FBF">
        <w:trPr>
          <w:trHeight w:val="300"/>
        </w:trPr>
        <w:tc>
          <w:tcPr>
            <w:tcW w:w="1271" w:type="dxa"/>
            <w:shd w:val="clear" w:color="auto" w:fill="004242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>Kategorie</w:t>
            </w:r>
          </w:p>
        </w:tc>
        <w:tc>
          <w:tcPr>
            <w:tcW w:w="1985" w:type="dxa"/>
            <w:shd w:val="clear" w:color="auto" w:fill="004242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>Hodnota kategorie</w:t>
            </w:r>
          </w:p>
        </w:tc>
        <w:tc>
          <w:tcPr>
            <w:tcW w:w="6095" w:type="dxa"/>
            <w:shd w:val="clear" w:color="auto" w:fill="004242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>Popis</w:t>
            </w:r>
          </w:p>
        </w:tc>
      </w:tr>
      <w:tr w:rsidR="006F160C" w:rsidRPr="008E4885" w:rsidTr="001C1FBF">
        <w:trPr>
          <w:trHeight w:val="236"/>
        </w:trPr>
        <w:tc>
          <w:tcPr>
            <w:tcW w:w="1271" w:type="dxa"/>
            <w:vMerge w:val="restart"/>
            <w:shd w:val="clear" w:color="auto" w:fill="EFF6F6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b/>
                <w:bCs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>Fond EU</w:t>
            </w: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Nástroj pro obnovu a odolnost (RRF)</w:t>
            </w:r>
          </w:p>
        </w:tc>
        <w:tc>
          <w:tcPr>
            <w:tcW w:w="609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Dočasný nástroj pro oživení, který pomáhá provádět reformy a investiční priority, zřízený nařízením (EU) 2021/241</w:t>
            </w:r>
            <w:r w:rsidRPr="008E4885">
              <w:rPr>
                <w:sz w:val="16"/>
                <w:szCs w:val="16"/>
                <w:lang w:val="cs-CZ"/>
              </w:rPr>
              <w:t xml:space="preserve">. 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proofErr w:type="spellStart"/>
            <w:r w:rsidRPr="008E4885">
              <w:rPr>
                <w:sz w:val="16"/>
                <w:szCs w:val="16"/>
                <w:lang w:val="cs-CZ"/>
              </w:rPr>
              <w:t>InvestEU</w:t>
            </w:r>
            <w:proofErr w:type="spellEnd"/>
          </w:p>
        </w:tc>
        <w:tc>
          <w:tcPr>
            <w:tcW w:w="609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Program na podporu udržitelných investic, inovací a vytváření pracovních míst v Evropě, který byl zřízen nařízením (EU) 2021/523.</w:t>
            </w:r>
            <w:r w:rsidRPr="008E4885">
              <w:rPr>
                <w:sz w:val="16"/>
                <w:szCs w:val="16"/>
                <w:lang w:val="cs-CZ"/>
              </w:rPr>
              <w:t xml:space="preserve"> 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Fondy politiky soudržnosti (CPF)</w:t>
            </w:r>
          </w:p>
        </w:tc>
        <w:tc>
          <w:tcPr>
            <w:tcW w:w="609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Fond soudržnosti (FS) </w:t>
            </w:r>
            <w:r w:rsidR="0045769F" w:rsidRPr="008E4885">
              <w:rPr>
                <w:sz w:val="16"/>
                <w:szCs w:val="16"/>
                <w:lang w:val="cs-CZ"/>
              </w:rPr>
              <w:t xml:space="preserve">a Evropský fond pro regionální rozvoj (EFRR), zřízené </w:t>
            </w:r>
            <w:r w:rsidRPr="008E4885">
              <w:rPr>
                <w:sz w:val="16"/>
                <w:szCs w:val="16"/>
                <w:lang w:val="cs-CZ"/>
              </w:rPr>
              <w:t xml:space="preserve">nařízením (EU) </w:t>
            </w:r>
            <w:r w:rsidR="00D012FD" w:rsidRPr="008E4885">
              <w:rPr>
                <w:sz w:val="16"/>
                <w:szCs w:val="16"/>
                <w:lang w:val="cs-CZ"/>
              </w:rPr>
              <w:t xml:space="preserve">2021/1058 </w:t>
            </w:r>
            <w:r w:rsidR="0045769F" w:rsidRPr="008E4885">
              <w:rPr>
                <w:sz w:val="16"/>
                <w:szCs w:val="16"/>
                <w:lang w:val="cs-CZ"/>
              </w:rPr>
              <w:t>a (EU) 2021/1060.</w:t>
            </w:r>
            <w:r w:rsidR="0045769F" w:rsidRPr="008E4885">
              <w:rPr>
                <w:sz w:val="16"/>
                <w:szCs w:val="16"/>
                <w:lang w:val="cs-CZ"/>
              </w:rPr>
              <w:br/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Fond pro spravedlivý přechod (JTF), zřízený nařízením (EU) 2021/1056;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Evropský sociální fond plus (ESF+), zřízený nařízením (EU) 2021/1057.</w:t>
            </w:r>
          </w:p>
        </w:tc>
      </w:tr>
      <w:tr w:rsidR="006F160C" w:rsidRPr="008E4885" w:rsidTr="001C1FBF">
        <w:trPr>
          <w:trHeight w:val="300"/>
        </w:trPr>
        <w:tc>
          <w:tcPr>
            <w:tcW w:w="1271" w:type="dxa"/>
            <w:vMerge w:val="restart"/>
            <w:shd w:val="clear" w:color="auto" w:fill="EFF6F6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b/>
                <w:bCs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>Specifika odvětví</w:t>
            </w:r>
          </w:p>
        </w:tc>
        <w:tc>
          <w:tcPr>
            <w:tcW w:w="1985" w:type="dxa"/>
            <w:vMerge w:val="restart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Odvětvová specifika RRF - 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i/>
                <w:iCs/>
                <w:sz w:val="16"/>
                <w:szCs w:val="16"/>
                <w:lang w:val="cs-CZ"/>
              </w:rPr>
              <w:t>podle technických pokynů DNSH, příloha III (2021/C 58/01).</w:t>
            </w:r>
          </w:p>
        </w:tc>
        <w:tc>
          <w:tcPr>
            <w:tcW w:w="609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výroba elektřiny a/nebo tepla na bázi zemního plynu (NG);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zařízení na výrobu elek</w:t>
            </w:r>
            <w:r w:rsidRPr="008E4885">
              <w:rPr>
                <w:sz w:val="16"/>
                <w:szCs w:val="16"/>
                <w:lang w:val="cs-CZ"/>
              </w:rPr>
              <w:t>třiny ze zemního plynu v systémech dálkového vytápění/chlazení;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sítě dálkového vytápění/chlazení, které získávají teplo/chlad ze zařízení využívajících zemní plyn;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Kotle a topné systémy na zemní plyn (a související distribuční infrastruktura).</w:t>
            </w:r>
          </w:p>
        </w:tc>
      </w:tr>
      <w:tr w:rsidR="006F160C" w:rsidRPr="008E4885" w:rsidTr="232E7DD7">
        <w:trPr>
          <w:trHeight w:val="68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609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infrastruktura pro přenos a distribuci plynných paliv.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vMerge w:val="restart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Odvětvová specifika RRF - 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i/>
                <w:iCs/>
                <w:sz w:val="16"/>
                <w:szCs w:val="16"/>
                <w:lang w:val="cs-CZ"/>
              </w:rPr>
              <w:t>podle CID o RRP pro Česko, příloha (KOM/2021/431).</w:t>
            </w:r>
          </w:p>
        </w:tc>
        <w:tc>
          <w:tcPr>
            <w:tcW w:w="609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činnosti v oblasti výzkumu a inovací zaměřené na modrý a šedý vodík, spalovny a skládky;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Činnosti v oblasti výzkumu a ino</w:t>
            </w:r>
            <w:r w:rsidRPr="008E4885">
              <w:rPr>
                <w:sz w:val="16"/>
                <w:szCs w:val="16"/>
                <w:lang w:val="cs-CZ"/>
              </w:rPr>
              <w:t>vací zaměřené na uhlí, hnědé uhlí, ropu/ropu, zemní plyn, na které se nevztahuje příloha III technických pokynů DNSH;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skládky odpadů; 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dlouhodobé odstraňování odpadů, které mohou poškodit životní prostředí;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činnosti/aktiva v rámci EU ETS, které dosahují předpokládaných emisí skleníkových plynů, jež nejsou nižší než příslušné referenční hodnoty;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tcMar>
              <w:left w:w="105" w:type="dxa"/>
              <w:right w:w="105" w:type="dxa"/>
            </w:tcMar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609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spalovny odpadů, mechanicko-biologické úpravny;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činnosti/aktiva související s fosilními palivy, včetně navazující</w:t>
            </w:r>
            <w:r w:rsidRPr="008E4885">
              <w:rPr>
                <w:sz w:val="16"/>
                <w:szCs w:val="16"/>
                <w:lang w:val="cs-CZ"/>
              </w:rPr>
              <w:t>ho využití.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609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činnosti/aktiva v rámci EU ETS, které dosahují předpokládaných emisí skleníkových plynů, jež nejsou výrazně nižší než příslušné referenční hodnoty.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vMerge w:val="restart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Odvětvová specifika </w:t>
            </w:r>
            <w:proofErr w:type="spellStart"/>
            <w:r w:rsidRPr="008E4885">
              <w:rPr>
                <w:sz w:val="16"/>
                <w:szCs w:val="16"/>
                <w:lang w:val="cs-CZ"/>
              </w:rPr>
              <w:t>InvestEU</w:t>
            </w:r>
            <w:proofErr w:type="spellEnd"/>
            <w:r w:rsidRPr="008E4885">
              <w:rPr>
                <w:sz w:val="16"/>
                <w:szCs w:val="16"/>
                <w:lang w:val="cs-CZ"/>
              </w:rPr>
              <w:t xml:space="preserve"> - </w:t>
            </w:r>
            <w:r w:rsidRPr="008E4885">
              <w:rPr>
                <w:i/>
                <w:iCs/>
                <w:sz w:val="16"/>
                <w:szCs w:val="16"/>
                <w:lang w:val="cs-CZ"/>
              </w:rPr>
              <w:t>podle nařízení 2021/523, příloha V (B.)</w:t>
            </w:r>
          </w:p>
        </w:tc>
        <w:tc>
          <w:tcPr>
            <w:tcW w:w="609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činnosti, které omezují práva a svobody jednotlivce nebo porušují lidská práva;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 oblasti obrany používání, vývoj nebo výroba produktů a technologií, které jsou zakázány platným mezinárodním právem;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tabákových výrobků a činností;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činnosti vyloučené z finan</w:t>
            </w:r>
            <w:r w:rsidRPr="008E4885">
              <w:rPr>
                <w:sz w:val="16"/>
                <w:szCs w:val="16"/>
                <w:lang w:val="cs-CZ"/>
              </w:rPr>
              <w:t>cování podle příslušných ustanovení nařízení Horizont Evropa (vybrané oblasti výzkumu člověka);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hazardní hry; obchod se sexem a související infrastruktura, služby a média;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finanční činnosti;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vyřazování z provozu, provoz, úpravy </w:t>
            </w:r>
            <w:r w:rsidRPr="008E4885">
              <w:rPr>
                <w:sz w:val="16"/>
                <w:szCs w:val="16"/>
                <w:lang w:val="cs-CZ"/>
              </w:rPr>
              <w:t>nebo výstavba jaderných elektráren.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609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rozvoj nemovitostí;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těžba nebo získávání, zpracování, distribuce, skladování nebo spalování pevných fosilních paliv a ropy, jakož i investice související s těžbou plynu;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zařízení pro ukládání odpadů na skládky;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zařízení pro mechanicko-biologickou úpravu (MBT);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spalovny pro zpracování odpadu;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činnosti zahrnující živá zvířata pro pokusné a vědecké účely.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vMerge w:val="restart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Odvětvová specifika </w:t>
            </w:r>
            <w:proofErr w:type="spellStart"/>
            <w:r w:rsidRPr="008E4885">
              <w:rPr>
                <w:sz w:val="16"/>
                <w:szCs w:val="16"/>
                <w:lang w:val="cs-CZ"/>
              </w:rPr>
              <w:t>InvestEU</w:t>
            </w:r>
            <w:proofErr w:type="spellEnd"/>
            <w:r w:rsidRPr="008E4885">
              <w:rPr>
                <w:sz w:val="16"/>
                <w:szCs w:val="16"/>
                <w:lang w:val="cs-CZ"/>
              </w:rPr>
              <w:t xml:space="preserve"> - </w:t>
            </w:r>
            <w:r w:rsidRPr="008E4885">
              <w:rPr>
                <w:i/>
                <w:iCs/>
                <w:sz w:val="16"/>
                <w:szCs w:val="16"/>
                <w:lang w:val="cs-CZ"/>
              </w:rPr>
              <w:t>podle Technických pokynů k prokazování udržitelnosti, článek 1.4 (2021/C 280/01</w:t>
            </w:r>
            <w:r w:rsidRPr="008E4885">
              <w:rPr>
                <w:i/>
                <w:iCs/>
                <w:sz w:val="16"/>
                <w:szCs w:val="16"/>
                <w:lang w:val="cs-CZ"/>
              </w:rPr>
              <w:t>).</w:t>
            </w:r>
          </w:p>
        </w:tc>
        <w:tc>
          <w:tcPr>
            <w:tcW w:w="609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anaerobní digesce bioodpadu, zachycování a využívání skládkového plynu. 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609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přeprava CO2 a podzemní trvalé geologické ukládání CO2.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609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plavidla, vozidla nebo kolejová vozidla určená speciálně pro přepravu fosilních paliv (železnice, voda, silnice).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tcMar>
              <w:left w:w="105" w:type="dxa"/>
              <w:right w:w="105" w:type="dxa"/>
            </w:tcMar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Specifika JTF/ERDF/CF - </w:t>
            </w:r>
            <w:r w:rsidRPr="008E4885">
              <w:rPr>
                <w:i/>
                <w:iCs/>
                <w:sz w:val="16"/>
                <w:szCs w:val="16"/>
                <w:lang w:val="cs-CZ"/>
              </w:rPr>
              <w:t xml:space="preserve">podle nařízení 2021/1057 </w:t>
            </w:r>
            <w:r w:rsidR="00E313FC" w:rsidRPr="008E4885">
              <w:rPr>
                <w:i/>
                <w:iCs/>
                <w:sz w:val="16"/>
                <w:szCs w:val="16"/>
                <w:lang w:val="cs-CZ"/>
              </w:rPr>
              <w:t xml:space="preserve">(článek 9), </w:t>
            </w:r>
            <w:r w:rsidRPr="008E4885">
              <w:rPr>
                <w:i/>
                <w:iCs/>
                <w:sz w:val="16"/>
                <w:szCs w:val="16"/>
                <w:lang w:val="cs-CZ"/>
              </w:rPr>
              <w:t xml:space="preserve">2021/1058 </w:t>
            </w:r>
            <w:r w:rsidR="00E313FC" w:rsidRPr="008E4885">
              <w:rPr>
                <w:i/>
                <w:iCs/>
                <w:sz w:val="16"/>
                <w:szCs w:val="16"/>
                <w:lang w:val="cs-CZ"/>
              </w:rPr>
              <w:t>(článek 7.1.)</w:t>
            </w:r>
          </w:p>
        </w:tc>
        <w:tc>
          <w:tcPr>
            <w:tcW w:w="609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vyřazování z provozu nebo výstavbu jaderných elektráren;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výroba, zpracování a prodej tabáku a tabákových výrobků;</w:t>
            </w:r>
          </w:p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Odvětvová specifika JTF - </w:t>
            </w:r>
            <w:r w:rsidRPr="008E4885">
              <w:rPr>
                <w:i/>
                <w:iCs/>
                <w:sz w:val="16"/>
                <w:szCs w:val="16"/>
                <w:lang w:val="cs-CZ"/>
              </w:rPr>
              <w:t>podle nařízení 2021/1057 (článek 9)</w:t>
            </w:r>
          </w:p>
        </w:tc>
        <w:tc>
          <w:tcPr>
            <w:tcW w:w="609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výroba, zpracování, přeprava, distribuce, skladování nebo spalování fosilních paliv.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Odvětvová specifika CF - </w:t>
            </w:r>
            <w:r w:rsidRPr="008E4885">
              <w:rPr>
                <w:i/>
                <w:iCs/>
                <w:sz w:val="16"/>
                <w:szCs w:val="16"/>
                <w:lang w:val="cs-CZ"/>
              </w:rPr>
              <w:t>podle nařízení 1300/2013 (článek 2)</w:t>
            </w:r>
          </w:p>
        </w:tc>
        <w:tc>
          <w:tcPr>
            <w:tcW w:w="609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investice do bydlení, pokud nesouvisí s podporou energetické účinnosti n</w:t>
            </w:r>
            <w:r w:rsidRPr="008E4885">
              <w:rPr>
                <w:sz w:val="16"/>
                <w:szCs w:val="16"/>
                <w:lang w:val="cs-CZ"/>
              </w:rPr>
              <w:t>ebo využívání obnovitelných zdrojů energie;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vMerge w:val="restart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Odvětvová specifika EFRR/FS - </w:t>
            </w:r>
            <w:r w:rsidRPr="008E4885">
              <w:rPr>
                <w:i/>
                <w:iCs/>
                <w:sz w:val="16"/>
                <w:szCs w:val="16"/>
                <w:lang w:val="cs-CZ"/>
              </w:rPr>
              <w:t>podle nařízení 2021/1058 (článek 7.1.)</w:t>
            </w:r>
          </w:p>
        </w:tc>
        <w:tc>
          <w:tcPr>
            <w:tcW w:w="609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investice k dosažení snížení emisí skleníkových plynů z činností uvedených v příloze I směrnice 2003/87/ES (směrnice o ETS).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609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letištní infrastruktura;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ukládání odpadu na skládku;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zvýšení kapacity zařízení na zpracování zbytkového odpadu;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výroba, zpracování, přeprava, distribuce, skladování nebo spalování fosilních paliv.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Odvětvová specifika podle </w:t>
            </w:r>
            <w:r w:rsidRPr="008E4885">
              <w:rPr>
                <w:i/>
                <w:iCs/>
                <w:sz w:val="16"/>
                <w:szCs w:val="16"/>
                <w:lang w:val="cs-CZ"/>
              </w:rPr>
              <w:t xml:space="preserve">Technických pokynů pro PK, </w:t>
            </w:r>
            <w:r w:rsidRPr="008E4885">
              <w:rPr>
                <w:i/>
                <w:iCs/>
                <w:sz w:val="16"/>
                <w:szCs w:val="16"/>
                <w:lang w:val="cs-CZ"/>
              </w:rPr>
              <w:t>(2021/C 373/01)</w:t>
            </w:r>
          </w:p>
        </w:tc>
        <w:tc>
          <w:tcPr>
            <w:tcW w:w="6095" w:type="dxa"/>
            <w:tcMar>
              <w:left w:w="90" w:type="dxa"/>
              <w:right w:w="90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infrastrukturní projekty poháněné fosilními palivy nebo převážející fosilní paliva.</w:t>
            </w:r>
          </w:p>
        </w:tc>
      </w:tr>
      <w:tr w:rsidR="00962CAC" w:rsidRPr="008E4885" w:rsidTr="00962CAC">
        <w:trPr>
          <w:trHeight w:val="300"/>
        </w:trPr>
        <w:tc>
          <w:tcPr>
            <w:tcW w:w="1271" w:type="dxa"/>
            <w:shd w:val="clear" w:color="auto" w:fill="004242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>Kategorie</w:t>
            </w:r>
          </w:p>
        </w:tc>
        <w:tc>
          <w:tcPr>
            <w:tcW w:w="1985" w:type="dxa"/>
            <w:shd w:val="clear" w:color="auto" w:fill="004242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>Hodnota kategorie</w:t>
            </w:r>
          </w:p>
        </w:tc>
        <w:tc>
          <w:tcPr>
            <w:tcW w:w="6095" w:type="dxa"/>
            <w:shd w:val="clear" w:color="auto" w:fill="004242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>Popis</w:t>
            </w:r>
          </w:p>
        </w:tc>
      </w:tr>
      <w:tr w:rsidR="006F160C" w:rsidRPr="008E4885" w:rsidTr="001C1FBF">
        <w:trPr>
          <w:trHeight w:val="300"/>
        </w:trPr>
        <w:tc>
          <w:tcPr>
            <w:tcW w:w="1271" w:type="dxa"/>
            <w:vMerge w:val="restart"/>
            <w:shd w:val="clear" w:color="auto" w:fill="EFF6F6"/>
            <w:tcMar>
              <w:left w:w="105" w:type="dxa"/>
              <w:right w:w="105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b/>
                <w:bCs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>Úrovně hodnocení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Opatření</w:t>
            </w:r>
          </w:p>
        </w:tc>
        <w:tc>
          <w:tcPr>
            <w:tcW w:w="6095" w:type="dxa"/>
            <w:tcMar>
              <w:left w:w="105" w:type="dxa"/>
              <w:right w:w="105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RRF - každé opatření, tj. reformy nebo investice, </w:t>
            </w:r>
            <w:r w:rsidRPr="008E4885">
              <w:rPr>
                <w:i/>
                <w:iCs/>
                <w:sz w:val="16"/>
                <w:szCs w:val="16"/>
                <w:lang w:val="cs-CZ"/>
              </w:rPr>
              <w:t>podle článku 2.1 Pokynů pro uplatňování DNSH podle nařízení o RRF (2021/C 58/01).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00F87DD0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Typ akce</w:t>
            </w:r>
          </w:p>
        </w:tc>
        <w:tc>
          <w:tcPr>
            <w:tcW w:w="6095" w:type="dxa"/>
            <w:tcMar>
              <w:left w:w="105" w:type="dxa"/>
              <w:right w:w="105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CPF - typ akcí jednotlivých programů </w:t>
            </w:r>
            <w:r w:rsidRPr="008E4885">
              <w:rPr>
                <w:i/>
                <w:iCs/>
                <w:sz w:val="16"/>
                <w:szCs w:val="16"/>
                <w:lang w:val="cs-CZ"/>
              </w:rPr>
              <w:t>podle vysvětlivky Komise k uplatňování zásady DNSH v rámci politiky soudržnosti od 27. 9. 2021.</w:t>
            </w:r>
          </w:p>
        </w:tc>
      </w:tr>
      <w:tr w:rsidR="006F160C" w:rsidRPr="008E4885" w:rsidTr="232E7DD7">
        <w:trPr>
          <w:trHeight w:val="458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Projekt</w:t>
            </w:r>
          </w:p>
        </w:tc>
        <w:tc>
          <w:tcPr>
            <w:tcW w:w="6095" w:type="dxa"/>
            <w:tcMar>
              <w:left w:w="105" w:type="dxa"/>
              <w:right w:w="105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proofErr w:type="spellStart"/>
            <w:r w:rsidRPr="008E4885">
              <w:rPr>
                <w:sz w:val="16"/>
                <w:szCs w:val="16"/>
                <w:lang w:val="cs-CZ"/>
              </w:rPr>
              <w:t>InvestEU</w:t>
            </w:r>
            <w:proofErr w:type="spellEnd"/>
            <w:r w:rsidRPr="008E4885">
              <w:rPr>
                <w:sz w:val="16"/>
                <w:szCs w:val="16"/>
                <w:lang w:val="cs-CZ"/>
              </w:rPr>
              <w:t xml:space="preserve"> - každý projekt </w:t>
            </w:r>
            <w:r w:rsidRPr="008E4885">
              <w:rPr>
                <w:i/>
                <w:iCs/>
                <w:sz w:val="16"/>
                <w:szCs w:val="16"/>
                <w:lang w:val="cs-CZ"/>
              </w:rPr>
              <w:t>podle čl. 1 odst. 4 Pokynů k prokazování udržitelnosti (2021/C 280/01).</w:t>
            </w:r>
          </w:p>
        </w:tc>
      </w:tr>
      <w:tr w:rsidR="006F160C" w:rsidRPr="008E4885" w:rsidTr="009E708E">
        <w:trPr>
          <w:trHeight w:val="421"/>
        </w:trPr>
        <w:tc>
          <w:tcPr>
            <w:tcW w:w="1271" w:type="dxa"/>
            <w:vMerge w:val="restart"/>
            <w:shd w:val="clear" w:color="auto" w:fill="EFF6F6"/>
            <w:tcMar>
              <w:left w:w="105" w:type="dxa"/>
              <w:right w:w="105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b/>
                <w:bCs/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>Typ hodnocení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Zjednodušené</w:t>
            </w:r>
          </w:p>
        </w:tc>
        <w:tc>
          <w:tcPr>
            <w:tcW w:w="6095" w:type="dxa"/>
            <w:tcMar>
              <w:left w:w="105" w:type="dxa"/>
              <w:right w:w="105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stručné zdůvodnění podle části 1 kontrolního seznamu DNSH v příloze 1 Technických pokynů DNSH.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Věcné - DNSH TSC k dispozici</w:t>
            </w:r>
          </w:p>
        </w:tc>
        <w:tc>
          <w:tcPr>
            <w:tcW w:w="6095" w:type="dxa"/>
            <w:tcMar>
              <w:left w:w="105" w:type="dxa"/>
              <w:right w:w="105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je třeba předložit věcné zdůvodnění podle části 2 kontrolního seznamu DNSH v příloze 1 + příloze 2 Technických pokynů pro DNSH, (případně) s výhradou technických kritérií pro kontrolu DNSH.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Věcné - DNSH TSC není k dispozici</w:t>
            </w:r>
          </w:p>
        </w:tc>
        <w:tc>
          <w:tcPr>
            <w:tcW w:w="6095" w:type="dxa"/>
            <w:tcMar>
              <w:left w:w="105" w:type="dxa"/>
              <w:right w:w="105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je třeba předložit věcné zdůvodnění; hospodářská činnost není zahrnuta/popsána podle aktu EU v přenesené pravomoci v oblasti taxonomie klimatu (nařízení v přenesené pravomoci (EU) 2021/2139).</w:t>
            </w:r>
          </w:p>
        </w:tc>
      </w:tr>
      <w:tr w:rsidR="006F160C" w:rsidRPr="008E4885" w:rsidTr="001C1FBF">
        <w:trPr>
          <w:trHeight w:val="300"/>
        </w:trPr>
        <w:tc>
          <w:tcPr>
            <w:tcW w:w="1271" w:type="dxa"/>
            <w:vMerge w:val="restart"/>
            <w:shd w:val="clear" w:color="auto" w:fill="EFF6F6"/>
            <w:tcMar>
              <w:left w:w="105" w:type="dxa"/>
              <w:right w:w="105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b/>
                <w:bCs/>
                <w:sz w:val="16"/>
                <w:szCs w:val="16"/>
                <w:lang w:val="cs-CZ"/>
              </w:rPr>
              <w:t>Vzájemné vazby s ochranou klimatu/udržitelnosti</w:t>
            </w: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Nezávislé</w:t>
            </w:r>
          </w:p>
        </w:tc>
        <w:tc>
          <w:tcPr>
            <w:tcW w:w="6095" w:type="dxa"/>
            <w:tcMar>
              <w:left w:w="105" w:type="dxa"/>
              <w:right w:w="105" w:type="dxa"/>
            </w:tcMar>
          </w:tcPr>
          <w:p w:rsidR="00F87DD0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pro CPF, DNSH a ověření klimatické udržitelnosti jsou samostatné metodiky.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Doporučené stránky </w:t>
            </w:r>
          </w:p>
        </w:tc>
        <w:tc>
          <w:tcPr>
            <w:tcW w:w="6095" w:type="dxa"/>
            <w:tcMar>
              <w:left w:w="105" w:type="dxa"/>
              <w:right w:w="105" w:type="dxa"/>
            </w:tcMar>
          </w:tcPr>
          <w:p w:rsidR="00F87DD0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pro RRF, pro hodnocení DNSH se doporučuje ověření klimatické/udržitelné odolnosti.</w:t>
            </w:r>
          </w:p>
        </w:tc>
      </w:tr>
      <w:tr w:rsidR="006F160C" w:rsidRPr="008E4885" w:rsidTr="232E7DD7">
        <w:trPr>
          <w:trHeight w:val="300"/>
        </w:trPr>
        <w:tc>
          <w:tcPr>
            <w:tcW w:w="1271" w:type="dxa"/>
            <w:vMerge/>
            <w:vAlign w:val="center"/>
          </w:tcPr>
          <w:p w:rsidR="006F160C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</w:p>
        </w:tc>
        <w:tc>
          <w:tcPr>
            <w:tcW w:w="1985" w:type="dxa"/>
            <w:tcMar>
              <w:left w:w="105" w:type="dxa"/>
              <w:right w:w="105" w:type="dxa"/>
            </w:tcMar>
          </w:tcPr>
          <w:p w:rsidR="00F87DD0" w:rsidRPr="008E4885" w:rsidRDefault="008E4885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>Povinné</w:t>
            </w:r>
          </w:p>
        </w:tc>
        <w:tc>
          <w:tcPr>
            <w:tcW w:w="6095" w:type="dxa"/>
            <w:tcMar>
              <w:left w:w="105" w:type="dxa"/>
              <w:right w:w="105" w:type="dxa"/>
            </w:tcMar>
          </w:tcPr>
          <w:p w:rsidR="00F87DD0" w:rsidRPr="008E4885" w:rsidRDefault="006F160C">
            <w:pPr>
              <w:spacing w:line="240" w:lineRule="auto"/>
              <w:ind w:left="0"/>
              <w:rPr>
                <w:sz w:val="16"/>
                <w:szCs w:val="16"/>
                <w:lang w:val="cs-CZ"/>
              </w:rPr>
            </w:pPr>
            <w:r w:rsidRPr="008E4885">
              <w:rPr>
                <w:sz w:val="16"/>
                <w:szCs w:val="16"/>
                <w:lang w:val="cs-CZ"/>
              </w:rPr>
              <w:t xml:space="preserve">pro </w:t>
            </w:r>
            <w:proofErr w:type="spellStart"/>
            <w:r w:rsidRPr="008E4885">
              <w:rPr>
                <w:sz w:val="16"/>
                <w:szCs w:val="16"/>
                <w:lang w:val="cs-CZ"/>
              </w:rPr>
              <w:t>InvestEU</w:t>
            </w:r>
            <w:proofErr w:type="spellEnd"/>
            <w:r w:rsidRPr="008E4885">
              <w:rPr>
                <w:sz w:val="16"/>
                <w:szCs w:val="16"/>
                <w:lang w:val="cs-CZ"/>
              </w:rPr>
              <w:t>, aplikace DNSH je plně integrována do systému ochrany klimatu/udržitelnosti.</w:t>
            </w:r>
          </w:p>
        </w:tc>
      </w:tr>
    </w:tbl>
    <w:p w:rsidR="00D4662C" w:rsidRPr="008E4885" w:rsidRDefault="00D4662C" w:rsidP="00890600">
      <w:pPr>
        <w:ind w:left="0"/>
        <w:rPr>
          <w:lang w:val="cs-CZ"/>
        </w:rPr>
      </w:pPr>
    </w:p>
    <w:p w:rsidR="00D4662C" w:rsidRPr="008E4885" w:rsidRDefault="00D4662C">
      <w:pPr>
        <w:spacing w:after="200" w:line="276" w:lineRule="auto"/>
        <w:ind w:left="0"/>
        <w:rPr>
          <w:lang w:val="cs-CZ"/>
        </w:rPr>
      </w:pPr>
      <w:r w:rsidRPr="008E4885">
        <w:rPr>
          <w:lang w:val="cs-CZ"/>
        </w:rPr>
        <w:br w:type="page"/>
      </w:r>
    </w:p>
    <w:p w:rsidR="00F87DD0" w:rsidRPr="008E4885" w:rsidRDefault="008E4885">
      <w:pPr>
        <w:pStyle w:val="Nadpis1"/>
        <w:numPr>
          <w:ilvl w:val="0"/>
          <w:numId w:val="0"/>
        </w:numPr>
        <w:rPr>
          <w:lang w:val="cs-CZ"/>
        </w:rPr>
      </w:pPr>
      <w:bookmarkStart w:id="35" w:name="_Toc133944269"/>
      <w:r w:rsidRPr="008E4885">
        <w:rPr>
          <w:lang w:val="cs-CZ"/>
        </w:rPr>
        <w:lastRenderedPageBreak/>
        <w:t xml:space="preserve">Příloha </w:t>
      </w:r>
      <w:r w:rsidRPr="008E4885">
        <w:rPr>
          <w:lang w:val="cs-CZ"/>
        </w:rPr>
        <w:t xml:space="preserve">C </w:t>
      </w:r>
      <w:r w:rsidR="000A5AB2" w:rsidRPr="008E4885">
        <w:rPr>
          <w:lang w:val="cs-CZ"/>
        </w:rPr>
        <w:t xml:space="preserve">Příklad </w:t>
      </w:r>
      <w:r w:rsidR="00090C63" w:rsidRPr="008E4885">
        <w:rPr>
          <w:lang w:val="cs-CZ"/>
        </w:rPr>
        <w:t xml:space="preserve">použití </w:t>
      </w:r>
      <w:r w:rsidR="000A5AB2" w:rsidRPr="008E4885">
        <w:rPr>
          <w:lang w:val="cs-CZ"/>
        </w:rPr>
        <w:t>doporučeného přístupu</w:t>
      </w:r>
      <w:bookmarkEnd w:id="35"/>
    </w:p>
    <w:p w:rsidR="00F87DD0" w:rsidRPr="008E4885" w:rsidRDefault="008E4885">
      <w:pPr>
        <w:ind w:left="0"/>
        <w:rPr>
          <w:b/>
          <w:bCs/>
          <w:lang w:val="cs-CZ"/>
        </w:rPr>
      </w:pPr>
      <w:r w:rsidRPr="008E4885">
        <w:rPr>
          <w:b/>
          <w:bCs/>
          <w:lang w:val="cs-CZ"/>
        </w:rPr>
        <w:t xml:space="preserve">Oblast intervence: </w:t>
      </w:r>
      <w:r w:rsidRPr="008E4885">
        <w:rPr>
          <w:b/>
          <w:bCs/>
          <w:lang w:val="cs-CZ"/>
        </w:rPr>
        <w:tab/>
      </w:r>
      <w:r w:rsidRPr="008E4885">
        <w:rPr>
          <w:b/>
          <w:u w:val="single"/>
          <w:lang w:val="cs-CZ"/>
        </w:rPr>
        <w:t>Elektrifikace železniční sítě</w:t>
      </w:r>
    </w:p>
    <w:p w:rsidR="00F87DD0" w:rsidRPr="008E4885" w:rsidRDefault="008E4885">
      <w:pPr>
        <w:ind w:left="0"/>
        <w:rPr>
          <w:b/>
          <w:bCs/>
          <w:lang w:val="cs-CZ"/>
        </w:rPr>
      </w:pPr>
      <w:r w:rsidRPr="008E4885">
        <w:rPr>
          <w:b/>
          <w:bCs/>
          <w:lang w:val="cs-CZ"/>
        </w:rPr>
        <w:t>Kategorie investic:</w:t>
      </w:r>
      <w:r w:rsidRPr="008E4885">
        <w:rPr>
          <w:b/>
          <w:bCs/>
          <w:lang w:val="cs-CZ"/>
        </w:rPr>
        <w:tab/>
        <w:t>Infrastruktura / Doprava</w:t>
      </w:r>
    </w:p>
    <w:p w:rsidR="00F87DD0" w:rsidRPr="008E4885" w:rsidRDefault="008E4885">
      <w:pPr>
        <w:ind w:left="0"/>
        <w:rPr>
          <w:b/>
          <w:bCs/>
          <w:lang w:val="cs-CZ"/>
        </w:rPr>
      </w:pPr>
      <w:r w:rsidRPr="008E4885">
        <w:rPr>
          <w:b/>
          <w:bCs/>
          <w:lang w:val="cs-CZ"/>
        </w:rPr>
        <w:t xml:space="preserve">Typ investice: </w:t>
      </w:r>
      <w:r w:rsidRPr="008E4885">
        <w:rPr>
          <w:lang w:val="cs-CZ"/>
        </w:rPr>
        <w:tab/>
      </w:r>
      <w:r w:rsidRPr="008E4885">
        <w:rPr>
          <w:b/>
          <w:bCs/>
          <w:lang w:val="cs-CZ"/>
        </w:rPr>
        <w:t>Výstavba a rozvoj nízkouhlíkové dopravní infrastruktury (např. železnice, elektromobily)</w:t>
      </w:r>
    </w:p>
    <w:p w:rsidR="00D4662C" w:rsidRPr="008E4885" w:rsidRDefault="00D4662C" w:rsidP="00D4662C">
      <w:pPr>
        <w:ind w:left="0"/>
        <w:rPr>
          <w:b/>
          <w:bCs/>
          <w:lang w:val="cs-CZ"/>
        </w:rPr>
      </w:pPr>
    </w:p>
    <w:tbl>
      <w:tblPr>
        <w:tblStyle w:val="Mkatabulky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00"/>
        <w:gridCol w:w="7506"/>
      </w:tblGrid>
      <w:tr w:rsidR="00D4662C" w:rsidRPr="008E4885" w:rsidTr="00FE23D8">
        <w:trPr>
          <w:trHeight w:val="300"/>
        </w:trPr>
        <w:tc>
          <w:tcPr>
            <w:tcW w:w="5000" w:type="pct"/>
            <w:gridSpan w:val="2"/>
            <w:shd w:val="clear" w:color="auto" w:fill="FFE3A5" w:themeFill="accent4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b/>
                <w:bCs/>
                <w:sz w:val="17"/>
                <w:szCs w:val="17"/>
                <w:lang w:val="cs-CZ"/>
              </w:rPr>
              <w:t>Kritérium 1</w:t>
            </w:r>
          </w:p>
        </w:tc>
      </w:tr>
      <w:tr w:rsidR="00F43C6D" w:rsidRPr="008E4885" w:rsidTr="00FE23D8">
        <w:trPr>
          <w:trHeight w:val="300"/>
        </w:trPr>
        <w:tc>
          <w:tcPr>
            <w:tcW w:w="833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b/>
                <w:bCs/>
                <w:sz w:val="17"/>
                <w:szCs w:val="17"/>
                <w:lang w:val="cs-CZ"/>
              </w:rPr>
              <w:t>Fond EU</w:t>
            </w:r>
            <w:r w:rsidRPr="008E4885">
              <w:rPr>
                <w:sz w:val="17"/>
                <w:szCs w:val="17"/>
                <w:lang w:val="cs-CZ"/>
              </w:rPr>
              <w:t>:</w:t>
            </w:r>
          </w:p>
        </w:tc>
        <w:tc>
          <w:tcPr>
            <w:tcW w:w="4167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sz w:val="17"/>
                <w:szCs w:val="17"/>
                <w:lang w:val="cs-CZ"/>
              </w:rPr>
              <w:t>Nástroj pro obnovu a odolnost (RRF)</w:t>
            </w:r>
          </w:p>
        </w:tc>
      </w:tr>
      <w:tr w:rsidR="00F43C6D" w:rsidRPr="008E4885" w:rsidTr="00FE23D8">
        <w:trPr>
          <w:trHeight w:val="300"/>
        </w:trPr>
        <w:tc>
          <w:tcPr>
            <w:tcW w:w="833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sz w:val="17"/>
                <w:szCs w:val="17"/>
                <w:lang w:val="cs-CZ"/>
              </w:rPr>
              <w:t>Důsledky:</w:t>
            </w:r>
          </w:p>
        </w:tc>
        <w:tc>
          <w:tcPr>
            <w:tcW w:w="4167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sz w:val="17"/>
                <w:szCs w:val="17"/>
                <w:lang w:val="cs-CZ"/>
              </w:rPr>
              <w:t>DNSH se uplatňuje na úrovni opatření ve fázích posuzování (ex-ante) až vyřazování z provozu podle taxonomie EU a metodiky členských států, přičemž pro posuzování je povinné označování klimatických změn a doporučují se posouzení udržitelnosti/klimatické důk</w:t>
            </w:r>
            <w:r w:rsidRPr="008E4885">
              <w:rPr>
                <w:sz w:val="17"/>
                <w:szCs w:val="17"/>
                <w:lang w:val="cs-CZ"/>
              </w:rPr>
              <w:t>azy, EIA a SEA.</w:t>
            </w:r>
          </w:p>
        </w:tc>
      </w:tr>
      <w:tr w:rsidR="00D4662C" w:rsidRPr="008E4885" w:rsidTr="00FE23D8">
        <w:trPr>
          <w:trHeight w:val="300"/>
        </w:trPr>
        <w:tc>
          <w:tcPr>
            <w:tcW w:w="5000" w:type="pct"/>
            <w:gridSpan w:val="2"/>
            <w:shd w:val="clear" w:color="auto" w:fill="FFE3A5" w:themeFill="accent4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b/>
                <w:bCs/>
                <w:sz w:val="17"/>
                <w:szCs w:val="17"/>
                <w:lang w:val="cs-CZ"/>
              </w:rPr>
              <w:t>Kritérium 2</w:t>
            </w:r>
          </w:p>
        </w:tc>
      </w:tr>
      <w:tr w:rsidR="00F43C6D" w:rsidRPr="008E4885" w:rsidTr="00FE23D8">
        <w:trPr>
          <w:trHeight w:val="300"/>
        </w:trPr>
        <w:tc>
          <w:tcPr>
            <w:tcW w:w="833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b/>
                <w:bCs/>
                <w:sz w:val="17"/>
                <w:szCs w:val="17"/>
                <w:lang w:val="cs-CZ"/>
              </w:rPr>
              <w:t>Specifika odvětví</w:t>
            </w:r>
            <w:r w:rsidRPr="008E4885">
              <w:rPr>
                <w:sz w:val="17"/>
                <w:szCs w:val="17"/>
                <w:lang w:val="cs-CZ"/>
              </w:rPr>
              <w:t>:</w:t>
            </w:r>
          </w:p>
        </w:tc>
        <w:tc>
          <w:tcPr>
            <w:tcW w:w="4167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sz w:val="17"/>
                <w:szCs w:val="17"/>
                <w:lang w:val="cs-CZ"/>
              </w:rPr>
              <w:t>Elektrifikace železniční sítě nespadá do sektorových specifik, která se vztahují na financování z RRP (tj. výroba elektřiny a/nebo tepla na bázi zemního plynu; výrobní zařízení na bázi zemního plynu v systém</w:t>
            </w:r>
            <w:r w:rsidRPr="008E4885">
              <w:rPr>
                <w:sz w:val="17"/>
                <w:szCs w:val="17"/>
                <w:lang w:val="cs-CZ"/>
              </w:rPr>
              <w:t>ech dálkového vytápění a chlazení; sítě dálkového vytápění a chlazení, které získávají teplo/chlad ze zařízení využívajících zemní plyn; kotle a topné systémy na bázi zemního plynu (a související distribuční infrastruktura); přenosová a distribuční infrast</w:t>
            </w:r>
            <w:r w:rsidRPr="008E4885">
              <w:rPr>
                <w:sz w:val="17"/>
                <w:szCs w:val="17"/>
                <w:lang w:val="cs-CZ"/>
              </w:rPr>
              <w:t>ruktura plynných paliv; a sektorové výjimky podle prováděcího rozhodnutí Rady o RRP pro Česko (KOM/2021/431)).</w:t>
            </w:r>
          </w:p>
        </w:tc>
      </w:tr>
      <w:tr w:rsidR="00F43C6D" w:rsidRPr="008E4885" w:rsidTr="00FE23D8">
        <w:trPr>
          <w:trHeight w:val="300"/>
        </w:trPr>
        <w:tc>
          <w:tcPr>
            <w:tcW w:w="833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sz w:val="17"/>
                <w:szCs w:val="17"/>
                <w:lang w:val="cs-CZ"/>
              </w:rPr>
              <w:t>Důsledky:</w:t>
            </w:r>
          </w:p>
        </w:tc>
        <w:tc>
          <w:tcPr>
            <w:tcW w:w="4167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sz w:val="17"/>
                <w:szCs w:val="17"/>
                <w:lang w:val="cs-CZ"/>
              </w:rPr>
              <w:t>Žádná omezení</w:t>
            </w:r>
          </w:p>
        </w:tc>
      </w:tr>
      <w:tr w:rsidR="00D4662C" w:rsidRPr="008E4885" w:rsidTr="00FE23D8">
        <w:trPr>
          <w:trHeight w:val="300"/>
        </w:trPr>
        <w:tc>
          <w:tcPr>
            <w:tcW w:w="5000" w:type="pct"/>
            <w:gridSpan w:val="2"/>
            <w:shd w:val="clear" w:color="auto" w:fill="FFE3A5" w:themeFill="accent4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b/>
                <w:bCs/>
                <w:sz w:val="17"/>
                <w:szCs w:val="17"/>
                <w:lang w:val="cs-CZ"/>
              </w:rPr>
              <w:t>Kritérium 3</w:t>
            </w:r>
          </w:p>
        </w:tc>
      </w:tr>
      <w:tr w:rsidR="00F43C6D" w:rsidRPr="008E4885" w:rsidTr="00FE23D8">
        <w:trPr>
          <w:trHeight w:val="300"/>
        </w:trPr>
        <w:tc>
          <w:tcPr>
            <w:tcW w:w="833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b/>
                <w:bCs/>
                <w:sz w:val="17"/>
                <w:szCs w:val="17"/>
                <w:lang w:val="cs-CZ"/>
              </w:rPr>
              <w:t>Úroveň hodnocení</w:t>
            </w:r>
            <w:r w:rsidRPr="008E4885">
              <w:rPr>
                <w:sz w:val="17"/>
                <w:szCs w:val="17"/>
                <w:lang w:val="cs-CZ"/>
              </w:rPr>
              <w:t>:</w:t>
            </w:r>
          </w:p>
        </w:tc>
        <w:tc>
          <w:tcPr>
            <w:tcW w:w="4167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sz w:val="17"/>
                <w:szCs w:val="17"/>
                <w:lang w:val="cs-CZ"/>
              </w:rPr>
              <w:t>Opatření (reformy/investice)</w:t>
            </w:r>
          </w:p>
        </w:tc>
      </w:tr>
      <w:tr w:rsidR="00F43C6D" w:rsidRPr="008E4885" w:rsidTr="00FE23D8">
        <w:trPr>
          <w:trHeight w:val="300"/>
        </w:trPr>
        <w:tc>
          <w:tcPr>
            <w:tcW w:w="833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sz w:val="17"/>
                <w:szCs w:val="17"/>
                <w:lang w:val="cs-CZ"/>
              </w:rPr>
              <w:t>Důsledky:</w:t>
            </w:r>
          </w:p>
        </w:tc>
        <w:tc>
          <w:tcPr>
            <w:tcW w:w="4167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sz w:val="17"/>
                <w:szCs w:val="17"/>
                <w:lang w:val="cs-CZ"/>
              </w:rPr>
              <w:t>Pro každé opatření - reformu / investici (v rámci každé složky plánu) je třeba zajistit individuální posouzení DNSH, posouzení DNSH se neprovádí na úrovni plánu nebo jednotlivých složek plánu.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sz w:val="17"/>
                <w:szCs w:val="17"/>
                <w:lang w:val="cs-CZ"/>
              </w:rPr>
              <w:t>Výsledky fáze předběžného prověřování se pak použijí k určení p</w:t>
            </w:r>
            <w:r w:rsidRPr="008E4885">
              <w:rPr>
                <w:sz w:val="17"/>
                <w:szCs w:val="17"/>
                <w:lang w:val="cs-CZ"/>
              </w:rPr>
              <w:t xml:space="preserve">řípadné potřeby zmírňujících opatření a závazků, které zajistí soulad se zásadou DNSH ve fázi provádění. 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sz w:val="17"/>
                <w:szCs w:val="17"/>
                <w:lang w:val="cs-CZ"/>
              </w:rPr>
              <w:t>V monitorovací fázi by mělo být zajištěno, že zmírňující opatření jsou skutečně zavedena v souladu s operačním ujednáním s Komisí a s prováděcím rozho</w:t>
            </w:r>
            <w:r w:rsidRPr="008E4885">
              <w:rPr>
                <w:sz w:val="17"/>
                <w:szCs w:val="17"/>
                <w:lang w:val="cs-CZ"/>
              </w:rPr>
              <w:t>dnutím Rady. To může zahrnovat opatření ve fázi vyřazování z provozu.</w:t>
            </w:r>
          </w:p>
        </w:tc>
      </w:tr>
      <w:tr w:rsidR="00D4662C" w:rsidRPr="008E4885" w:rsidTr="00FE23D8">
        <w:trPr>
          <w:trHeight w:val="300"/>
        </w:trPr>
        <w:tc>
          <w:tcPr>
            <w:tcW w:w="5000" w:type="pct"/>
            <w:gridSpan w:val="2"/>
            <w:shd w:val="clear" w:color="auto" w:fill="FFE3A5" w:themeFill="accent4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b/>
                <w:bCs/>
                <w:sz w:val="17"/>
                <w:szCs w:val="17"/>
                <w:lang w:val="cs-CZ"/>
              </w:rPr>
              <w:t>Kritérium 4</w:t>
            </w:r>
          </w:p>
        </w:tc>
      </w:tr>
      <w:tr w:rsidR="00F43C6D" w:rsidRPr="008E4885" w:rsidTr="00FE23D8">
        <w:trPr>
          <w:trHeight w:val="300"/>
        </w:trPr>
        <w:tc>
          <w:tcPr>
            <w:tcW w:w="833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b/>
                <w:bCs/>
                <w:sz w:val="17"/>
                <w:szCs w:val="17"/>
                <w:lang w:val="cs-CZ"/>
              </w:rPr>
              <w:t>Typ hodnocení</w:t>
            </w:r>
            <w:r w:rsidRPr="008E4885">
              <w:rPr>
                <w:sz w:val="17"/>
                <w:szCs w:val="17"/>
                <w:lang w:val="cs-CZ"/>
              </w:rPr>
              <w:t>:</w:t>
            </w:r>
          </w:p>
        </w:tc>
        <w:tc>
          <w:tcPr>
            <w:tcW w:w="4167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sz w:val="17"/>
                <w:szCs w:val="17"/>
                <w:lang w:val="cs-CZ"/>
              </w:rPr>
              <w:t>Věcná stránka</w:t>
            </w:r>
          </w:p>
        </w:tc>
      </w:tr>
      <w:tr w:rsidR="00F43C6D" w:rsidRPr="008E4885" w:rsidTr="00FE23D8">
        <w:trPr>
          <w:trHeight w:val="300"/>
        </w:trPr>
        <w:tc>
          <w:tcPr>
            <w:tcW w:w="833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sz w:val="17"/>
                <w:szCs w:val="17"/>
                <w:lang w:val="cs-CZ"/>
              </w:rPr>
              <w:t>Důsledky:</w:t>
            </w:r>
          </w:p>
        </w:tc>
        <w:tc>
          <w:tcPr>
            <w:tcW w:w="4167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sz w:val="17"/>
                <w:szCs w:val="17"/>
                <w:lang w:val="cs-CZ"/>
              </w:rPr>
              <w:t xml:space="preserve">Je třeba předložit věcné zdůvodnění s ohledem na většinu environmentálních cílů podle části 2 kontrolního seznamu DNSH v příloze 1 + příloze 2 Technických pokynů pro DNSH, s výhradou technických kritérií pro </w:t>
            </w:r>
            <w:proofErr w:type="spellStart"/>
            <w:r w:rsidRPr="008E4885">
              <w:rPr>
                <w:sz w:val="17"/>
                <w:szCs w:val="17"/>
                <w:lang w:val="cs-CZ"/>
              </w:rPr>
              <w:t>screening</w:t>
            </w:r>
            <w:proofErr w:type="spellEnd"/>
            <w:r w:rsidRPr="008E4885">
              <w:rPr>
                <w:sz w:val="17"/>
                <w:szCs w:val="17"/>
                <w:lang w:val="cs-CZ"/>
              </w:rPr>
              <w:t xml:space="preserve"> DNSH.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sz w:val="17"/>
                <w:szCs w:val="17"/>
                <w:lang w:val="cs-CZ"/>
              </w:rPr>
              <w:t>Protože opatření významně přispí</w:t>
            </w:r>
            <w:r w:rsidRPr="008E4885">
              <w:rPr>
                <w:sz w:val="17"/>
                <w:szCs w:val="17"/>
                <w:lang w:val="cs-CZ"/>
              </w:rPr>
              <w:t>vá k cíli v oblasti životního prostředí (infrastruktura není určena k přepravě fosilních paliv) a je stoprocentně sledováno z hlediska klimatu podle přílohy VI nařízení RRF a lze poskytnout stručné odůvodnění s ohledem na cíl zmírnění dopadů na klima.</w:t>
            </w:r>
          </w:p>
        </w:tc>
      </w:tr>
      <w:tr w:rsidR="00D4662C" w:rsidRPr="008E4885" w:rsidTr="00FE23D8">
        <w:trPr>
          <w:trHeight w:val="300"/>
        </w:trPr>
        <w:tc>
          <w:tcPr>
            <w:tcW w:w="5000" w:type="pct"/>
            <w:gridSpan w:val="2"/>
            <w:shd w:val="clear" w:color="auto" w:fill="FFE3A5" w:themeFill="accent4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b/>
                <w:bCs/>
                <w:sz w:val="17"/>
                <w:szCs w:val="17"/>
                <w:lang w:val="cs-CZ"/>
              </w:rPr>
              <w:t>Kri</w:t>
            </w:r>
            <w:r w:rsidRPr="008E4885">
              <w:rPr>
                <w:b/>
                <w:bCs/>
                <w:sz w:val="17"/>
                <w:szCs w:val="17"/>
                <w:lang w:val="cs-CZ"/>
              </w:rPr>
              <w:t>térium 5</w:t>
            </w:r>
          </w:p>
        </w:tc>
      </w:tr>
      <w:tr w:rsidR="00F43C6D" w:rsidRPr="008E4885" w:rsidTr="00FE23D8">
        <w:trPr>
          <w:trHeight w:val="300"/>
        </w:trPr>
        <w:tc>
          <w:tcPr>
            <w:tcW w:w="833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b/>
                <w:bCs/>
                <w:sz w:val="17"/>
                <w:szCs w:val="17"/>
                <w:lang w:val="cs-CZ"/>
              </w:rPr>
              <w:t>Vzájemné vazby s CP/SP</w:t>
            </w:r>
            <w:r w:rsidRPr="008E4885">
              <w:rPr>
                <w:sz w:val="17"/>
                <w:szCs w:val="17"/>
                <w:lang w:val="cs-CZ"/>
              </w:rPr>
              <w:t>:</w:t>
            </w:r>
          </w:p>
        </w:tc>
        <w:tc>
          <w:tcPr>
            <w:tcW w:w="4167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sz w:val="17"/>
                <w:szCs w:val="17"/>
                <w:lang w:val="cs-CZ"/>
              </w:rPr>
              <w:t>Pro hodnocení DNSH je doporučeno ověření klimatické/udržitelné odolnosti.</w:t>
            </w:r>
          </w:p>
        </w:tc>
      </w:tr>
      <w:tr w:rsidR="00F43C6D" w:rsidRPr="008E4885" w:rsidTr="00FE23D8">
        <w:trPr>
          <w:trHeight w:val="300"/>
        </w:trPr>
        <w:tc>
          <w:tcPr>
            <w:tcW w:w="833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sz w:val="17"/>
                <w:szCs w:val="17"/>
                <w:lang w:val="cs-CZ"/>
              </w:rPr>
              <w:t>Důsledky:</w:t>
            </w:r>
          </w:p>
        </w:tc>
        <w:tc>
          <w:tcPr>
            <w:tcW w:w="4167" w:type="pct"/>
            <w:tcMar>
              <w:left w:w="90" w:type="dxa"/>
              <w:right w:w="90" w:type="dxa"/>
            </w:tcMar>
            <w:vAlign w:val="center"/>
          </w:tcPr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sz w:val="17"/>
                <w:szCs w:val="17"/>
                <w:lang w:val="cs-CZ"/>
              </w:rPr>
              <w:t xml:space="preserve">SP a CP mohou podpořit posouzení opatření DNSH tím, že prokáží, že rizika byla identifikována, měřena a zmírněna. Použití SP se doporučuje zejména pro podporu posouzení DNSH infrastrukturních opatření a je podpořeno specializovanými odvětvovými pokyny. SP </w:t>
            </w:r>
            <w:r w:rsidRPr="008E4885">
              <w:rPr>
                <w:sz w:val="17"/>
                <w:szCs w:val="17"/>
                <w:lang w:val="cs-CZ"/>
              </w:rPr>
              <w:t>a CP však nemohou nahradit posouzení DNSH, neboť pokyny se nevztahují na stejné cíle jako zásada DNSH.</w:t>
            </w:r>
          </w:p>
          <w:p w:rsidR="00F87DD0" w:rsidRPr="008E4885" w:rsidRDefault="008E4885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  <w:r w:rsidRPr="008E4885">
              <w:rPr>
                <w:sz w:val="17"/>
                <w:szCs w:val="17"/>
                <w:lang w:val="cs-CZ"/>
              </w:rPr>
              <w:t>V případě, že jsou SP a/nebo CP použity k podpoře odůvodnění zásady DNSH ve fázi hodnocení, musí být všechna opatření požadovaná SP a/nebo CP ve fázích r</w:t>
            </w:r>
            <w:r w:rsidRPr="008E4885">
              <w:rPr>
                <w:sz w:val="17"/>
                <w:szCs w:val="17"/>
                <w:lang w:val="cs-CZ"/>
              </w:rPr>
              <w:t>ealizace a vyřazování z provozu použita tak, aby byla dodržena zásada DNSH.</w:t>
            </w:r>
          </w:p>
          <w:p w:rsidR="001508DA" w:rsidRPr="008E4885" w:rsidRDefault="001508DA" w:rsidP="00FE23D8">
            <w:pPr>
              <w:spacing w:line="240" w:lineRule="auto"/>
              <w:ind w:left="0"/>
              <w:rPr>
                <w:sz w:val="17"/>
                <w:szCs w:val="17"/>
                <w:lang w:val="cs-CZ"/>
              </w:rPr>
            </w:pPr>
          </w:p>
        </w:tc>
      </w:tr>
    </w:tbl>
    <w:p w:rsidR="009976CE" w:rsidRPr="008E4885" w:rsidRDefault="009976CE" w:rsidP="008059BC">
      <w:pPr>
        <w:rPr>
          <w:lang w:val="cs-CZ"/>
        </w:rPr>
      </w:pPr>
    </w:p>
    <w:p w:rsidR="00A77E49" w:rsidRPr="008E4885" w:rsidRDefault="00A77E49" w:rsidP="008059BC">
      <w:pPr>
        <w:rPr>
          <w:lang w:val="cs-CZ"/>
        </w:rPr>
      </w:pPr>
    </w:p>
    <w:p w:rsidR="00A77E49" w:rsidRPr="008E4885" w:rsidRDefault="00A77E49" w:rsidP="008059BC">
      <w:pPr>
        <w:rPr>
          <w:lang w:val="cs-CZ"/>
        </w:rPr>
      </w:pPr>
    </w:p>
    <w:p w:rsidR="00A77E49" w:rsidRPr="008E4885" w:rsidRDefault="00A77E49" w:rsidP="008059BC">
      <w:pPr>
        <w:rPr>
          <w:lang w:val="cs-CZ"/>
        </w:rPr>
      </w:pPr>
    </w:p>
    <w:p w:rsidR="00A77E49" w:rsidRPr="008E4885" w:rsidRDefault="00A77E49" w:rsidP="008059BC">
      <w:pPr>
        <w:rPr>
          <w:lang w:val="cs-CZ"/>
        </w:rPr>
      </w:pPr>
    </w:p>
    <w:p w:rsidR="00A77E49" w:rsidRPr="008E4885" w:rsidRDefault="00A77E49" w:rsidP="008059BC">
      <w:pPr>
        <w:rPr>
          <w:lang w:val="cs-CZ"/>
        </w:rPr>
      </w:pPr>
    </w:p>
    <w:p w:rsidR="00A77E49" w:rsidRPr="008E4885" w:rsidRDefault="00A77E49" w:rsidP="008059BC">
      <w:pPr>
        <w:rPr>
          <w:lang w:val="cs-CZ"/>
        </w:rPr>
      </w:pPr>
    </w:p>
    <w:p w:rsidR="00A77E49" w:rsidRPr="008E4885" w:rsidRDefault="00A77E49" w:rsidP="008059BC">
      <w:pPr>
        <w:rPr>
          <w:lang w:val="cs-CZ"/>
        </w:rPr>
      </w:pPr>
    </w:p>
    <w:p w:rsidR="00A77E49" w:rsidRPr="008E4885" w:rsidRDefault="00A77E49" w:rsidP="008059BC">
      <w:pPr>
        <w:rPr>
          <w:lang w:val="cs-CZ"/>
        </w:rPr>
      </w:pPr>
    </w:p>
    <w:p w:rsidR="00A77E49" w:rsidRPr="008E4885" w:rsidRDefault="00A77E49" w:rsidP="008059BC">
      <w:pPr>
        <w:rPr>
          <w:lang w:val="cs-CZ"/>
        </w:rPr>
      </w:pPr>
    </w:p>
    <w:p w:rsidR="00A77E49" w:rsidRPr="008E4885" w:rsidRDefault="00A77E49" w:rsidP="008059BC">
      <w:pPr>
        <w:rPr>
          <w:lang w:val="cs-CZ"/>
        </w:rPr>
      </w:pPr>
    </w:p>
    <w:p w:rsidR="00A77E49" w:rsidRPr="008E4885" w:rsidRDefault="00A77E49" w:rsidP="008059BC">
      <w:pPr>
        <w:rPr>
          <w:lang w:val="cs-CZ"/>
        </w:rPr>
      </w:pPr>
    </w:p>
    <w:p w:rsidR="00A77E49" w:rsidRPr="008E4885" w:rsidRDefault="00A77E49" w:rsidP="008059BC">
      <w:pPr>
        <w:rPr>
          <w:lang w:val="cs-CZ"/>
        </w:rPr>
      </w:pPr>
    </w:p>
    <w:p w:rsidR="00A77E49" w:rsidRPr="008E4885" w:rsidRDefault="00A77E49" w:rsidP="008059BC">
      <w:pPr>
        <w:rPr>
          <w:lang w:val="cs-CZ"/>
        </w:rPr>
      </w:pPr>
    </w:p>
    <w:p w:rsidR="00A77E49" w:rsidRPr="008E4885" w:rsidRDefault="00A77E49" w:rsidP="008059BC">
      <w:pPr>
        <w:rPr>
          <w:lang w:val="cs-CZ"/>
        </w:rPr>
      </w:pPr>
    </w:p>
    <w:p w:rsidR="00A77E49" w:rsidRPr="008E4885" w:rsidRDefault="00A77E49" w:rsidP="008059BC">
      <w:pPr>
        <w:rPr>
          <w:lang w:val="cs-CZ"/>
        </w:rPr>
      </w:pPr>
    </w:p>
    <w:p w:rsidR="00A77E49" w:rsidRPr="008E4885" w:rsidRDefault="00A77E49" w:rsidP="008059BC">
      <w:pPr>
        <w:rPr>
          <w:lang w:val="cs-CZ"/>
        </w:rPr>
      </w:pPr>
    </w:p>
    <w:p w:rsidR="00A77E49" w:rsidRPr="008E4885" w:rsidRDefault="00A77E49" w:rsidP="008059BC">
      <w:pPr>
        <w:rPr>
          <w:lang w:val="cs-CZ"/>
        </w:rPr>
      </w:pPr>
    </w:p>
    <w:p w:rsidR="00A77E49" w:rsidRPr="008E4885" w:rsidRDefault="00A77E49" w:rsidP="008059BC">
      <w:pPr>
        <w:rPr>
          <w:lang w:val="cs-CZ"/>
        </w:rPr>
      </w:pPr>
    </w:p>
    <w:p w:rsidR="009976CE" w:rsidRPr="008E4885" w:rsidRDefault="009976CE" w:rsidP="008059BC">
      <w:pPr>
        <w:rPr>
          <w:lang w:val="cs-CZ"/>
        </w:rPr>
      </w:pPr>
    </w:p>
    <w:p w:rsidR="009976CE" w:rsidRPr="008E4885" w:rsidRDefault="009976CE" w:rsidP="008059BC">
      <w:pPr>
        <w:rPr>
          <w:lang w:val="cs-CZ"/>
        </w:rPr>
      </w:pPr>
    </w:p>
    <w:p w:rsidR="009976CE" w:rsidRPr="008E4885" w:rsidRDefault="009976CE" w:rsidP="008059BC">
      <w:pPr>
        <w:rPr>
          <w:lang w:val="cs-CZ"/>
        </w:rPr>
      </w:pPr>
    </w:p>
    <w:p w:rsidR="009976CE" w:rsidRPr="008E4885" w:rsidRDefault="009976CE" w:rsidP="008059BC">
      <w:pPr>
        <w:rPr>
          <w:lang w:val="cs-CZ"/>
        </w:rPr>
      </w:pPr>
    </w:p>
    <w:bookmarkStart w:id="36" w:name="_WNSectionTitle_5"/>
    <w:bookmarkStart w:id="37" w:name="_WNTabType_4"/>
    <w:p w:rsidR="00F87DD0" w:rsidRPr="008E4885" w:rsidRDefault="008E4885">
      <w:pPr>
        <w:rPr>
          <w:lang w:val="cs-CZ"/>
        </w:rPr>
      </w:pPr>
      <w:r w:rsidRPr="008E4885"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0005D95" wp14:editId="55BDDCAE">
                <wp:simplePos x="0" y="0"/>
                <wp:positionH relativeFrom="column">
                  <wp:posOffset>597552</wp:posOffset>
                </wp:positionH>
                <wp:positionV relativeFrom="paragraph">
                  <wp:posOffset>0</wp:posOffset>
                </wp:positionV>
                <wp:extent cx="3883231" cy="206640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231" cy="206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DD0" w:rsidRDefault="008E4885">
                            <w:pPr>
                              <w:ind w:left="0"/>
                              <w:rPr>
                                <w:lang w:val="nl-NL"/>
                              </w:rPr>
                            </w:pPr>
                            <w:r w:rsidRPr="00062FC7">
                              <w:rPr>
                                <w:lang w:val="nl-NL"/>
                              </w:rPr>
                              <w:t>Trinomics B.V.</w:t>
                            </w:r>
                          </w:p>
                          <w:p w:rsidR="00F87DD0" w:rsidRDefault="008E4885">
                            <w:pPr>
                              <w:ind w:left="0"/>
                              <w:rPr>
                                <w:lang w:val="nl-NL"/>
                              </w:rPr>
                            </w:pPr>
                            <w:r w:rsidRPr="00062FC7">
                              <w:rPr>
                                <w:lang w:val="nl-NL"/>
                              </w:rPr>
                              <w:t>Westersingel 34</w:t>
                            </w:r>
                          </w:p>
                          <w:p w:rsidR="00F87DD0" w:rsidRDefault="008E4885">
                            <w:pPr>
                              <w:ind w:left="0"/>
                              <w:rPr>
                                <w:lang w:val="nl-NL"/>
                              </w:rPr>
                            </w:pPr>
                            <w:r w:rsidRPr="00062FC7">
                              <w:rPr>
                                <w:lang w:val="nl-NL"/>
                              </w:rPr>
                              <w:t>3014 GS Rotterdam</w:t>
                            </w:r>
                          </w:p>
                          <w:p w:rsidR="00F87DD0" w:rsidRDefault="008E4885">
                            <w:pPr>
                              <w:ind w:left="0"/>
                            </w:pPr>
                            <w:proofErr w:type="spellStart"/>
                            <w:r w:rsidRPr="00973270">
                              <w:t>Nizozemsko</w:t>
                            </w:r>
                            <w:proofErr w:type="spellEnd"/>
                          </w:p>
                          <w:p w:rsidR="00ED53BC" w:rsidRPr="00973270" w:rsidRDefault="00ED53BC" w:rsidP="002F1771">
                            <w:pPr>
                              <w:ind w:left="0"/>
                            </w:pPr>
                          </w:p>
                          <w:p w:rsidR="00F87DD0" w:rsidRDefault="008E4885">
                            <w:pPr>
                              <w:ind w:left="0"/>
                            </w:pPr>
                            <w:r w:rsidRPr="00062FC7">
                              <w:t>T +31 (0) 10 3414 592</w:t>
                            </w:r>
                          </w:p>
                          <w:p w:rsidR="00F87DD0" w:rsidRDefault="008E4885">
                            <w:pPr>
                              <w:ind w:left="0"/>
                              <w:rPr>
                                <w:szCs w:val="18"/>
                                <w:lang w:val="pt-PT"/>
                              </w:rPr>
                            </w:pPr>
                            <w:hyperlink r:id="rId22" w:history="1">
                              <w:r w:rsidR="00ED53BC" w:rsidRPr="00826B97">
                                <w:rPr>
                                  <w:rStyle w:val="Hypertextovodkaz"/>
                                  <w:szCs w:val="18"/>
                                  <w:lang w:val="pt-PT"/>
                                </w:rPr>
                                <w:t>www.trinomics.eu</w:t>
                              </w:r>
                            </w:hyperlink>
                          </w:p>
                          <w:p w:rsidR="00ED53BC" w:rsidRPr="00750021" w:rsidRDefault="00ED53BC" w:rsidP="002F1771">
                            <w:pPr>
                              <w:ind w:left="0"/>
                              <w:rPr>
                                <w:lang w:val="pt-PT"/>
                              </w:rPr>
                            </w:pPr>
                          </w:p>
                          <w:p w:rsidR="00F87DD0" w:rsidRDefault="008E4885">
                            <w:pPr>
                              <w:ind w:left="0"/>
                              <w:rPr>
                                <w:lang w:val="pt-PT"/>
                              </w:rPr>
                            </w:pPr>
                            <w:r w:rsidRPr="00750021">
                              <w:rPr>
                                <w:lang w:val="pt-PT"/>
                              </w:rPr>
                              <w:t>KvK č: 56028016</w:t>
                            </w:r>
                          </w:p>
                          <w:p w:rsidR="00F87DD0" w:rsidRDefault="008E4885">
                            <w:pPr>
                              <w:ind w:left="0"/>
                              <w:rPr>
                                <w:szCs w:val="18"/>
                                <w:lang w:val="nl-NL"/>
                              </w:rPr>
                            </w:pPr>
                            <w:r w:rsidRPr="003247B6">
                              <w:rPr>
                                <w:lang w:val="nl-NL"/>
                              </w:rPr>
                              <w:t>DIČ č: NL8519.48.662.B01</w:t>
                            </w:r>
                          </w:p>
                          <w:p w:rsidR="00ED53BC" w:rsidRPr="00062FC7" w:rsidRDefault="00ED53BC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Text Box 307" style="position:absolute;left:0;text-align:left;margin-left:47.05pt;margin-top:0;width:305.75pt;height:162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" w14:anchorId="00005D95">
                <v:textbox>
                  <w:txbxContent>
                    <w:p xmlns:w16du="http://schemas.microsoft.com/office/word/2023/wordml/word16du">
                      <w:pPr>
                        <w:ind w:start="0"/>
                        <w:rPr>
                          <w:lang w:val="nl-NL"/>
                        </w:rPr>
                      </w:pPr>
                      <w:r w:rsidRPr="00062FC7">
                        <w:rPr>
                          <w:lang w:val="nl-NL"/>
                        </w:rPr>
                        <w:t xml:space="preserve">Trinomics B.V.</w:t>
                      </w:r>
                    </w:p>
                    <w:p xmlns:w16du="http://schemas.microsoft.com/office/word/2023/wordml/word16du">
                      <w:pPr>
                        <w:ind w:start="0"/>
                        <w:rPr>
                          <w:lang w:val="nl-NL"/>
                        </w:rPr>
                      </w:pPr>
                      <w:r w:rsidRPr="00062FC7">
                        <w:rPr>
                          <w:lang w:val="nl-NL"/>
                        </w:rPr>
                        <w:t xml:space="preserve">Westersingel 34</w:t>
                      </w:r>
                    </w:p>
                    <w:p xmlns:w16du="http://schemas.microsoft.com/office/word/2023/wordml/word16du">
                      <w:pPr>
                        <w:ind w:start="0"/>
                        <w:rPr>
                          <w:lang w:val="nl-NL"/>
                        </w:rPr>
                      </w:pPr>
                      <w:r w:rsidRPr="00062FC7">
                        <w:rPr>
                          <w:lang w:val="nl-NL"/>
                        </w:rPr>
                        <w:t xml:space="preserve">3014 GS Rotterdam</w:t>
                      </w:r>
                    </w:p>
                    <w:p xmlns:w16du="http://schemas.microsoft.com/office/word/2023/wordml/word16du">
                      <w:pPr>
                        <w:ind w:start="0"/>
                      </w:pPr>
                      <w:r w:rsidRPr="00973270">
                        <w:t xml:space="preserve">Nizozemsko</w:t>
                      </w:r>
                    </w:p>
                    <w:p w:rsidRPr="00973270" w:rsidR="00ED53BC" w:rsidP="002F1771" w:rsidRDefault="00ED53BC" w14:paraId="4E8611DD" w14:textId="77777777">
                      <w:pPr>
                        <w:ind w:start="0"/>
                      </w:pPr>
                    </w:p>
                    <w:p xmlns:w16du="http://schemas.microsoft.com/office/word/2023/wordml/word16du">
                      <w:pPr>
                        <w:ind w:start="0"/>
                      </w:pPr>
                      <w:r w:rsidRPr="00062FC7">
                        <w:t xml:space="preserve">T +31 (0) 10 3414 592</w:t>
                      </w:r>
                    </w:p>
                    <w:p xmlns:w16du="http://schemas.microsoft.com/office/word/2023/wordml/word16du">
                      <w:pPr>
                        <w:ind w:start="0"/>
                        <w:rPr>
                          <w:szCs w:val="18"/>
                          <w:lang w:val="pt-PT"/>
                        </w:rPr>
                      </w:pPr>
                      <w:hyperlink w:history="1" r:id="rId24">
                        <w:r w:rsidRPr="00826B97" w:rsidR="00ED53BC">
                          <w:rPr>
                            <w:rStyle w:val="Hyperlink"/>
                            <w:szCs w:val="18"/>
                            <w:lang w:val="pt-PT"/>
                          </w:rPr>
                          <w:t xml:space="preserve">www.trinomics.eu</w:t>
                        </w:r>
                      </w:hyperlink>
                    </w:p>
                    <w:p w:rsidRPr="00750021" w:rsidR="00ED53BC" w:rsidP="002F1771" w:rsidRDefault="00ED53BC" w14:paraId="2BF45683" w14:textId="77777777">
                      <w:pPr>
                        <w:ind w:start="0"/>
                        <w:rPr>
                          <w:lang w:val="pt-PT"/>
                        </w:rPr>
                      </w:pPr>
                    </w:p>
                    <w:p xmlns:w16du="http://schemas.microsoft.com/office/word/2023/wordml/word16du">
                      <w:pPr>
                        <w:ind w:start="0"/>
                        <w:rPr>
                          <w:lang w:val="pt-PT"/>
                        </w:rPr>
                      </w:pPr>
                      <w:r w:rsidRPr="00750021">
                        <w:rPr>
                          <w:lang w:val="pt-PT"/>
                        </w:rPr>
                        <w:t xml:space="preserve">KvK </w:t>
                      </w:r>
                      <w:r w:rsidRPr="00750021">
                        <w:rPr>
                          <w:lang w:val="pt-PT"/>
                        </w:rPr>
                        <w:t xml:space="preserve">č: 56028016</w:t>
                      </w:r>
                    </w:p>
                    <w:p xmlns:w16du="http://schemas.microsoft.com/office/word/2023/wordml/word16du">
                      <w:pPr>
                        <w:ind w:start="0"/>
                        <w:rPr>
                          <w:szCs w:val="18"/>
                          <w:lang w:val="nl-NL"/>
                        </w:rPr>
                      </w:pPr>
                      <w:r w:rsidRPr="003247B6">
                        <w:rPr>
                          <w:lang w:val="nl-NL"/>
                        </w:rPr>
                        <w:t xml:space="preserve">DIČ č: NL8519.</w:t>
                      </w:r>
                      <w:r w:rsidRPr="003247B6">
                        <w:rPr>
                          <w:lang w:val="nl-NL"/>
                        </w:rPr>
                        <w:t xml:space="preserve">48.662.</w:t>
                      </w:r>
                      <w:r w:rsidRPr="003247B6">
                        <w:rPr>
                          <w:lang w:val="nl-NL"/>
                        </w:rPr>
                        <w:t xml:space="preserve">B01</w:t>
                      </w:r>
                    </w:p>
                    <w:p w:rsidRPr="00062FC7" w:rsidR="00ED53BC" w:rsidRDefault="00ED53BC" w14:paraId="620916C4" w14:textId="77777777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6CE" w:rsidRPr="008E4885"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528EB3D5" wp14:editId="7464E628">
                <wp:simplePos x="0" y="0"/>
                <wp:positionH relativeFrom="margin">
                  <wp:align>center</wp:align>
                </wp:positionH>
                <wp:positionV relativeFrom="page">
                  <wp:posOffset>381000</wp:posOffset>
                </wp:positionV>
                <wp:extent cx="7077075" cy="7543800"/>
                <wp:effectExtent l="0" t="0" r="9525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7075" cy="7543800"/>
                        </a:xfrm>
                        <a:prstGeom prst="rect">
                          <a:avLst/>
                        </a:prstGeom>
                        <a:solidFill>
                          <a:srgbClr val="ECEB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6CA9DBD">
              <v:rect id="Rectangle 72" style="position:absolute;margin-left:0;margin-top:30pt;width:557.25pt;height:594pt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middle" o:spid="_x0000_s1026" fillcolor="#ecebe1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" w14:anchorId="4972A97C">
                <w10:wrap anchorx="margin" anchory="page"/>
              </v:rect>
            </w:pict>
          </mc:Fallback>
        </mc:AlternateContent>
      </w:r>
      <w:bookmarkEnd w:id="36"/>
      <w:bookmarkEnd w:id="37"/>
    </w:p>
    <w:p w:rsidR="00DB019C" w:rsidRPr="008E4885" w:rsidRDefault="00DB019C" w:rsidP="008059BC">
      <w:pPr>
        <w:rPr>
          <w:lang w:val="cs-CZ"/>
        </w:rPr>
      </w:pPr>
    </w:p>
    <w:p w:rsidR="00DB019C" w:rsidRPr="008E4885" w:rsidRDefault="00DB019C" w:rsidP="008059BC">
      <w:pPr>
        <w:rPr>
          <w:lang w:val="cs-CZ"/>
        </w:rPr>
      </w:pPr>
    </w:p>
    <w:p w:rsidR="00DB019C" w:rsidRPr="008E4885" w:rsidRDefault="00DB019C" w:rsidP="008059BC">
      <w:pPr>
        <w:rPr>
          <w:lang w:val="cs-CZ"/>
        </w:rPr>
      </w:pPr>
    </w:p>
    <w:p w:rsidR="009976CE" w:rsidRPr="008E4885" w:rsidRDefault="009976CE" w:rsidP="008059BC">
      <w:pPr>
        <w:rPr>
          <w:lang w:val="cs-CZ"/>
        </w:rPr>
      </w:pPr>
    </w:p>
    <w:p w:rsidR="009976CE" w:rsidRPr="008E4885" w:rsidRDefault="009976CE" w:rsidP="008059BC">
      <w:pPr>
        <w:rPr>
          <w:lang w:val="cs-CZ"/>
        </w:rPr>
      </w:pPr>
    </w:p>
    <w:p w:rsidR="009976CE" w:rsidRPr="008E4885" w:rsidRDefault="009976CE" w:rsidP="008059BC">
      <w:pPr>
        <w:rPr>
          <w:lang w:val="cs-CZ"/>
        </w:rPr>
      </w:pPr>
    </w:p>
    <w:p w:rsidR="009976CE" w:rsidRPr="008E4885" w:rsidRDefault="009976CE" w:rsidP="008059BC">
      <w:pPr>
        <w:rPr>
          <w:lang w:val="cs-CZ"/>
        </w:rPr>
      </w:pPr>
    </w:p>
    <w:p w:rsidR="009976CE" w:rsidRPr="008E4885" w:rsidRDefault="009976CE" w:rsidP="008059BC">
      <w:pPr>
        <w:rPr>
          <w:lang w:val="cs-CZ"/>
        </w:rPr>
      </w:pPr>
    </w:p>
    <w:p w:rsidR="00A77E49" w:rsidRPr="008E4885" w:rsidRDefault="00A77E49" w:rsidP="008059BC">
      <w:pPr>
        <w:rPr>
          <w:lang w:val="cs-CZ"/>
        </w:rPr>
      </w:pPr>
    </w:p>
    <w:p w:rsidR="00572DD4" w:rsidRPr="008E4885" w:rsidRDefault="00572DD4" w:rsidP="008059BC">
      <w:pPr>
        <w:rPr>
          <w:lang w:val="cs-CZ"/>
        </w:rPr>
      </w:pPr>
    </w:p>
    <w:p w:rsidR="00572DD4" w:rsidRPr="008E4885" w:rsidRDefault="00572DD4" w:rsidP="008059BC">
      <w:pPr>
        <w:rPr>
          <w:lang w:val="cs-CZ"/>
        </w:rPr>
      </w:pPr>
    </w:p>
    <w:p w:rsidR="00572DD4" w:rsidRPr="008E4885" w:rsidRDefault="00572DD4" w:rsidP="008059BC">
      <w:pPr>
        <w:rPr>
          <w:lang w:val="cs-CZ"/>
        </w:rPr>
      </w:pPr>
    </w:p>
    <w:p w:rsidR="009976CE" w:rsidRPr="008E4885" w:rsidRDefault="009976CE" w:rsidP="008059BC">
      <w:pPr>
        <w:rPr>
          <w:lang w:val="cs-CZ"/>
        </w:rPr>
      </w:pPr>
    </w:p>
    <w:p w:rsidR="009976CE" w:rsidRPr="008E4885" w:rsidRDefault="009976CE" w:rsidP="008059BC">
      <w:pPr>
        <w:rPr>
          <w:lang w:val="cs-CZ"/>
        </w:rPr>
      </w:pPr>
    </w:p>
    <w:p w:rsidR="009976CE" w:rsidRPr="008E4885" w:rsidRDefault="009976CE" w:rsidP="008059BC">
      <w:pPr>
        <w:rPr>
          <w:lang w:val="cs-CZ"/>
        </w:rPr>
      </w:pPr>
    </w:p>
    <w:p w:rsidR="009976CE" w:rsidRPr="008E4885" w:rsidRDefault="009976CE" w:rsidP="008059BC">
      <w:pPr>
        <w:rPr>
          <w:lang w:val="cs-CZ"/>
        </w:rPr>
      </w:pPr>
    </w:p>
    <w:p w:rsidR="009976CE" w:rsidRPr="008E4885" w:rsidRDefault="009976CE" w:rsidP="008059BC">
      <w:pPr>
        <w:rPr>
          <w:lang w:val="cs-CZ"/>
        </w:rPr>
      </w:pPr>
    </w:p>
    <w:p w:rsidR="00F87DD0" w:rsidRPr="008E4885" w:rsidRDefault="008E4885">
      <w:pPr>
        <w:rPr>
          <w:lang w:val="cs-CZ"/>
        </w:rPr>
      </w:pPr>
      <w:r w:rsidRPr="008E4885">
        <w:rPr>
          <w:lang w:val="cs-CZ" w:eastAsia="cs-CZ"/>
        </w:rPr>
        <w:drawing>
          <wp:anchor distT="0" distB="0" distL="114300" distR="114300" simplePos="0" relativeHeight="251658245" behindDoc="1" locked="0" layoutInCell="1" allowOverlap="1" wp14:anchorId="5C1E0B9B" wp14:editId="2C667FD7">
            <wp:simplePos x="0" y="0"/>
            <wp:positionH relativeFrom="margin">
              <wp:align>center</wp:align>
            </wp:positionH>
            <wp:positionV relativeFrom="paragraph">
              <wp:posOffset>-114935</wp:posOffset>
            </wp:positionV>
            <wp:extent cx="3247621" cy="1181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nomics-logo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621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7DD0" w:rsidRPr="008E4885" w:rsidSect="001508DA">
      <w:footerReference w:type="default" r:id="rId25"/>
      <w:type w:val="evenPage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B2" w:rsidRDefault="00F151B2" w:rsidP="008059BC">
      <w:r>
        <w:separator/>
      </w:r>
    </w:p>
  </w:endnote>
  <w:endnote w:type="continuationSeparator" w:id="0">
    <w:p w:rsidR="00F151B2" w:rsidRDefault="00F151B2" w:rsidP="008059BC">
      <w:r>
        <w:continuationSeparator/>
      </w:r>
    </w:p>
  </w:endnote>
  <w:endnote w:type="continuationNotice" w:id="1">
    <w:p w:rsidR="00F151B2" w:rsidRDefault="00F151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ÍH_">
    <w:panose1 w:val="00000000000000000000"/>
    <w:charset w:val="00"/>
    <w:family w:val="roman"/>
    <w:notTrueType/>
    <w:pitch w:val="default"/>
  </w:font>
  <w:font w:name="EC Square Sans Pro">
    <w:altName w:val="Arial"/>
    <w:charset w:val="00"/>
    <w:family w:val="swiss"/>
    <w:pitch w:val="variable"/>
    <w:sig w:usb0="A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D0" w:rsidRDefault="008E4885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ED53BC" w:rsidRDefault="00ED53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D0" w:rsidRDefault="008E4885">
    <w:pPr>
      <w:pStyle w:val="Pedmtkomente"/>
    </w:pPr>
    <w:r>
      <w:rPr>
        <w:noProof/>
        <w:lang w:eastAsia="en-GB"/>
      </w:rPr>
      <w:ptab w:relativeTo="margin" w:alignment="center" w:leader="none"/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6702A20D" wp14:editId="6B0FACB4">
          <wp:simplePos x="0" y="0"/>
          <wp:positionH relativeFrom="margin">
            <wp:align>center</wp:align>
          </wp:positionH>
          <wp:positionV relativeFrom="paragraph">
            <wp:posOffset>-706120</wp:posOffset>
          </wp:positionV>
          <wp:extent cx="3247621" cy="11811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nomics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621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68" w:rsidRDefault="00267A68" w:rsidP="00267A68">
    <w:pPr>
      <w:spacing w:line="276" w:lineRule="auto"/>
      <w:ind w:left="0"/>
      <w:rPr>
        <w:rFonts w:cs="ÍH_"/>
      </w:rPr>
    </w:pPr>
  </w:p>
  <w:p w:rsidR="00F87DD0" w:rsidRDefault="008E4885">
    <w:pPr>
      <w:spacing w:line="276" w:lineRule="auto"/>
      <w:ind w:left="0"/>
    </w:pPr>
    <w:proofErr w:type="spellStart"/>
    <w:r w:rsidRPr="09236018">
      <w:rPr>
        <w:rFonts w:cs="ÍH_"/>
      </w:rPr>
      <w:t>Za</w:t>
    </w:r>
    <w:proofErr w:type="spellEnd"/>
    <w:r w:rsidRPr="09236018">
      <w:rPr>
        <w:rFonts w:cs="ÍH_"/>
      </w:rPr>
      <w:t xml:space="preserve"> </w:t>
    </w:r>
    <w:proofErr w:type="spellStart"/>
    <w:r w:rsidRPr="09236018">
      <w:rPr>
        <w:rFonts w:cs="ÍH_"/>
      </w:rPr>
      <w:t>obsah</w:t>
    </w:r>
    <w:proofErr w:type="spellEnd"/>
    <w:r w:rsidRPr="09236018">
      <w:rPr>
        <w:rFonts w:cs="ÍH_"/>
      </w:rPr>
      <w:t xml:space="preserve"> </w:t>
    </w:r>
    <w:proofErr w:type="spellStart"/>
    <w:r>
      <w:rPr>
        <w:rFonts w:cs="ÍH_"/>
      </w:rPr>
      <w:t>tohoto</w:t>
    </w:r>
    <w:proofErr w:type="spellEnd"/>
    <w:r>
      <w:rPr>
        <w:rFonts w:cs="ÍH_"/>
      </w:rPr>
      <w:t xml:space="preserve"> </w:t>
    </w:r>
    <w:proofErr w:type="spellStart"/>
    <w:r>
      <w:rPr>
        <w:rFonts w:cs="ÍH_"/>
      </w:rPr>
      <w:t>výstupu</w:t>
    </w:r>
    <w:proofErr w:type="spellEnd"/>
    <w:r>
      <w:rPr>
        <w:rFonts w:cs="ÍH_"/>
      </w:rPr>
      <w:t xml:space="preserve"> </w:t>
    </w:r>
    <w:proofErr w:type="spellStart"/>
    <w:r w:rsidRPr="09236018">
      <w:rPr>
        <w:rFonts w:cs="ÍH_"/>
      </w:rPr>
      <w:t>nese</w:t>
    </w:r>
    <w:proofErr w:type="spellEnd"/>
    <w:r w:rsidRPr="09236018">
      <w:rPr>
        <w:rFonts w:cs="ÍH_"/>
      </w:rPr>
      <w:t xml:space="preserve"> </w:t>
    </w:r>
    <w:proofErr w:type="spellStart"/>
    <w:r w:rsidRPr="09236018">
      <w:rPr>
        <w:rFonts w:cs="ÍH_"/>
      </w:rPr>
      <w:t>výhradní</w:t>
    </w:r>
    <w:proofErr w:type="spellEnd"/>
    <w:r w:rsidRPr="09236018">
      <w:rPr>
        <w:rFonts w:cs="ÍH_"/>
      </w:rPr>
      <w:t xml:space="preserve"> </w:t>
    </w:r>
    <w:proofErr w:type="spellStart"/>
    <w:r w:rsidRPr="09236018">
      <w:rPr>
        <w:rFonts w:cs="ÍH_"/>
      </w:rPr>
      <w:t>odpovědnost</w:t>
    </w:r>
    <w:proofErr w:type="spellEnd"/>
    <w:r w:rsidRPr="09236018">
      <w:rPr>
        <w:rFonts w:cs="ÍH_"/>
      </w:rPr>
      <w:t xml:space="preserve"> </w:t>
    </w:r>
    <w:proofErr w:type="spellStart"/>
    <w:r w:rsidRPr="09236018">
      <w:rPr>
        <w:rFonts w:cs="ÍH_"/>
      </w:rPr>
      <w:t>autor</w:t>
    </w:r>
    <w:proofErr w:type="spellEnd"/>
    <w:r w:rsidRPr="09236018">
      <w:rPr>
        <w:rFonts w:cs="ÍH_"/>
      </w:rPr>
      <w:t xml:space="preserve"> (</w:t>
    </w:r>
    <w:proofErr w:type="spellStart"/>
    <w:r w:rsidRPr="09236018">
      <w:rPr>
        <w:rFonts w:cs="ÍH_"/>
      </w:rPr>
      <w:t>autoři</w:t>
    </w:r>
    <w:proofErr w:type="spellEnd"/>
    <w:r w:rsidRPr="09236018">
      <w:rPr>
        <w:rFonts w:cs="ÍH_"/>
      </w:rPr>
      <w:t>)</w:t>
    </w:r>
    <w:r>
      <w:rPr>
        <w:rFonts w:cs="ÍH_"/>
      </w:rPr>
      <w:t>.</w:t>
    </w:r>
    <w:r w:rsidRPr="09236018">
      <w:rPr>
        <w:rFonts w:cs="ÍH_"/>
      </w:rPr>
      <w:t xml:space="preserve"> </w:t>
    </w:r>
    <w:proofErr w:type="spellStart"/>
    <w:r w:rsidRPr="09236018">
      <w:rPr>
        <w:rFonts w:cs="ÍH_"/>
      </w:rPr>
      <w:t>Názory</w:t>
    </w:r>
    <w:proofErr w:type="spellEnd"/>
    <w:r w:rsidRPr="09236018">
      <w:rPr>
        <w:rFonts w:cs="ÍH_"/>
      </w:rPr>
      <w:t xml:space="preserve"> v </w:t>
    </w:r>
    <w:proofErr w:type="spellStart"/>
    <w:r w:rsidRPr="09236018">
      <w:rPr>
        <w:rFonts w:cs="ÍH_"/>
      </w:rPr>
      <w:t>něm</w:t>
    </w:r>
    <w:proofErr w:type="spellEnd"/>
    <w:r w:rsidRPr="09236018">
      <w:rPr>
        <w:rFonts w:cs="ÍH_"/>
      </w:rPr>
      <w:t xml:space="preserve"> </w:t>
    </w:r>
    <w:proofErr w:type="spellStart"/>
    <w:r w:rsidRPr="09236018">
      <w:rPr>
        <w:rFonts w:cs="ÍH_"/>
      </w:rPr>
      <w:t>vyjádřené</w:t>
    </w:r>
    <w:proofErr w:type="spellEnd"/>
    <w:r w:rsidRPr="09236018">
      <w:rPr>
        <w:rFonts w:cs="ÍH_"/>
      </w:rPr>
      <w:t xml:space="preserve"> </w:t>
    </w:r>
    <w:proofErr w:type="spellStart"/>
    <w:r w:rsidRPr="09236018">
      <w:rPr>
        <w:rFonts w:cs="ÍH_"/>
      </w:rPr>
      <w:t>nelze</w:t>
    </w:r>
    <w:proofErr w:type="spellEnd"/>
    <w:r w:rsidRPr="09236018">
      <w:rPr>
        <w:rFonts w:cs="ÍH_"/>
      </w:rPr>
      <w:t xml:space="preserve"> v </w:t>
    </w:r>
    <w:proofErr w:type="spellStart"/>
    <w:r w:rsidRPr="09236018">
      <w:rPr>
        <w:rFonts w:cs="ÍH_"/>
      </w:rPr>
      <w:t>žádném</w:t>
    </w:r>
    <w:proofErr w:type="spellEnd"/>
    <w:r w:rsidRPr="09236018">
      <w:rPr>
        <w:rFonts w:cs="ÍH_"/>
      </w:rPr>
      <w:t xml:space="preserve"> </w:t>
    </w:r>
    <w:proofErr w:type="spellStart"/>
    <w:r w:rsidRPr="09236018">
      <w:rPr>
        <w:rFonts w:cs="ÍH_"/>
      </w:rPr>
      <w:t>případě</w:t>
    </w:r>
    <w:proofErr w:type="spellEnd"/>
    <w:r w:rsidRPr="09236018">
      <w:rPr>
        <w:rFonts w:cs="ÍH_"/>
      </w:rPr>
      <w:t xml:space="preserve"> </w:t>
    </w:r>
    <w:proofErr w:type="spellStart"/>
    <w:r w:rsidRPr="09236018">
      <w:rPr>
        <w:rFonts w:cs="ÍH_"/>
      </w:rPr>
      <w:t>považovat</w:t>
    </w:r>
    <w:proofErr w:type="spellEnd"/>
    <w:r w:rsidRPr="09236018">
      <w:rPr>
        <w:rFonts w:cs="ÍH_"/>
      </w:rPr>
      <w:t xml:space="preserve"> </w:t>
    </w:r>
    <w:proofErr w:type="spellStart"/>
    <w:r w:rsidRPr="09236018">
      <w:rPr>
        <w:rFonts w:cs="ÍH_"/>
      </w:rPr>
      <w:t>za</w:t>
    </w:r>
    <w:proofErr w:type="spellEnd"/>
    <w:r w:rsidRPr="09236018">
      <w:rPr>
        <w:rFonts w:cs="ÍH_"/>
      </w:rPr>
      <w:t xml:space="preserve"> </w:t>
    </w:r>
    <w:proofErr w:type="spellStart"/>
    <w:r w:rsidRPr="09236018">
      <w:rPr>
        <w:rFonts w:cs="ÍH_"/>
      </w:rPr>
      <w:t>oficiální</w:t>
    </w:r>
    <w:proofErr w:type="spellEnd"/>
    <w:r w:rsidRPr="09236018">
      <w:rPr>
        <w:rFonts w:cs="ÍH_"/>
      </w:rPr>
      <w:t xml:space="preserve"> </w:t>
    </w:r>
    <w:proofErr w:type="spellStart"/>
    <w:r w:rsidRPr="09236018">
      <w:rPr>
        <w:rFonts w:cs="ÍH_"/>
      </w:rPr>
      <w:t>stanovisko</w:t>
    </w:r>
    <w:proofErr w:type="spellEnd"/>
    <w:r w:rsidRPr="09236018">
      <w:rPr>
        <w:rFonts w:cs="ÍH_"/>
      </w:rPr>
      <w:t xml:space="preserve"> </w:t>
    </w:r>
    <w:proofErr w:type="spellStart"/>
    <w:r w:rsidRPr="09236018">
      <w:rPr>
        <w:rFonts w:cs="ÍH_"/>
      </w:rPr>
      <w:t>Evropské</w:t>
    </w:r>
    <w:proofErr w:type="spellEnd"/>
    <w:r w:rsidRPr="09236018">
      <w:rPr>
        <w:rFonts w:cs="ÍH_"/>
      </w:rPr>
      <w:t xml:space="preserve"> </w:t>
    </w:r>
    <w:proofErr w:type="spellStart"/>
    <w:r w:rsidRPr="09236018">
      <w:rPr>
        <w:rFonts w:cs="ÍH_"/>
      </w:rPr>
      <w:t>unie</w:t>
    </w:r>
    <w:proofErr w:type="spellEnd"/>
    <w:r w:rsidRPr="09236018">
      <w:rPr>
        <w:rFonts w:cs="ÍH_"/>
      </w:rPr>
      <w:t>.</w:t>
    </w:r>
  </w:p>
  <w:p w:rsidR="00141FEC" w:rsidRPr="00141FEC" w:rsidRDefault="00141FEC" w:rsidP="00141FEC">
    <w:pPr>
      <w:pStyle w:val="Zpat"/>
      <w:ind w:left="0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3BC" w:rsidRDefault="00ED53BC" w:rsidP="008059BC">
    <w:pPr>
      <w:pStyle w:val="Pedmtkoment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6508591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F87DD0" w:rsidRDefault="008E4885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31</w:t>
        </w:r>
        <w:r>
          <w:rPr>
            <w:rStyle w:val="slostrnky"/>
          </w:rPr>
          <w:fldChar w:fldCharType="end"/>
        </w:r>
      </w:p>
    </w:sdtContent>
  </w:sdt>
  <w:p w:rsidR="00ED53BC" w:rsidRPr="00CB7234" w:rsidRDefault="00ED53BC" w:rsidP="008059BC">
    <w:pPr>
      <w:pStyle w:val="Pedmtkomente"/>
    </w:pPr>
  </w:p>
  <w:p w:rsidR="00ED53BC" w:rsidRDefault="00ED53BC" w:rsidP="008059BC">
    <w:pPr>
      <w:pStyle w:val="Pedmtkomen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B2" w:rsidRDefault="00F151B2" w:rsidP="008059BC">
      <w:r>
        <w:separator/>
      </w:r>
    </w:p>
  </w:footnote>
  <w:footnote w:type="continuationSeparator" w:id="0">
    <w:p w:rsidR="00F151B2" w:rsidRDefault="00F151B2" w:rsidP="008059BC">
      <w:r>
        <w:continuationSeparator/>
      </w:r>
    </w:p>
  </w:footnote>
  <w:footnote w:type="continuationNotice" w:id="1">
    <w:p w:rsidR="00F151B2" w:rsidRPr="00447114" w:rsidRDefault="00F151B2">
      <w:pPr>
        <w:spacing w:line="240" w:lineRule="auto"/>
      </w:pPr>
    </w:p>
  </w:footnote>
  <w:footnote w:id="2">
    <w:p w:rsidR="00F87DD0" w:rsidRPr="008E4885" w:rsidRDefault="008E4885">
      <w:pPr>
        <w:pStyle w:val="Textpoznpodarou"/>
        <w:rPr>
          <w:lang w:val="sk-SK"/>
        </w:rPr>
      </w:pPr>
      <w:r w:rsidRPr="008E4885">
        <w:rPr>
          <w:rStyle w:val="Znakapoznpodarou"/>
          <w:sz w:val="13"/>
          <w:szCs w:val="13"/>
        </w:rPr>
        <w:footnoteRef/>
      </w:r>
      <w:r w:rsidRPr="008E4885">
        <w:rPr>
          <w:rFonts w:cs="Calibri"/>
          <w:color w:val="000000"/>
          <w:sz w:val="13"/>
          <w:szCs w:val="13"/>
        </w:rPr>
        <w:t xml:space="preserve"> </w:t>
      </w:r>
      <w:proofErr w:type="spellStart"/>
      <w:r w:rsidRPr="008E4885">
        <w:rPr>
          <w:rFonts w:cs="Calibri"/>
          <w:color w:val="000000"/>
          <w:sz w:val="13"/>
          <w:szCs w:val="13"/>
        </w:rPr>
        <w:t>Investice</w:t>
      </w:r>
      <w:proofErr w:type="spellEnd"/>
      <w:r w:rsidRPr="008E4885">
        <w:rPr>
          <w:rFonts w:cs="Calibri"/>
          <w:color w:val="000000"/>
          <w:sz w:val="13"/>
          <w:szCs w:val="13"/>
        </w:rPr>
        <w:t xml:space="preserve"> se </w:t>
      </w:r>
      <w:proofErr w:type="spellStart"/>
      <w:r w:rsidRPr="008E4885">
        <w:rPr>
          <w:rFonts w:cs="Calibri"/>
          <w:color w:val="000000"/>
          <w:sz w:val="13"/>
          <w:szCs w:val="13"/>
        </w:rPr>
        <w:t>vztahují</w:t>
      </w:r>
      <w:proofErr w:type="spellEnd"/>
      <w:r w:rsidRPr="008E4885">
        <w:rPr>
          <w:rFonts w:cs="Calibri"/>
          <w:color w:val="000000"/>
          <w:sz w:val="13"/>
          <w:szCs w:val="13"/>
        </w:rPr>
        <w:t xml:space="preserve"> k </w:t>
      </w:r>
      <w:proofErr w:type="spellStart"/>
      <w:r w:rsidRPr="008E4885">
        <w:rPr>
          <w:rFonts w:cs="Calibri"/>
          <w:color w:val="000000"/>
          <w:sz w:val="13"/>
          <w:szCs w:val="13"/>
        </w:rPr>
        <w:t>ekonomickému</w:t>
      </w:r>
      <w:proofErr w:type="spellEnd"/>
      <w:r w:rsidRPr="008E4885">
        <w:rPr>
          <w:rFonts w:cs="Calibri"/>
          <w:color w:val="000000"/>
          <w:sz w:val="13"/>
          <w:szCs w:val="13"/>
        </w:rPr>
        <w:t xml:space="preserve"> </w:t>
      </w:r>
      <w:proofErr w:type="spellStart"/>
      <w:r w:rsidRPr="008E4885">
        <w:rPr>
          <w:rFonts w:cs="Calibri"/>
          <w:color w:val="000000"/>
          <w:sz w:val="13"/>
          <w:szCs w:val="13"/>
        </w:rPr>
        <w:t>pojmu</w:t>
      </w:r>
      <w:proofErr w:type="spellEnd"/>
      <w:r w:rsidRPr="008E4885">
        <w:rPr>
          <w:rFonts w:cs="Calibri"/>
          <w:color w:val="000000"/>
          <w:sz w:val="13"/>
          <w:szCs w:val="13"/>
        </w:rPr>
        <w:t xml:space="preserve"> "</w:t>
      </w:r>
      <w:proofErr w:type="spellStart"/>
      <w:r w:rsidRPr="008E4885">
        <w:rPr>
          <w:rFonts w:cs="Calibri"/>
          <w:color w:val="000000"/>
          <w:sz w:val="13"/>
          <w:szCs w:val="13"/>
        </w:rPr>
        <w:t>kapitálové</w:t>
      </w:r>
      <w:proofErr w:type="spellEnd"/>
      <w:r w:rsidRPr="008E4885">
        <w:rPr>
          <w:rFonts w:cs="Calibri"/>
          <w:color w:val="000000"/>
          <w:sz w:val="13"/>
          <w:szCs w:val="13"/>
        </w:rPr>
        <w:t xml:space="preserve"> </w:t>
      </w:r>
      <w:proofErr w:type="spellStart"/>
      <w:r w:rsidRPr="008E4885">
        <w:rPr>
          <w:rFonts w:cs="Calibri"/>
          <w:color w:val="000000"/>
          <w:sz w:val="13"/>
          <w:szCs w:val="13"/>
        </w:rPr>
        <w:t>výdaje</w:t>
      </w:r>
      <w:proofErr w:type="spellEnd"/>
      <w:r w:rsidRPr="008E4885">
        <w:rPr>
          <w:rFonts w:cs="Calibri"/>
          <w:color w:val="000000"/>
          <w:sz w:val="13"/>
          <w:szCs w:val="13"/>
        </w:rPr>
        <w:t xml:space="preserve">", </w:t>
      </w:r>
      <w:proofErr w:type="spellStart"/>
      <w:r w:rsidRPr="008E4885">
        <w:rPr>
          <w:rFonts w:cs="Calibri"/>
          <w:color w:val="000000"/>
          <w:sz w:val="13"/>
          <w:szCs w:val="13"/>
        </w:rPr>
        <w:t>tj</w:t>
      </w:r>
      <w:proofErr w:type="spellEnd"/>
      <w:r w:rsidRPr="008E4885">
        <w:rPr>
          <w:rFonts w:cs="Calibri"/>
          <w:color w:val="000000"/>
          <w:sz w:val="13"/>
          <w:szCs w:val="13"/>
        </w:rPr>
        <w:t xml:space="preserve">. </w:t>
      </w:r>
      <w:proofErr w:type="spellStart"/>
      <w:r w:rsidRPr="008E4885">
        <w:rPr>
          <w:rFonts w:cs="Calibri"/>
          <w:color w:val="000000"/>
          <w:sz w:val="13"/>
          <w:szCs w:val="13"/>
        </w:rPr>
        <w:t>výdaje</w:t>
      </w:r>
      <w:proofErr w:type="spellEnd"/>
      <w:r w:rsidRPr="008E4885">
        <w:rPr>
          <w:rFonts w:cs="Calibri"/>
          <w:color w:val="000000"/>
          <w:sz w:val="13"/>
          <w:szCs w:val="13"/>
        </w:rPr>
        <w:t xml:space="preserve"> </w:t>
      </w:r>
      <w:proofErr w:type="spellStart"/>
      <w:r w:rsidRPr="008E4885">
        <w:rPr>
          <w:rFonts w:cs="Calibri"/>
          <w:color w:val="000000"/>
          <w:sz w:val="13"/>
          <w:szCs w:val="13"/>
        </w:rPr>
        <w:t>na</w:t>
      </w:r>
      <w:proofErr w:type="spellEnd"/>
      <w:r w:rsidRPr="008E4885">
        <w:rPr>
          <w:rFonts w:cs="Calibri"/>
          <w:color w:val="000000"/>
          <w:sz w:val="13"/>
          <w:szCs w:val="13"/>
        </w:rPr>
        <w:t xml:space="preserve"> </w:t>
      </w:r>
      <w:proofErr w:type="spellStart"/>
      <w:r w:rsidRPr="008E4885">
        <w:rPr>
          <w:rFonts w:cs="Calibri"/>
          <w:color w:val="000000"/>
          <w:sz w:val="13"/>
          <w:szCs w:val="13"/>
        </w:rPr>
        <w:t>pořízení</w:t>
      </w:r>
      <w:proofErr w:type="spellEnd"/>
      <w:r w:rsidRPr="008E4885">
        <w:rPr>
          <w:rFonts w:cs="Calibri"/>
          <w:color w:val="000000"/>
          <w:sz w:val="13"/>
          <w:szCs w:val="13"/>
        </w:rPr>
        <w:t xml:space="preserve"> </w:t>
      </w:r>
      <w:proofErr w:type="spellStart"/>
      <w:r w:rsidRPr="008E4885">
        <w:rPr>
          <w:rFonts w:cs="Calibri"/>
          <w:color w:val="000000"/>
          <w:sz w:val="13"/>
          <w:szCs w:val="13"/>
        </w:rPr>
        <w:t>dlouhodobého</w:t>
      </w:r>
      <w:proofErr w:type="spellEnd"/>
      <w:r w:rsidRPr="008E4885">
        <w:rPr>
          <w:rFonts w:cs="Calibri"/>
          <w:color w:val="000000"/>
          <w:sz w:val="13"/>
          <w:szCs w:val="13"/>
        </w:rPr>
        <w:t xml:space="preserve"> </w:t>
      </w:r>
      <w:proofErr w:type="spellStart"/>
      <w:r w:rsidRPr="008E4885">
        <w:rPr>
          <w:rFonts w:cs="Calibri"/>
          <w:color w:val="000000"/>
          <w:sz w:val="13"/>
          <w:szCs w:val="13"/>
        </w:rPr>
        <w:t>majetku</w:t>
      </w:r>
      <w:proofErr w:type="spellEnd"/>
      <w:r w:rsidRPr="008E4885">
        <w:rPr>
          <w:rFonts w:cs="Calibri"/>
          <w:color w:val="000000"/>
          <w:sz w:val="13"/>
          <w:szCs w:val="13"/>
        </w:rPr>
        <w:t>.</w:t>
      </w:r>
    </w:p>
  </w:footnote>
  <w:footnote w:id="3">
    <w:p w:rsidR="00F87DD0" w:rsidRPr="008E4885" w:rsidRDefault="008E4885">
      <w:pPr>
        <w:spacing w:line="240" w:lineRule="auto"/>
        <w:rPr>
          <w:rFonts w:eastAsia="Times New Roman" w:cstheme="minorHAnsi"/>
          <w:sz w:val="13"/>
          <w:szCs w:val="13"/>
          <w:lang w:eastAsia="en-GB"/>
        </w:rPr>
      </w:pPr>
      <w:r w:rsidRPr="008E4885">
        <w:rPr>
          <w:rStyle w:val="Znakapoznpodarou"/>
          <w:rFonts w:cstheme="minorHAnsi"/>
          <w:sz w:val="13"/>
          <w:szCs w:val="13"/>
        </w:rPr>
        <w:footnoteRef/>
      </w:r>
      <w:r w:rsidRPr="008E4885">
        <w:rPr>
          <w:rFonts w:eastAsia="Times New Roman" w:cstheme="minorHAnsi"/>
          <w:color w:val="000000"/>
          <w:sz w:val="13"/>
          <w:szCs w:val="13"/>
          <w:lang w:eastAsia="en-GB"/>
        </w:rPr>
        <w:t xml:space="preserve"> </w:t>
      </w:r>
      <w:proofErr w:type="spellStart"/>
      <w:r w:rsidRPr="008E4885">
        <w:rPr>
          <w:rFonts w:eastAsia="Times New Roman" w:cstheme="minorHAnsi"/>
          <w:color w:val="000000"/>
          <w:sz w:val="13"/>
          <w:szCs w:val="13"/>
          <w:lang w:eastAsia="en-GB"/>
        </w:rPr>
        <w:t>Definice</w:t>
      </w:r>
      <w:proofErr w:type="spellEnd"/>
      <w:r w:rsidRPr="008E4885">
        <w:rPr>
          <w:rFonts w:eastAsia="Times New Roman" w:cstheme="minorHAnsi"/>
          <w:color w:val="000000"/>
          <w:sz w:val="13"/>
          <w:szCs w:val="13"/>
          <w:lang w:eastAsia="en-GB"/>
        </w:rPr>
        <w:t xml:space="preserve"> </w:t>
      </w:r>
      <w:proofErr w:type="spellStart"/>
      <w:r w:rsidRPr="008E4885">
        <w:rPr>
          <w:rFonts w:eastAsia="Times New Roman" w:cstheme="minorHAnsi"/>
          <w:color w:val="000000"/>
          <w:sz w:val="13"/>
          <w:szCs w:val="13"/>
          <w:lang w:eastAsia="en-GB"/>
        </w:rPr>
        <w:t>infrastruktury</w:t>
      </w:r>
      <w:proofErr w:type="spellEnd"/>
      <w:r w:rsidRPr="008E4885">
        <w:rPr>
          <w:rFonts w:eastAsia="Times New Roman" w:cstheme="minorHAnsi"/>
          <w:color w:val="000000"/>
          <w:sz w:val="13"/>
          <w:szCs w:val="13"/>
          <w:lang w:eastAsia="en-GB"/>
        </w:rPr>
        <w:t xml:space="preserve"> </w:t>
      </w:r>
      <w:proofErr w:type="spellStart"/>
      <w:r w:rsidRPr="008E4885">
        <w:rPr>
          <w:rFonts w:eastAsia="Times New Roman" w:cstheme="minorHAnsi"/>
          <w:color w:val="000000"/>
          <w:sz w:val="13"/>
          <w:szCs w:val="13"/>
          <w:lang w:eastAsia="en-GB"/>
        </w:rPr>
        <w:t>podle</w:t>
      </w:r>
      <w:proofErr w:type="spellEnd"/>
      <w:r w:rsidRPr="008E4885">
        <w:rPr>
          <w:rFonts w:eastAsia="Times New Roman" w:cstheme="minorHAnsi"/>
          <w:color w:val="000000"/>
          <w:sz w:val="13"/>
          <w:szCs w:val="13"/>
          <w:lang w:eastAsia="en-GB"/>
        </w:rPr>
        <w:t xml:space="preserve"> </w:t>
      </w:r>
      <w:hyperlink r:id="rId1" w:history="1">
        <w:proofErr w:type="spellStart"/>
        <w:r w:rsidRPr="008E4885">
          <w:rPr>
            <w:rStyle w:val="Hypertextovodkaz"/>
            <w:rFonts w:eastAsia="Times New Roman" w:cstheme="minorHAnsi"/>
            <w:sz w:val="13"/>
            <w:szCs w:val="13"/>
            <w:lang w:eastAsia="en-GB"/>
          </w:rPr>
          <w:t>Technických</w:t>
        </w:r>
        <w:proofErr w:type="spellEnd"/>
        <w:r w:rsidRPr="008E4885">
          <w:rPr>
            <w:rStyle w:val="Hypertextovodkaz"/>
            <w:rFonts w:eastAsia="Times New Roman" w:cstheme="minorHAnsi"/>
            <w:sz w:val="13"/>
            <w:szCs w:val="13"/>
            <w:lang w:eastAsia="en-GB"/>
          </w:rPr>
          <w:t xml:space="preserve"> </w:t>
        </w:r>
        <w:proofErr w:type="spellStart"/>
        <w:r w:rsidRPr="008E4885">
          <w:rPr>
            <w:rStyle w:val="Hypertextovodkaz"/>
            <w:rFonts w:eastAsia="Times New Roman" w:cstheme="minorHAnsi"/>
            <w:sz w:val="13"/>
            <w:szCs w:val="13"/>
            <w:lang w:eastAsia="en-GB"/>
          </w:rPr>
          <w:t>pokynů</w:t>
        </w:r>
        <w:proofErr w:type="spellEnd"/>
        <w:r w:rsidRPr="008E4885">
          <w:rPr>
            <w:rStyle w:val="Hypertextovodkaz"/>
            <w:rFonts w:eastAsia="Times New Roman" w:cstheme="minorHAnsi"/>
            <w:sz w:val="13"/>
            <w:szCs w:val="13"/>
            <w:lang w:eastAsia="en-GB"/>
          </w:rPr>
          <w:t xml:space="preserve"> pro </w:t>
        </w:r>
        <w:proofErr w:type="spellStart"/>
        <w:r w:rsidRPr="008E4885">
          <w:rPr>
            <w:rStyle w:val="Hypertextovodkaz"/>
            <w:rFonts w:eastAsia="Times New Roman" w:cstheme="minorHAnsi"/>
            <w:sz w:val="13"/>
            <w:szCs w:val="13"/>
            <w:lang w:eastAsia="en-GB"/>
          </w:rPr>
          <w:t>přizpůsobení</w:t>
        </w:r>
        <w:proofErr w:type="spellEnd"/>
        <w:r w:rsidRPr="008E4885">
          <w:rPr>
            <w:rStyle w:val="Hypertextovodkaz"/>
            <w:rFonts w:eastAsia="Times New Roman" w:cstheme="minorHAnsi"/>
            <w:sz w:val="13"/>
            <w:szCs w:val="13"/>
            <w:lang w:eastAsia="en-GB"/>
          </w:rPr>
          <w:t xml:space="preserve"> </w:t>
        </w:r>
        <w:proofErr w:type="spellStart"/>
        <w:r w:rsidRPr="008E4885">
          <w:rPr>
            <w:rStyle w:val="Hypertextovodkaz"/>
            <w:rFonts w:eastAsia="Times New Roman" w:cstheme="minorHAnsi"/>
            <w:sz w:val="13"/>
            <w:szCs w:val="13"/>
            <w:lang w:eastAsia="en-GB"/>
          </w:rPr>
          <w:t>infrastruktury</w:t>
        </w:r>
        <w:proofErr w:type="spellEnd"/>
        <w:r w:rsidRPr="008E4885">
          <w:rPr>
            <w:rStyle w:val="Hypertextovodkaz"/>
            <w:rFonts w:eastAsia="Times New Roman" w:cstheme="minorHAnsi"/>
            <w:sz w:val="13"/>
            <w:szCs w:val="13"/>
            <w:lang w:eastAsia="en-GB"/>
          </w:rPr>
          <w:t xml:space="preserve"> </w:t>
        </w:r>
        <w:proofErr w:type="spellStart"/>
        <w:r w:rsidRPr="008E4885">
          <w:rPr>
            <w:rStyle w:val="Hypertextovodkaz"/>
            <w:rFonts w:eastAsia="Times New Roman" w:cstheme="minorHAnsi"/>
            <w:sz w:val="13"/>
            <w:szCs w:val="13"/>
            <w:lang w:eastAsia="en-GB"/>
          </w:rPr>
          <w:t>změně</w:t>
        </w:r>
        <w:proofErr w:type="spellEnd"/>
        <w:r w:rsidRPr="008E4885">
          <w:rPr>
            <w:rStyle w:val="Hypertextovodkaz"/>
            <w:rFonts w:eastAsia="Times New Roman" w:cstheme="minorHAnsi"/>
            <w:sz w:val="13"/>
            <w:szCs w:val="13"/>
            <w:lang w:eastAsia="en-GB"/>
          </w:rPr>
          <w:t xml:space="preserve"> </w:t>
        </w:r>
        <w:proofErr w:type="spellStart"/>
        <w:r w:rsidRPr="008E4885">
          <w:rPr>
            <w:rStyle w:val="Hypertextovodkaz"/>
            <w:rFonts w:eastAsia="Times New Roman" w:cstheme="minorHAnsi"/>
            <w:sz w:val="13"/>
            <w:szCs w:val="13"/>
            <w:lang w:eastAsia="en-GB"/>
          </w:rPr>
          <w:t>klimatu</w:t>
        </w:r>
        <w:proofErr w:type="spellEnd"/>
        <w:r w:rsidRPr="008E4885">
          <w:rPr>
            <w:rStyle w:val="Hypertextovodkaz"/>
            <w:rFonts w:eastAsia="Times New Roman" w:cstheme="minorHAnsi"/>
            <w:sz w:val="13"/>
            <w:szCs w:val="13"/>
            <w:lang w:eastAsia="en-GB"/>
          </w:rPr>
          <w:t xml:space="preserve"> v </w:t>
        </w:r>
        <w:proofErr w:type="spellStart"/>
        <w:r w:rsidRPr="008E4885">
          <w:rPr>
            <w:rStyle w:val="Hypertextovodkaz"/>
            <w:rFonts w:eastAsia="Times New Roman" w:cstheme="minorHAnsi"/>
            <w:sz w:val="13"/>
            <w:szCs w:val="13"/>
            <w:lang w:eastAsia="en-GB"/>
          </w:rPr>
          <w:t>období</w:t>
        </w:r>
        <w:proofErr w:type="spellEnd"/>
      </w:hyperlink>
      <w:r w:rsidRPr="008E4885">
        <w:rPr>
          <w:rFonts w:eastAsia="Times New Roman" w:cstheme="minorHAnsi"/>
          <w:color w:val="000000"/>
          <w:sz w:val="13"/>
          <w:szCs w:val="13"/>
          <w:lang w:eastAsia="en-GB"/>
        </w:rPr>
        <w:t xml:space="preserve"> 2021-2027, s. 9. </w:t>
      </w:r>
    </w:p>
    <w:p w:rsidR="001F0D27" w:rsidRPr="001F0D27" w:rsidRDefault="001F0D27" w:rsidP="001F0D27">
      <w:pPr>
        <w:pStyle w:val="Textpoznpodarou"/>
        <w:tabs>
          <w:tab w:val="left" w:pos="7062"/>
        </w:tabs>
        <w:rPr>
          <w:lang w:val="sk-SK"/>
        </w:rPr>
      </w:pPr>
      <w:r w:rsidRPr="008E4885">
        <w:rPr>
          <w:lang w:val="sk-SK"/>
        </w:rPr>
        <w:tab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DpjWiph" int2:invalidationBookmarkName="" int2:hashCode="PeUh02GRVekij4" int2:id="8AaWCJ4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DC8"/>
    <w:multiLevelType w:val="hybridMultilevel"/>
    <w:tmpl w:val="790AFF0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76202D"/>
    <w:multiLevelType w:val="hybridMultilevel"/>
    <w:tmpl w:val="07BC2DD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3A335C"/>
    <w:multiLevelType w:val="hybridMultilevel"/>
    <w:tmpl w:val="8264AEFE"/>
    <w:lvl w:ilvl="0" w:tplc="DD92EBDA">
      <w:start w:val="1"/>
      <w:numFmt w:val="bullet"/>
      <w:pStyle w:val="ChecklistBulletpoint"/>
      <w:lvlText w:val=""/>
      <w:lvlJc w:val="left"/>
      <w:pPr>
        <w:ind w:left="1146" w:hanging="360"/>
      </w:pPr>
      <w:rPr>
        <w:rFonts w:ascii="Wingdings" w:hAnsi="Wingdings" w:hint="default"/>
        <w:b/>
        <w:color w:val="005962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F77E5C"/>
    <w:multiLevelType w:val="hybridMultilevel"/>
    <w:tmpl w:val="CE844C90"/>
    <w:lvl w:ilvl="0" w:tplc="B18E132A">
      <w:start w:val="1"/>
      <w:numFmt w:val="decimal"/>
      <w:pStyle w:val="Addingupnumeral"/>
      <w:lvlText w:val="%1."/>
      <w:lvlJc w:val="left"/>
      <w:pPr>
        <w:ind w:left="1069" w:hanging="360"/>
      </w:pPr>
      <w:rPr>
        <w:rFonts w:hint="default"/>
        <w:b/>
        <w:bCs/>
        <w:color w:val="005962" w:themeColor="accent1"/>
      </w:rPr>
    </w:lvl>
    <w:lvl w:ilvl="1" w:tplc="04130019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1315FF"/>
    <w:multiLevelType w:val="hybridMultilevel"/>
    <w:tmpl w:val="2424BF32"/>
    <w:lvl w:ilvl="0" w:tplc="EC122A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85C9B"/>
    <w:multiLevelType w:val="hybridMultilevel"/>
    <w:tmpl w:val="AE1AA4D8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D66AB5E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8DF3689"/>
    <w:multiLevelType w:val="hybridMultilevel"/>
    <w:tmpl w:val="AA80613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C376400"/>
    <w:multiLevelType w:val="multilevel"/>
    <w:tmpl w:val="31B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FE9D9"/>
    <w:multiLevelType w:val="hybridMultilevel"/>
    <w:tmpl w:val="0EE47EC6"/>
    <w:lvl w:ilvl="0" w:tplc="EB3608F4">
      <w:start w:val="2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C7FE1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900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C9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8B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80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AD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6E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C5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D1346"/>
    <w:multiLevelType w:val="hybridMultilevel"/>
    <w:tmpl w:val="8C089FA4"/>
    <w:lvl w:ilvl="0" w:tplc="049E926C">
      <w:start w:val="1"/>
      <w:numFmt w:val="bullet"/>
      <w:pStyle w:val="Orangetabletex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FFFF" w:themeColor="background1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36A"/>
    <w:multiLevelType w:val="hybridMultilevel"/>
    <w:tmpl w:val="F4727AE4"/>
    <w:lvl w:ilvl="0" w:tplc="1A882842">
      <w:start w:val="1"/>
      <w:numFmt w:val="bullet"/>
      <w:pStyle w:val="Checklistbulletpoint0"/>
      <w:lvlText w:val=""/>
      <w:lvlJc w:val="left"/>
      <w:pPr>
        <w:ind w:left="1287" w:hanging="360"/>
      </w:pPr>
      <w:rPr>
        <w:rFonts w:ascii="Wingdings" w:hAnsi="Wingdings" w:cs="Wingdings" w:hint="default"/>
        <w:b/>
        <w:bCs/>
        <w:i w:val="0"/>
        <w:iCs w:val="0"/>
        <w:color w:val="F04E30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676B0F"/>
    <w:multiLevelType w:val="multilevel"/>
    <w:tmpl w:val="3EE8AD30"/>
    <w:styleLink w:val="Style1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color w:val="00596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26F5"/>
    <w:multiLevelType w:val="hybridMultilevel"/>
    <w:tmpl w:val="7BC82376"/>
    <w:lvl w:ilvl="0" w:tplc="0809000F">
      <w:start w:val="1"/>
      <w:numFmt w:val="decimal"/>
      <w:lvlText w:val="%1."/>
      <w:lvlJc w:val="left"/>
      <w:pPr>
        <w:ind w:left="1931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 w15:restartNumberingAfterBreak="0">
    <w:nsid w:val="41B57CC0"/>
    <w:multiLevelType w:val="hybridMultilevel"/>
    <w:tmpl w:val="1C8EE066"/>
    <w:lvl w:ilvl="0" w:tplc="8D5206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2283882"/>
    <w:multiLevelType w:val="hybridMultilevel"/>
    <w:tmpl w:val="8234901E"/>
    <w:lvl w:ilvl="0" w:tplc="FFFFFFFF">
      <w:start w:val="1"/>
      <w:numFmt w:val="bullet"/>
      <w:lvlText w:val="-"/>
      <w:lvlJc w:val="left"/>
      <w:pPr>
        <w:ind w:left="927" w:hanging="360"/>
      </w:pPr>
      <w:rPr>
        <w:rFonts w:ascii="Trebuchet MS" w:hAnsi="Trebuchet MS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9AF0F80"/>
    <w:multiLevelType w:val="multilevel"/>
    <w:tmpl w:val="960E3348"/>
    <w:lvl w:ilvl="0">
      <w:start w:val="1"/>
      <w:numFmt w:val="decimal"/>
      <w:pStyle w:val="Nadpis1"/>
      <w:lvlText w:val="%1"/>
      <w:lvlJc w:val="left"/>
      <w:pPr>
        <w:ind w:left="927" w:hanging="360"/>
      </w:pPr>
    </w:lvl>
    <w:lvl w:ilvl="1">
      <w:start w:val="1"/>
      <w:numFmt w:val="decimal"/>
      <w:pStyle w:val="Nadpis2"/>
      <w:lvlText w:val="%1.%2"/>
      <w:lvlJc w:val="left"/>
      <w:pPr>
        <w:ind w:left="1287" w:hanging="360"/>
      </w:pPr>
    </w:lvl>
    <w:lvl w:ilvl="2">
      <w:start w:val="1"/>
      <w:numFmt w:val="decimal"/>
      <w:pStyle w:val="Nadpis3"/>
      <w:lvlText w:val="%1.%2.%3"/>
      <w:lvlJc w:val="left"/>
      <w:pPr>
        <w:ind w:left="2007" w:hanging="720"/>
      </w:pPr>
    </w:lvl>
    <w:lvl w:ilvl="3">
      <w:start w:val="1"/>
      <w:numFmt w:val="decimal"/>
      <w:lvlText w:val="%1.%2.%3.%4"/>
      <w:lvlJc w:val="left"/>
      <w:pPr>
        <w:ind w:left="1287" w:hanging="720"/>
      </w:pPr>
    </w:lvl>
    <w:lvl w:ilvl="4">
      <w:start w:val="1"/>
      <w:numFmt w:val="decimal"/>
      <w:lvlText w:val="%1.%2.%3.%4.%5"/>
      <w:lvlJc w:val="left"/>
      <w:pPr>
        <w:ind w:left="3087" w:hanging="1080"/>
      </w:pPr>
    </w:lvl>
    <w:lvl w:ilvl="5">
      <w:start w:val="1"/>
      <w:numFmt w:val="decimal"/>
      <w:lvlText w:val="%1.%2.%3.%4.%5.%6"/>
      <w:lvlJc w:val="left"/>
      <w:pPr>
        <w:ind w:left="3447" w:hanging="1080"/>
      </w:pPr>
    </w:lvl>
    <w:lvl w:ilvl="6">
      <w:start w:val="1"/>
      <w:numFmt w:val="decimal"/>
      <w:lvlText w:val="%1.%2.%3.%4.%5.%6.%7"/>
      <w:lvlJc w:val="left"/>
      <w:pPr>
        <w:ind w:left="3807" w:hanging="1080"/>
      </w:pPr>
    </w:lvl>
    <w:lvl w:ilvl="7">
      <w:start w:val="1"/>
      <w:numFmt w:val="decimal"/>
      <w:lvlText w:val="%1.%2.%3.%4.%5.%6.%7.%8"/>
      <w:lvlJc w:val="left"/>
      <w:pPr>
        <w:ind w:left="4527" w:hanging="1440"/>
      </w:pPr>
    </w:lvl>
    <w:lvl w:ilvl="8">
      <w:start w:val="1"/>
      <w:numFmt w:val="decimal"/>
      <w:lvlText w:val="%1.%2.%3.%4.%5.%6.%7.%8.%9"/>
      <w:lvlJc w:val="left"/>
      <w:pPr>
        <w:ind w:left="4887" w:hanging="1440"/>
      </w:pPr>
    </w:lvl>
  </w:abstractNum>
  <w:abstractNum w:abstractNumId="16" w15:restartNumberingAfterBreak="0">
    <w:nsid w:val="5D26346D"/>
    <w:multiLevelType w:val="multilevel"/>
    <w:tmpl w:val="F934F8FE"/>
    <w:styleLink w:val="Style2"/>
    <w:lvl w:ilvl="0">
      <w:start w:val="1"/>
      <w:numFmt w:val="decimal"/>
      <w:lvlText w:val="%1.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626C2632"/>
    <w:multiLevelType w:val="multilevel"/>
    <w:tmpl w:val="14066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1522D0"/>
    <w:multiLevelType w:val="hybridMultilevel"/>
    <w:tmpl w:val="1C8EE066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3710EB9"/>
    <w:multiLevelType w:val="multilevel"/>
    <w:tmpl w:val="F918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5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5"/>
  </w:num>
  <w:num w:numId="12">
    <w:abstractNumId w:val="4"/>
  </w:num>
  <w:num w:numId="13">
    <w:abstractNumId w:val="15"/>
  </w:num>
  <w:num w:numId="14">
    <w:abstractNumId w:val="13"/>
  </w:num>
  <w:num w:numId="15">
    <w:abstractNumId w:val="0"/>
  </w:num>
  <w:num w:numId="16">
    <w:abstractNumId w:val="18"/>
  </w:num>
  <w:num w:numId="17">
    <w:abstractNumId w:val="14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2"/>
  </w:num>
  <w:num w:numId="22">
    <w:abstractNumId w:val="1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MjQ3sDQzNTEyMDBX0lEKTi0uzszPAykwrAUAXa21HCwAAAA="/>
  </w:docVars>
  <w:rsids>
    <w:rsidRoot w:val="00AF6325"/>
    <w:rsid w:val="000001DC"/>
    <w:rsid w:val="0000098B"/>
    <w:rsid w:val="00001FF0"/>
    <w:rsid w:val="00003E0B"/>
    <w:rsid w:val="000045C8"/>
    <w:rsid w:val="0000491F"/>
    <w:rsid w:val="00004E78"/>
    <w:rsid w:val="0000527D"/>
    <w:rsid w:val="0000598A"/>
    <w:rsid w:val="00005D61"/>
    <w:rsid w:val="000061FB"/>
    <w:rsid w:val="0000735D"/>
    <w:rsid w:val="00007604"/>
    <w:rsid w:val="00007A67"/>
    <w:rsid w:val="00007DF2"/>
    <w:rsid w:val="00010281"/>
    <w:rsid w:val="00010891"/>
    <w:rsid w:val="000113BF"/>
    <w:rsid w:val="000116FA"/>
    <w:rsid w:val="00012F2B"/>
    <w:rsid w:val="000139FD"/>
    <w:rsid w:val="00013B3E"/>
    <w:rsid w:val="00013F73"/>
    <w:rsid w:val="0001475C"/>
    <w:rsid w:val="00014F1D"/>
    <w:rsid w:val="00014F2A"/>
    <w:rsid w:val="00014F7D"/>
    <w:rsid w:val="000159DA"/>
    <w:rsid w:val="0001620E"/>
    <w:rsid w:val="00017020"/>
    <w:rsid w:val="000170C9"/>
    <w:rsid w:val="00017313"/>
    <w:rsid w:val="00017EBE"/>
    <w:rsid w:val="0002175F"/>
    <w:rsid w:val="00021CA1"/>
    <w:rsid w:val="00024652"/>
    <w:rsid w:val="00024D3C"/>
    <w:rsid w:val="00024DBD"/>
    <w:rsid w:val="00024FDD"/>
    <w:rsid w:val="00025027"/>
    <w:rsid w:val="000252D9"/>
    <w:rsid w:val="00025506"/>
    <w:rsid w:val="000257C7"/>
    <w:rsid w:val="000262B0"/>
    <w:rsid w:val="00027612"/>
    <w:rsid w:val="00027BC2"/>
    <w:rsid w:val="00027DDE"/>
    <w:rsid w:val="000306F7"/>
    <w:rsid w:val="00030B12"/>
    <w:rsid w:val="00030BCF"/>
    <w:rsid w:val="00030E0D"/>
    <w:rsid w:val="00030EC0"/>
    <w:rsid w:val="00030F3A"/>
    <w:rsid w:val="000310DA"/>
    <w:rsid w:val="00031336"/>
    <w:rsid w:val="000313C4"/>
    <w:rsid w:val="000316B9"/>
    <w:rsid w:val="00031BF3"/>
    <w:rsid w:val="00032266"/>
    <w:rsid w:val="00032865"/>
    <w:rsid w:val="00032FDC"/>
    <w:rsid w:val="0003336A"/>
    <w:rsid w:val="00033E38"/>
    <w:rsid w:val="00034CBE"/>
    <w:rsid w:val="00034E01"/>
    <w:rsid w:val="000364BC"/>
    <w:rsid w:val="00037161"/>
    <w:rsid w:val="00040A92"/>
    <w:rsid w:val="000416C3"/>
    <w:rsid w:val="000419A4"/>
    <w:rsid w:val="00041ED8"/>
    <w:rsid w:val="00042F61"/>
    <w:rsid w:val="000430A7"/>
    <w:rsid w:val="0004336E"/>
    <w:rsid w:val="00043951"/>
    <w:rsid w:val="0004421D"/>
    <w:rsid w:val="0004425F"/>
    <w:rsid w:val="000449FD"/>
    <w:rsid w:val="00045609"/>
    <w:rsid w:val="00047771"/>
    <w:rsid w:val="00050634"/>
    <w:rsid w:val="00050974"/>
    <w:rsid w:val="00051733"/>
    <w:rsid w:val="00052527"/>
    <w:rsid w:val="0005330A"/>
    <w:rsid w:val="00053850"/>
    <w:rsid w:val="000543FF"/>
    <w:rsid w:val="000544EF"/>
    <w:rsid w:val="0005465C"/>
    <w:rsid w:val="00054BDF"/>
    <w:rsid w:val="000552E1"/>
    <w:rsid w:val="000557FB"/>
    <w:rsid w:val="00055E3D"/>
    <w:rsid w:val="000570B3"/>
    <w:rsid w:val="000574E4"/>
    <w:rsid w:val="00057749"/>
    <w:rsid w:val="00057AB0"/>
    <w:rsid w:val="00057B7A"/>
    <w:rsid w:val="0006064F"/>
    <w:rsid w:val="00061BC2"/>
    <w:rsid w:val="00061C4C"/>
    <w:rsid w:val="0006214E"/>
    <w:rsid w:val="0006236C"/>
    <w:rsid w:val="00062B75"/>
    <w:rsid w:val="00062FC7"/>
    <w:rsid w:val="0006325C"/>
    <w:rsid w:val="00063B70"/>
    <w:rsid w:val="00063ECA"/>
    <w:rsid w:val="0006489F"/>
    <w:rsid w:val="00064E58"/>
    <w:rsid w:val="0006556C"/>
    <w:rsid w:val="00065AC5"/>
    <w:rsid w:val="00066288"/>
    <w:rsid w:val="00066F89"/>
    <w:rsid w:val="00067185"/>
    <w:rsid w:val="000674BA"/>
    <w:rsid w:val="00070DA3"/>
    <w:rsid w:val="00071070"/>
    <w:rsid w:val="000727B0"/>
    <w:rsid w:val="00073BE8"/>
    <w:rsid w:val="0007402C"/>
    <w:rsid w:val="00074E3C"/>
    <w:rsid w:val="00075034"/>
    <w:rsid w:val="00075FF1"/>
    <w:rsid w:val="00076736"/>
    <w:rsid w:val="0007713E"/>
    <w:rsid w:val="00077A4A"/>
    <w:rsid w:val="00080780"/>
    <w:rsid w:val="0008157E"/>
    <w:rsid w:val="00082191"/>
    <w:rsid w:val="000821E0"/>
    <w:rsid w:val="000833AD"/>
    <w:rsid w:val="0008396C"/>
    <w:rsid w:val="00083972"/>
    <w:rsid w:val="000843B3"/>
    <w:rsid w:val="00084429"/>
    <w:rsid w:val="000847E0"/>
    <w:rsid w:val="00085292"/>
    <w:rsid w:val="0008664C"/>
    <w:rsid w:val="0008666E"/>
    <w:rsid w:val="00090515"/>
    <w:rsid w:val="00090520"/>
    <w:rsid w:val="00090C63"/>
    <w:rsid w:val="00091337"/>
    <w:rsid w:val="000925A0"/>
    <w:rsid w:val="00093AAB"/>
    <w:rsid w:val="00093C49"/>
    <w:rsid w:val="00093F08"/>
    <w:rsid w:val="0009419B"/>
    <w:rsid w:val="000944D3"/>
    <w:rsid w:val="0009523F"/>
    <w:rsid w:val="000956B5"/>
    <w:rsid w:val="00095C90"/>
    <w:rsid w:val="0009619D"/>
    <w:rsid w:val="00096845"/>
    <w:rsid w:val="00096DB0"/>
    <w:rsid w:val="000A0706"/>
    <w:rsid w:val="000A27C1"/>
    <w:rsid w:val="000A344F"/>
    <w:rsid w:val="000A37CC"/>
    <w:rsid w:val="000A3FCD"/>
    <w:rsid w:val="000A4C4B"/>
    <w:rsid w:val="000A596A"/>
    <w:rsid w:val="000A5AB2"/>
    <w:rsid w:val="000A5DCF"/>
    <w:rsid w:val="000A6116"/>
    <w:rsid w:val="000A6519"/>
    <w:rsid w:val="000A766E"/>
    <w:rsid w:val="000A77F2"/>
    <w:rsid w:val="000A7970"/>
    <w:rsid w:val="000A7FD7"/>
    <w:rsid w:val="000B0C22"/>
    <w:rsid w:val="000B1536"/>
    <w:rsid w:val="000B2E4E"/>
    <w:rsid w:val="000B2F51"/>
    <w:rsid w:val="000B3774"/>
    <w:rsid w:val="000B3908"/>
    <w:rsid w:val="000B4211"/>
    <w:rsid w:val="000B4481"/>
    <w:rsid w:val="000B4E32"/>
    <w:rsid w:val="000B54CB"/>
    <w:rsid w:val="000B78A4"/>
    <w:rsid w:val="000B7A22"/>
    <w:rsid w:val="000B7F36"/>
    <w:rsid w:val="000B7F42"/>
    <w:rsid w:val="000C00FD"/>
    <w:rsid w:val="000C0539"/>
    <w:rsid w:val="000C07BC"/>
    <w:rsid w:val="000C0AD0"/>
    <w:rsid w:val="000C1819"/>
    <w:rsid w:val="000C2680"/>
    <w:rsid w:val="000C26DA"/>
    <w:rsid w:val="000C5031"/>
    <w:rsid w:val="000C50B3"/>
    <w:rsid w:val="000C59D3"/>
    <w:rsid w:val="000C5E33"/>
    <w:rsid w:val="000C64DA"/>
    <w:rsid w:val="000C69CF"/>
    <w:rsid w:val="000C6B67"/>
    <w:rsid w:val="000C6D7B"/>
    <w:rsid w:val="000C708D"/>
    <w:rsid w:val="000C7140"/>
    <w:rsid w:val="000D00C4"/>
    <w:rsid w:val="000D0610"/>
    <w:rsid w:val="000D07B2"/>
    <w:rsid w:val="000D084E"/>
    <w:rsid w:val="000D16E3"/>
    <w:rsid w:val="000D30FA"/>
    <w:rsid w:val="000D3C62"/>
    <w:rsid w:val="000D44D9"/>
    <w:rsid w:val="000D48BD"/>
    <w:rsid w:val="000D4EB4"/>
    <w:rsid w:val="000D56ED"/>
    <w:rsid w:val="000D5E8A"/>
    <w:rsid w:val="000D5FFE"/>
    <w:rsid w:val="000D6C2C"/>
    <w:rsid w:val="000D768B"/>
    <w:rsid w:val="000D7839"/>
    <w:rsid w:val="000E12C3"/>
    <w:rsid w:val="000E1F1D"/>
    <w:rsid w:val="000E2664"/>
    <w:rsid w:val="000E3034"/>
    <w:rsid w:val="000E33AD"/>
    <w:rsid w:val="000E399F"/>
    <w:rsid w:val="000E39F0"/>
    <w:rsid w:val="000E51A3"/>
    <w:rsid w:val="000E585D"/>
    <w:rsid w:val="000E5AEC"/>
    <w:rsid w:val="000E5C38"/>
    <w:rsid w:val="000E63D4"/>
    <w:rsid w:val="000E7096"/>
    <w:rsid w:val="000E71FA"/>
    <w:rsid w:val="000E7428"/>
    <w:rsid w:val="000F0072"/>
    <w:rsid w:val="000F0767"/>
    <w:rsid w:val="000F0A85"/>
    <w:rsid w:val="000F0AD4"/>
    <w:rsid w:val="000F19CB"/>
    <w:rsid w:val="000F1A4D"/>
    <w:rsid w:val="000F1FBE"/>
    <w:rsid w:val="000F26CE"/>
    <w:rsid w:val="000F2F31"/>
    <w:rsid w:val="000F3747"/>
    <w:rsid w:val="000F4465"/>
    <w:rsid w:val="000F49E1"/>
    <w:rsid w:val="000F5CC1"/>
    <w:rsid w:val="000F60E6"/>
    <w:rsid w:val="000F658D"/>
    <w:rsid w:val="000F6868"/>
    <w:rsid w:val="000F691B"/>
    <w:rsid w:val="000F6A0C"/>
    <w:rsid w:val="000F7304"/>
    <w:rsid w:val="000F7404"/>
    <w:rsid w:val="000F7943"/>
    <w:rsid w:val="000F7CEF"/>
    <w:rsid w:val="000F7FE0"/>
    <w:rsid w:val="001002B1"/>
    <w:rsid w:val="00100B99"/>
    <w:rsid w:val="00100D22"/>
    <w:rsid w:val="00100FAA"/>
    <w:rsid w:val="001015A8"/>
    <w:rsid w:val="00101ED3"/>
    <w:rsid w:val="001028FA"/>
    <w:rsid w:val="001038FF"/>
    <w:rsid w:val="00103AFA"/>
    <w:rsid w:val="0010435A"/>
    <w:rsid w:val="00106417"/>
    <w:rsid w:val="00106D88"/>
    <w:rsid w:val="0011112D"/>
    <w:rsid w:val="00111FAA"/>
    <w:rsid w:val="00112B67"/>
    <w:rsid w:val="00112C7A"/>
    <w:rsid w:val="00114045"/>
    <w:rsid w:val="0011418A"/>
    <w:rsid w:val="00115AFF"/>
    <w:rsid w:val="00115C00"/>
    <w:rsid w:val="0011632B"/>
    <w:rsid w:val="0011632F"/>
    <w:rsid w:val="00116679"/>
    <w:rsid w:val="00117B00"/>
    <w:rsid w:val="001201F3"/>
    <w:rsid w:val="0012067F"/>
    <w:rsid w:val="00121FA0"/>
    <w:rsid w:val="00122924"/>
    <w:rsid w:val="001233BF"/>
    <w:rsid w:val="0012415F"/>
    <w:rsid w:val="00124845"/>
    <w:rsid w:val="001249AD"/>
    <w:rsid w:val="00124BCD"/>
    <w:rsid w:val="00124C0D"/>
    <w:rsid w:val="0012523D"/>
    <w:rsid w:val="00127756"/>
    <w:rsid w:val="00127EEC"/>
    <w:rsid w:val="001300A0"/>
    <w:rsid w:val="00130A2B"/>
    <w:rsid w:val="00130F6C"/>
    <w:rsid w:val="00131C0D"/>
    <w:rsid w:val="00131ECA"/>
    <w:rsid w:val="00132FFC"/>
    <w:rsid w:val="001344C8"/>
    <w:rsid w:val="00134B17"/>
    <w:rsid w:val="001356A9"/>
    <w:rsid w:val="00135ADD"/>
    <w:rsid w:val="00135BA1"/>
    <w:rsid w:val="0013798F"/>
    <w:rsid w:val="0014021F"/>
    <w:rsid w:val="00140D7A"/>
    <w:rsid w:val="00140F20"/>
    <w:rsid w:val="00141FEC"/>
    <w:rsid w:val="00142A25"/>
    <w:rsid w:val="00143EF2"/>
    <w:rsid w:val="001440C2"/>
    <w:rsid w:val="001449B4"/>
    <w:rsid w:val="0014529C"/>
    <w:rsid w:val="00146D7D"/>
    <w:rsid w:val="00147226"/>
    <w:rsid w:val="00147417"/>
    <w:rsid w:val="00147B64"/>
    <w:rsid w:val="001505A8"/>
    <w:rsid w:val="001508DA"/>
    <w:rsid w:val="00150A30"/>
    <w:rsid w:val="00151272"/>
    <w:rsid w:val="00152F7C"/>
    <w:rsid w:val="00153873"/>
    <w:rsid w:val="00154206"/>
    <w:rsid w:val="00154C91"/>
    <w:rsid w:val="0015537E"/>
    <w:rsid w:val="00155DDA"/>
    <w:rsid w:val="0015639B"/>
    <w:rsid w:val="001563EE"/>
    <w:rsid w:val="0015654C"/>
    <w:rsid w:val="0015696D"/>
    <w:rsid w:val="00156F9C"/>
    <w:rsid w:val="0015728F"/>
    <w:rsid w:val="00157FF9"/>
    <w:rsid w:val="0016003F"/>
    <w:rsid w:val="0016020F"/>
    <w:rsid w:val="001609F4"/>
    <w:rsid w:val="00161323"/>
    <w:rsid w:val="001618A0"/>
    <w:rsid w:val="00161C09"/>
    <w:rsid w:val="00161F06"/>
    <w:rsid w:val="0016301B"/>
    <w:rsid w:val="00163E8F"/>
    <w:rsid w:val="00163FCB"/>
    <w:rsid w:val="001642E6"/>
    <w:rsid w:val="001646BD"/>
    <w:rsid w:val="00164791"/>
    <w:rsid w:val="0016530D"/>
    <w:rsid w:val="001658A9"/>
    <w:rsid w:val="00167682"/>
    <w:rsid w:val="001708FF"/>
    <w:rsid w:val="00170CAE"/>
    <w:rsid w:val="00171789"/>
    <w:rsid w:val="00171C96"/>
    <w:rsid w:val="00171DCD"/>
    <w:rsid w:val="00172762"/>
    <w:rsid w:val="00172B20"/>
    <w:rsid w:val="001730F7"/>
    <w:rsid w:val="0017321E"/>
    <w:rsid w:val="00174195"/>
    <w:rsid w:val="0017447A"/>
    <w:rsid w:val="0017482C"/>
    <w:rsid w:val="00174D0A"/>
    <w:rsid w:val="001750FC"/>
    <w:rsid w:val="00175EA0"/>
    <w:rsid w:val="00175F08"/>
    <w:rsid w:val="001762B6"/>
    <w:rsid w:val="0017659D"/>
    <w:rsid w:val="00177A8F"/>
    <w:rsid w:val="00180488"/>
    <w:rsid w:val="001809A8"/>
    <w:rsid w:val="00180D73"/>
    <w:rsid w:val="0018156D"/>
    <w:rsid w:val="001815B2"/>
    <w:rsid w:val="001818CA"/>
    <w:rsid w:val="00182F88"/>
    <w:rsid w:val="00183CFD"/>
    <w:rsid w:val="00184313"/>
    <w:rsid w:val="00184ABA"/>
    <w:rsid w:val="00184E24"/>
    <w:rsid w:val="001850A8"/>
    <w:rsid w:val="0018513E"/>
    <w:rsid w:val="001854E4"/>
    <w:rsid w:val="00185967"/>
    <w:rsid w:val="00185C7C"/>
    <w:rsid w:val="00185DCA"/>
    <w:rsid w:val="00185DE5"/>
    <w:rsid w:val="001866B5"/>
    <w:rsid w:val="00186996"/>
    <w:rsid w:val="00187479"/>
    <w:rsid w:val="00187F39"/>
    <w:rsid w:val="0019182C"/>
    <w:rsid w:val="001918CE"/>
    <w:rsid w:val="00191AAD"/>
    <w:rsid w:val="00192223"/>
    <w:rsid w:val="001926A5"/>
    <w:rsid w:val="0019417C"/>
    <w:rsid w:val="00194259"/>
    <w:rsid w:val="001945DB"/>
    <w:rsid w:val="00194AAD"/>
    <w:rsid w:val="001956FB"/>
    <w:rsid w:val="001A04A8"/>
    <w:rsid w:val="001A113D"/>
    <w:rsid w:val="001A1449"/>
    <w:rsid w:val="001A2105"/>
    <w:rsid w:val="001A31B8"/>
    <w:rsid w:val="001A348C"/>
    <w:rsid w:val="001A406E"/>
    <w:rsid w:val="001A4A39"/>
    <w:rsid w:val="001A4D44"/>
    <w:rsid w:val="001A7ABF"/>
    <w:rsid w:val="001A7CB1"/>
    <w:rsid w:val="001B1278"/>
    <w:rsid w:val="001B1363"/>
    <w:rsid w:val="001B19FE"/>
    <w:rsid w:val="001B1D57"/>
    <w:rsid w:val="001B22A7"/>
    <w:rsid w:val="001B26D6"/>
    <w:rsid w:val="001B2755"/>
    <w:rsid w:val="001B2DA8"/>
    <w:rsid w:val="001B2DD6"/>
    <w:rsid w:val="001B2F1D"/>
    <w:rsid w:val="001B4014"/>
    <w:rsid w:val="001B44A2"/>
    <w:rsid w:val="001B49A7"/>
    <w:rsid w:val="001B54D1"/>
    <w:rsid w:val="001B5798"/>
    <w:rsid w:val="001B6761"/>
    <w:rsid w:val="001B6B86"/>
    <w:rsid w:val="001B6C2A"/>
    <w:rsid w:val="001B6F24"/>
    <w:rsid w:val="001C0BB0"/>
    <w:rsid w:val="001C0C51"/>
    <w:rsid w:val="001C12C1"/>
    <w:rsid w:val="001C13B6"/>
    <w:rsid w:val="001C1FBF"/>
    <w:rsid w:val="001C210B"/>
    <w:rsid w:val="001C2410"/>
    <w:rsid w:val="001C424B"/>
    <w:rsid w:val="001C4864"/>
    <w:rsid w:val="001C4D4A"/>
    <w:rsid w:val="001C50FA"/>
    <w:rsid w:val="001C5302"/>
    <w:rsid w:val="001C6357"/>
    <w:rsid w:val="001C73EF"/>
    <w:rsid w:val="001C762B"/>
    <w:rsid w:val="001C7CDC"/>
    <w:rsid w:val="001D082A"/>
    <w:rsid w:val="001D0DBD"/>
    <w:rsid w:val="001D30D3"/>
    <w:rsid w:val="001D328D"/>
    <w:rsid w:val="001D38BE"/>
    <w:rsid w:val="001D3F6E"/>
    <w:rsid w:val="001D4A11"/>
    <w:rsid w:val="001D4AA8"/>
    <w:rsid w:val="001D519B"/>
    <w:rsid w:val="001D5644"/>
    <w:rsid w:val="001D58D1"/>
    <w:rsid w:val="001D5A56"/>
    <w:rsid w:val="001D5D22"/>
    <w:rsid w:val="001D626E"/>
    <w:rsid w:val="001E00A6"/>
    <w:rsid w:val="001E0254"/>
    <w:rsid w:val="001E11A7"/>
    <w:rsid w:val="001E18AC"/>
    <w:rsid w:val="001E1B2F"/>
    <w:rsid w:val="001E38E7"/>
    <w:rsid w:val="001E3DA2"/>
    <w:rsid w:val="001E3E10"/>
    <w:rsid w:val="001E4A6B"/>
    <w:rsid w:val="001E4D45"/>
    <w:rsid w:val="001E5014"/>
    <w:rsid w:val="001E5920"/>
    <w:rsid w:val="001E6264"/>
    <w:rsid w:val="001E659C"/>
    <w:rsid w:val="001E6693"/>
    <w:rsid w:val="001E6709"/>
    <w:rsid w:val="001E6DD4"/>
    <w:rsid w:val="001E7709"/>
    <w:rsid w:val="001E7A28"/>
    <w:rsid w:val="001E7D50"/>
    <w:rsid w:val="001F0482"/>
    <w:rsid w:val="001F07C5"/>
    <w:rsid w:val="001F0D27"/>
    <w:rsid w:val="001F11B1"/>
    <w:rsid w:val="001F12EB"/>
    <w:rsid w:val="001F28CD"/>
    <w:rsid w:val="001F2AE7"/>
    <w:rsid w:val="001F2C42"/>
    <w:rsid w:val="001F3CFC"/>
    <w:rsid w:val="001F4433"/>
    <w:rsid w:val="001F4618"/>
    <w:rsid w:val="001F506F"/>
    <w:rsid w:val="001F5369"/>
    <w:rsid w:val="001F562A"/>
    <w:rsid w:val="001F5968"/>
    <w:rsid w:val="001F6CFA"/>
    <w:rsid w:val="001F7055"/>
    <w:rsid w:val="001F789F"/>
    <w:rsid w:val="001F79BE"/>
    <w:rsid w:val="001F7A9F"/>
    <w:rsid w:val="00201545"/>
    <w:rsid w:val="00201DA3"/>
    <w:rsid w:val="00202179"/>
    <w:rsid w:val="0020220B"/>
    <w:rsid w:val="002022F4"/>
    <w:rsid w:val="00202385"/>
    <w:rsid w:val="00202BFB"/>
    <w:rsid w:val="00202F19"/>
    <w:rsid w:val="00202F69"/>
    <w:rsid w:val="00204ED4"/>
    <w:rsid w:val="00205014"/>
    <w:rsid w:val="00205810"/>
    <w:rsid w:val="00205D7D"/>
    <w:rsid w:val="00206719"/>
    <w:rsid w:val="0020687D"/>
    <w:rsid w:val="00206887"/>
    <w:rsid w:val="00206A4D"/>
    <w:rsid w:val="002105B9"/>
    <w:rsid w:val="00212885"/>
    <w:rsid w:val="00213BBF"/>
    <w:rsid w:val="00213E5B"/>
    <w:rsid w:val="002148F9"/>
    <w:rsid w:val="00214C5A"/>
    <w:rsid w:val="00214EB4"/>
    <w:rsid w:val="002155BB"/>
    <w:rsid w:val="00215A6E"/>
    <w:rsid w:val="002161B4"/>
    <w:rsid w:val="00217356"/>
    <w:rsid w:val="0021780D"/>
    <w:rsid w:val="0022241C"/>
    <w:rsid w:val="00222995"/>
    <w:rsid w:val="002237B5"/>
    <w:rsid w:val="0022498B"/>
    <w:rsid w:val="0022653D"/>
    <w:rsid w:val="00226D0D"/>
    <w:rsid w:val="002270AF"/>
    <w:rsid w:val="002279E2"/>
    <w:rsid w:val="00227E0C"/>
    <w:rsid w:val="00230CE0"/>
    <w:rsid w:val="002314B0"/>
    <w:rsid w:val="002315DA"/>
    <w:rsid w:val="00232967"/>
    <w:rsid w:val="00232DBF"/>
    <w:rsid w:val="00232F87"/>
    <w:rsid w:val="002331BA"/>
    <w:rsid w:val="00234B65"/>
    <w:rsid w:val="00235B52"/>
    <w:rsid w:val="00235FB4"/>
    <w:rsid w:val="00236707"/>
    <w:rsid w:val="00237122"/>
    <w:rsid w:val="002373AD"/>
    <w:rsid w:val="0023760E"/>
    <w:rsid w:val="0024020A"/>
    <w:rsid w:val="00240213"/>
    <w:rsid w:val="00241049"/>
    <w:rsid w:val="002418B0"/>
    <w:rsid w:val="00241A61"/>
    <w:rsid w:val="00241CC7"/>
    <w:rsid w:val="00242B09"/>
    <w:rsid w:val="00242CA4"/>
    <w:rsid w:val="00242D09"/>
    <w:rsid w:val="00242DFC"/>
    <w:rsid w:val="00243404"/>
    <w:rsid w:val="00243653"/>
    <w:rsid w:val="00244A13"/>
    <w:rsid w:val="00245349"/>
    <w:rsid w:val="00246791"/>
    <w:rsid w:val="00246DC0"/>
    <w:rsid w:val="00247493"/>
    <w:rsid w:val="00247A28"/>
    <w:rsid w:val="00250740"/>
    <w:rsid w:val="0025176A"/>
    <w:rsid w:val="00251948"/>
    <w:rsid w:val="00252BA5"/>
    <w:rsid w:val="0025375E"/>
    <w:rsid w:val="00253C80"/>
    <w:rsid w:val="00253CEB"/>
    <w:rsid w:val="00253ED7"/>
    <w:rsid w:val="0025481F"/>
    <w:rsid w:val="00254A69"/>
    <w:rsid w:val="00255563"/>
    <w:rsid w:val="0025598E"/>
    <w:rsid w:val="002565B4"/>
    <w:rsid w:val="00256F51"/>
    <w:rsid w:val="00257714"/>
    <w:rsid w:val="00257E0D"/>
    <w:rsid w:val="00257EF8"/>
    <w:rsid w:val="002608D4"/>
    <w:rsid w:val="0026157F"/>
    <w:rsid w:val="00261EB1"/>
    <w:rsid w:val="00263045"/>
    <w:rsid w:val="002630A2"/>
    <w:rsid w:val="00263C51"/>
    <w:rsid w:val="002648B4"/>
    <w:rsid w:val="00264DF8"/>
    <w:rsid w:val="00264F58"/>
    <w:rsid w:val="00264FAB"/>
    <w:rsid w:val="00265561"/>
    <w:rsid w:val="00265674"/>
    <w:rsid w:val="0026625E"/>
    <w:rsid w:val="00266A16"/>
    <w:rsid w:val="00266CAC"/>
    <w:rsid w:val="002670A4"/>
    <w:rsid w:val="002672C3"/>
    <w:rsid w:val="00267A68"/>
    <w:rsid w:val="002704B0"/>
    <w:rsid w:val="00270CE6"/>
    <w:rsid w:val="00272C59"/>
    <w:rsid w:val="00273105"/>
    <w:rsid w:val="0027321D"/>
    <w:rsid w:val="002735FA"/>
    <w:rsid w:val="00274908"/>
    <w:rsid w:val="00274D29"/>
    <w:rsid w:val="00275CD6"/>
    <w:rsid w:val="00276744"/>
    <w:rsid w:val="00277725"/>
    <w:rsid w:val="002778E6"/>
    <w:rsid w:val="00280719"/>
    <w:rsid w:val="00281184"/>
    <w:rsid w:val="00281535"/>
    <w:rsid w:val="00282493"/>
    <w:rsid w:val="002826B6"/>
    <w:rsid w:val="00282763"/>
    <w:rsid w:val="00282DA2"/>
    <w:rsid w:val="00282DCE"/>
    <w:rsid w:val="0028433D"/>
    <w:rsid w:val="0028563F"/>
    <w:rsid w:val="0028566E"/>
    <w:rsid w:val="0028597F"/>
    <w:rsid w:val="00285C25"/>
    <w:rsid w:val="002869A8"/>
    <w:rsid w:val="00286A6E"/>
    <w:rsid w:val="002874AD"/>
    <w:rsid w:val="0029079A"/>
    <w:rsid w:val="00290C31"/>
    <w:rsid w:val="00291C79"/>
    <w:rsid w:val="00291D7E"/>
    <w:rsid w:val="00291F6F"/>
    <w:rsid w:val="00292087"/>
    <w:rsid w:val="002920F1"/>
    <w:rsid w:val="0029213A"/>
    <w:rsid w:val="00292337"/>
    <w:rsid w:val="00293EDF"/>
    <w:rsid w:val="00295ADA"/>
    <w:rsid w:val="00295CF7"/>
    <w:rsid w:val="002972C6"/>
    <w:rsid w:val="002A03EA"/>
    <w:rsid w:val="002A240D"/>
    <w:rsid w:val="002A259B"/>
    <w:rsid w:val="002A41AB"/>
    <w:rsid w:val="002A4BF0"/>
    <w:rsid w:val="002A4CEE"/>
    <w:rsid w:val="002A4DFD"/>
    <w:rsid w:val="002A4F79"/>
    <w:rsid w:val="002A50B8"/>
    <w:rsid w:val="002A50DE"/>
    <w:rsid w:val="002A5107"/>
    <w:rsid w:val="002A58EF"/>
    <w:rsid w:val="002A5E24"/>
    <w:rsid w:val="002A6803"/>
    <w:rsid w:val="002A6C0D"/>
    <w:rsid w:val="002A705E"/>
    <w:rsid w:val="002A74FC"/>
    <w:rsid w:val="002A7514"/>
    <w:rsid w:val="002B011A"/>
    <w:rsid w:val="002B125A"/>
    <w:rsid w:val="002B1916"/>
    <w:rsid w:val="002B19A5"/>
    <w:rsid w:val="002B1BB9"/>
    <w:rsid w:val="002B1CFE"/>
    <w:rsid w:val="002B2237"/>
    <w:rsid w:val="002B23B5"/>
    <w:rsid w:val="002B2DC3"/>
    <w:rsid w:val="002B2E50"/>
    <w:rsid w:val="002B3321"/>
    <w:rsid w:val="002B3D8C"/>
    <w:rsid w:val="002B3D9A"/>
    <w:rsid w:val="002B423C"/>
    <w:rsid w:val="002B4574"/>
    <w:rsid w:val="002B47EC"/>
    <w:rsid w:val="002B4D0E"/>
    <w:rsid w:val="002B5230"/>
    <w:rsid w:val="002B5E38"/>
    <w:rsid w:val="002B74F3"/>
    <w:rsid w:val="002B7514"/>
    <w:rsid w:val="002B7CA8"/>
    <w:rsid w:val="002C0A97"/>
    <w:rsid w:val="002C1427"/>
    <w:rsid w:val="002C2439"/>
    <w:rsid w:val="002C35F8"/>
    <w:rsid w:val="002C36F3"/>
    <w:rsid w:val="002C4299"/>
    <w:rsid w:val="002C4D6D"/>
    <w:rsid w:val="002C4EB2"/>
    <w:rsid w:val="002C67BA"/>
    <w:rsid w:val="002C71BB"/>
    <w:rsid w:val="002D023B"/>
    <w:rsid w:val="002D0A92"/>
    <w:rsid w:val="002D1675"/>
    <w:rsid w:val="002D1945"/>
    <w:rsid w:val="002D284A"/>
    <w:rsid w:val="002D407F"/>
    <w:rsid w:val="002D4A74"/>
    <w:rsid w:val="002D4BF3"/>
    <w:rsid w:val="002D5ABF"/>
    <w:rsid w:val="002D5FE4"/>
    <w:rsid w:val="002D60CD"/>
    <w:rsid w:val="002D6337"/>
    <w:rsid w:val="002D6914"/>
    <w:rsid w:val="002D6B86"/>
    <w:rsid w:val="002D6CB1"/>
    <w:rsid w:val="002D6FE2"/>
    <w:rsid w:val="002D714F"/>
    <w:rsid w:val="002D75A7"/>
    <w:rsid w:val="002D7696"/>
    <w:rsid w:val="002D7F54"/>
    <w:rsid w:val="002E0160"/>
    <w:rsid w:val="002E059E"/>
    <w:rsid w:val="002E0C54"/>
    <w:rsid w:val="002E0E7A"/>
    <w:rsid w:val="002E1560"/>
    <w:rsid w:val="002E168B"/>
    <w:rsid w:val="002E1CA3"/>
    <w:rsid w:val="002E20C5"/>
    <w:rsid w:val="002E2624"/>
    <w:rsid w:val="002E3330"/>
    <w:rsid w:val="002E3621"/>
    <w:rsid w:val="002E4CB1"/>
    <w:rsid w:val="002E5087"/>
    <w:rsid w:val="002E52EA"/>
    <w:rsid w:val="002E5433"/>
    <w:rsid w:val="002E54C2"/>
    <w:rsid w:val="002E59AC"/>
    <w:rsid w:val="002E5D06"/>
    <w:rsid w:val="002E5F37"/>
    <w:rsid w:val="002E789F"/>
    <w:rsid w:val="002E7C43"/>
    <w:rsid w:val="002F1771"/>
    <w:rsid w:val="002F1904"/>
    <w:rsid w:val="002F1AD6"/>
    <w:rsid w:val="002F1CFC"/>
    <w:rsid w:val="002F1EB9"/>
    <w:rsid w:val="002F2665"/>
    <w:rsid w:val="002F3DF6"/>
    <w:rsid w:val="002F4DC3"/>
    <w:rsid w:val="002F67C4"/>
    <w:rsid w:val="002F6C57"/>
    <w:rsid w:val="002F6F87"/>
    <w:rsid w:val="002F6FF5"/>
    <w:rsid w:val="002F735B"/>
    <w:rsid w:val="00300463"/>
    <w:rsid w:val="0030079B"/>
    <w:rsid w:val="003010C9"/>
    <w:rsid w:val="0030277C"/>
    <w:rsid w:val="00302794"/>
    <w:rsid w:val="00303217"/>
    <w:rsid w:val="00303B25"/>
    <w:rsid w:val="00303E01"/>
    <w:rsid w:val="00304919"/>
    <w:rsid w:val="00304B02"/>
    <w:rsid w:val="00304D6B"/>
    <w:rsid w:val="003055E8"/>
    <w:rsid w:val="00305AC4"/>
    <w:rsid w:val="00305C44"/>
    <w:rsid w:val="00306165"/>
    <w:rsid w:val="003069B2"/>
    <w:rsid w:val="00306D47"/>
    <w:rsid w:val="00307A8C"/>
    <w:rsid w:val="00307BA1"/>
    <w:rsid w:val="00310593"/>
    <w:rsid w:val="00310626"/>
    <w:rsid w:val="00310DE0"/>
    <w:rsid w:val="00311819"/>
    <w:rsid w:val="00311FE2"/>
    <w:rsid w:val="00312A42"/>
    <w:rsid w:val="00312F3C"/>
    <w:rsid w:val="003136AD"/>
    <w:rsid w:val="003148C9"/>
    <w:rsid w:val="003150A4"/>
    <w:rsid w:val="0031531F"/>
    <w:rsid w:val="00315B19"/>
    <w:rsid w:val="0031629A"/>
    <w:rsid w:val="00316603"/>
    <w:rsid w:val="00316ADA"/>
    <w:rsid w:val="00316D60"/>
    <w:rsid w:val="003176AE"/>
    <w:rsid w:val="00317A82"/>
    <w:rsid w:val="00317BCC"/>
    <w:rsid w:val="00320816"/>
    <w:rsid w:val="00321497"/>
    <w:rsid w:val="00321872"/>
    <w:rsid w:val="0032219B"/>
    <w:rsid w:val="003226E3"/>
    <w:rsid w:val="00322B6C"/>
    <w:rsid w:val="00324128"/>
    <w:rsid w:val="003247B6"/>
    <w:rsid w:val="0032486D"/>
    <w:rsid w:val="00325360"/>
    <w:rsid w:val="00325BAB"/>
    <w:rsid w:val="003263E7"/>
    <w:rsid w:val="00326962"/>
    <w:rsid w:val="00326B8B"/>
    <w:rsid w:val="00326D93"/>
    <w:rsid w:val="00326FDD"/>
    <w:rsid w:val="003273BC"/>
    <w:rsid w:val="003307EE"/>
    <w:rsid w:val="00330BB1"/>
    <w:rsid w:val="00331057"/>
    <w:rsid w:val="00331A0C"/>
    <w:rsid w:val="00331D8C"/>
    <w:rsid w:val="00331F7D"/>
    <w:rsid w:val="003326FC"/>
    <w:rsid w:val="00332778"/>
    <w:rsid w:val="00333175"/>
    <w:rsid w:val="0033367D"/>
    <w:rsid w:val="00333A87"/>
    <w:rsid w:val="00334B3F"/>
    <w:rsid w:val="00334B9A"/>
    <w:rsid w:val="00334CE7"/>
    <w:rsid w:val="0033554D"/>
    <w:rsid w:val="00335EFC"/>
    <w:rsid w:val="00336016"/>
    <w:rsid w:val="00336623"/>
    <w:rsid w:val="00336717"/>
    <w:rsid w:val="003367E5"/>
    <w:rsid w:val="00336AA4"/>
    <w:rsid w:val="00337702"/>
    <w:rsid w:val="00337DB3"/>
    <w:rsid w:val="00340038"/>
    <w:rsid w:val="00340616"/>
    <w:rsid w:val="003410AF"/>
    <w:rsid w:val="0034182F"/>
    <w:rsid w:val="0034187D"/>
    <w:rsid w:val="00342587"/>
    <w:rsid w:val="003427CB"/>
    <w:rsid w:val="003429CA"/>
    <w:rsid w:val="00342EFF"/>
    <w:rsid w:val="00343B5B"/>
    <w:rsid w:val="003444D7"/>
    <w:rsid w:val="0034511A"/>
    <w:rsid w:val="003454B0"/>
    <w:rsid w:val="0034580E"/>
    <w:rsid w:val="00345CA9"/>
    <w:rsid w:val="0034649A"/>
    <w:rsid w:val="00346A32"/>
    <w:rsid w:val="00346AB8"/>
    <w:rsid w:val="0035129E"/>
    <w:rsid w:val="003524A0"/>
    <w:rsid w:val="0035377E"/>
    <w:rsid w:val="00353849"/>
    <w:rsid w:val="00353964"/>
    <w:rsid w:val="00353E49"/>
    <w:rsid w:val="00353F94"/>
    <w:rsid w:val="003546AC"/>
    <w:rsid w:val="003559C2"/>
    <w:rsid w:val="00355BB0"/>
    <w:rsid w:val="00355FC1"/>
    <w:rsid w:val="0035649C"/>
    <w:rsid w:val="00356A7B"/>
    <w:rsid w:val="003578F6"/>
    <w:rsid w:val="00357ED0"/>
    <w:rsid w:val="00357ED5"/>
    <w:rsid w:val="0036011C"/>
    <w:rsid w:val="0036073B"/>
    <w:rsid w:val="0036076D"/>
    <w:rsid w:val="00360AC8"/>
    <w:rsid w:val="00361C5A"/>
    <w:rsid w:val="00362D33"/>
    <w:rsid w:val="00363B6A"/>
    <w:rsid w:val="003643F7"/>
    <w:rsid w:val="00364FD3"/>
    <w:rsid w:val="00365A0C"/>
    <w:rsid w:val="00365CA7"/>
    <w:rsid w:val="003669E9"/>
    <w:rsid w:val="00366AA6"/>
    <w:rsid w:val="00367368"/>
    <w:rsid w:val="0036768C"/>
    <w:rsid w:val="003678F3"/>
    <w:rsid w:val="0037012F"/>
    <w:rsid w:val="00370B60"/>
    <w:rsid w:val="00370DA2"/>
    <w:rsid w:val="00371356"/>
    <w:rsid w:val="00371417"/>
    <w:rsid w:val="003719B6"/>
    <w:rsid w:val="00371E2C"/>
    <w:rsid w:val="00373133"/>
    <w:rsid w:val="003731D1"/>
    <w:rsid w:val="0037332F"/>
    <w:rsid w:val="00374325"/>
    <w:rsid w:val="003748A6"/>
    <w:rsid w:val="003769E7"/>
    <w:rsid w:val="00376A25"/>
    <w:rsid w:val="0037702A"/>
    <w:rsid w:val="003773EC"/>
    <w:rsid w:val="00377602"/>
    <w:rsid w:val="003803B2"/>
    <w:rsid w:val="003803CA"/>
    <w:rsid w:val="003808B9"/>
    <w:rsid w:val="00381452"/>
    <w:rsid w:val="00381FD1"/>
    <w:rsid w:val="003820A6"/>
    <w:rsid w:val="0038340B"/>
    <w:rsid w:val="003837B8"/>
    <w:rsid w:val="003837EA"/>
    <w:rsid w:val="00383803"/>
    <w:rsid w:val="00383D0D"/>
    <w:rsid w:val="003845FD"/>
    <w:rsid w:val="00384775"/>
    <w:rsid w:val="00386B96"/>
    <w:rsid w:val="003871F5"/>
    <w:rsid w:val="0038722D"/>
    <w:rsid w:val="003878E5"/>
    <w:rsid w:val="00387949"/>
    <w:rsid w:val="00390EBB"/>
    <w:rsid w:val="003912D5"/>
    <w:rsid w:val="00391A13"/>
    <w:rsid w:val="00391CD5"/>
    <w:rsid w:val="00391FEA"/>
    <w:rsid w:val="00392632"/>
    <w:rsid w:val="00393951"/>
    <w:rsid w:val="00393B15"/>
    <w:rsid w:val="003940AB"/>
    <w:rsid w:val="00394D08"/>
    <w:rsid w:val="00395174"/>
    <w:rsid w:val="00395329"/>
    <w:rsid w:val="00395993"/>
    <w:rsid w:val="00396472"/>
    <w:rsid w:val="00396B4C"/>
    <w:rsid w:val="00397B71"/>
    <w:rsid w:val="00397C0A"/>
    <w:rsid w:val="003A039E"/>
    <w:rsid w:val="003A045A"/>
    <w:rsid w:val="003A0FE3"/>
    <w:rsid w:val="003A14E6"/>
    <w:rsid w:val="003A172D"/>
    <w:rsid w:val="003A1BDA"/>
    <w:rsid w:val="003A1D96"/>
    <w:rsid w:val="003A35E6"/>
    <w:rsid w:val="003A3956"/>
    <w:rsid w:val="003A50E2"/>
    <w:rsid w:val="003A5BAB"/>
    <w:rsid w:val="003A61E0"/>
    <w:rsid w:val="003A6FDB"/>
    <w:rsid w:val="003A7169"/>
    <w:rsid w:val="003A72B1"/>
    <w:rsid w:val="003B174F"/>
    <w:rsid w:val="003B1A1D"/>
    <w:rsid w:val="003B250F"/>
    <w:rsid w:val="003B2958"/>
    <w:rsid w:val="003B29E8"/>
    <w:rsid w:val="003B2F2F"/>
    <w:rsid w:val="003B335F"/>
    <w:rsid w:val="003B356B"/>
    <w:rsid w:val="003B3DCC"/>
    <w:rsid w:val="003B456C"/>
    <w:rsid w:val="003B50E3"/>
    <w:rsid w:val="003B59B2"/>
    <w:rsid w:val="003B63AA"/>
    <w:rsid w:val="003B653B"/>
    <w:rsid w:val="003B684B"/>
    <w:rsid w:val="003B6B11"/>
    <w:rsid w:val="003B744C"/>
    <w:rsid w:val="003B759D"/>
    <w:rsid w:val="003C03F3"/>
    <w:rsid w:val="003C0A1D"/>
    <w:rsid w:val="003C0C07"/>
    <w:rsid w:val="003C0CF7"/>
    <w:rsid w:val="003C192C"/>
    <w:rsid w:val="003C1D76"/>
    <w:rsid w:val="003C2796"/>
    <w:rsid w:val="003C2C90"/>
    <w:rsid w:val="003C53A4"/>
    <w:rsid w:val="003C5B4E"/>
    <w:rsid w:val="003C67EA"/>
    <w:rsid w:val="003C68D5"/>
    <w:rsid w:val="003C6DE8"/>
    <w:rsid w:val="003C7509"/>
    <w:rsid w:val="003C79A5"/>
    <w:rsid w:val="003D0098"/>
    <w:rsid w:val="003D05A4"/>
    <w:rsid w:val="003D07E4"/>
    <w:rsid w:val="003D0850"/>
    <w:rsid w:val="003D08AE"/>
    <w:rsid w:val="003D09DB"/>
    <w:rsid w:val="003D0BF5"/>
    <w:rsid w:val="003D10CE"/>
    <w:rsid w:val="003D1515"/>
    <w:rsid w:val="003D1A60"/>
    <w:rsid w:val="003D2310"/>
    <w:rsid w:val="003D299A"/>
    <w:rsid w:val="003D2E14"/>
    <w:rsid w:val="003D3B16"/>
    <w:rsid w:val="003D46D0"/>
    <w:rsid w:val="003D5884"/>
    <w:rsid w:val="003D6151"/>
    <w:rsid w:val="003D6C6F"/>
    <w:rsid w:val="003D6C7D"/>
    <w:rsid w:val="003D769F"/>
    <w:rsid w:val="003E0186"/>
    <w:rsid w:val="003E2259"/>
    <w:rsid w:val="003E2791"/>
    <w:rsid w:val="003E2B92"/>
    <w:rsid w:val="003E3313"/>
    <w:rsid w:val="003E34C8"/>
    <w:rsid w:val="003E3A5E"/>
    <w:rsid w:val="003E422C"/>
    <w:rsid w:val="003E7862"/>
    <w:rsid w:val="003E7C53"/>
    <w:rsid w:val="003F06DF"/>
    <w:rsid w:val="003F29DD"/>
    <w:rsid w:val="003F4987"/>
    <w:rsid w:val="003F4DE1"/>
    <w:rsid w:val="003F54C3"/>
    <w:rsid w:val="003F578A"/>
    <w:rsid w:val="003F595C"/>
    <w:rsid w:val="003F59E0"/>
    <w:rsid w:val="003F5A77"/>
    <w:rsid w:val="003F5A8A"/>
    <w:rsid w:val="003F6B97"/>
    <w:rsid w:val="003F764C"/>
    <w:rsid w:val="0040005B"/>
    <w:rsid w:val="004000CE"/>
    <w:rsid w:val="004001F8"/>
    <w:rsid w:val="00400707"/>
    <w:rsid w:val="00402948"/>
    <w:rsid w:val="00402B10"/>
    <w:rsid w:val="00402B72"/>
    <w:rsid w:val="00403A06"/>
    <w:rsid w:val="00403A2F"/>
    <w:rsid w:val="004043B0"/>
    <w:rsid w:val="00404807"/>
    <w:rsid w:val="00405056"/>
    <w:rsid w:val="00406BBB"/>
    <w:rsid w:val="00407C3A"/>
    <w:rsid w:val="004103B8"/>
    <w:rsid w:val="00410440"/>
    <w:rsid w:val="00412311"/>
    <w:rsid w:val="0041283F"/>
    <w:rsid w:val="00413B67"/>
    <w:rsid w:val="00413BE3"/>
    <w:rsid w:val="0041556E"/>
    <w:rsid w:val="0041596C"/>
    <w:rsid w:val="00415D2D"/>
    <w:rsid w:val="00416864"/>
    <w:rsid w:val="004173FE"/>
    <w:rsid w:val="0041740B"/>
    <w:rsid w:val="0041791C"/>
    <w:rsid w:val="00417F1C"/>
    <w:rsid w:val="00420297"/>
    <w:rsid w:val="00420A59"/>
    <w:rsid w:val="00420FC3"/>
    <w:rsid w:val="004215A3"/>
    <w:rsid w:val="00422F89"/>
    <w:rsid w:val="004247FB"/>
    <w:rsid w:val="00424BA1"/>
    <w:rsid w:val="00424D30"/>
    <w:rsid w:val="004264F0"/>
    <w:rsid w:val="00427BDD"/>
    <w:rsid w:val="00427CDF"/>
    <w:rsid w:val="004301DF"/>
    <w:rsid w:val="00430C4F"/>
    <w:rsid w:val="00430E8A"/>
    <w:rsid w:val="00430FEB"/>
    <w:rsid w:val="004316AB"/>
    <w:rsid w:val="00431DC2"/>
    <w:rsid w:val="0043211E"/>
    <w:rsid w:val="00433059"/>
    <w:rsid w:val="00433B82"/>
    <w:rsid w:val="00433C54"/>
    <w:rsid w:val="00433CD8"/>
    <w:rsid w:val="00433DEB"/>
    <w:rsid w:val="0043483B"/>
    <w:rsid w:val="004354D7"/>
    <w:rsid w:val="00436403"/>
    <w:rsid w:val="00436779"/>
    <w:rsid w:val="00437D2E"/>
    <w:rsid w:val="00440348"/>
    <w:rsid w:val="00440654"/>
    <w:rsid w:val="00440918"/>
    <w:rsid w:val="00440C1A"/>
    <w:rsid w:val="004411FD"/>
    <w:rsid w:val="00441E23"/>
    <w:rsid w:val="0044218B"/>
    <w:rsid w:val="00442FEF"/>
    <w:rsid w:val="00443AD3"/>
    <w:rsid w:val="00443F22"/>
    <w:rsid w:val="00444AE7"/>
    <w:rsid w:val="00446270"/>
    <w:rsid w:val="004468D3"/>
    <w:rsid w:val="00446BC1"/>
    <w:rsid w:val="00446BD3"/>
    <w:rsid w:val="00446DB1"/>
    <w:rsid w:val="00446E33"/>
    <w:rsid w:val="00447114"/>
    <w:rsid w:val="00451065"/>
    <w:rsid w:val="00452041"/>
    <w:rsid w:val="00452646"/>
    <w:rsid w:val="00452808"/>
    <w:rsid w:val="00452AAB"/>
    <w:rsid w:val="00452B76"/>
    <w:rsid w:val="00452C35"/>
    <w:rsid w:val="00453076"/>
    <w:rsid w:val="00453C5F"/>
    <w:rsid w:val="00453E20"/>
    <w:rsid w:val="00454529"/>
    <w:rsid w:val="004547EF"/>
    <w:rsid w:val="00454C0F"/>
    <w:rsid w:val="00455300"/>
    <w:rsid w:val="004553E6"/>
    <w:rsid w:val="0045542C"/>
    <w:rsid w:val="00455678"/>
    <w:rsid w:val="00456CCB"/>
    <w:rsid w:val="00456F11"/>
    <w:rsid w:val="004572EA"/>
    <w:rsid w:val="0045769F"/>
    <w:rsid w:val="00460083"/>
    <w:rsid w:val="0046028E"/>
    <w:rsid w:val="00461B62"/>
    <w:rsid w:val="0046212A"/>
    <w:rsid w:val="004625F8"/>
    <w:rsid w:val="004626D5"/>
    <w:rsid w:val="0046272B"/>
    <w:rsid w:val="00462B60"/>
    <w:rsid w:val="00463374"/>
    <w:rsid w:val="00464D64"/>
    <w:rsid w:val="00464EB3"/>
    <w:rsid w:val="004659F6"/>
    <w:rsid w:val="00466308"/>
    <w:rsid w:val="00466BAC"/>
    <w:rsid w:val="0046736B"/>
    <w:rsid w:val="00470D0D"/>
    <w:rsid w:val="004714DA"/>
    <w:rsid w:val="0047208B"/>
    <w:rsid w:val="00472682"/>
    <w:rsid w:val="00473346"/>
    <w:rsid w:val="00473FFE"/>
    <w:rsid w:val="004743DC"/>
    <w:rsid w:val="0047606E"/>
    <w:rsid w:val="004760AD"/>
    <w:rsid w:val="004761F3"/>
    <w:rsid w:val="0047631D"/>
    <w:rsid w:val="00477123"/>
    <w:rsid w:val="004818BF"/>
    <w:rsid w:val="00482400"/>
    <w:rsid w:val="00483690"/>
    <w:rsid w:val="00483AE5"/>
    <w:rsid w:val="00483BC7"/>
    <w:rsid w:val="00484180"/>
    <w:rsid w:val="00484403"/>
    <w:rsid w:val="00484A88"/>
    <w:rsid w:val="0048513D"/>
    <w:rsid w:val="004852CC"/>
    <w:rsid w:val="00485354"/>
    <w:rsid w:val="00485650"/>
    <w:rsid w:val="00485927"/>
    <w:rsid w:val="00485DE0"/>
    <w:rsid w:val="00485DEE"/>
    <w:rsid w:val="00486BA1"/>
    <w:rsid w:val="0049000A"/>
    <w:rsid w:val="004904BC"/>
    <w:rsid w:val="004908D5"/>
    <w:rsid w:val="00490B52"/>
    <w:rsid w:val="00490EB2"/>
    <w:rsid w:val="00491159"/>
    <w:rsid w:val="004914C7"/>
    <w:rsid w:val="004917A5"/>
    <w:rsid w:val="00491AEA"/>
    <w:rsid w:val="00492206"/>
    <w:rsid w:val="00492C3F"/>
    <w:rsid w:val="00493CCE"/>
    <w:rsid w:val="0049424B"/>
    <w:rsid w:val="00497AA3"/>
    <w:rsid w:val="004A08E3"/>
    <w:rsid w:val="004A0F95"/>
    <w:rsid w:val="004A230F"/>
    <w:rsid w:val="004A231F"/>
    <w:rsid w:val="004A3111"/>
    <w:rsid w:val="004A54C6"/>
    <w:rsid w:val="004A57C3"/>
    <w:rsid w:val="004A5A73"/>
    <w:rsid w:val="004A63A6"/>
    <w:rsid w:val="004A662D"/>
    <w:rsid w:val="004A6916"/>
    <w:rsid w:val="004A6E20"/>
    <w:rsid w:val="004A6E77"/>
    <w:rsid w:val="004A6F5B"/>
    <w:rsid w:val="004A75BE"/>
    <w:rsid w:val="004A7AB1"/>
    <w:rsid w:val="004B0205"/>
    <w:rsid w:val="004B141E"/>
    <w:rsid w:val="004B1997"/>
    <w:rsid w:val="004B2E73"/>
    <w:rsid w:val="004B32BE"/>
    <w:rsid w:val="004B39B1"/>
    <w:rsid w:val="004B3C6F"/>
    <w:rsid w:val="004B46E7"/>
    <w:rsid w:val="004B5494"/>
    <w:rsid w:val="004B6775"/>
    <w:rsid w:val="004B796E"/>
    <w:rsid w:val="004C046D"/>
    <w:rsid w:val="004C0C97"/>
    <w:rsid w:val="004C0F2A"/>
    <w:rsid w:val="004C13EF"/>
    <w:rsid w:val="004C1925"/>
    <w:rsid w:val="004C1A29"/>
    <w:rsid w:val="004C1F63"/>
    <w:rsid w:val="004C2238"/>
    <w:rsid w:val="004C3970"/>
    <w:rsid w:val="004C5EED"/>
    <w:rsid w:val="004C5FBB"/>
    <w:rsid w:val="004C64B7"/>
    <w:rsid w:val="004C7306"/>
    <w:rsid w:val="004C74CB"/>
    <w:rsid w:val="004C7D2F"/>
    <w:rsid w:val="004D1CB5"/>
    <w:rsid w:val="004D2210"/>
    <w:rsid w:val="004D2FFF"/>
    <w:rsid w:val="004D364A"/>
    <w:rsid w:val="004D391B"/>
    <w:rsid w:val="004D4439"/>
    <w:rsid w:val="004D46A9"/>
    <w:rsid w:val="004D4BA6"/>
    <w:rsid w:val="004D4F5A"/>
    <w:rsid w:val="004D6450"/>
    <w:rsid w:val="004D78D3"/>
    <w:rsid w:val="004D7AC4"/>
    <w:rsid w:val="004E05B9"/>
    <w:rsid w:val="004E07A6"/>
    <w:rsid w:val="004E1282"/>
    <w:rsid w:val="004E1FE2"/>
    <w:rsid w:val="004E20F1"/>
    <w:rsid w:val="004E22C9"/>
    <w:rsid w:val="004E53CF"/>
    <w:rsid w:val="004E630A"/>
    <w:rsid w:val="004E6D40"/>
    <w:rsid w:val="004E6D6D"/>
    <w:rsid w:val="004E6E8F"/>
    <w:rsid w:val="004E7D12"/>
    <w:rsid w:val="004F1532"/>
    <w:rsid w:val="004F1669"/>
    <w:rsid w:val="004F1827"/>
    <w:rsid w:val="004F4F7A"/>
    <w:rsid w:val="004F510D"/>
    <w:rsid w:val="004F5383"/>
    <w:rsid w:val="004F59BE"/>
    <w:rsid w:val="004F5C88"/>
    <w:rsid w:val="004F5E53"/>
    <w:rsid w:val="004F679E"/>
    <w:rsid w:val="004F7506"/>
    <w:rsid w:val="004F7A8F"/>
    <w:rsid w:val="00500683"/>
    <w:rsid w:val="00500B73"/>
    <w:rsid w:val="005020EF"/>
    <w:rsid w:val="00502EBE"/>
    <w:rsid w:val="0050394E"/>
    <w:rsid w:val="00503D9C"/>
    <w:rsid w:val="00503EBF"/>
    <w:rsid w:val="005040F0"/>
    <w:rsid w:val="00504507"/>
    <w:rsid w:val="00504967"/>
    <w:rsid w:val="00505793"/>
    <w:rsid w:val="00505794"/>
    <w:rsid w:val="00505977"/>
    <w:rsid w:val="00505B97"/>
    <w:rsid w:val="00505CBF"/>
    <w:rsid w:val="00506552"/>
    <w:rsid w:val="00506A12"/>
    <w:rsid w:val="00507383"/>
    <w:rsid w:val="00507511"/>
    <w:rsid w:val="0051050E"/>
    <w:rsid w:val="00510ABD"/>
    <w:rsid w:val="005112E9"/>
    <w:rsid w:val="005119F2"/>
    <w:rsid w:val="00512381"/>
    <w:rsid w:val="00512B6A"/>
    <w:rsid w:val="00512D4D"/>
    <w:rsid w:val="00513230"/>
    <w:rsid w:val="00513584"/>
    <w:rsid w:val="00513705"/>
    <w:rsid w:val="00514B18"/>
    <w:rsid w:val="00514FA0"/>
    <w:rsid w:val="00515106"/>
    <w:rsid w:val="0051547E"/>
    <w:rsid w:val="00515A8F"/>
    <w:rsid w:val="00515B30"/>
    <w:rsid w:val="00515EAA"/>
    <w:rsid w:val="00516324"/>
    <w:rsid w:val="005168D4"/>
    <w:rsid w:val="0051730D"/>
    <w:rsid w:val="005174AE"/>
    <w:rsid w:val="00517650"/>
    <w:rsid w:val="00517B48"/>
    <w:rsid w:val="00520DA6"/>
    <w:rsid w:val="00520E97"/>
    <w:rsid w:val="005213F6"/>
    <w:rsid w:val="00521587"/>
    <w:rsid w:val="00521EF1"/>
    <w:rsid w:val="0052249F"/>
    <w:rsid w:val="00522725"/>
    <w:rsid w:val="005228E8"/>
    <w:rsid w:val="00522A1A"/>
    <w:rsid w:val="00523261"/>
    <w:rsid w:val="00523EF6"/>
    <w:rsid w:val="00524842"/>
    <w:rsid w:val="00524EA5"/>
    <w:rsid w:val="00525446"/>
    <w:rsid w:val="005254C0"/>
    <w:rsid w:val="00525AA9"/>
    <w:rsid w:val="00526DBB"/>
    <w:rsid w:val="0052717D"/>
    <w:rsid w:val="00527C43"/>
    <w:rsid w:val="00530049"/>
    <w:rsid w:val="00530519"/>
    <w:rsid w:val="00530B63"/>
    <w:rsid w:val="00531024"/>
    <w:rsid w:val="0053111C"/>
    <w:rsid w:val="00531842"/>
    <w:rsid w:val="005318F0"/>
    <w:rsid w:val="00532A15"/>
    <w:rsid w:val="00532A34"/>
    <w:rsid w:val="00532C2C"/>
    <w:rsid w:val="00533534"/>
    <w:rsid w:val="005338C2"/>
    <w:rsid w:val="00533AC8"/>
    <w:rsid w:val="00534298"/>
    <w:rsid w:val="005349F1"/>
    <w:rsid w:val="00534E1C"/>
    <w:rsid w:val="00534FB4"/>
    <w:rsid w:val="00535F9E"/>
    <w:rsid w:val="00537440"/>
    <w:rsid w:val="005377DB"/>
    <w:rsid w:val="00541764"/>
    <w:rsid w:val="0054193F"/>
    <w:rsid w:val="00542134"/>
    <w:rsid w:val="005422B1"/>
    <w:rsid w:val="00542E83"/>
    <w:rsid w:val="0054378D"/>
    <w:rsid w:val="00543B4F"/>
    <w:rsid w:val="00544BAE"/>
    <w:rsid w:val="0054525E"/>
    <w:rsid w:val="0054602B"/>
    <w:rsid w:val="00547518"/>
    <w:rsid w:val="00547781"/>
    <w:rsid w:val="00550224"/>
    <w:rsid w:val="005511D4"/>
    <w:rsid w:val="00551B50"/>
    <w:rsid w:val="00551C87"/>
    <w:rsid w:val="00551E98"/>
    <w:rsid w:val="00551FC9"/>
    <w:rsid w:val="00552DB1"/>
    <w:rsid w:val="0055310B"/>
    <w:rsid w:val="0055499A"/>
    <w:rsid w:val="005552B1"/>
    <w:rsid w:val="00556A27"/>
    <w:rsid w:val="0055720E"/>
    <w:rsid w:val="00557810"/>
    <w:rsid w:val="00557A3E"/>
    <w:rsid w:val="00557A91"/>
    <w:rsid w:val="00557D51"/>
    <w:rsid w:val="005624C5"/>
    <w:rsid w:val="005625E2"/>
    <w:rsid w:val="00564473"/>
    <w:rsid w:val="0056482C"/>
    <w:rsid w:val="00565685"/>
    <w:rsid w:val="005671F5"/>
    <w:rsid w:val="00567633"/>
    <w:rsid w:val="005678BE"/>
    <w:rsid w:val="005679D2"/>
    <w:rsid w:val="00571802"/>
    <w:rsid w:val="00572023"/>
    <w:rsid w:val="0057231B"/>
    <w:rsid w:val="0057252E"/>
    <w:rsid w:val="00572716"/>
    <w:rsid w:val="00572DD4"/>
    <w:rsid w:val="00572E4B"/>
    <w:rsid w:val="00573CD8"/>
    <w:rsid w:val="00574336"/>
    <w:rsid w:val="00574B93"/>
    <w:rsid w:val="00574F0D"/>
    <w:rsid w:val="0057548A"/>
    <w:rsid w:val="00577098"/>
    <w:rsid w:val="00577C9E"/>
    <w:rsid w:val="00577CA5"/>
    <w:rsid w:val="0058000D"/>
    <w:rsid w:val="0058080F"/>
    <w:rsid w:val="00580F35"/>
    <w:rsid w:val="00581860"/>
    <w:rsid w:val="0058372F"/>
    <w:rsid w:val="00583FC7"/>
    <w:rsid w:val="00585187"/>
    <w:rsid w:val="005853C5"/>
    <w:rsid w:val="00585BE4"/>
    <w:rsid w:val="00585C96"/>
    <w:rsid w:val="00586030"/>
    <w:rsid w:val="00586223"/>
    <w:rsid w:val="005865E7"/>
    <w:rsid w:val="00586881"/>
    <w:rsid w:val="00586B81"/>
    <w:rsid w:val="00586E52"/>
    <w:rsid w:val="005872BF"/>
    <w:rsid w:val="0059024A"/>
    <w:rsid w:val="0059051D"/>
    <w:rsid w:val="00590BBC"/>
    <w:rsid w:val="00590D6B"/>
    <w:rsid w:val="00590E87"/>
    <w:rsid w:val="0059101E"/>
    <w:rsid w:val="0059136B"/>
    <w:rsid w:val="00591985"/>
    <w:rsid w:val="00592302"/>
    <w:rsid w:val="0059258B"/>
    <w:rsid w:val="00592597"/>
    <w:rsid w:val="0059354F"/>
    <w:rsid w:val="005936A3"/>
    <w:rsid w:val="00594321"/>
    <w:rsid w:val="00594342"/>
    <w:rsid w:val="00594531"/>
    <w:rsid w:val="00594656"/>
    <w:rsid w:val="00594F73"/>
    <w:rsid w:val="00594FB9"/>
    <w:rsid w:val="005952C7"/>
    <w:rsid w:val="00595B25"/>
    <w:rsid w:val="00595E96"/>
    <w:rsid w:val="00596CD7"/>
    <w:rsid w:val="005971E7"/>
    <w:rsid w:val="005A077E"/>
    <w:rsid w:val="005A09C4"/>
    <w:rsid w:val="005A21EF"/>
    <w:rsid w:val="005A29C0"/>
    <w:rsid w:val="005A3101"/>
    <w:rsid w:val="005A35B5"/>
    <w:rsid w:val="005A40C0"/>
    <w:rsid w:val="005A444D"/>
    <w:rsid w:val="005A4520"/>
    <w:rsid w:val="005A48CE"/>
    <w:rsid w:val="005A4BA1"/>
    <w:rsid w:val="005A69B5"/>
    <w:rsid w:val="005A75FF"/>
    <w:rsid w:val="005B0BAC"/>
    <w:rsid w:val="005B0DF1"/>
    <w:rsid w:val="005B0F94"/>
    <w:rsid w:val="005B166B"/>
    <w:rsid w:val="005B34F3"/>
    <w:rsid w:val="005B3534"/>
    <w:rsid w:val="005B375B"/>
    <w:rsid w:val="005B3BEF"/>
    <w:rsid w:val="005B3C73"/>
    <w:rsid w:val="005B3D91"/>
    <w:rsid w:val="005B40BE"/>
    <w:rsid w:val="005B4132"/>
    <w:rsid w:val="005B4632"/>
    <w:rsid w:val="005B6C41"/>
    <w:rsid w:val="005B7533"/>
    <w:rsid w:val="005C04FD"/>
    <w:rsid w:val="005C0D1D"/>
    <w:rsid w:val="005C1783"/>
    <w:rsid w:val="005C27E2"/>
    <w:rsid w:val="005C3258"/>
    <w:rsid w:val="005C332F"/>
    <w:rsid w:val="005C393E"/>
    <w:rsid w:val="005C4630"/>
    <w:rsid w:val="005C50B2"/>
    <w:rsid w:val="005C5468"/>
    <w:rsid w:val="005C6860"/>
    <w:rsid w:val="005C7819"/>
    <w:rsid w:val="005D036E"/>
    <w:rsid w:val="005D0977"/>
    <w:rsid w:val="005D19A4"/>
    <w:rsid w:val="005D264E"/>
    <w:rsid w:val="005D27FF"/>
    <w:rsid w:val="005D2A28"/>
    <w:rsid w:val="005D2CC3"/>
    <w:rsid w:val="005D3A56"/>
    <w:rsid w:val="005D502A"/>
    <w:rsid w:val="005D5776"/>
    <w:rsid w:val="005D5CBD"/>
    <w:rsid w:val="005D5DAF"/>
    <w:rsid w:val="005E036A"/>
    <w:rsid w:val="005E105F"/>
    <w:rsid w:val="005E11CA"/>
    <w:rsid w:val="005E1517"/>
    <w:rsid w:val="005E15E9"/>
    <w:rsid w:val="005E195C"/>
    <w:rsid w:val="005E1E93"/>
    <w:rsid w:val="005E2FD0"/>
    <w:rsid w:val="005E35B3"/>
    <w:rsid w:val="005E3906"/>
    <w:rsid w:val="005E3BF5"/>
    <w:rsid w:val="005E4B0A"/>
    <w:rsid w:val="005E4B14"/>
    <w:rsid w:val="005E4DA5"/>
    <w:rsid w:val="005E520E"/>
    <w:rsid w:val="005E5705"/>
    <w:rsid w:val="005E5B9A"/>
    <w:rsid w:val="005E5C5A"/>
    <w:rsid w:val="005E5D06"/>
    <w:rsid w:val="005E60DC"/>
    <w:rsid w:val="005E61EC"/>
    <w:rsid w:val="005E7131"/>
    <w:rsid w:val="005E741D"/>
    <w:rsid w:val="005E7D9E"/>
    <w:rsid w:val="005F0AA4"/>
    <w:rsid w:val="005F14D8"/>
    <w:rsid w:val="005F2621"/>
    <w:rsid w:val="005F2783"/>
    <w:rsid w:val="005F2B83"/>
    <w:rsid w:val="005F34A3"/>
    <w:rsid w:val="005F4191"/>
    <w:rsid w:val="005F4386"/>
    <w:rsid w:val="005F498A"/>
    <w:rsid w:val="005F4F68"/>
    <w:rsid w:val="005F59A7"/>
    <w:rsid w:val="005F5E23"/>
    <w:rsid w:val="005F62E8"/>
    <w:rsid w:val="005F6407"/>
    <w:rsid w:val="005F6776"/>
    <w:rsid w:val="005F7057"/>
    <w:rsid w:val="005F7469"/>
    <w:rsid w:val="006011D4"/>
    <w:rsid w:val="00602B54"/>
    <w:rsid w:val="0060395F"/>
    <w:rsid w:val="006044BF"/>
    <w:rsid w:val="00604839"/>
    <w:rsid w:val="006049E0"/>
    <w:rsid w:val="00604E93"/>
    <w:rsid w:val="00604F05"/>
    <w:rsid w:val="00605387"/>
    <w:rsid w:val="0060597D"/>
    <w:rsid w:val="00605FF4"/>
    <w:rsid w:val="00606174"/>
    <w:rsid w:val="006062D8"/>
    <w:rsid w:val="00606648"/>
    <w:rsid w:val="00606922"/>
    <w:rsid w:val="00606FF5"/>
    <w:rsid w:val="00607F20"/>
    <w:rsid w:val="00611896"/>
    <w:rsid w:val="00613A37"/>
    <w:rsid w:val="0061487A"/>
    <w:rsid w:val="00615538"/>
    <w:rsid w:val="0061588F"/>
    <w:rsid w:val="00615B1A"/>
    <w:rsid w:val="00615E03"/>
    <w:rsid w:val="006165D9"/>
    <w:rsid w:val="006166C6"/>
    <w:rsid w:val="0061718D"/>
    <w:rsid w:val="00617EF5"/>
    <w:rsid w:val="006235E7"/>
    <w:rsid w:val="0062375F"/>
    <w:rsid w:val="00623D52"/>
    <w:rsid w:val="006246DD"/>
    <w:rsid w:val="006248B2"/>
    <w:rsid w:val="006248DC"/>
    <w:rsid w:val="00624945"/>
    <w:rsid w:val="00625020"/>
    <w:rsid w:val="0062525A"/>
    <w:rsid w:val="006254F1"/>
    <w:rsid w:val="00625B65"/>
    <w:rsid w:val="00626021"/>
    <w:rsid w:val="006260CB"/>
    <w:rsid w:val="00626171"/>
    <w:rsid w:val="006264A9"/>
    <w:rsid w:val="00626560"/>
    <w:rsid w:val="00627071"/>
    <w:rsid w:val="00627189"/>
    <w:rsid w:val="00627558"/>
    <w:rsid w:val="00627833"/>
    <w:rsid w:val="00627B84"/>
    <w:rsid w:val="00631C9D"/>
    <w:rsid w:val="00631EA4"/>
    <w:rsid w:val="00632196"/>
    <w:rsid w:val="00632A31"/>
    <w:rsid w:val="00633485"/>
    <w:rsid w:val="00633EC2"/>
    <w:rsid w:val="006345DE"/>
    <w:rsid w:val="00634921"/>
    <w:rsid w:val="00634C4E"/>
    <w:rsid w:val="00634CC2"/>
    <w:rsid w:val="00635287"/>
    <w:rsid w:val="006356E2"/>
    <w:rsid w:val="00635819"/>
    <w:rsid w:val="006359E3"/>
    <w:rsid w:val="006363BE"/>
    <w:rsid w:val="0063649B"/>
    <w:rsid w:val="0063665D"/>
    <w:rsid w:val="006375F1"/>
    <w:rsid w:val="00640836"/>
    <w:rsid w:val="00640892"/>
    <w:rsid w:val="0064096B"/>
    <w:rsid w:val="00640F30"/>
    <w:rsid w:val="00641774"/>
    <w:rsid w:val="00641E62"/>
    <w:rsid w:val="00642325"/>
    <w:rsid w:val="00643431"/>
    <w:rsid w:val="0064367C"/>
    <w:rsid w:val="006447A9"/>
    <w:rsid w:val="00644E2E"/>
    <w:rsid w:val="00645C15"/>
    <w:rsid w:val="00645DD6"/>
    <w:rsid w:val="00646299"/>
    <w:rsid w:val="00646D26"/>
    <w:rsid w:val="00647648"/>
    <w:rsid w:val="00650A06"/>
    <w:rsid w:val="00652480"/>
    <w:rsid w:val="00652652"/>
    <w:rsid w:val="006526A8"/>
    <w:rsid w:val="006532D1"/>
    <w:rsid w:val="0065354F"/>
    <w:rsid w:val="00653BBC"/>
    <w:rsid w:val="006549A0"/>
    <w:rsid w:val="00654E2F"/>
    <w:rsid w:val="00655822"/>
    <w:rsid w:val="00655D59"/>
    <w:rsid w:val="00656C2F"/>
    <w:rsid w:val="00656EF8"/>
    <w:rsid w:val="00657885"/>
    <w:rsid w:val="00660518"/>
    <w:rsid w:val="00660DF2"/>
    <w:rsid w:val="00661DB6"/>
    <w:rsid w:val="00661F84"/>
    <w:rsid w:val="00663568"/>
    <w:rsid w:val="00664196"/>
    <w:rsid w:val="0066489E"/>
    <w:rsid w:val="0066566F"/>
    <w:rsid w:val="00665BDE"/>
    <w:rsid w:val="00665EE9"/>
    <w:rsid w:val="006665A0"/>
    <w:rsid w:val="00666EEB"/>
    <w:rsid w:val="00670F56"/>
    <w:rsid w:val="0067178A"/>
    <w:rsid w:val="006719A7"/>
    <w:rsid w:val="00671CA0"/>
    <w:rsid w:val="00671D45"/>
    <w:rsid w:val="006727ED"/>
    <w:rsid w:val="00672FB1"/>
    <w:rsid w:val="006738AC"/>
    <w:rsid w:val="00673D31"/>
    <w:rsid w:val="006746B9"/>
    <w:rsid w:val="00674F50"/>
    <w:rsid w:val="006761CB"/>
    <w:rsid w:val="00676317"/>
    <w:rsid w:val="00677E79"/>
    <w:rsid w:val="00677F48"/>
    <w:rsid w:val="00680183"/>
    <w:rsid w:val="006802AE"/>
    <w:rsid w:val="00680354"/>
    <w:rsid w:val="00681574"/>
    <w:rsid w:val="006829B8"/>
    <w:rsid w:val="00682A2D"/>
    <w:rsid w:val="00682FF6"/>
    <w:rsid w:val="0068333D"/>
    <w:rsid w:val="006838CA"/>
    <w:rsid w:val="006840DE"/>
    <w:rsid w:val="0068455D"/>
    <w:rsid w:val="006859AD"/>
    <w:rsid w:val="00685F24"/>
    <w:rsid w:val="00686E15"/>
    <w:rsid w:val="00687664"/>
    <w:rsid w:val="0068786A"/>
    <w:rsid w:val="0069006C"/>
    <w:rsid w:val="00690480"/>
    <w:rsid w:val="006910C8"/>
    <w:rsid w:val="006920E6"/>
    <w:rsid w:val="0069280F"/>
    <w:rsid w:val="00692E4E"/>
    <w:rsid w:val="00693401"/>
    <w:rsid w:val="00694279"/>
    <w:rsid w:val="0069445A"/>
    <w:rsid w:val="00694BC3"/>
    <w:rsid w:val="00696F85"/>
    <w:rsid w:val="00697918"/>
    <w:rsid w:val="00697A80"/>
    <w:rsid w:val="006A0495"/>
    <w:rsid w:val="006A0CCF"/>
    <w:rsid w:val="006A218F"/>
    <w:rsid w:val="006A2355"/>
    <w:rsid w:val="006A2F43"/>
    <w:rsid w:val="006A3190"/>
    <w:rsid w:val="006A3CB3"/>
    <w:rsid w:val="006A4BD1"/>
    <w:rsid w:val="006A4D14"/>
    <w:rsid w:val="006A542A"/>
    <w:rsid w:val="006A7BDA"/>
    <w:rsid w:val="006A7ED8"/>
    <w:rsid w:val="006B12CF"/>
    <w:rsid w:val="006B1919"/>
    <w:rsid w:val="006B1D67"/>
    <w:rsid w:val="006B3116"/>
    <w:rsid w:val="006B32A7"/>
    <w:rsid w:val="006B4A34"/>
    <w:rsid w:val="006B4D9F"/>
    <w:rsid w:val="006B5C67"/>
    <w:rsid w:val="006B5CEC"/>
    <w:rsid w:val="006B601F"/>
    <w:rsid w:val="006B615C"/>
    <w:rsid w:val="006B6196"/>
    <w:rsid w:val="006B6217"/>
    <w:rsid w:val="006B769D"/>
    <w:rsid w:val="006C01C2"/>
    <w:rsid w:val="006C0306"/>
    <w:rsid w:val="006C05E3"/>
    <w:rsid w:val="006C13F1"/>
    <w:rsid w:val="006C1D95"/>
    <w:rsid w:val="006C1EF1"/>
    <w:rsid w:val="006C254D"/>
    <w:rsid w:val="006C2842"/>
    <w:rsid w:val="006C2BDF"/>
    <w:rsid w:val="006C327A"/>
    <w:rsid w:val="006C49BB"/>
    <w:rsid w:val="006C4C02"/>
    <w:rsid w:val="006C6DB7"/>
    <w:rsid w:val="006C6E1D"/>
    <w:rsid w:val="006C7748"/>
    <w:rsid w:val="006C7F23"/>
    <w:rsid w:val="006D0891"/>
    <w:rsid w:val="006D0C51"/>
    <w:rsid w:val="006D0D8B"/>
    <w:rsid w:val="006D1157"/>
    <w:rsid w:val="006D1896"/>
    <w:rsid w:val="006D2853"/>
    <w:rsid w:val="006D3186"/>
    <w:rsid w:val="006D334E"/>
    <w:rsid w:val="006D3881"/>
    <w:rsid w:val="006D394F"/>
    <w:rsid w:val="006D4B0B"/>
    <w:rsid w:val="006D4FEF"/>
    <w:rsid w:val="006D59E6"/>
    <w:rsid w:val="006D5C39"/>
    <w:rsid w:val="006D5F42"/>
    <w:rsid w:val="006D69ED"/>
    <w:rsid w:val="006D6A8A"/>
    <w:rsid w:val="006D74FB"/>
    <w:rsid w:val="006D7DFD"/>
    <w:rsid w:val="006D7E5C"/>
    <w:rsid w:val="006E02FA"/>
    <w:rsid w:val="006E0971"/>
    <w:rsid w:val="006E0DC3"/>
    <w:rsid w:val="006E14E7"/>
    <w:rsid w:val="006E18FF"/>
    <w:rsid w:val="006E5DFF"/>
    <w:rsid w:val="006E6452"/>
    <w:rsid w:val="006E6847"/>
    <w:rsid w:val="006E7FAD"/>
    <w:rsid w:val="006F0760"/>
    <w:rsid w:val="006F0DA1"/>
    <w:rsid w:val="006F0DA3"/>
    <w:rsid w:val="006F12F0"/>
    <w:rsid w:val="006F160C"/>
    <w:rsid w:val="006F25A3"/>
    <w:rsid w:val="006F2641"/>
    <w:rsid w:val="006F273B"/>
    <w:rsid w:val="006F3313"/>
    <w:rsid w:val="006F3A03"/>
    <w:rsid w:val="006F3E3D"/>
    <w:rsid w:val="006F40EC"/>
    <w:rsid w:val="006F44F7"/>
    <w:rsid w:val="006F4681"/>
    <w:rsid w:val="006F4D06"/>
    <w:rsid w:val="006F57D8"/>
    <w:rsid w:val="006F60E0"/>
    <w:rsid w:val="006F6764"/>
    <w:rsid w:val="006F6959"/>
    <w:rsid w:val="006F6F0E"/>
    <w:rsid w:val="006F782C"/>
    <w:rsid w:val="006F7945"/>
    <w:rsid w:val="006F7BA9"/>
    <w:rsid w:val="006F7C38"/>
    <w:rsid w:val="00701024"/>
    <w:rsid w:val="00701EC5"/>
    <w:rsid w:val="00701F22"/>
    <w:rsid w:val="00702452"/>
    <w:rsid w:val="00702B27"/>
    <w:rsid w:val="007031A8"/>
    <w:rsid w:val="007031D5"/>
    <w:rsid w:val="0070363B"/>
    <w:rsid w:val="0070368D"/>
    <w:rsid w:val="00703B53"/>
    <w:rsid w:val="00704404"/>
    <w:rsid w:val="0070489D"/>
    <w:rsid w:val="00705B78"/>
    <w:rsid w:val="00705C40"/>
    <w:rsid w:val="00706576"/>
    <w:rsid w:val="007074BF"/>
    <w:rsid w:val="00707910"/>
    <w:rsid w:val="00707A2D"/>
    <w:rsid w:val="00707B82"/>
    <w:rsid w:val="007102C5"/>
    <w:rsid w:val="007109C7"/>
    <w:rsid w:val="00710BC5"/>
    <w:rsid w:val="0071152C"/>
    <w:rsid w:val="007121ED"/>
    <w:rsid w:val="007131A7"/>
    <w:rsid w:val="0071470F"/>
    <w:rsid w:val="00714CE7"/>
    <w:rsid w:val="00714D26"/>
    <w:rsid w:val="0071657F"/>
    <w:rsid w:val="00716809"/>
    <w:rsid w:val="00716B22"/>
    <w:rsid w:val="00717770"/>
    <w:rsid w:val="00720644"/>
    <w:rsid w:val="00720934"/>
    <w:rsid w:val="00721179"/>
    <w:rsid w:val="007216C6"/>
    <w:rsid w:val="00721E27"/>
    <w:rsid w:val="00722202"/>
    <w:rsid w:val="00722239"/>
    <w:rsid w:val="00722BEB"/>
    <w:rsid w:val="007235E1"/>
    <w:rsid w:val="0072379E"/>
    <w:rsid w:val="00724E54"/>
    <w:rsid w:val="00724F32"/>
    <w:rsid w:val="00725618"/>
    <w:rsid w:val="00726667"/>
    <w:rsid w:val="00726DC2"/>
    <w:rsid w:val="007271D4"/>
    <w:rsid w:val="007273BC"/>
    <w:rsid w:val="007273F7"/>
    <w:rsid w:val="007279C1"/>
    <w:rsid w:val="00730203"/>
    <w:rsid w:val="00730DD5"/>
    <w:rsid w:val="00731093"/>
    <w:rsid w:val="00731853"/>
    <w:rsid w:val="00732C30"/>
    <w:rsid w:val="00733453"/>
    <w:rsid w:val="007339ED"/>
    <w:rsid w:val="00733AFF"/>
    <w:rsid w:val="0073406B"/>
    <w:rsid w:val="00734354"/>
    <w:rsid w:val="00735892"/>
    <w:rsid w:val="0073608E"/>
    <w:rsid w:val="007377DB"/>
    <w:rsid w:val="00740BE0"/>
    <w:rsid w:val="00741A7A"/>
    <w:rsid w:val="00743CB9"/>
    <w:rsid w:val="00743D5F"/>
    <w:rsid w:val="00744436"/>
    <w:rsid w:val="00745439"/>
    <w:rsid w:val="00745C31"/>
    <w:rsid w:val="00745F19"/>
    <w:rsid w:val="00745F32"/>
    <w:rsid w:val="0074684A"/>
    <w:rsid w:val="00746907"/>
    <w:rsid w:val="00750021"/>
    <w:rsid w:val="00750789"/>
    <w:rsid w:val="00750A08"/>
    <w:rsid w:val="00751B37"/>
    <w:rsid w:val="007529F7"/>
    <w:rsid w:val="007536D0"/>
    <w:rsid w:val="00753D86"/>
    <w:rsid w:val="0075473A"/>
    <w:rsid w:val="00754753"/>
    <w:rsid w:val="0075548E"/>
    <w:rsid w:val="007557B1"/>
    <w:rsid w:val="007569A4"/>
    <w:rsid w:val="007577E4"/>
    <w:rsid w:val="00760CD6"/>
    <w:rsid w:val="007613EF"/>
    <w:rsid w:val="007617E8"/>
    <w:rsid w:val="00761BD2"/>
    <w:rsid w:val="0076222D"/>
    <w:rsid w:val="0076267F"/>
    <w:rsid w:val="00763369"/>
    <w:rsid w:val="007641B2"/>
    <w:rsid w:val="00764496"/>
    <w:rsid w:val="00764702"/>
    <w:rsid w:val="00764D59"/>
    <w:rsid w:val="00764F22"/>
    <w:rsid w:val="0076522B"/>
    <w:rsid w:val="00765759"/>
    <w:rsid w:val="00765F30"/>
    <w:rsid w:val="00766A01"/>
    <w:rsid w:val="00766C5E"/>
    <w:rsid w:val="0077026E"/>
    <w:rsid w:val="00770AF1"/>
    <w:rsid w:val="00770C9F"/>
    <w:rsid w:val="007715C1"/>
    <w:rsid w:val="00771972"/>
    <w:rsid w:val="00771ABF"/>
    <w:rsid w:val="00772F86"/>
    <w:rsid w:val="00773965"/>
    <w:rsid w:val="00773B39"/>
    <w:rsid w:val="00774C15"/>
    <w:rsid w:val="00774CB3"/>
    <w:rsid w:val="00774EF3"/>
    <w:rsid w:val="00775229"/>
    <w:rsid w:val="007767C5"/>
    <w:rsid w:val="00777390"/>
    <w:rsid w:val="00777463"/>
    <w:rsid w:val="00777CAB"/>
    <w:rsid w:val="007800EF"/>
    <w:rsid w:val="007802A0"/>
    <w:rsid w:val="00781D8F"/>
    <w:rsid w:val="007824A2"/>
    <w:rsid w:val="00782BC6"/>
    <w:rsid w:val="007835EF"/>
    <w:rsid w:val="00783744"/>
    <w:rsid w:val="00783A04"/>
    <w:rsid w:val="007843BD"/>
    <w:rsid w:val="00785D61"/>
    <w:rsid w:val="00785EC0"/>
    <w:rsid w:val="0078667C"/>
    <w:rsid w:val="00787628"/>
    <w:rsid w:val="0078771F"/>
    <w:rsid w:val="00790D99"/>
    <w:rsid w:val="00791525"/>
    <w:rsid w:val="00791B39"/>
    <w:rsid w:val="00791EB0"/>
    <w:rsid w:val="00791EB3"/>
    <w:rsid w:val="007923A1"/>
    <w:rsid w:val="00792815"/>
    <w:rsid w:val="00793675"/>
    <w:rsid w:val="00793C5B"/>
    <w:rsid w:val="00793DD9"/>
    <w:rsid w:val="00793FF7"/>
    <w:rsid w:val="00794EB7"/>
    <w:rsid w:val="007957C4"/>
    <w:rsid w:val="00795BB1"/>
    <w:rsid w:val="007973BE"/>
    <w:rsid w:val="007A00EA"/>
    <w:rsid w:val="007A06AD"/>
    <w:rsid w:val="007A0A38"/>
    <w:rsid w:val="007A0B7E"/>
    <w:rsid w:val="007A0BC6"/>
    <w:rsid w:val="007A0EE1"/>
    <w:rsid w:val="007A1139"/>
    <w:rsid w:val="007A1359"/>
    <w:rsid w:val="007A144F"/>
    <w:rsid w:val="007A18EF"/>
    <w:rsid w:val="007A264B"/>
    <w:rsid w:val="007A2842"/>
    <w:rsid w:val="007A365A"/>
    <w:rsid w:val="007A408D"/>
    <w:rsid w:val="007A4C23"/>
    <w:rsid w:val="007A5C6D"/>
    <w:rsid w:val="007A6AC0"/>
    <w:rsid w:val="007A6F56"/>
    <w:rsid w:val="007B066C"/>
    <w:rsid w:val="007B0899"/>
    <w:rsid w:val="007B0C45"/>
    <w:rsid w:val="007B11DE"/>
    <w:rsid w:val="007B1418"/>
    <w:rsid w:val="007B188C"/>
    <w:rsid w:val="007B1AD1"/>
    <w:rsid w:val="007B1E2D"/>
    <w:rsid w:val="007B27D1"/>
    <w:rsid w:val="007B2964"/>
    <w:rsid w:val="007B2D4D"/>
    <w:rsid w:val="007B4CCC"/>
    <w:rsid w:val="007B56F8"/>
    <w:rsid w:val="007B59A6"/>
    <w:rsid w:val="007B5DCD"/>
    <w:rsid w:val="007B64C6"/>
    <w:rsid w:val="007B6762"/>
    <w:rsid w:val="007B6BF9"/>
    <w:rsid w:val="007B7668"/>
    <w:rsid w:val="007C0342"/>
    <w:rsid w:val="007C0C26"/>
    <w:rsid w:val="007C3075"/>
    <w:rsid w:val="007C3AF2"/>
    <w:rsid w:val="007C424E"/>
    <w:rsid w:val="007C5D47"/>
    <w:rsid w:val="007C5EF1"/>
    <w:rsid w:val="007C6208"/>
    <w:rsid w:val="007C6463"/>
    <w:rsid w:val="007C7AB5"/>
    <w:rsid w:val="007C7CE9"/>
    <w:rsid w:val="007C7F07"/>
    <w:rsid w:val="007D0A20"/>
    <w:rsid w:val="007D1168"/>
    <w:rsid w:val="007D1182"/>
    <w:rsid w:val="007D1B51"/>
    <w:rsid w:val="007D29C8"/>
    <w:rsid w:val="007D36C5"/>
    <w:rsid w:val="007D3AC8"/>
    <w:rsid w:val="007D418D"/>
    <w:rsid w:val="007D435A"/>
    <w:rsid w:val="007D4461"/>
    <w:rsid w:val="007D47CB"/>
    <w:rsid w:val="007D5150"/>
    <w:rsid w:val="007D5FD1"/>
    <w:rsid w:val="007D63A3"/>
    <w:rsid w:val="007D69BD"/>
    <w:rsid w:val="007D6B27"/>
    <w:rsid w:val="007D773F"/>
    <w:rsid w:val="007D7CDC"/>
    <w:rsid w:val="007D7D60"/>
    <w:rsid w:val="007E1A4B"/>
    <w:rsid w:val="007E1ABD"/>
    <w:rsid w:val="007E1EF6"/>
    <w:rsid w:val="007E2231"/>
    <w:rsid w:val="007E270B"/>
    <w:rsid w:val="007E3638"/>
    <w:rsid w:val="007E3B11"/>
    <w:rsid w:val="007E3BC4"/>
    <w:rsid w:val="007E3EDF"/>
    <w:rsid w:val="007E479A"/>
    <w:rsid w:val="007E50AD"/>
    <w:rsid w:val="007E5743"/>
    <w:rsid w:val="007E5BD9"/>
    <w:rsid w:val="007E5ED7"/>
    <w:rsid w:val="007E5FEC"/>
    <w:rsid w:val="007E6173"/>
    <w:rsid w:val="007E75D0"/>
    <w:rsid w:val="007E7A58"/>
    <w:rsid w:val="007F0483"/>
    <w:rsid w:val="007F06FE"/>
    <w:rsid w:val="007F074D"/>
    <w:rsid w:val="007F0797"/>
    <w:rsid w:val="007F0990"/>
    <w:rsid w:val="007F0A41"/>
    <w:rsid w:val="007F173A"/>
    <w:rsid w:val="007F1A33"/>
    <w:rsid w:val="007F2258"/>
    <w:rsid w:val="007F22F2"/>
    <w:rsid w:val="007F37A4"/>
    <w:rsid w:val="007F3F50"/>
    <w:rsid w:val="007F4AA8"/>
    <w:rsid w:val="007F4AE4"/>
    <w:rsid w:val="007F4AF5"/>
    <w:rsid w:val="007F4B1E"/>
    <w:rsid w:val="007F4DB3"/>
    <w:rsid w:val="007F552D"/>
    <w:rsid w:val="007F58D6"/>
    <w:rsid w:val="007F5B88"/>
    <w:rsid w:val="007F5BA6"/>
    <w:rsid w:val="007F5EFF"/>
    <w:rsid w:val="007F607D"/>
    <w:rsid w:val="007F60D1"/>
    <w:rsid w:val="007F6496"/>
    <w:rsid w:val="007F68D6"/>
    <w:rsid w:val="007F7387"/>
    <w:rsid w:val="007F7D7B"/>
    <w:rsid w:val="008006F4"/>
    <w:rsid w:val="00800BB0"/>
    <w:rsid w:val="00801420"/>
    <w:rsid w:val="008016BA"/>
    <w:rsid w:val="008018ED"/>
    <w:rsid w:val="00801E2A"/>
    <w:rsid w:val="008024DA"/>
    <w:rsid w:val="00802784"/>
    <w:rsid w:val="00802FDC"/>
    <w:rsid w:val="00803208"/>
    <w:rsid w:val="00804849"/>
    <w:rsid w:val="00804A97"/>
    <w:rsid w:val="00804BCA"/>
    <w:rsid w:val="008059BC"/>
    <w:rsid w:val="00805EFF"/>
    <w:rsid w:val="008068B0"/>
    <w:rsid w:val="008068F4"/>
    <w:rsid w:val="00806FE5"/>
    <w:rsid w:val="00807270"/>
    <w:rsid w:val="0080776B"/>
    <w:rsid w:val="008077FA"/>
    <w:rsid w:val="00807A70"/>
    <w:rsid w:val="00807E89"/>
    <w:rsid w:val="0081189C"/>
    <w:rsid w:val="008118BB"/>
    <w:rsid w:val="00811DFB"/>
    <w:rsid w:val="00811F79"/>
    <w:rsid w:val="00812394"/>
    <w:rsid w:val="00813063"/>
    <w:rsid w:val="00813604"/>
    <w:rsid w:val="00814224"/>
    <w:rsid w:val="00814435"/>
    <w:rsid w:val="00814A5C"/>
    <w:rsid w:val="00814E60"/>
    <w:rsid w:val="00814EC5"/>
    <w:rsid w:val="00816F98"/>
    <w:rsid w:val="00817601"/>
    <w:rsid w:val="008177CE"/>
    <w:rsid w:val="00820200"/>
    <w:rsid w:val="0082083A"/>
    <w:rsid w:val="0082111E"/>
    <w:rsid w:val="0082123A"/>
    <w:rsid w:val="0082169E"/>
    <w:rsid w:val="00821815"/>
    <w:rsid w:val="00821FD5"/>
    <w:rsid w:val="008224D0"/>
    <w:rsid w:val="00822870"/>
    <w:rsid w:val="008234BE"/>
    <w:rsid w:val="008236D4"/>
    <w:rsid w:val="00823D42"/>
    <w:rsid w:val="00824142"/>
    <w:rsid w:val="00824D91"/>
    <w:rsid w:val="008277C6"/>
    <w:rsid w:val="00830B2C"/>
    <w:rsid w:val="0083126D"/>
    <w:rsid w:val="0083147C"/>
    <w:rsid w:val="008319AD"/>
    <w:rsid w:val="008329F1"/>
    <w:rsid w:val="00833237"/>
    <w:rsid w:val="00833BB1"/>
    <w:rsid w:val="00833D2E"/>
    <w:rsid w:val="00834829"/>
    <w:rsid w:val="00835A72"/>
    <w:rsid w:val="0083645A"/>
    <w:rsid w:val="00836C30"/>
    <w:rsid w:val="00836CED"/>
    <w:rsid w:val="00837504"/>
    <w:rsid w:val="00837E35"/>
    <w:rsid w:val="00840451"/>
    <w:rsid w:val="00841824"/>
    <w:rsid w:val="00841BA4"/>
    <w:rsid w:val="00842FE2"/>
    <w:rsid w:val="00843589"/>
    <w:rsid w:val="00843FAF"/>
    <w:rsid w:val="00845FA9"/>
    <w:rsid w:val="0084666B"/>
    <w:rsid w:val="0084761E"/>
    <w:rsid w:val="008478BE"/>
    <w:rsid w:val="00847AD6"/>
    <w:rsid w:val="008506D6"/>
    <w:rsid w:val="0085075B"/>
    <w:rsid w:val="00850AD9"/>
    <w:rsid w:val="00850DC4"/>
    <w:rsid w:val="0085142B"/>
    <w:rsid w:val="00851AB2"/>
    <w:rsid w:val="00853E79"/>
    <w:rsid w:val="00853F0E"/>
    <w:rsid w:val="00855511"/>
    <w:rsid w:val="0085676E"/>
    <w:rsid w:val="00857847"/>
    <w:rsid w:val="00860046"/>
    <w:rsid w:val="00860282"/>
    <w:rsid w:val="00860959"/>
    <w:rsid w:val="00860ACB"/>
    <w:rsid w:val="00861484"/>
    <w:rsid w:val="00862277"/>
    <w:rsid w:val="008637C0"/>
    <w:rsid w:val="008637C9"/>
    <w:rsid w:val="00863A7F"/>
    <w:rsid w:val="00867947"/>
    <w:rsid w:val="00867EA4"/>
    <w:rsid w:val="00870310"/>
    <w:rsid w:val="00870497"/>
    <w:rsid w:val="00870AEC"/>
    <w:rsid w:val="00871643"/>
    <w:rsid w:val="00871660"/>
    <w:rsid w:val="008730A6"/>
    <w:rsid w:val="00873615"/>
    <w:rsid w:val="0087376E"/>
    <w:rsid w:val="0087428A"/>
    <w:rsid w:val="0087453D"/>
    <w:rsid w:val="00874835"/>
    <w:rsid w:val="00874F64"/>
    <w:rsid w:val="008758FE"/>
    <w:rsid w:val="00875FD5"/>
    <w:rsid w:val="00876049"/>
    <w:rsid w:val="0087642E"/>
    <w:rsid w:val="008807E3"/>
    <w:rsid w:val="00880CCA"/>
    <w:rsid w:val="008818F0"/>
    <w:rsid w:val="00881C62"/>
    <w:rsid w:val="00883372"/>
    <w:rsid w:val="00883555"/>
    <w:rsid w:val="0088359C"/>
    <w:rsid w:val="00884B32"/>
    <w:rsid w:val="00884DF2"/>
    <w:rsid w:val="00885083"/>
    <w:rsid w:val="008852DF"/>
    <w:rsid w:val="008866CF"/>
    <w:rsid w:val="0088690E"/>
    <w:rsid w:val="0088706C"/>
    <w:rsid w:val="00887BCB"/>
    <w:rsid w:val="00890341"/>
    <w:rsid w:val="008903E2"/>
    <w:rsid w:val="008904E2"/>
    <w:rsid w:val="00890600"/>
    <w:rsid w:val="00891998"/>
    <w:rsid w:val="00892319"/>
    <w:rsid w:val="00893078"/>
    <w:rsid w:val="00894BCD"/>
    <w:rsid w:val="00895F94"/>
    <w:rsid w:val="00896B8F"/>
    <w:rsid w:val="00896C70"/>
    <w:rsid w:val="00897EE4"/>
    <w:rsid w:val="00897F89"/>
    <w:rsid w:val="008A16AC"/>
    <w:rsid w:val="008A2A05"/>
    <w:rsid w:val="008A36A2"/>
    <w:rsid w:val="008A4ED7"/>
    <w:rsid w:val="008A77A7"/>
    <w:rsid w:val="008A7ABD"/>
    <w:rsid w:val="008A7E90"/>
    <w:rsid w:val="008B0535"/>
    <w:rsid w:val="008B069A"/>
    <w:rsid w:val="008B0867"/>
    <w:rsid w:val="008B1143"/>
    <w:rsid w:val="008B1253"/>
    <w:rsid w:val="008B1366"/>
    <w:rsid w:val="008B1EBF"/>
    <w:rsid w:val="008B2619"/>
    <w:rsid w:val="008B2822"/>
    <w:rsid w:val="008B30F2"/>
    <w:rsid w:val="008B434B"/>
    <w:rsid w:val="008B4C7A"/>
    <w:rsid w:val="008B4FD3"/>
    <w:rsid w:val="008B5038"/>
    <w:rsid w:val="008B52F6"/>
    <w:rsid w:val="008B5A19"/>
    <w:rsid w:val="008B61C9"/>
    <w:rsid w:val="008B629B"/>
    <w:rsid w:val="008B7524"/>
    <w:rsid w:val="008C0ACD"/>
    <w:rsid w:val="008C0E21"/>
    <w:rsid w:val="008C115C"/>
    <w:rsid w:val="008C12B9"/>
    <w:rsid w:val="008C1478"/>
    <w:rsid w:val="008C3677"/>
    <w:rsid w:val="008C37F7"/>
    <w:rsid w:val="008C49C2"/>
    <w:rsid w:val="008C4D32"/>
    <w:rsid w:val="008C5399"/>
    <w:rsid w:val="008C53FC"/>
    <w:rsid w:val="008C5A64"/>
    <w:rsid w:val="008C5CDD"/>
    <w:rsid w:val="008C60AE"/>
    <w:rsid w:val="008C67A6"/>
    <w:rsid w:val="008C691A"/>
    <w:rsid w:val="008C72E6"/>
    <w:rsid w:val="008D07A0"/>
    <w:rsid w:val="008D0888"/>
    <w:rsid w:val="008D08A1"/>
    <w:rsid w:val="008D1138"/>
    <w:rsid w:val="008D1838"/>
    <w:rsid w:val="008D1D94"/>
    <w:rsid w:val="008D1E50"/>
    <w:rsid w:val="008D1F48"/>
    <w:rsid w:val="008D3BDE"/>
    <w:rsid w:val="008D3C9B"/>
    <w:rsid w:val="008D4867"/>
    <w:rsid w:val="008D5AA2"/>
    <w:rsid w:val="008D61EF"/>
    <w:rsid w:val="008D63C2"/>
    <w:rsid w:val="008D65B7"/>
    <w:rsid w:val="008D68BA"/>
    <w:rsid w:val="008D6CF1"/>
    <w:rsid w:val="008D783C"/>
    <w:rsid w:val="008E006D"/>
    <w:rsid w:val="008E0120"/>
    <w:rsid w:val="008E0312"/>
    <w:rsid w:val="008E133E"/>
    <w:rsid w:val="008E1739"/>
    <w:rsid w:val="008E27D3"/>
    <w:rsid w:val="008E35BB"/>
    <w:rsid w:val="008E38C7"/>
    <w:rsid w:val="008E3CAC"/>
    <w:rsid w:val="008E4885"/>
    <w:rsid w:val="008E4A2D"/>
    <w:rsid w:val="008E4CFA"/>
    <w:rsid w:val="008E4F19"/>
    <w:rsid w:val="008E7357"/>
    <w:rsid w:val="008E7690"/>
    <w:rsid w:val="008E782A"/>
    <w:rsid w:val="008E7B31"/>
    <w:rsid w:val="008F00AF"/>
    <w:rsid w:val="008F22E2"/>
    <w:rsid w:val="008F39D5"/>
    <w:rsid w:val="008F3D68"/>
    <w:rsid w:val="008F3E3D"/>
    <w:rsid w:val="008F428E"/>
    <w:rsid w:val="008F4C40"/>
    <w:rsid w:val="008F6152"/>
    <w:rsid w:val="008F68B1"/>
    <w:rsid w:val="008F6957"/>
    <w:rsid w:val="008F78C8"/>
    <w:rsid w:val="008F78D3"/>
    <w:rsid w:val="008F7AA6"/>
    <w:rsid w:val="009000C6"/>
    <w:rsid w:val="00900C7D"/>
    <w:rsid w:val="00900F00"/>
    <w:rsid w:val="00901B9D"/>
    <w:rsid w:val="009033AD"/>
    <w:rsid w:val="00903883"/>
    <w:rsid w:val="00903BE5"/>
    <w:rsid w:val="009059F5"/>
    <w:rsid w:val="009075AF"/>
    <w:rsid w:val="009102EF"/>
    <w:rsid w:val="009111D0"/>
    <w:rsid w:val="00911917"/>
    <w:rsid w:val="00911DBC"/>
    <w:rsid w:val="00912347"/>
    <w:rsid w:val="00912A6D"/>
    <w:rsid w:val="00913193"/>
    <w:rsid w:val="0091320C"/>
    <w:rsid w:val="00913600"/>
    <w:rsid w:val="0091377B"/>
    <w:rsid w:val="00913BB1"/>
    <w:rsid w:val="00913E9C"/>
    <w:rsid w:val="00915515"/>
    <w:rsid w:val="00915A51"/>
    <w:rsid w:val="00916AB0"/>
    <w:rsid w:val="00916CB2"/>
    <w:rsid w:val="009172D1"/>
    <w:rsid w:val="00917DF9"/>
    <w:rsid w:val="00920EE0"/>
    <w:rsid w:val="00921147"/>
    <w:rsid w:val="009211DB"/>
    <w:rsid w:val="0092142E"/>
    <w:rsid w:val="0092217D"/>
    <w:rsid w:val="009245DF"/>
    <w:rsid w:val="00924685"/>
    <w:rsid w:val="00924745"/>
    <w:rsid w:val="00925D94"/>
    <w:rsid w:val="00925DEF"/>
    <w:rsid w:val="009268DA"/>
    <w:rsid w:val="00926A94"/>
    <w:rsid w:val="00927726"/>
    <w:rsid w:val="009301E0"/>
    <w:rsid w:val="00931BEB"/>
    <w:rsid w:val="009336A6"/>
    <w:rsid w:val="009345B3"/>
    <w:rsid w:val="00934AE5"/>
    <w:rsid w:val="009351C6"/>
    <w:rsid w:val="009351D8"/>
    <w:rsid w:val="0093539D"/>
    <w:rsid w:val="0093544E"/>
    <w:rsid w:val="00935D09"/>
    <w:rsid w:val="00936988"/>
    <w:rsid w:val="00936F37"/>
    <w:rsid w:val="00937DA5"/>
    <w:rsid w:val="00940271"/>
    <w:rsid w:val="00940E94"/>
    <w:rsid w:val="00941456"/>
    <w:rsid w:val="00942D2C"/>
    <w:rsid w:val="0094308F"/>
    <w:rsid w:val="009433E3"/>
    <w:rsid w:val="00943E67"/>
    <w:rsid w:val="00944213"/>
    <w:rsid w:val="009443CB"/>
    <w:rsid w:val="009453DA"/>
    <w:rsid w:val="00946882"/>
    <w:rsid w:val="00946D3D"/>
    <w:rsid w:val="00947669"/>
    <w:rsid w:val="00947E38"/>
    <w:rsid w:val="00950373"/>
    <w:rsid w:val="00950D1E"/>
    <w:rsid w:val="00950EDA"/>
    <w:rsid w:val="009511BE"/>
    <w:rsid w:val="00951714"/>
    <w:rsid w:val="0095281E"/>
    <w:rsid w:val="00952A1B"/>
    <w:rsid w:val="0095310E"/>
    <w:rsid w:val="00953620"/>
    <w:rsid w:val="0095460B"/>
    <w:rsid w:val="00954782"/>
    <w:rsid w:val="009555DA"/>
    <w:rsid w:val="00955E17"/>
    <w:rsid w:val="00956240"/>
    <w:rsid w:val="00956AFB"/>
    <w:rsid w:val="009572E2"/>
    <w:rsid w:val="009600B3"/>
    <w:rsid w:val="0096022E"/>
    <w:rsid w:val="009608F3"/>
    <w:rsid w:val="00960C07"/>
    <w:rsid w:val="00961385"/>
    <w:rsid w:val="009625B4"/>
    <w:rsid w:val="00962A8E"/>
    <w:rsid w:val="00962C80"/>
    <w:rsid w:val="00962CAC"/>
    <w:rsid w:val="00962FEC"/>
    <w:rsid w:val="00963008"/>
    <w:rsid w:val="00964605"/>
    <w:rsid w:val="00964861"/>
    <w:rsid w:val="00964C50"/>
    <w:rsid w:val="00965397"/>
    <w:rsid w:val="009657E7"/>
    <w:rsid w:val="0096647A"/>
    <w:rsid w:val="00966490"/>
    <w:rsid w:val="00966794"/>
    <w:rsid w:val="00966C50"/>
    <w:rsid w:val="00966FDB"/>
    <w:rsid w:val="00967D2F"/>
    <w:rsid w:val="00967E03"/>
    <w:rsid w:val="0097028A"/>
    <w:rsid w:val="0097034A"/>
    <w:rsid w:val="00971501"/>
    <w:rsid w:val="00973087"/>
    <w:rsid w:val="00973270"/>
    <w:rsid w:val="00973BE7"/>
    <w:rsid w:val="00974FA0"/>
    <w:rsid w:val="00975036"/>
    <w:rsid w:val="009759D7"/>
    <w:rsid w:val="00975A24"/>
    <w:rsid w:val="00975EF3"/>
    <w:rsid w:val="009767B7"/>
    <w:rsid w:val="00976EA2"/>
    <w:rsid w:val="00976F1D"/>
    <w:rsid w:val="00977189"/>
    <w:rsid w:val="0097752E"/>
    <w:rsid w:val="00981282"/>
    <w:rsid w:val="00981D9E"/>
    <w:rsid w:val="00981ECD"/>
    <w:rsid w:val="00982536"/>
    <w:rsid w:val="0098359B"/>
    <w:rsid w:val="0098376C"/>
    <w:rsid w:val="00985671"/>
    <w:rsid w:val="009857AD"/>
    <w:rsid w:val="009860C1"/>
    <w:rsid w:val="009865E3"/>
    <w:rsid w:val="00986C97"/>
    <w:rsid w:val="00986EDE"/>
    <w:rsid w:val="00986F3E"/>
    <w:rsid w:val="009872EC"/>
    <w:rsid w:val="009900C9"/>
    <w:rsid w:val="00990439"/>
    <w:rsid w:val="00991311"/>
    <w:rsid w:val="0099176B"/>
    <w:rsid w:val="00991802"/>
    <w:rsid w:val="00992E0F"/>
    <w:rsid w:val="00992E50"/>
    <w:rsid w:val="00992F8C"/>
    <w:rsid w:val="0099316A"/>
    <w:rsid w:val="009940FD"/>
    <w:rsid w:val="009942AC"/>
    <w:rsid w:val="00994434"/>
    <w:rsid w:val="00994D03"/>
    <w:rsid w:val="009953DF"/>
    <w:rsid w:val="009957B4"/>
    <w:rsid w:val="00995C24"/>
    <w:rsid w:val="009960AD"/>
    <w:rsid w:val="00997313"/>
    <w:rsid w:val="0099736E"/>
    <w:rsid w:val="00997678"/>
    <w:rsid w:val="009976CE"/>
    <w:rsid w:val="009978AD"/>
    <w:rsid w:val="0099792B"/>
    <w:rsid w:val="00997A55"/>
    <w:rsid w:val="00997BDC"/>
    <w:rsid w:val="00997DA0"/>
    <w:rsid w:val="009A1332"/>
    <w:rsid w:val="009A186E"/>
    <w:rsid w:val="009A2039"/>
    <w:rsid w:val="009A3018"/>
    <w:rsid w:val="009A379C"/>
    <w:rsid w:val="009A3C5F"/>
    <w:rsid w:val="009A3E3A"/>
    <w:rsid w:val="009A42B4"/>
    <w:rsid w:val="009A5077"/>
    <w:rsid w:val="009A57DA"/>
    <w:rsid w:val="009A6254"/>
    <w:rsid w:val="009A6BAF"/>
    <w:rsid w:val="009B037D"/>
    <w:rsid w:val="009B03B3"/>
    <w:rsid w:val="009B0846"/>
    <w:rsid w:val="009B0A89"/>
    <w:rsid w:val="009B0DC4"/>
    <w:rsid w:val="009B10C2"/>
    <w:rsid w:val="009B140C"/>
    <w:rsid w:val="009B1D82"/>
    <w:rsid w:val="009B2C21"/>
    <w:rsid w:val="009B31FA"/>
    <w:rsid w:val="009B3A17"/>
    <w:rsid w:val="009B473B"/>
    <w:rsid w:val="009B47FD"/>
    <w:rsid w:val="009B51C0"/>
    <w:rsid w:val="009B549A"/>
    <w:rsid w:val="009B5953"/>
    <w:rsid w:val="009B6A4D"/>
    <w:rsid w:val="009C0426"/>
    <w:rsid w:val="009C04D3"/>
    <w:rsid w:val="009C0AB3"/>
    <w:rsid w:val="009C1134"/>
    <w:rsid w:val="009C1BD9"/>
    <w:rsid w:val="009C2C3F"/>
    <w:rsid w:val="009C2FDF"/>
    <w:rsid w:val="009C3AAE"/>
    <w:rsid w:val="009C4430"/>
    <w:rsid w:val="009C695C"/>
    <w:rsid w:val="009C6A74"/>
    <w:rsid w:val="009C71B7"/>
    <w:rsid w:val="009C7DC5"/>
    <w:rsid w:val="009C7E36"/>
    <w:rsid w:val="009D0122"/>
    <w:rsid w:val="009D120F"/>
    <w:rsid w:val="009D1BDC"/>
    <w:rsid w:val="009D204F"/>
    <w:rsid w:val="009D232E"/>
    <w:rsid w:val="009D2F0E"/>
    <w:rsid w:val="009D2F7B"/>
    <w:rsid w:val="009D3579"/>
    <w:rsid w:val="009D3B6B"/>
    <w:rsid w:val="009D3B88"/>
    <w:rsid w:val="009D40C1"/>
    <w:rsid w:val="009D48D6"/>
    <w:rsid w:val="009D5C6E"/>
    <w:rsid w:val="009D6848"/>
    <w:rsid w:val="009D7D6F"/>
    <w:rsid w:val="009E00CE"/>
    <w:rsid w:val="009E0363"/>
    <w:rsid w:val="009E0485"/>
    <w:rsid w:val="009E2FDC"/>
    <w:rsid w:val="009E3100"/>
    <w:rsid w:val="009E337C"/>
    <w:rsid w:val="009E3617"/>
    <w:rsid w:val="009E3942"/>
    <w:rsid w:val="009E3E42"/>
    <w:rsid w:val="009E423A"/>
    <w:rsid w:val="009E5399"/>
    <w:rsid w:val="009E66ED"/>
    <w:rsid w:val="009E6B2A"/>
    <w:rsid w:val="009E6B6A"/>
    <w:rsid w:val="009E7066"/>
    <w:rsid w:val="009E708E"/>
    <w:rsid w:val="009E7473"/>
    <w:rsid w:val="009E7C1A"/>
    <w:rsid w:val="009F03C5"/>
    <w:rsid w:val="009F092F"/>
    <w:rsid w:val="009F1033"/>
    <w:rsid w:val="009F1BE0"/>
    <w:rsid w:val="009F20C1"/>
    <w:rsid w:val="009F38B0"/>
    <w:rsid w:val="009F3A97"/>
    <w:rsid w:val="009F3D0D"/>
    <w:rsid w:val="009F3E80"/>
    <w:rsid w:val="009F4A71"/>
    <w:rsid w:val="009F4FEB"/>
    <w:rsid w:val="009F53CA"/>
    <w:rsid w:val="009F5586"/>
    <w:rsid w:val="009F6008"/>
    <w:rsid w:val="009F69FD"/>
    <w:rsid w:val="009F6A68"/>
    <w:rsid w:val="009F7750"/>
    <w:rsid w:val="009F7964"/>
    <w:rsid w:val="009F7D35"/>
    <w:rsid w:val="009F7E84"/>
    <w:rsid w:val="00A0050F"/>
    <w:rsid w:val="00A00825"/>
    <w:rsid w:val="00A01456"/>
    <w:rsid w:val="00A0236D"/>
    <w:rsid w:val="00A0243E"/>
    <w:rsid w:val="00A02468"/>
    <w:rsid w:val="00A02B36"/>
    <w:rsid w:val="00A02E3F"/>
    <w:rsid w:val="00A04D4B"/>
    <w:rsid w:val="00A050EB"/>
    <w:rsid w:val="00A05ABC"/>
    <w:rsid w:val="00A06852"/>
    <w:rsid w:val="00A06F71"/>
    <w:rsid w:val="00A07136"/>
    <w:rsid w:val="00A07786"/>
    <w:rsid w:val="00A07C53"/>
    <w:rsid w:val="00A11006"/>
    <w:rsid w:val="00A1156A"/>
    <w:rsid w:val="00A120C1"/>
    <w:rsid w:val="00A121A7"/>
    <w:rsid w:val="00A12933"/>
    <w:rsid w:val="00A12E60"/>
    <w:rsid w:val="00A13A08"/>
    <w:rsid w:val="00A13AFA"/>
    <w:rsid w:val="00A1408F"/>
    <w:rsid w:val="00A140C9"/>
    <w:rsid w:val="00A14193"/>
    <w:rsid w:val="00A14EE4"/>
    <w:rsid w:val="00A15801"/>
    <w:rsid w:val="00A169D3"/>
    <w:rsid w:val="00A17ADB"/>
    <w:rsid w:val="00A20089"/>
    <w:rsid w:val="00A20440"/>
    <w:rsid w:val="00A207C5"/>
    <w:rsid w:val="00A20A04"/>
    <w:rsid w:val="00A20E89"/>
    <w:rsid w:val="00A2182D"/>
    <w:rsid w:val="00A2213D"/>
    <w:rsid w:val="00A23AC1"/>
    <w:rsid w:val="00A2555F"/>
    <w:rsid w:val="00A2668C"/>
    <w:rsid w:val="00A27FD0"/>
    <w:rsid w:val="00A30D34"/>
    <w:rsid w:val="00A31231"/>
    <w:rsid w:val="00A313BD"/>
    <w:rsid w:val="00A32982"/>
    <w:rsid w:val="00A32992"/>
    <w:rsid w:val="00A32C81"/>
    <w:rsid w:val="00A32F84"/>
    <w:rsid w:val="00A331BC"/>
    <w:rsid w:val="00A336A1"/>
    <w:rsid w:val="00A3462D"/>
    <w:rsid w:val="00A34986"/>
    <w:rsid w:val="00A37900"/>
    <w:rsid w:val="00A37B92"/>
    <w:rsid w:val="00A40530"/>
    <w:rsid w:val="00A415B7"/>
    <w:rsid w:val="00A42629"/>
    <w:rsid w:val="00A42AA5"/>
    <w:rsid w:val="00A42C31"/>
    <w:rsid w:val="00A42FF0"/>
    <w:rsid w:val="00A4386C"/>
    <w:rsid w:val="00A43A8E"/>
    <w:rsid w:val="00A443DA"/>
    <w:rsid w:val="00A4456C"/>
    <w:rsid w:val="00A44CC0"/>
    <w:rsid w:val="00A45709"/>
    <w:rsid w:val="00A46100"/>
    <w:rsid w:val="00A502BE"/>
    <w:rsid w:val="00A50D95"/>
    <w:rsid w:val="00A50F1F"/>
    <w:rsid w:val="00A51D8A"/>
    <w:rsid w:val="00A51F99"/>
    <w:rsid w:val="00A52AAE"/>
    <w:rsid w:val="00A52F38"/>
    <w:rsid w:val="00A532C3"/>
    <w:rsid w:val="00A53A93"/>
    <w:rsid w:val="00A53DB1"/>
    <w:rsid w:val="00A5409F"/>
    <w:rsid w:val="00A544DD"/>
    <w:rsid w:val="00A549D8"/>
    <w:rsid w:val="00A55FEE"/>
    <w:rsid w:val="00A577E2"/>
    <w:rsid w:val="00A606CC"/>
    <w:rsid w:val="00A6154A"/>
    <w:rsid w:val="00A61879"/>
    <w:rsid w:val="00A62083"/>
    <w:rsid w:val="00A62DFF"/>
    <w:rsid w:val="00A630ED"/>
    <w:rsid w:val="00A63697"/>
    <w:rsid w:val="00A6384A"/>
    <w:rsid w:val="00A64163"/>
    <w:rsid w:val="00A648B8"/>
    <w:rsid w:val="00A64A4D"/>
    <w:rsid w:val="00A65731"/>
    <w:rsid w:val="00A6649F"/>
    <w:rsid w:val="00A669D4"/>
    <w:rsid w:val="00A6752C"/>
    <w:rsid w:val="00A70117"/>
    <w:rsid w:val="00A70FDC"/>
    <w:rsid w:val="00A71E14"/>
    <w:rsid w:val="00A7228F"/>
    <w:rsid w:val="00A7282B"/>
    <w:rsid w:val="00A728EE"/>
    <w:rsid w:val="00A729B4"/>
    <w:rsid w:val="00A730DC"/>
    <w:rsid w:val="00A73478"/>
    <w:rsid w:val="00A73499"/>
    <w:rsid w:val="00A73870"/>
    <w:rsid w:val="00A73A8A"/>
    <w:rsid w:val="00A7532B"/>
    <w:rsid w:val="00A75C33"/>
    <w:rsid w:val="00A772F3"/>
    <w:rsid w:val="00A773FF"/>
    <w:rsid w:val="00A77649"/>
    <w:rsid w:val="00A77CA8"/>
    <w:rsid w:val="00A77E49"/>
    <w:rsid w:val="00A77E6B"/>
    <w:rsid w:val="00A77F9B"/>
    <w:rsid w:val="00A80FA6"/>
    <w:rsid w:val="00A81960"/>
    <w:rsid w:val="00A81F1F"/>
    <w:rsid w:val="00A826F8"/>
    <w:rsid w:val="00A827C1"/>
    <w:rsid w:val="00A83238"/>
    <w:rsid w:val="00A83AC8"/>
    <w:rsid w:val="00A840BB"/>
    <w:rsid w:val="00A84331"/>
    <w:rsid w:val="00A84B14"/>
    <w:rsid w:val="00A852E8"/>
    <w:rsid w:val="00A856E8"/>
    <w:rsid w:val="00A8576B"/>
    <w:rsid w:val="00A85C23"/>
    <w:rsid w:val="00A85EA4"/>
    <w:rsid w:val="00A85EEF"/>
    <w:rsid w:val="00A86335"/>
    <w:rsid w:val="00A86A2E"/>
    <w:rsid w:val="00A86D1E"/>
    <w:rsid w:val="00A87140"/>
    <w:rsid w:val="00A87226"/>
    <w:rsid w:val="00A874CD"/>
    <w:rsid w:val="00A87726"/>
    <w:rsid w:val="00A879C6"/>
    <w:rsid w:val="00A90661"/>
    <w:rsid w:val="00A90BB7"/>
    <w:rsid w:val="00A911B7"/>
    <w:rsid w:val="00A91BAC"/>
    <w:rsid w:val="00A927D9"/>
    <w:rsid w:val="00A93B58"/>
    <w:rsid w:val="00A940B4"/>
    <w:rsid w:val="00A94808"/>
    <w:rsid w:val="00A95256"/>
    <w:rsid w:val="00A95A0B"/>
    <w:rsid w:val="00A96015"/>
    <w:rsid w:val="00A9725C"/>
    <w:rsid w:val="00A97DC3"/>
    <w:rsid w:val="00AA0896"/>
    <w:rsid w:val="00AA1731"/>
    <w:rsid w:val="00AA1D30"/>
    <w:rsid w:val="00AA1F64"/>
    <w:rsid w:val="00AA2556"/>
    <w:rsid w:val="00AA272D"/>
    <w:rsid w:val="00AA361E"/>
    <w:rsid w:val="00AA41C7"/>
    <w:rsid w:val="00AA4B35"/>
    <w:rsid w:val="00AA4B4C"/>
    <w:rsid w:val="00AA52C3"/>
    <w:rsid w:val="00AA53F0"/>
    <w:rsid w:val="00AA61C6"/>
    <w:rsid w:val="00AA6607"/>
    <w:rsid w:val="00AA7787"/>
    <w:rsid w:val="00AB033A"/>
    <w:rsid w:val="00AB0B68"/>
    <w:rsid w:val="00AB1B15"/>
    <w:rsid w:val="00AB1C3D"/>
    <w:rsid w:val="00AB284A"/>
    <w:rsid w:val="00AB37B9"/>
    <w:rsid w:val="00AB3B09"/>
    <w:rsid w:val="00AB4070"/>
    <w:rsid w:val="00AB40D0"/>
    <w:rsid w:val="00AB4658"/>
    <w:rsid w:val="00AB5F84"/>
    <w:rsid w:val="00AB7302"/>
    <w:rsid w:val="00AB7C78"/>
    <w:rsid w:val="00AC0E99"/>
    <w:rsid w:val="00AC149C"/>
    <w:rsid w:val="00AC3AF8"/>
    <w:rsid w:val="00AC3CEC"/>
    <w:rsid w:val="00AC4123"/>
    <w:rsid w:val="00AC4EC8"/>
    <w:rsid w:val="00AC522C"/>
    <w:rsid w:val="00AC56CF"/>
    <w:rsid w:val="00AC6062"/>
    <w:rsid w:val="00AC71FB"/>
    <w:rsid w:val="00AC744E"/>
    <w:rsid w:val="00AC78A0"/>
    <w:rsid w:val="00AC7A22"/>
    <w:rsid w:val="00ACE9C8"/>
    <w:rsid w:val="00AD106C"/>
    <w:rsid w:val="00AD1480"/>
    <w:rsid w:val="00AD18AC"/>
    <w:rsid w:val="00AD1AC3"/>
    <w:rsid w:val="00AD2332"/>
    <w:rsid w:val="00AD284F"/>
    <w:rsid w:val="00AD30D9"/>
    <w:rsid w:val="00AD322B"/>
    <w:rsid w:val="00AD3985"/>
    <w:rsid w:val="00AD6412"/>
    <w:rsid w:val="00AD6549"/>
    <w:rsid w:val="00AD6E09"/>
    <w:rsid w:val="00AD70AE"/>
    <w:rsid w:val="00AD7B2E"/>
    <w:rsid w:val="00AE0B5A"/>
    <w:rsid w:val="00AE1B75"/>
    <w:rsid w:val="00AE1CCA"/>
    <w:rsid w:val="00AE1D0B"/>
    <w:rsid w:val="00AE270A"/>
    <w:rsid w:val="00AE3712"/>
    <w:rsid w:val="00AE3763"/>
    <w:rsid w:val="00AE3821"/>
    <w:rsid w:val="00AE428F"/>
    <w:rsid w:val="00AE5078"/>
    <w:rsid w:val="00AE6141"/>
    <w:rsid w:val="00AE6A6E"/>
    <w:rsid w:val="00AE7050"/>
    <w:rsid w:val="00AE711D"/>
    <w:rsid w:val="00AF1063"/>
    <w:rsid w:val="00AF1F2A"/>
    <w:rsid w:val="00AF1F56"/>
    <w:rsid w:val="00AF3C71"/>
    <w:rsid w:val="00AF3CE2"/>
    <w:rsid w:val="00AF4A3A"/>
    <w:rsid w:val="00AF4F67"/>
    <w:rsid w:val="00AF5C16"/>
    <w:rsid w:val="00AF5F32"/>
    <w:rsid w:val="00AF60E0"/>
    <w:rsid w:val="00AF6266"/>
    <w:rsid w:val="00AF6325"/>
    <w:rsid w:val="00AF63D4"/>
    <w:rsid w:val="00AF6959"/>
    <w:rsid w:val="00AF7646"/>
    <w:rsid w:val="00AF79FA"/>
    <w:rsid w:val="00B00100"/>
    <w:rsid w:val="00B004A4"/>
    <w:rsid w:val="00B006EA"/>
    <w:rsid w:val="00B00D8A"/>
    <w:rsid w:val="00B01CF3"/>
    <w:rsid w:val="00B01F2F"/>
    <w:rsid w:val="00B025F4"/>
    <w:rsid w:val="00B02EEC"/>
    <w:rsid w:val="00B030B9"/>
    <w:rsid w:val="00B03275"/>
    <w:rsid w:val="00B04013"/>
    <w:rsid w:val="00B046D6"/>
    <w:rsid w:val="00B0487A"/>
    <w:rsid w:val="00B05E45"/>
    <w:rsid w:val="00B06C45"/>
    <w:rsid w:val="00B06DFF"/>
    <w:rsid w:val="00B10388"/>
    <w:rsid w:val="00B11C05"/>
    <w:rsid w:val="00B11D69"/>
    <w:rsid w:val="00B12886"/>
    <w:rsid w:val="00B12F84"/>
    <w:rsid w:val="00B131CA"/>
    <w:rsid w:val="00B1419F"/>
    <w:rsid w:val="00B147F2"/>
    <w:rsid w:val="00B1500D"/>
    <w:rsid w:val="00B151BB"/>
    <w:rsid w:val="00B16EBF"/>
    <w:rsid w:val="00B17044"/>
    <w:rsid w:val="00B17758"/>
    <w:rsid w:val="00B205FF"/>
    <w:rsid w:val="00B21605"/>
    <w:rsid w:val="00B21A83"/>
    <w:rsid w:val="00B21C58"/>
    <w:rsid w:val="00B229E4"/>
    <w:rsid w:val="00B22BC0"/>
    <w:rsid w:val="00B236D3"/>
    <w:rsid w:val="00B23A17"/>
    <w:rsid w:val="00B241E9"/>
    <w:rsid w:val="00B246BF"/>
    <w:rsid w:val="00B2505A"/>
    <w:rsid w:val="00B262EC"/>
    <w:rsid w:val="00B26B58"/>
    <w:rsid w:val="00B26FB7"/>
    <w:rsid w:val="00B27AC3"/>
    <w:rsid w:val="00B30368"/>
    <w:rsid w:val="00B304D3"/>
    <w:rsid w:val="00B31122"/>
    <w:rsid w:val="00B311A7"/>
    <w:rsid w:val="00B32029"/>
    <w:rsid w:val="00B3310E"/>
    <w:rsid w:val="00B3325F"/>
    <w:rsid w:val="00B3326F"/>
    <w:rsid w:val="00B33D14"/>
    <w:rsid w:val="00B34C02"/>
    <w:rsid w:val="00B34D49"/>
    <w:rsid w:val="00B3545A"/>
    <w:rsid w:val="00B356F3"/>
    <w:rsid w:val="00B35B29"/>
    <w:rsid w:val="00B35B40"/>
    <w:rsid w:val="00B36510"/>
    <w:rsid w:val="00B36B6B"/>
    <w:rsid w:val="00B40179"/>
    <w:rsid w:val="00B401DD"/>
    <w:rsid w:val="00B404E7"/>
    <w:rsid w:val="00B406B4"/>
    <w:rsid w:val="00B414FF"/>
    <w:rsid w:val="00B41630"/>
    <w:rsid w:val="00B4181F"/>
    <w:rsid w:val="00B41CDE"/>
    <w:rsid w:val="00B43442"/>
    <w:rsid w:val="00B436FF"/>
    <w:rsid w:val="00B43827"/>
    <w:rsid w:val="00B44613"/>
    <w:rsid w:val="00B45452"/>
    <w:rsid w:val="00B45715"/>
    <w:rsid w:val="00B45AA3"/>
    <w:rsid w:val="00B466CC"/>
    <w:rsid w:val="00B46DE2"/>
    <w:rsid w:val="00B470FD"/>
    <w:rsid w:val="00B50AB7"/>
    <w:rsid w:val="00B53EF1"/>
    <w:rsid w:val="00B54786"/>
    <w:rsid w:val="00B550BD"/>
    <w:rsid w:val="00B551DE"/>
    <w:rsid w:val="00B55574"/>
    <w:rsid w:val="00B55E06"/>
    <w:rsid w:val="00B561E8"/>
    <w:rsid w:val="00B564CC"/>
    <w:rsid w:val="00B567BC"/>
    <w:rsid w:val="00B57E86"/>
    <w:rsid w:val="00B601BF"/>
    <w:rsid w:val="00B6041F"/>
    <w:rsid w:val="00B60E00"/>
    <w:rsid w:val="00B60EF8"/>
    <w:rsid w:val="00B62454"/>
    <w:rsid w:val="00B626D4"/>
    <w:rsid w:val="00B63151"/>
    <w:rsid w:val="00B6458D"/>
    <w:rsid w:val="00B6521E"/>
    <w:rsid w:val="00B652B2"/>
    <w:rsid w:val="00B6767B"/>
    <w:rsid w:val="00B67870"/>
    <w:rsid w:val="00B706C8"/>
    <w:rsid w:val="00B707A2"/>
    <w:rsid w:val="00B71CB6"/>
    <w:rsid w:val="00B726DB"/>
    <w:rsid w:val="00B727F4"/>
    <w:rsid w:val="00B74096"/>
    <w:rsid w:val="00B7429A"/>
    <w:rsid w:val="00B7448B"/>
    <w:rsid w:val="00B74AA5"/>
    <w:rsid w:val="00B74E8D"/>
    <w:rsid w:val="00B75357"/>
    <w:rsid w:val="00B75375"/>
    <w:rsid w:val="00B75640"/>
    <w:rsid w:val="00B75B24"/>
    <w:rsid w:val="00B75F27"/>
    <w:rsid w:val="00B76359"/>
    <w:rsid w:val="00B76683"/>
    <w:rsid w:val="00B770B7"/>
    <w:rsid w:val="00B7726B"/>
    <w:rsid w:val="00B77C73"/>
    <w:rsid w:val="00B804D9"/>
    <w:rsid w:val="00B8050A"/>
    <w:rsid w:val="00B81152"/>
    <w:rsid w:val="00B816F7"/>
    <w:rsid w:val="00B81955"/>
    <w:rsid w:val="00B81F12"/>
    <w:rsid w:val="00B84403"/>
    <w:rsid w:val="00B85252"/>
    <w:rsid w:val="00B8528D"/>
    <w:rsid w:val="00B85CB0"/>
    <w:rsid w:val="00B86132"/>
    <w:rsid w:val="00B86326"/>
    <w:rsid w:val="00B8668A"/>
    <w:rsid w:val="00B87026"/>
    <w:rsid w:val="00B87697"/>
    <w:rsid w:val="00B87CDF"/>
    <w:rsid w:val="00B87DF4"/>
    <w:rsid w:val="00B91CC9"/>
    <w:rsid w:val="00B91F35"/>
    <w:rsid w:val="00B920FC"/>
    <w:rsid w:val="00B923B6"/>
    <w:rsid w:val="00B92BAA"/>
    <w:rsid w:val="00B93186"/>
    <w:rsid w:val="00B941DD"/>
    <w:rsid w:val="00B9493B"/>
    <w:rsid w:val="00B94CFB"/>
    <w:rsid w:val="00B94D1D"/>
    <w:rsid w:val="00B94D23"/>
    <w:rsid w:val="00B95A49"/>
    <w:rsid w:val="00B962A0"/>
    <w:rsid w:val="00B97521"/>
    <w:rsid w:val="00BA09FB"/>
    <w:rsid w:val="00BA1C93"/>
    <w:rsid w:val="00BA26C9"/>
    <w:rsid w:val="00BA2EB2"/>
    <w:rsid w:val="00BA4F94"/>
    <w:rsid w:val="00BA5A56"/>
    <w:rsid w:val="00BA6FA0"/>
    <w:rsid w:val="00BB0434"/>
    <w:rsid w:val="00BB1842"/>
    <w:rsid w:val="00BB18BE"/>
    <w:rsid w:val="00BB30C5"/>
    <w:rsid w:val="00BB3BF6"/>
    <w:rsid w:val="00BB43B8"/>
    <w:rsid w:val="00BB5011"/>
    <w:rsid w:val="00BB5569"/>
    <w:rsid w:val="00BB5EAE"/>
    <w:rsid w:val="00BB605B"/>
    <w:rsid w:val="00BB6AD8"/>
    <w:rsid w:val="00BB6BC3"/>
    <w:rsid w:val="00BB6FC8"/>
    <w:rsid w:val="00BC0586"/>
    <w:rsid w:val="00BC06AA"/>
    <w:rsid w:val="00BC0C73"/>
    <w:rsid w:val="00BC171D"/>
    <w:rsid w:val="00BC3C25"/>
    <w:rsid w:val="00BC3C79"/>
    <w:rsid w:val="00BC496A"/>
    <w:rsid w:val="00BC4BDA"/>
    <w:rsid w:val="00BC4D2D"/>
    <w:rsid w:val="00BC4D69"/>
    <w:rsid w:val="00BC54C8"/>
    <w:rsid w:val="00BC5796"/>
    <w:rsid w:val="00BC6069"/>
    <w:rsid w:val="00BC7029"/>
    <w:rsid w:val="00BC704F"/>
    <w:rsid w:val="00BC7288"/>
    <w:rsid w:val="00BC78E3"/>
    <w:rsid w:val="00BD030A"/>
    <w:rsid w:val="00BD0373"/>
    <w:rsid w:val="00BD0560"/>
    <w:rsid w:val="00BD0659"/>
    <w:rsid w:val="00BD13F6"/>
    <w:rsid w:val="00BD1665"/>
    <w:rsid w:val="00BD18EF"/>
    <w:rsid w:val="00BD1BB3"/>
    <w:rsid w:val="00BD3E2F"/>
    <w:rsid w:val="00BD4443"/>
    <w:rsid w:val="00BD44BE"/>
    <w:rsid w:val="00BD4B0A"/>
    <w:rsid w:val="00BD4DA8"/>
    <w:rsid w:val="00BD4EA2"/>
    <w:rsid w:val="00BD4F32"/>
    <w:rsid w:val="00BD5315"/>
    <w:rsid w:val="00BD544A"/>
    <w:rsid w:val="00BD552F"/>
    <w:rsid w:val="00BD76DF"/>
    <w:rsid w:val="00BD77AF"/>
    <w:rsid w:val="00BE054F"/>
    <w:rsid w:val="00BE0A68"/>
    <w:rsid w:val="00BE17E2"/>
    <w:rsid w:val="00BE1A52"/>
    <w:rsid w:val="00BE22AA"/>
    <w:rsid w:val="00BE30EF"/>
    <w:rsid w:val="00BE31CF"/>
    <w:rsid w:val="00BE4A16"/>
    <w:rsid w:val="00BE6180"/>
    <w:rsid w:val="00BE657D"/>
    <w:rsid w:val="00BE6B13"/>
    <w:rsid w:val="00BE70B4"/>
    <w:rsid w:val="00BE76F9"/>
    <w:rsid w:val="00BE78E5"/>
    <w:rsid w:val="00BE7C4E"/>
    <w:rsid w:val="00BF0214"/>
    <w:rsid w:val="00BF0C3B"/>
    <w:rsid w:val="00BF1743"/>
    <w:rsid w:val="00BF2BA5"/>
    <w:rsid w:val="00BF318C"/>
    <w:rsid w:val="00BF3A6C"/>
    <w:rsid w:val="00BF414B"/>
    <w:rsid w:val="00BF49C6"/>
    <w:rsid w:val="00BF4C37"/>
    <w:rsid w:val="00BF50A6"/>
    <w:rsid w:val="00BF55E4"/>
    <w:rsid w:val="00BF5702"/>
    <w:rsid w:val="00BF587B"/>
    <w:rsid w:val="00BF5C2E"/>
    <w:rsid w:val="00BF5C95"/>
    <w:rsid w:val="00BF5F5B"/>
    <w:rsid w:val="00BF7910"/>
    <w:rsid w:val="00BF7A68"/>
    <w:rsid w:val="00C03274"/>
    <w:rsid w:val="00C03FDE"/>
    <w:rsid w:val="00C049B4"/>
    <w:rsid w:val="00C05565"/>
    <w:rsid w:val="00C076B3"/>
    <w:rsid w:val="00C07979"/>
    <w:rsid w:val="00C07D53"/>
    <w:rsid w:val="00C101E6"/>
    <w:rsid w:val="00C1075B"/>
    <w:rsid w:val="00C12A38"/>
    <w:rsid w:val="00C12EEB"/>
    <w:rsid w:val="00C138DE"/>
    <w:rsid w:val="00C147E4"/>
    <w:rsid w:val="00C14BA6"/>
    <w:rsid w:val="00C1590F"/>
    <w:rsid w:val="00C16267"/>
    <w:rsid w:val="00C1675A"/>
    <w:rsid w:val="00C168BD"/>
    <w:rsid w:val="00C16931"/>
    <w:rsid w:val="00C17337"/>
    <w:rsid w:val="00C17472"/>
    <w:rsid w:val="00C17F3C"/>
    <w:rsid w:val="00C20C30"/>
    <w:rsid w:val="00C20D09"/>
    <w:rsid w:val="00C21119"/>
    <w:rsid w:val="00C2187F"/>
    <w:rsid w:val="00C219D4"/>
    <w:rsid w:val="00C23FD6"/>
    <w:rsid w:val="00C24C67"/>
    <w:rsid w:val="00C25725"/>
    <w:rsid w:val="00C25B52"/>
    <w:rsid w:val="00C26BDC"/>
    <w:rsid w:val="00C27D9A"/>
    <w:rsid w:val="00C30021"/>
    <w:rsid w:val="00C30DF9"/>
    <w:rsid w:val="00C3151F"/>
    <w:rsid w:val="00C32A7C"/>
    <w:rsid w:val="00C32B95"/>
    <w:rsid w:val="00C339AB"/>
    <w:rsid w:val="00C3462C"/>
    <w:rsid w:val="00C3470B"/>
    <w:rsid w:val="00C34990"/>
    <w:rsid w:val="00C35106"/>
    <w:rsid w:val="00C35DF8"/>
    <w:rsid w:val="00C36872"/>
    <w:rsid w:val="00C36E8A"/>
    <w:rsid w:val="00C374B2"/>
    <w:rsid w:val="00C37A6C"/>
    <w:rsid w:val="00C402D4"/>
    <w:rsid w:val="00C41989"/>
    <w:rsid w:val="00C41C0D"/>
    <w:rsid w:val="00C42BD1"/>
    <w:rsid w:val="00C43276"/>
    <w:rsid w:val="00C43879"/>
    <w:rsid w:val="00C44182"/>
    <w:rsid w:val="00C457AA"/>
    <w:rsid w:val="00C502A5"/>
    <w:rsid w:val="00C51BAE"/>
    <w:rsid w:val="00C51DDC"/>
    <w:rsid w:val="00C51FE6"/>
    <w:rsid w:val="00C52ECA"/>
    <w:rsid w:val="00C533F3"/>
    <w:rsid w:val="00C535B4"/>
    <w:rsid w:val="00C53AC2"/>
    <w:rsid w:val="00C54563"/>
    <w:rsid w:val="00C54960"/>
    <w:rsid w:val="00C55491"/>
    <w:rsid w:val="00C554F4"/>
    <w:rsid w:val="00C55AB4"/>
    <w:rsid w:val="00C55B30"/>
    <w:rsid w:val="00C56317"/>
    <w:rsid w:val="00C56A55"/>
    <w:rsid w:val="00C56BC5"/>
    <w:rsid w:val="00C57F67"/>
    <w:rsid w:val="00C633D9"/>
    <w:rsid w:val="00C64C24"/>
    <w:rsid w:val="00C656D0"/>
    <w:rsid w:val="00C6664C"/>
    <w:rsid w:val="00C66F41"/>
    <w:rsid w:val="00C67748"/>
    <w:rsid w:val="00C67F2B"/>
    <w:rsid w:val="00C7057E"/>
    <w:rsid w:val="00C70CFD"/>
    <w:rsid w:val="00C70FB4"/>
    <w:rsid w:val="00C71220"/>
    <w:rsid w:val="00C71587"/>
    <w:rsid w:val="00C71CE9"/>
    <w:rsid w:val="00C721E7"/>
    <w:rsid w:val="00C724A0"/>
    <w:rsid w:val="00C73146"/>
    <w:rsid w:val="00C7315F"/>
    <w:rsid w:val="00C739F7"/>
    <w:rsid w:val="00C743B2"/>
    <w:rsid w:val="00C7469F"/>
    <w:rsid w:val="00C74CB3"/>
    <w:rsid w:val="00C75FE9"/>
    <w:rsid w:val="00C804F1"/>
    <w:rsid w:val="00C8148C"/>
    <w:rsid w:val="00C81495"/>
    <w:rsid w:val="00C81F54"/>
    <w:rsid w:val="00C8380C"/>
    <w:rsid w:val="00C83977"/>
    <w:rsid w:val="00C841B1"/>
    <w:rsid w:val="00C84F11"/>
    <w:rsid w:val="00C85E10"/>
    <w:rsid w:val="00C86FCE"/>
    <w:rsid w:val="00C87E46"/>
    <w:rsid w:val="00C90375"/>
    <w:rsid w:val="00C9054E"/>
    <w:rsid w:val="00C90C2B"/>
    <w:rsid w:val="00C90CCB"/>
    <w:rsid w:val="00C9137C"/>
    <w:rsid w:val="00C91F17"/>
    <w:rsid w:val="00C9347F"/>
    <w:rsid w:val="00C936F4"/>
    <w:rsid w:val="00C946CF"/>
    <w:rsid w:val="00C9495D"/>
    <w:rsid w:val="00C95132"/>
    <w:rsid w:val="00C95D8B"/>
    <w:rsid w:val="00C96673"/>
    <w:rsid w:val="00C9695B"/>
    <w:rsid w:val="00C96960"/>
    <w:rsid w:val="00C96A33"/>
    <w:rsid w:val="00C96ACF"/>
    <w:rsid w:val="00C97080"/>
    <w:rsid w:val="00C97A83"/>
    <w:rsid w:val="00CA0DCC"/>
    <w:rsid w:val="00CA11EA"/>
    <w:rsid w:val="00CA330D"/>
    <w:rsid w:val="00CA33B6"/>
    <w:rsid w:val="00CA370A"/>
    <w:rsid w:val="00CA3F79"/>
    <w:rsid w:val="00CA479F"/>
    <w:rsid w:val="00CA52CB"/>
    <w:rsid w:val="00CA580A"/>
    <w:rsid w:val="00CA6E02"/>
    <w:rsid w:val="00CA7AB0"/>
    <w:rsid w:val="00CB0040"/>
    <w:rsid w:val="00CB087A"/>
    <w:rsid w:val="00CB1111"/>
    <w:rsid w:val="00CB117D"/>
    <w:rsid w:val="00CB1420"/>
    <w:rsid w:val="00CB1BA5"/>
    <w:rsid w:val="00CB23CC"/>
    <w:rsid w:val="00CB28C7"/>
    <w:rsid w:val="00CB2CE5"/>
    <w:rsid w:val="00CB2F17"/>
    <w:rsid w:val="00CB408D"/>
    <w:rsid w:val="00CB5059"/>
    <w:rsid w:val="00CB5AF2"/>
    <w:rsid w:val="00CB633D"/>
    <w:rsid w:val="00CB69A2"/>
    <w:rsid w:val="00CB6ADC"/>
    <w:rsid w:val="00CB7234"/>
    <w:rsid w:val="00CB7933"/>
    <w:rsid w:val="00CB7A5D"/>
    <w:rsid w:val="00CB7AB1"/>
    <w:rsid w:val="00CC0AFB"/>
    <w:rsid w:val="00CC14D8"/>
    <w:rsid w:val="00CC2384"/>
    <w:rsid w:val="00CC2402"/>
    <w:rsid w:val="00CC2A13"/>
    <w:rsid w:val="00CC2BFE"/>
    <w:rsid w:val="00CC2DFF"/>
    <w:rsid w:val="00CC3289"/>
    <w:rsid w:val="00CC336F"/>
    <w:rsid w:val="00CC3640"/>
    <w:rsid w:val="00CC36FD"/>
    <w:rsid w:val="00CC3FC9"/>
    <w:rsid w:val="00CC43B2"/>
    <w:rsid w:val="00CC488A"/>
    <w:rsid w:val="00CC4AE1"/>
    <w:rsid w:val="00CC5CD4"/>
    <w:rsid w:val="00CC648E"/>
    <w:rsid w:val="00CD0012"/>
    <w:rsid w:val="00CD11E7"/>
    <w:rsid w:val="00CD1220"/>
    <w:rsid w:val="00CD1472"/>
    <w:rsid w:val="00CD1506"/>
    <w:rsid w:val="00CD15CA"/>
    <w:rsid w:val="00CD181F"/>
    <w:rsid w:val="00CD183F"/>
    <w:rsid w:val="00CD20F4"/>
    <w:rsid w:val="00CD2892"/>
    <w:rsid w:val="00CD2ABE"/>
    <w:rsid w:val="00CD3171"/>
    <w:rsid w:val="00CD39EB"/>
    <w:rsid w:val="00CD3FEF"/>
    <w:rsid w:val="00CD454E"/>
    <w:rsid w:val="00CD4559"/>
    <w:rsid w:val="00CD477E"/>
    <w:rsid w:val="00CD5D23"/>
    <w:rsid w:val="00CD5F2C"/>
    <w:rsid w:val="00CD69FF"/>
    <w:rsid w:val="00CD6CA2"/>
    <w:rsid w:val="00CD7373"/>
    <w:rsid w:val="00CD7E8F"/>
    <w:rsid w:val="00CE1278"/>
    <w:rsid w:val="00CE14A1"/>
    <w:rsid w:val="00CE1C34"/>
    <w:rsid w:val="00CE1ED6"/>
    <w:rsid w:val="00CE1FF8"/>
    <w:rsid w:val="00CE2222"/>
    <w:rsid w:val="00CE24BB"/>
    <w:rsid w:val="00CE24DD"/>
    <w:rsid w:val="00CE3261"/>
    <w:rsid w:val="00CE3287"/>
    <w:rsid w:val="00CE33C8"/>
    <w:rsid w:val="00CE40C5"/>
    <w:rsid w:val="00CE420E"/>
    <w:rsid w:val="00CE42F9"/>
    <w:rsid w:val="00CE46FA"/>
    <w:rsid w:val="00CE4DEF"/>
    <w:rsid w:val="00CE5781"/>
    <w:rsid w:val="00CE5FCD"/>
    <w:rsid w:val="00CE6A36"/>
    <w:rsid w:val="00CE7089"/>
    <w:rsid w:val="00CE7C8F"/>
    <w:rsid w:val="00CF064A"/>
    <w:rsid w:val="00CF0CA5"/>
    <w:rsid w:val="00CF1106"/>
    <w:rsid w:val="00CF1A60"/>
    <w:rsid w:val="00CF289E"/>
    <w:rsid w:val="00CF28DC"/>
    <w:rsid w:val="00CF2D33"/>
    <w:rsid w:val="00CF3109"/>
    <w:rsid w:val="00CF32DC"/>
    <w:rsid w:val="00CF35B7"/>
    <w:rsid w:val="00CF3E31"/>
    <w:rsid w:val="00CF447E"/>
    <w:rsid w:val="00CF44A9"/>
    <w:rsid w:val="00CF4980"/>
    <w:rsid w:val="00CF6078"/>
    <w:rsid w:val="00CF66F6"/>
    <w:rsid w:val="00CF68A0"/>
    <w:rsid w:val="00CF6BA4"/>
    <w:rsid w:val="00CF6F91"/>
    <w:rsid w:val="00D000C3"/>
    <w:rsid w:val="00D00150"/>
    <w:rsid w:val="00D007AF"/>
    <w:rsid w:val="00D00F43"/>
    <w:rsid w:val="00D012FD"/>
    <w:rsid w:val="00D02224"/>
    <w:rsid w:val="00D031B4"/>
    <w:rsid w:val="00D03650"/>
    <w:rsid w:val="00D03666"/>
    <w:rsid w:val="00D041B5"/>
    <w:rsid w:val="00D04AF4"/>
    <w:rsid w:val="00D05AAA"/>
    <w:rsid w:val="00D068BE"/>
    <w:rsid w:val="00D06B2C"/>
    <w:rsid w:val="00D07574"/>
    <w:rsid w:val="00D10148"/>
    <w:rsid w:val="00D101EC"/>
    <w:rsid w:val="00D106D7"/>
    <w:rsid w:val="00D11205"/>
    <w:rsid w:val="00D124C6"/>
    <w:rsid w:val="00D12904"/>
    <w:rsid w:val="00D1337C"/>
    <w:rsid w:val="00D135BC"/>
    <w:rsid w:val="00D13A76"/>
    <w:rsid w:val="00D1506A"/>
    <w:rsid w:val="00D151C7"/>
    <w:rsid w:val="00D154A1"/>
    <w:rsid w:val="00D15C5F"/>
    <w:rsid w:val="00D16CF9"/>
    <w:rsid w:val="00D16D2A"/>
    <w:rsid w:val="00D171A2"/>
    <w:rsid w:val="00D2104D"/>
    <w:rsid w:val="00D21A45"/>
    <w:rsid w:val="00D22761"/>
    <w:rsid w:val="00D25102"/>
    <w:rsid w:val="00D25EBE"/>
    <w:rsid w:val="00D265D4"/>
    <w:rsid w:val="00D2705D"/>
    <w:rsid w:val="00D276D0"/>
    <w:rsid w:val="00D27B3A"/>
    <w:rsid w:val="00D30035"/>
    <w:rsid w:val="00D3045B"/>
    <w:rsid w:val="00D304AB"/>
    <w:rsid w:val="00D30BF1"/>
    <w:rsid w:val="00D30ED1"/>
    <w:rsid w:val="00D31D83"/>
    <w:rsid w:val="00D3382C"/>
    <w:rsid w:val="00D33CBF"/>
    <w:rsid w:val="00D34EC2"/>
    <w:rsid w:val="00D34F46"/>
    <w:rsid w:val="00D350A4"/>
    <w:rsid w:val="00D3561C"/>
    <w:rsid w:val="00D35B53"/>
    <w:rsid w:val="00D3637F"/>
    <w:rsid w:val="00D369EE"/>
    <w:rsid w:val="00D3793B"/>
    <w:rsid w:val="00D37D45"/>
    <w:rsid w:val="00D37E78"/>
    <w:rsid w:val="00D40148"/>
    <w:rsid w:val="00D4095C"/>
    <w:rsid w:val="00D40A02"/>
    <w:rsid w:val="00D40A81"/>
    <w:rsid w:val="00D40B14"/>
    <w:rsid w:val="00D410A4"/>
    <w:rsid w:val="00D414FF"/>
    <w:rsid w:val="00D41C00"/>
    <w:rsid w:val="00D41CBF"/>
    <w:rsid w:val="00D42356"/>
    <w:rsid w:val="00D43BCF"/>
    <w:rsid w:val="00D457A4"/>
    <w:rsid w:val="00D45EA4"/>
    <w:rsid w:val="00D4606C"/>
    <w:rsid w:val="00D460D1"/>
    <w:rsid w:val="00D46298"/>
    <w:rsid w:val="00D4662C"/>
    <w:rsid w:val="00D46664"/>
    <w:rsid w:val="00D471A8"/>
    <w:rsid w:val="00D47F63"/>
    <w:rsid w:val="00D5016D"/>
    <w:rsid w:val="00D50361"/>
    <w:rsid w:val="00D518AE"/>
    <w:rsid w:val="00D52F14"/>
    <w:rsid w:val="00D56563"/>
    <w:rsid w:val="00D56A5F"/>
    <w:rsid w:val="00D56DFC"/>
    <w:rsid w:val="00D5737D"/>
    <w:rsid w:val="00D57E8F"/>
    <w:rsid w:val="00D6085F"/>
    <w:rsid w:val="00D60881"/>
    <w:rsid w:val="00D60B2F"/>
    <w:rsid w:val="00D61089"/>
    <w:rsid w:val="00D615E8"/>
    <w:rsid w:val="00D61680"/>
    <w:rsid w:val="00D61D4E"/>
    <w:rsid w:val="00D61D9A"/>
    <w:rsid w:val="00D61E1F"/>
    <w:rsid w:val="00D62A56"/>
    <w:rsid w:val="00D63817"/>
    <w:rsid w:val="00D63971"/>
    <w:rsid w:val="00D65FA9"/>
    <w:rsid w:val="00D662B0"/>
    <w:rsid w:val="00D664B8"/>
    <w:rsid w:val="00D66DF6"/>
    <w:rsid w:val="00D7072C"/>
    <w:rsid w:val="00D70934"/>
    <w:rsid w:val="00D71576"/>
    <w:rsid w:val="00D71678"/>
    <w:rsid w:val="00D71E69"/>
    <w:rsid w:val="00D72F16"/>
    <w:rsid w:val="00D73D2F"/>
    <w:rsid w:val="00D7411D"/>
    <w:rsid w:val="00D75085"/>
    <w:rsid w:val="00D7649D"/>
    <w:rsid w:val="00D77109"/>
    <w:rsid w:val="00D7756D"/>
    <w:rsid w:val="00D77F81"/>
    <w:rsid w:val="00D8012F"/>
    <w:rsid w:val="00D803B9"/>
    <w:rsid w:val="00D80820"/>
    <w:rsid w:val="00D80B71"/>
    <w:rsid w:val="00D81297"/>
    <w:rsid w:val="00D81AEB"/>
    <w:rsid w:val="00D81C41"/>
    <w:rsid w:val="00D821AF"/>
    <w:rsid w:val="00D8264B"/>
    <w:rsid w:val="00D82C12"/>
    <w:rsid w:val="00D83F18"/>
    <w:rsid w:val="00D84A05"/>
    <w:rsid w:val="00D861F3"/>
    <w:rsid w:val="00D86703"/>
    <w:rsid w:val="00D87051"/>
    <w:rsid w:val="00D87AC0"/>
    <w:rsid w:val="00D900DC"/>
    <w:rsid w:val="00D90F2C"/>
    <w:rsid w:val="00D9138D"/>
    <w:rsid w:val="00D91CA4"/>
    <w:rsid w:val="00D92564"/>
    <w:rsid w:val="00D92EC9"/>
    <w:rsid w:val="00D93A90"/>
    <w:rsid w:val="00D9429E"/>
    <w:rsid w:val="00D943DB"/>
    <w:rsid w:val="00D94468"/>
    <w:rsid w:val="00D94B06"/>
    <w:rsid w:val="00D94E4F"/>
    <w:rsid w:val="00D95BB0"/>
    <w:rsid w:val="00D975AD"/>
    <w:rsid w:val="00DA08CD"/>
    <w:rsid w:val="00DA0BE2"/>
    <w:rsid w:val="00DA2258"/>
    <w:rsid w:val="00DA2AA8"/>
    <w:rsid w:val="00DA2D18"/>
    <w:rsid w:val="00DA351E"/>
    <w:rsid w:val="00DA3DB6"/>
    <w:rsid w:val="00DA4112"/>
    <w:rsid w:val="00DA4841"/>
    <w:rsid w:val="00DA4AF9"/>
    <w:rsid w:val="00DA50DB"/>
    <w:rsid w:val="00DA5BF3"/>
    <w:rsid w:val="00DA6212"/>
    <w:rsid w:val="00DA6487"/>
    <w:rsid w:val="00DA6F88"/>
    <w:rsid w:val="00DA76CB"/>
    <w:rsid w:val="00DB019C"/>
    <w:rsid w:val="00DB0337"/>
    <w:rsid w:val="00DB0947"/>
    <w:rsid w:val="00DB0C02"/>
    <w:rsid w:val="00DB136E"/>
    <w:rsid w:val="00DB1AFC"/>
    <w:rsid w:val="00DB1D77"/>
    <w:rsid w:val="00DB2303"/>
    <w:rsid w:val="00DB2551"/>
    <w:rsid w:val="00DB25B6"/>
    <w:rsid w:val="00DB295C"/>
    <w:rsid w:val="00DB4F79"/>
    <w:rsid w:val="00DB51A2"/>
    <w:rsid w:val="00DB5607"/>
    <w:rsid w:val="00DB56DC"/>
    <w:rsid w:val="00DB5DD1"/>
    <w:rsid w:val="00DB6050"/>
    <w:rsid w:val="00DB64DD"/>
    <w:rsid w:val="00DB699F"/>
    <w:rsid w:val="00DB6EC6"/>
    <w:rsid w:val="00DB76A0"/>
    <w:rsid w:val="00DB772F"/>
    <w:rsid w:val="00DB7AA5"/>
    <w:rsid w:val="00DB7C6E"/>
    <w:rsid w:val="00DC011F"/>
    <w:rsid w:val="00DC0190"/>
    <w:rsid w:val="00DC09AC"/>
    <w:rsid w:val="00DC0C19"/>
    <w:rsid w:val="00DC15B5"/>
    <w:rsid w:val="00DC21B2"/>
    <w:rsid w:val="00DC2EB1"/>
    <w:rsid w:val="00DC31E6"/>
    <w:rsid w:val="00DC3322"/>
    <w:rsid w:val="00DC3B25"/>
    <w:rsid w:val="00DC3CF7"/>
    <w:rsid w:val="00DC4629"/>
    <w:rsid w:val="00DC55CF"/>
    <w:rsid w:val="00DC58EE"/>
    <w:rsid w:val="00DC5EF1"/>
    <w:rsid w:val="00DC6BF2"/>
    <w:rsid w:val="00DC7ECA"/>
    <w:rsid w:val="00DD030F"/>
    <w:rsid w:val="00DD0F6F"/>
    <w:rsid w:val="00DD40E8"/>
    <w:rsid w:val="00DD4298"/>
    <w:rsid w:val="00DD4589"/>
    <w:rsid w:val="00DD7E4C"/>
    <w:rsid w:val="00DE0239"/>
    <w:rsid w:val="00DE0ACD"/>
    <w:rsid w:val="00DE0B4F"/>
    <w:rsid w:val="00DE0E97"/>
    <w:rsid w:val="00DE1299"/>
    <w:rsid w:val="00DE1491"/>
    <w:rsid w:val="00DE1DFC"/>
    <w:rsid w:val="00DE2196"/>
    <w:rsid w:val="00DE267E"/>
    <w:rsid w:val="00DE2F30"/>
    <w:rsid w:val="00DE2F5A"/>
    <w:rsid w:val="00DE3564"/>
    <w:rsid w:val="00DE3877"/>
    <w:rsid w:val="00DE4B3E"/>
    <w:rsid w:val="00DE4D75"/>
    <w:rsid w:val="00DE5FDA"/>
    <w:rsid w:val="00DE61F3"/>
    <w:rsid w:val="00DE6E8D"/>
    <w:rsid w:val="00DED0FA"/>
    <w:rsid w:val="00DF0AE4"/>
    <w:rsid w:val="00DF0B8A"/>
    <w:rsid w:val="00DF0C0B"/>
    <w:rsid w:val="00DF11A9"/>
    <w:rsid w:val="00DF2ECC"/>
    <w:rsid w:val="00DF3F70"/>
    <w:rsid w:val="00DF4061"/>
    <w:rsid w:val="00DF44BD"/>
    <w:rsid w:val="00DF5AF0"/>
    <w:rsid w:val="00DF5CB5"/>
    <w:rsid w:val="00DF6C2E"/>
    <w:rsid w:val="00DF6C41"/>
    <w:rsid w:val="00DF7515"/>
    <w:rsid w:val="00E002EA"/>
    <w:rsid w:val="00E00BF9"/>
    <w:rsid w:val="00E01910"/>
    <w:rsid w:val="00E01AB1"/>
    <w:rsid w:val="00E02074"/>
    <w:rsid w:val="00E031FA"/>
    <w:rsid w:val="00E0393E"/>
    <w:rsid w:val="00E03FC1"/>
    <w:rsid w:val="00E04C9A"/>
    <w:rsid w:val="00E04EA0"/>
    <w:rsid w:val="00E05E5A"/>
    <w:rsid w:val="00E070C9"/>
    <w:rsid w:val="00E070E4"/>
    <w:rsid w:val="00E07338"/>
    <w:rsid w:val="00E07653"/>
    <w:rsid w:val="00E108CB"/>
    <w:rsid w:val="00E10D23"/>
    <w:rsid w:val="00E10EF0"/>
    <w:rsid w:val="00E11637"/>
    <w:rsid w:val="00E1326D"/>
    <w:rsid w:val="00E13301"/>
    <w:rsid w:val="00E13D14"/>
    <w:rsid w:val="00E15201"/>
    <w:rsid w:val="00E1551A"/>
    <w:rsid w:val="00E155A5"/>
    <w:rsid w:val="00E15897"/>
    <w:rsid w:val="00E15B7A"/>
    <w:rsid w:val="00E173CE"/>
    <w:rsid w:val="00E17604"/>
    <w:rsid w:val="00E17EC4"/>
    <w:rsid w:val="00E208C9"/>
    <w:rsid w:val="00E20AC9"/>
    <w:rsid w:val="00E20CDF"/>
    <w:rsid w:val="00E2103E"/>
    <w:rsid w:val="00E2106C"/>
    <w:rsid w:val="00E21374"/>
    <w:rsid w:val="00E23564"/>
    <w:rsid w:val="00E24536"/>
    <w:rsid w:val="00E2525A"/>
    <w:rsid w:val="00E25558"/>
    <w:rsid w:val="00E26426"/>
    <w:rsid w:val="00E26C87"/>
    <w:rsid w:val="00E300B5"/>
    <w:rsid w:val="00E3029F"/>
    <w:rsid w:val="00E304B3"/>
    <w:rsid w:val="00E305F2"/>
    <w:rsid w:val="00E30D03"/>
    <w:rsid w:val="00E313FC"/>
    <w:rsid w:val="00E3157C"/>
    <w:rsid w:val="00E318E6"/>
    <w:rsid w:val="00E31B89"/>
    <w:rsid w:val="00E32AC2"/>
    <w:rsid w:val="00E33807"/>
    <w:rsid w:val="00E33A2E"/>
    <w:rsid w:val="00E33E7E"/>
    <w:rsid w:val="00E34179"/>
    <w:rsid w:val="00E35060"/>
    <w:rsid w:val="00E35169"/>
    <w:rsid w:val="00E3550C"/>
    <w:rsid w:val="00E35DA6"/>
    <w:rsid w:val="00E35E5F"/>
    <w:rsid w:val="00E36637"/>
    <w:rsid w:val="00E36C1E"/>
    <w:rsid w:val="00E37454"/>
    <w:rsid w:val="00E3783C"/>
    <w:rsid w:val="00E37FAF"/>
    <w:rsid w:val="00E40168"/>
    <w:rsid w:val="00E4042F"/>
    <w:rsid w:val="00E4051C"/>
    <w:rsid w:val="00E40EB4"/>
    <w:rsid w:val="00E41A96"/>
    <w:rsid w:val="00E42CA5"/>
    <w:rsid w:val="00E42CFA"/>
    <w:rsid w:val="00E43081"/>
    <w:rsid w:val="00E4308E"/>
    <w:rsid w:val="00E433DA"/>
    <w:rsid w:val="00E443F7"/>
    <w:rsid w:val="00E44A71"/>
    <w:rsid w:val="00E44BBD"/>
    <w:rsid w:val="00E45CBE"/>
    <w:rsid w:val="00E475BB"/>
    <w:rsid w:val="00E500C7"/>
    <w:rsid w:val="00E52913"/>
    <w:rsid w:val="00E53733"/>
    <w:rsid w:val="00E53A33"/>
    <w:rsid w:val="00E5442D"/>
    <w:rsid w:val="00E54575"/>
    <w:rsid w:val="00E54A1A"/>
    <w:rsid w:val="00E55D3E"/>
    <w:rsid w:val="00E55F7F"/>
    <w:rsid w:val="00E5673B"/>
    <w:rsid w:val="00E57303"/>
    <w:rsid w:val="00E60438"/>
    <w:rsid w:val="00E60DD9"/>
    <w:rsid w:val="00E61E3A"/>
    <w:rsid w:val="00E621F2"/>
    <w:rsid w:val="00E625D1"/>
    <w:rsid w:val="00E62C52"/>
    <w:rsid w:val="00E62EB1"/>
    <w:rsid w:val="00E64B7C"/>
    <w:rsid w:val="00E65321"/>
    <w:rsid w:val="00E65585"/>
    <w:rsid w:val="00E65AB4"/>
    <w:rsid w:val="00E65AD2"/>
    <w:rsid w:val="00E65F80"/>
    <w:rsid w:val="00E676D9"/>
    <w:rsid w:val="00E7049B"/>
    <w:rsid w:val="00E727D4"/>
    <w:rsid w:val="00E73FFE"/>
    <w:rsid w:val="00E74EA7"/>
    <w:rsid w:val="00E7558D"/>
    <w:rsid w:val="00E76087"/>
    <w:rsid w:val="00E76FB6"/>
    <w:rsid w:val="00E77367"/>
    <w:rsid w:val="00E7778D"/>
    <w:rsid w:val="00E80A34"/>
    <w:rsid w:val="00E817DC"/>
    <w:rsid w:val="00E81E40"/>
    <w:rsid w:val="00E82148"/>
    <w:rsid w:val="00E83C64"/>
    <w:rsid w:val="00E85064"/>
    <w:rsid w:val="00E85284"/>
    <w:rsid w:val="00E85AB2"/>
    <w:rsid w:val="00E85B99"/>
    <w:rsid w:val="00E85EEB"/>
    <w:rsid w:val="00E86264"/>
    <w:rsid w:val="00E86538"/>
    <w:rsid w:val="00E8791D"/>
    <w:rsid w:val="00E90896"/>
    <w:rsid w:val="00E91BA6"/>
    <w:rsid w:val="00E92266"/>
    <w:rsid w:val="00E922B6"/>
    <w:rsid w:val="00E93523"/>
    <w:rsid w:val="00E93674"/>
    <w:rsid w:val="00E93E2D"/>
    <w:rsid w:val="00E95A50"/>
    <w:rsid w:val="00E964EF"/>
    <w:rsid w:val="00E96A27"/>
    <w:rsid w:val="00E978B1"/>
    <w:rsid w:val="00E97D9A"/>
    <w:rsid w:val="00EA02D0"/>
    <w:rsid w:val="00EA03A5"/>
    <w:rsid w:val="00EA265E"/>
    <w:rsid w:val="00EA353A"/>
    <w:rsid w:val="00EA394E"/>
    <w:rsid w:val="00EA39BE"/>
    <w:rsid w:val="00EA3B2E"/>
    <w:rsid w:val="00EA61D7"/>
    <w:rsid w:val="00EA6A9D"/>
    <w:rsid w:val="00EA6C3C"/>
    <w:rsid w:val="00EA6DB4"/>
    <w:rsid w:val="00EA70F0"/>
    <w:rsid w:val="00EA7A87"/>
    <w:rsid w:val="00EA7D8F"/>
    <w:rsid w:val="00EB0046"/>
    <w:rsid w:val="00EB09CB"/>
    <w:rsid w:val="00EB0F57"/>
    <w:rsid w:val="00EB2069"/>
    <w:rsid w:val="00EB2B22"/>
    <w:rsid w:val="00EB3958"/>
    <w:rsid w:val="00EB3B51"/>
    <w:rsid w:val="00EB42AF"/>
    <w:rsid w:val="00EB42E6"/>
    <w:rsid w:val="00EB4A8D"/>
    <w:rsid w:val="00EB54CD"/>
    <w:rsid w:val="00EB5DE2"/>
    <w:rsid w:val="00EB6186"/>
    <w:rsid w:val="00EB698B"/>
    <w:rsid w:val="00EB6AAC"/>
    <w:rsid w:val="00EB6CA4"/>
    <w:rsid w:val="00EB769C"/>
    <w:rsid w:val="00EB7B3D"/>
    <w:rsid w:val="00EC0CCC"/>
    <w:rsid w:val="00EC0E45"/>
    <w:rsid w:val="00EC1DE5"/>
    <w:rsid w:val="00EC1E45"/>
    <w:rsid w:val="00EC264F"/>
    <w:rsid w:val="00EC328F"/>
    <w:rsid w:val="00EC3BBA"/>
    <w:rsid w:val="00EC4473"/>
    <w:rsid w:val="00EC5260"/>
    <w:rsid w:val="00EC58A3"/>
    <w:rsid w:val="00EC5DE1"/>
    <w:rsid w:val="00EC5F0F"/>
    <w:rsid w:val="00EC657C"/>
    <w:rsid w:val="00EC6894"/>
    <w:rsid w:val="00EC6E66"/>
    <w:rsid w:val="00EC6E6A"/>
    <w:rsid w:val="00EC7760"/>
    <w:rsid w:val="00EC7952"/>
    <w:rsid w:val="00ED064F"/>
    <w:rsid w:val="00ED0E17"/>
    <w:rsid w:val="00ED2691"/>
    <w:rsid w:val="00ED3296"/>
    <w:rsid w:val="00ED4B63"/>
    <w:rsid w:val="00ED53BC"/>
    <w:rsid w:val="00ED5494"/>
    <w:rsid w:val="00ED5605"/>
    <w:rsid w:val="00ED5804"/>
    <w:rsid w:val="00ED6057"/>
    <w:rsid w:val="00ED608C"/>
    <w:rsid w:val="00ED7474"/>
    <w:rsid w:val="00ED79C7"/>
    <w:rsid w:val="00ED7BFA"/>
    <w:rsid w:val="00EE04EC"/>
    <w:rsid w:val="00EE0A33"/>
    <w:rsid w:val="00EE15D7"/>
    <w:rsid w:val="00EE1A76"/>
    <w:rsid w:val="00EE1EF2"/>
    <w:rsid w:val="00EE1F8D"/>
    <w:rsid w:val="00EE234E"/>
    <w:rsid w:val="00EE3B7E"/>
    <w:rsid w:val="00EE41E0"/>
    <w:rsid w:val="00EE444A"/>
    <w:rsid w:val="00EE4B7E"/>
    <w:rsid w:val="00EE4BC1"/>
    <w:rsid w:val="00EE5CF8"/>
    <w:rsid w:val="00EE6E78"/>
    <w:rsid w:val="00EE6E86"/>
    <w:rsid w:val="00EF1C13"/>
    <w:rsid w:val="00EF1F8C"/>
    <w:rsid w:val="00EF213C"/>
    <w:rsid w:val="00EF2277"/>
    <w:rsid w:val="00EF25D3"/>
    <w:rsid w:val="00EF2B67"/>
    <w:rsid w:val="00EF2FD9"/>
    <w:rsid w:val="00EF30D1"/>
    <w:rsid w:val="00EF33BD"/>
    <w:rsid w:val="00EF364B"/>
    <w:rsid w:val="00EF42CD"/>
    <w:rsid w:val="00EF4587"/>
    <w:rsid w:val="00EF4E09"/>
    <w:rsid w:val="00EF5D79"/>
    <w:rsid w:val="00EF5F9A"/>
    <w:rsid w:val="00EF6EB6"/>
    <w:rsid w:val="00EF7405"/>
    <w:rsid w:val="00F00E4F"/>
    <w:rsid w:val="00F019CF"/>
    <w:rsid w:val="00F01C5A"/>
    <w:rsid w:val="00F02828"/>
    <w:rsid w:val="00F03E63"/>
    <w:rsid w:val="00F063AE"/>
    <w:rsid w:val="00F06866"/>
    <w:rsid w:val="00F06CD8"/>
    <w:rsid w:val="00F070F7"/>
    <w:rsid w:val="00F071B7"/>
    <w:rsid w:val="00F07EDB"/>
    <w:rsid w:val="00F10374"/>
    <w:rsid w:val="00F10456"/>
    <w:rsid w:val="00F10678"/>
    <w:rsid w:val="00F10C28"/>
    <w:rsid w:val="00F1179F"/>
    <w:rsid w:val="00F117C4"/>
    <w:rsid w:val="00F121C4"/>
    <w:rsid w:val="00F12716"/>
    <w:rsid w:val="00F12CB4"/>
    <w:rsid w:val="00F1366D"/>
    <w:rsid w:val="00F13711"/>
    <w:rsid w:val="00F151B2"/>
    <w:rsid w:val="00F153D6"/>
    <w:rsid w:val="00F167DD"/>
    <w:rsid w:val="00F17232"/>
    <w:rsid w:val="00F21D39"/>
    <w:rsid w:val="00F23851"/>
    <w:rsid w:val="00F23E60"/>
    <w:rsid w:val="00F2475C"/>
    <w:rsid w:val="00F263E6"/>
    <w:rsid w:val="00F267C7"/>
    <w:rsid w:val="00F26AEF"/>
    <w:rsid w:val="00F26F9C"/>
    <w:rsid w:val="00F273BE"/>
    <w:rsid w:val="00F27831"/>
    <w:rsid w:val="00F30D3B"/>
    <w:rsid w:val="00F30E9F"/>
    <w:rsid w:val="00F320C8"/>
    <w:rsid w:val="00F323C8"/>
    <w:rsid w:val="00F32474"/>
    <w:rsid w:val="00F32B88"/>
    <w:rsid w:val="00F32CDE"/>
    <w:rsid w:val="00F33643"/>
    <w:rsid w:val="00F336AA"/>
    <w:rsid w:val="00F33C49"/>
    <w:rsid w:val="00F33D86"/>
    <w:rsid w:val="00F354ED"/>
    <w:rsid w:val="00F3550E"/>
    <w:rsid w:val="00F3762B"/>
    <w:rsid w:val="00F37CBA"/>
    <w:rsid w:val="00F40A09"/>
    <w:rsid w:val="00F40FC3"/>
    <w:rsid w:val="00F41384"/>
    <w:rsid w:val="00F41644"/>
    <w:rsid w:val="00F418FA"/>
    <w:rsid w:val="00F41B17"/>
    <w:rsid w:val="00F42065"/>
    <w:rsid w:val="00F42301"/>
    <w:rsid w:val="00F43086"/>
    <w:rsid w:val="00F43B5D"/>
    <w:rsid w:val="00F43C6D"/>
    <w:rsid w:val="00F43E42"/>
    <w:rsid w:val="00F44E6B"/>
    <w:rsid w:val="00F4507B"/>
    <w:rsid w:val="00F45779"/>
    <w:rsid w:val="00F45C35"/>
    <w:rsid w:val="00F467B6"/>
    <w:rsid w:val="00F46B72"/>
    <w:rsid w:val="00F4759F"/>
    <w:rsid w:val="00F47B8E"/>
    <w:rsid w:val="00F5072B"/>
    <w:rsid w:val="00F508D0"/>
    <w:rsid w:val="00F50A26"/>
    <w:rsid w:val="00F50AF6"/>
    <w:rsid w:val="00F50FA5"/>
    <w:rsid w:val="00F516AE"/>
    <w:rsid w:val="00F517EB"/>
    <w:rsid w:val="00F520B5"/>
    <w:rsid w:val="00F525B4"/>
    <w:rsid w:val="00F52866"/>
    <w:rsid w:val="00F5291F"/>
    <w:rsid w:val="00F52F09"/>
    <w:rsid w:val="00F5333D"/>
    <w:rsid w:val="00F53ACE"/>
    <w:rsid w:val="00F53B7A"/>
    <w:rsid w:val="00F542BA"/>
    <w:rsid w:val="00F55225"/>
    <w:rsid w:val="00F55863"/>
    <w:rsid w:val="00F55919"/>
    <w:rsid w:val="00F55AE3"/>
    <w:rsid w:val="00F561DD"/>
    <w:rsid w:val="00F56391"/>
    <w:rsid w:val="00F56495"/>
    <w:rsid w:val="00F564E4"/>
    <w:rsid w:val="00F565AC"/>
    <w:rsid w:val="00F574F0"/>
    <w:rsid w:val="00F578B1"/>
    <w:rsid w:val="00F6095E"/>
    <w:rsid w:val="00F60DEB"/>
    <w:rsid w:val="00F6230B"/>
    <w:rsid w:val="00F624B1"/>
    <w:rsid w:val="00F625D6"/>
    <w:rsid w:val="00F633BC"/>
    <w:rsid w:val="00F636D2"/>
    <w:rsid w:val="00F63B89"/>
    <w:rsid w:val="00F63DA0"/>
    <w:rsid w:val="00F64562"/>
    <w:rsid w:val="00F64ACD"/>
    <w:rsid w:val="00F65EB5"/>
    <w:rsid w:val="00F660A0"/>
    <w:rsid w:val="00F663D7"/>
    <w:rsid w:val="00F667E7"/>
    <w:rsid w:val="00F70054"/>
    <w:rsid w:val="00F707DF"/>
    <w:rsid w:val="00F707EB"/>
    <w:rsid w:val="00F71867"/>
    <w:rsid w:val="00F72851"/>
    <w:rsid w:val="00F72880"/>
    <w:rsid w:val="00F735BA"/>
    <w:rsid w:val="00F74567"/>
    <w:rsid w:val="00F757F1"/>
    <w:rsid w:val="00F75CFC"/>
    <w:rsid w:val="00F7604B"/>
    <w:rsid w:val="00F7606F"/>
    <w:rsid w:val="00F76511"/>
    <w:rsid w:val="00F776E0"/>
    <w:rsid w:val="00F8019D"/>
    <w:rsid w:val="00F80250"/>
    <w:rsid w:val="00F80486"/>
    <w:rsid w:val="00F80F10"/>
    <w:rsid w:val="00F81334"/>
    <w:rsid w:val="00F8149A"/>
    <w:rsid w:val="00F81ED4"/>
    <w:rsid w:val="00F8242C"/>
    <w:rsid w:val="00F82952"/>
    <w:rsid w:val="00F84603"/>
    <w:rsid w:val="00F84845"/>
    <w:rsid w:val="00F8519B"/>
    <w:rsid w:val="00F86140"/>
    <w:rsid w:val="00F86E12"/>
    <w:rsid w:val="00F8775C"/>
    <w:rsid w:val="00F87A18"/>
    <w:rsid w:val="00F87DD0"/>
    <w:rsid w:val="00F91377"/>
    <w:rsid w:val="00F91EDE"/>
    <w:rsid w:val="00F92143"/>
    <w:rsid w:val="00F927C9"/>
    <w:rsid w:val="00F927F0"/>
    <w:rsid w:val="00F929D3"/>
    <w:rsid w:val="00F92CBB"/>
    <w:rsid w:val="00F93481"/>
    <w:rsid w:val="00F94826"/>
    <w:rsid w:val="00F951B2"/>
    <w:rsid w:val="00F953A2"/>
    <w:rsid w:val="00F95604"/>
    <w:rsid w:val="00F95FDC"/>
    <w:rsid w:val="00F960BA"/>
    <w:rsid w:val="00F96D76"/>
    <w:rsid w:val="00FA0275"/>
    <w:rsid w:val="00FA0EB1"/>
    <w:rsid w:val="00FA1A6D"/>
    <w:rsid w:val="00FA1CBD"/>
    <w:rsid w:val="00FA1E55"/>
    <w:rsid w:val="00FA291A"/>
    <w:rsid w:val="00FA2AF2"/>
    <w:rsid w:val="00FA416A"/>
    <w:rsid w:val="00FA46B9"/>
    <w:rsid w:val="00FA58CD"/>
    <w:rsid w:val="00FA5D0D"/>
    <w:rsid w:val="00FA61F8"/>
    <w:rsid w:val="00FA7021"/>
    <w:rsid w:val="00FA72F0"/>
    <w:rsid w:val="00FB0165"/>
    <w:rsid w:val="00FB05CA"/>
    <w:rsid w:val="00FB0987"/>
    <w:rsid w:val="00FB1718"/>
    <w:rsid w:val="00FB21B3"/>
    <w:rsid w:val="00FB21DF"/>
    <w:rsid w:val="00FB3387"/>
    <w:rsid w:val="00FB3812"/>
    <w:rsid w:val="00FB49AA"/>
    <w:rsid w:val="00FB4B7C"/>
    <w:rsid w:val="00FB63B8"/>
    <w:rsid w:val="00FB6984"/>
    <w:rsid w:val="00FB6B3D"/>
    <w:rsid w:val="00FB744E"/>
    <w:rsid w:val="00FB74F6"/>
    <w:rsid w:val="00FB7C6C"/>
    <w:rsid w:val="00FC2F11"/>
    <w:rsid w:val="00FC5834"/>
    <w:rsid w:val="00FC60E0"/>
    <w:rsid w:val="00FC6310"/>
    <w:rsid w:val="00FC6662"/>
    <w:rsid w:val="00FC6B15"/>
    <w:rsid w:val="00FC6F5B"/>
    <w:rsid w:val="00FC73D8"/>
    <w:rsid w:val="00FC7728"/>
    <w:rsid w:val="00FC7980"/>
    <w:rsid w:val="00FD03A1"/>
    <w:rsid w:val="00FD05EB"/>
    <w:rsid w:val="00FD0975"/>
    <w:rsid w:val="00FD1172"/>
    <w:rsid w:val="00FD14A4"/>
    <w:rsid w:val="00FD1889"/>
    <w:rsid w:val="00FD1E4D"/>
    <w:rsid w:val="00FD20DB"/>
    <w:rsid w:val="00FD2558"/>
    <w:rsid w:val="00FD2960"/>
    <w:rsid w:val="00FD2D38"/>
    <w:rsid w:val="00FD3047"/>
    <w:rsid w:val="00FD4808"/>
    <w:rsid w:val="00FD49DD"/>
    <w:rsid w:val="00FD4F6A"/>
    <w:rsid w:val="00FD58E7"/>
    <w:rsid w:val="00FD5F2F"/>
    <w:rsid w:val="00FD6A90"/>
    <w:rsid w:val="00FD72F7"/>
    <w:rsid w:val="00FD74B5"/>
    <w:rsid w:val="00FD787F"/>
    <w:rsid w:val="00FD7BBB"/>
    <w:rsid w:val="00FE095C"/>
    <w:rsid w:val="00FE23D8"/>
    <w:rsid w:val="00FE37E4"/>
    <w:rsid w:val="00FE432E"/>
    <w:rsid w:val="00FE5B41"/>
    <w:rsid w:val="00FE5F2C"/>
    <w:rsid w:val="00FE5F95"/>
    <w:rsid w:val="00FE6212"/>
    <w:rsid w:val="00FE6463"/>
    <w:rsid w:val="00FE6DD8"/>
    <w:rsid w:val="00FE72EF"/>
    <w:rsid w:val="00FE73D7"/>
    <w:rsid w:val="00FF026C"/>
    <w:rsid w:val="00FF0310"/>
    <w:rsid w:val="00FF0A14"/>
    <w:rsid w:val="00FF0BAD"/>
    <w:rsid w:val="00FF133D"/>
    <w:rsid w:val="00FF2526"/>
    <w:rsid w:val="00FF3218"/>
    <w:rsid w:val="00FF3FF4"/>
    <w:rsid w:val="00FF49AA"/>
    <w:rsid w:val="00FF4C48"/>
    <w:rsid w:val="00FF5243"/>
    <w:rsid w:val="00FF5352"/>
    <w:rsid w:val="00FF5DD4"/>
    <w:rsid w:val="00FF69B7"/>
    <w:rsid w:val="00FF7653"/>
    <w:rsid w:val="00FF76A7"/>
    <w:rsid w:val="00FF7F65"/>
    <w:rsid w:val="01775F62"/>
    <w:rsid w:val="019B1656"/>
    <w:rsid w:val="01D76702"/>
    <w:rsid w:val="0202F45C"/>
    <w:rsid w:val="02056ED2"/>
    <w:rsid w:val="020FE895"/>
    <w:rsid w:val="0210A1BC"/>
    <w:rsid w:val="0223CCC0"/>
    <w:rsid w:val="022B6F45"/>
    <w:rsid w:val="0255D8F8"/>
    <w:rsid w:val="0272C75A"/>
    <w:rsid w:val="02907795"/>
    <w:rsid w:val="02B8BD19"/>
    <w:rsid w:val="02D4A911"/>
    <w:rsid w:val="02DD02AE"/>
    <w:rsid w:val="03049CD8"/>
    <w:rsid w:val="0341EAFD"/>
    <w:rsid w:val="03A1BF71"/>
    <w:rsid w:val="03D03312"/>
    <w:rsid w:val="03D39C7D"/>
    <w:rsid w:val="03ED3774"/>
    <w:rsid w:val="042621EA"/>
    <w:rsid w:val="0430B499"/>
    <w:rsid w:val="0441D785"/>
    <w:rsid w:val="0448BF4B"/>
    <w:rsid w:val="04700379"/>
    <w:rsid w:val="047ACB50"/>
    <w:rsid w:val="0494B7BB"/>
    <w:rsid w:val="04963E6B"/>
    <w:rsid w:val="04A89876"/>
    <w:rsid w:val="0504EBFF"/>
    <w:rsid w:val="050D5D26"/>
    <w:rsid w:val="051EABFF"/>
    <w:rsid w:val="052E3B41"/>
    <w:rsid w:val="05300C1D"/>
    <w:rsid w:val="05377D57"/>
    <w:rsid w:val="05490FA9"/>
    <w:rsid w:val="0560B5F2"/>
    <w:rsid w:val="056DAECA"/>
    <w:rsid w:val="057D3758"/>
    <w:rsid w:val="05861ABA"/>
    <w:rsid w:val="05FBE0BC"/>
    <w:rsid w:val="063E7283"/>
    <w:rsid w:val="0691FCC7"/>
    <w:rsid w:val="06B6ED80"/>
    <w:rsid w:val="06ED108B"/>
    <w:rsid w:val="07323B43"/>
    <w:rsid w:val="0745315F"/>
    <w:rsid w:val="07618396"/>
    <w:rsid w:val="07725529"/>
    <w:rsid w:val="0783A91E"/>
    <w:rsid w:val="078DDF08"/>
    <w:rsid w:val="07A6704A"/>
    <w:rsid w:val="07AA86D6"/>
    <w:rsid w:val="0804A113"/>
    <w:rsid w:val="080F9C39"/>
    <w:rsid w:val="081D667A"/>
    <w:rsid w:val="081D6B41"/>
    <w:rsid w:val="086ED25A"/>
    <w:rsid w:val="08869789"/>
    <w:rsid w:val="08ABA0B0"/>
    <w:rsid w:val="08C90CB5"/>
    <w:rsid w:val="091023EE"/>
    <w:rsid w:val="09236018"/>
    <w:rsid w:val="0928CE34"/>
    <w:rsid w:val="09370218"/>
    <w:rsid w:val="09469D70"/>
    <w:rsid w:val="0951A04E"/>
    <w:rsid w:val="09770B1E"/>
    <w:rsid w:val="098D9646"/>
    <w:rsid w:val="09A87701"/>
    <w:rsid w:val="09D8F79B"/>
    <w:rsid w:val="09D95169"/>
    <w:rsid w:val="09ECA27F"/>
    <w:rsid w:val="09F5755C"/>
    <w:rsid w:val="09F9E331"/>
    <w:rsid w:val="0A132719"/>
    <w:rsid w:val="0A16BEBF"/>
    <w:rsid w:val="0A493104"/>
    <w:rsid w:val="0A49E617"/>
    <w:rsid w:val="0A7BEA2C"/>
    <w:rsid w:val="0ABFA5BF"/>
    <w:rsid w:val="0AEB036D"/>
    <w:rsid w:val="0AFC189B"/>
    <w:rsid w:val="0AFD3236"/>
    <w:rsid w:val="0B1696FC"/>
    <w:rsid w:val="0B1F94E4"/>
    <w:rsid w:val="0B5C9C11"/>
    <w:rsid w:val="0B85EBD6"/>
    <w:rsid w:val="0B94DBA3"/>
    <w:rsid w:val="0BAA85E2"/>
    <w:rsid w:val="0BC1C9DD"/>
    <w:rsid w:val="0BD0E535"/>
    <w:rsid w:val="0C10CDE5"/>
    <w:rsid w:val="0C1DEE9B"/>
    <w:rsid w:val="0C2D040B"/>
    <w:rsid w:val="0C370A37"/>
    <w:rsid w:val="0C3B5DA3"/>
    <w:rsid w:val="0C8D390E"/>
    <w:rsid w:val="0C9A086F"/>
    <w:rsid w:val="0CCCBBB0"/>
    <w:rsid w:val="0CD9F073"/>
    <w:rsid w:val="0D11244F"/>
    <w:rsid w:val="0D32131D"/>
    <w:rsid w:val="0D407D9E"/>
    <w:rsid w:val="0D561FF7"/>
    <w:rsid w:val="0D7B83E1"/>
    <w:rsid w:val="0D7E9660"/>
    <w:rsid w:val="0D952FB8"/>
    <w:rsid w:val="0D9C3BD2"/>
    <w:rsid w:val="0E5A6784"/>
    <w:rsid w:val="0EAD0BD2"/>
    <w:rsid w:val="0EC0BC2F"/>
    <w:rsid w:val="0EE194C6"/>
    <w:rsid w:val="0EEB30A8"/>
    <w:rsid w:val="0EEECA9C"/>
    <w:rsid w:val="0EF2F8C4"/>
    <w:rsid w:val="0EF54255"/>
    <w:rsid w:val="0F314A3D"/>
    <w:rsid w:val="0F329CB1"/>
    <w:rsid w:val="0F4B4C79"/>
    <w:rsid w:val="0F72C45B"/>
    <w:rsid w:val="0F7CF2C3"/>
    <w:rsid w:val="0F8040FF"/>
    <w:rsid w:val="0F953A33"/>
    <w:rsid w:val="0FA592A3"/>
    <w:rsid w:val="0FA8119F"/>
    <w:rsid w:val="0FE48378"/>
    <w:rsid w:val="100EF582"/>
    <w:rsid w:val="107344B7"/>
    <w:rsid w:val="10A64F89"/>
    <w:rsid w:val="10B81D27"/>
    <w:rsid w:val="10BD9E51"/>
    <w:rsid w:val="10C34DBA"/>
    <w:rsid w:val="10D4436A"/>
    <w:rsid w:val="11026096"/>
    <w:rsid w:val="111E4FEF"/>
    <w:rsid w:val="115BD376"/>
    <w:rsid w:val="11A6594E"/>
    <w:rsid w:val="11EF77BF"/>
    <w:rsid w:val="12228EC7"/>
    <w:rsid w:val="12509903"/>
    <w:rsid w:val="125F33F5"/>
    <w:rsid w:val="12762F3A"/>
    <w:rsid w:val="12C7AB63"/>
    <w:rsid w:val="12E06E8C"/>
    <w:rsid w:val="12E3C583"/>
    <w:rsid w:val="1303131E"/>
    <w:rsid w:val="134850EB"/>
    <w:rsid w:val="1367DF41"/>
    <w:rsid w:val="139D5386"/>
    <w:rsid w:val="13F65C23"/>
    <w:rsid w:val="14028B99"/>
    <w:rsid w:val="1417210D"/>
    <w:rsid w:val="1436B30B"/>
    <w:rsid w:val="14547B3F"/>
    <w:rsid w:val="146B553A"/>
    <w:rsid w:val="146C30C1"/>
    <w:rsid w:val="14A6F83D"/>
    <w:rsid w:val="14ACD6E7"/>
    <w:rsid w:val="14C66158"/>
    <w:rsid w:val="14D6B281"/>
    <w:rsid w:val="14E64141"/>
    <w:rsid w:val="14EC7EB0"/>
    <w:rsid w:val="15047DFF"/>
    <w:rsid w:val="1521CB35"/>
    <w:rsid w:val="1528554A"/>
    <w:rsid w:val="15292839"/>
    <w:rsid w:val="15342C93"/>
    <w:rsid w:val="154A8CC0"/>
    <w:rsid w:val="1557B555"/>
    <w:rsid w:val="156A83E7"/>
    <w:rsid w:val="157AC71F"/>
    <w:rsid w:val="15810F6E"/>
    <w:rsid w:val="15EC1B33"/>
    <w:rsid w:val="163BA0C1"/>
    <w:rsid w:val="164D39CD"/>
    <w:rsid w:val="1678269D"/>
    <w:rsid w:val="16A55900"/>
    <w:rsid w:val="16A7C1F8"/>
    <w:rsid w:val="16A819F5"/>
    <w:rsid w:val="170793B5"/>
    <w:rsid w:val="17939770"/>
    <w:rsid w:val="17CA2DEA"/>
    <w:rsid w:val="17D4D568"/>
    <w:rsid w:val="17E639EB"/>
    <w:rsid w:val="1835E24B"/>
    <w:rsid w:val="18B99EFC"/>
    <w:rsid w:val="18C0960F"/>
    <w:rsid w:val="18CB258A"/>
    <w:rsid w:val="18E05A63"/>
    <w:rsid w:val="18F602FB"/>
    <w:rsid w:val="1901446B"/>
    <w:rsid w:val="1909849B"/>
    <w:rsid w:val="190AF43D"/>
    <w:rsid w:val="191CDF12"/>
    <w:rsid w:val="193F352B"/>
    <w:rsid w:val="1952A7E9"/>
    <w:rsid w:val="196F5240"/>
    <w:rsid w:val="19885737"/>
    <w:rsid w:val="19D0A06B"/>
    <w:rsid w:val="19D692FB"/>
    <w:rsid w:val="19FDC385"/>
    <w:rsid w:val="1A5949BF"/>
    <w:rsid w:val="1A8A885E"/>
    <w:rsid w:val="1A942787"/>
    <w:rsid w:val="1AAB782D"/>
    <w:rsid w:val="1AC4B5AD"/>
    <w:rsid w:val="1AF9ABA5"/>
    <w:rsid w:val="1B1330F0"/>
    <w:rsid w:val="1B33D96B"/>
    <w:rsid w:val="1B43FCC2"/>
    <w:rsid w:val="1B5ECF00"/>
    <w:rsid w:val="1B6D71F6"/>
    <w:rsid w:val="1B70574C"/>
    <w:rsid w:val="1B7A9283"/>
    <w:rsid w:val="1B827680"/>
    <w:rsid w:val="1BC156CD"/>
    <w:rsid w:val="1C1AB8F8"/>
    <w:rsid w:val="1C56E565"/>
    <w:rsid w:val="1C581932"/>
    <w:rsid w:val="1C6B4424"/>
    <w:rsid w:val="1C722499"/>
    <w:rsid w:val="1C75BC15"/>
    <w:rsid w:val="1CACC0DA"/>
    <w:rsid w:val="1CB426C7"/>
    <w:rsid w:val="1CEC47D7"/>
    <w:rsid w:val="1D22264F"/>
    <w:rsid w:val="1D712102"/>
    <w:rsid w:val="1D792DD8"/>
    <w:rsid w:val="1D84976C"/>
    <w:rsid w:val="1E256CEB"/>
    <w:rsid w:val="1E44325A"/>
    <w:rsid w:val="1E6F8FE9"/>
    <w:rsid w:val="1E78919D"/>
    <w:rsid w:val="1E80A25D"/>
    <w:rsid w:val="1EB542FA"/>
    <w:rsid w:val="1EBDFA6C"/>
    <w:rsid w:val="1EEFA28A"/>
    <w:rsid w:val="1F306D71"/>
    <w:rsid w:val="1F319360"/>
    <w:rsid w:val="1F686166"/>
    <w:rsid w:val="1FAA66DF"/>
    <w:rsid w:val="1FAD9D0B"/>
    <w:rsid w:val="1FBA3C57"/>
    <w:rsid w:val="1FBE8757"/>
    <w:rsid w:val="1FC5E805"/>
    <w:rsid w:val="1FCB326E"/>
    <w:rsid w:val="1FFED2D3"/>
    <w:rsid w:val="2087E8C9"/>
    <w:rsid w:val="20B2085C"/>
    <w:rsid w:val="20CF1B82"/>
    <w:rsid w:val="21298F65"/>
    <w:rsid w:val="213144D3"/>
    <w:rsid w:val="213A22DE"/>
    <w:rsid w:val="213D6075"/>
    <w:rsid w:val="2165A7B2"/>
    <w:rsid w:val="21681E95"/>
    <w:rsid w:val="2189F023"/>
    <w:rsid w:val="2193353D"/>
    <w:rsid w:val="21967E3C"/>
    <w:rsid w:val="219DBC7E"/>
    <w:rsid w:val="21A3ED66"/>
    <w:rsid w:val="21BC0BFF"/>
    <w:rsid w:val="21C158C9"/>
    <w:rsid w:val="21F7A1A6"/>
    <w:rsid w:val="224CFF2C"/>
    <w:rsid w:val="22906570"/>
    <w:rsid w:val="231059DE"/>
    <w:rsid w:val="2317D279"/>
    <w:rsid w:val="2321CEFC"/>
    <w:rsid w:val="232E7DD7"/>
    <w:rsid w:val="235AB2A9"/>
    <w:rsid w:val="23A8FD1F"/>
    <w:rsid w:val="240D8794"/>
    <w:rsid w:val="241D03CE"/>
    <w:rsid w:val="243C7B69"/>
    <w:rsid w:val="244754B3"/>
    <w:rsid w:val="24577AB6"/>
    <w:rsid w:val="2502CC03"/>
    <w:rsid w:val="2514B14D"/>
    <w:rsid w:val="25179B58"/>
    <w:rsid w:val="251B7E77"/>
    <w:rsid w:val="253D6C73"/>
    <w:rsid w:val="256229CD"/>
    <w:rsid w:val="2576DA48"/>
    <w:rsid w:val="25991748"/>
    <w:rsid w:val="25D34F4F"/>
    <w:rsid w:val="25D979C7"/>
    <w:rsid w:val="25E1608E"/>
    <w:rsid w:val="26460F4F"/>
    <w:rsid w:val="267FD9AD"/>
    <w:rsid w:val="26C79B8C"/>
    <w:rsid w:val="26C90C4E"/>
    <w:rsid w:val="26CA36FC"/>
    <w:rsid w:val="26E721EA"/>
    <w:rsid w:val="271AC689"/>
    <w:rsid w:val="27220D49"/>
    <w:rsid w:val="274A2CC0"/>
    <w:rsid w:val="27ADCC3F"/>
    <w:rsid w:val="27C3EC0C"/>
    <w:rsid w:val="27C4B6C4"/>
    <w:rsid w:val="27C8DEDA"/>
    <w:rsid w:val="27DB55CF"/>
    <w:rsid w:val="282847B4"/>
    <w:rsid w:val="2872C042"/>
    <w:rsid w:val="2878C301"/>
    <w:rsid w:val="287E3634"/>
    <w:rsid w:val="289836B1"/>
    <w:rsid w:val="28B35067"/>
    <w:rsid w:val="28C41BB7"/>
    <w:rsid w:val="28ECA402"/>
    <w:rsid w:val="2920A67D"/>
    <w:rsid w:val="2923B78F"/>
    <w:rsid w:val="292C21AC"/>
    <w:rsid w:val="297023A1"/>
    <w:rsid w:val="2972C034"/>
    <w:rsid w:val="29C1ECE3"/>
    <w:rsid w:val="29D27172"/>
    <w:rsid w:val="2A02AC25"/>
    <w:rsid w:val="2A4E3CF2"/>
    <w:rsid w:val="2A865A5F"/>
    <w:rsid w:val="2A935A95"/>
    <w:rsid w:val="2AB51816"/>
    <w:rsid w:val="2ADA4B4C"/>
    <w:rsid w:val="2AFDF0B5"/>
    <w:rsid w:val="2B068AE5"/>
    <w:rsid w:val="2B3863E7"/>
    <w:rsid w:val="2B3DF9D2"/>
    <w:rsid w:val="2B46A8F6"/>
    <w:rsid w:val="2B610FFD"/>
    <w:rsid w:val="2B79A0FD"/>
    <w:rsid w:val="2BA46A60"/>
    <w:rsid w:val="2C010D78"/>
    <w:rsid w:val="2C36A52C"/>
    <w:rsid w:val="2C45C824"/>
    <w:rsid w:val="2C486C30"/>
    <w:rsid w:val="2C79A762"/>
    <w:rsid w:val="2CA735C1"/>
    <w:rsid w:val="2CAF495D"/>
    <w:rsid w:val="2CCCF9CF"/>
    <w:rsid w:val="2CD0537C"/>
    <w:rsid w:val="2CD1F32A"/>
    <w:rsid w:val="2CEB7EEF"/>
    <w:rsid w:val="2CF04AAC"/>
    <w:rsid w:val="2D340E77"/>
    <w:rsid w:val="2D363651"/>
    <w:rsid w:val="2D419403"/>
    <w:rsid w:val="2D4F598A"/>
    <w:rsid w:val="2D76F401"/>
    <w:rsid w:val="2D869F02"/>
    <w:rsid w:val="2DB8DD68"/>
    <w:rsid w:val="2DC70F7B"/>
    <w:rsid w:val="2DCEC4BE"/>
    <w:rsid w:val="2E0DFCCD"/>
    <w:rsid w:val="2E1EDAD5"/>
    <w:rsid w:val="2E24CBC7"/>
    <w:rsid w:val="2E26F9B9"/>
    <w:rsid w:val="2E3AB3B4"/>
    <w:rsid w:val="2E468DC1"/>
    <w:rsid w:val="2E8CA0F1"/>
    <w:rsid w:val="2F09F55B"/>
    <w:rsid w:val="2F3C9ABA"/>
    <w:rsid w:val="2F40783B"/>
    <w:rsid w:val="2F57DF17"/>
    <w:rsid w:val="2F6BBE2A"/>
    <w:rsid w:val="2F785400"/>
    <w:rsid w:val="300D4F00"/>
    <w:rsid w:val="301BB1D3"/>
    <w:rsid w:val="303FCF83"/>
    <w:rsid w:val="305C42AB"/>
    <w:rsid w:val="3091FB32"/>
    <w:rsid w:val="30ACA2DA"/>
    <w:rsid w:val="30B472FB"/>
    <w:rsid w:val="30B5BB6D"/>
    <w:rsid w:val="30C63073"/>
    <w:rsid w:val="30DA273F"/>
    <w:rsid w:val="30DA63F3"/>
    <w:rsid w:val="30F97CFB"/>
    <w:rsid w:val="310B06EA"/>
    <w:rsid w:val="31291775"/>
    <w:rsid w:val="314935ED"/>
    <w:rsid w:val="3161DDBF"/>
    <w:rsid w:val="31A31EA1"/>
    <w:rsid w:val="31A35FCB"/>
    <w:rsid w:val="31CE1D53"/>
    <w:rsid w:val="3217E535"/>
    <w:rsid w:val="3227AA02"/>
    <w:rsid w:val="3228A59D"/>
    <w:rsid w:val="322ADC88"/>
    <w:rsid w:val="32349480"/>
    <w:rsid w:val="3236D51C"/>
    <w:rsid w:val="3267E296"/>
    <w:rsid w:val="32683D39"/>
    <w:rsid w:val="32776B52"/>
    <w:rsid w:val="32A85E4D"/>
    <w:rsid w:val="32B9E1F4"/>
    <w:rsid w:val="32EE172C"/>
    <w:rsid w:val="32F20A07"/>
    <w:rsid w:val="3309568B"/>
    <w:rsid w:val="332275EF"/>
    <w:rsid w:val="3323F845"/>
    <w:rsid w:val="333C6B1F"/>
    <w:rsid w:val="337ED226"/>
    <w:rsid w:val="3390F595"/>
    <w:rsid w:val="339A4F79"/>
    <w:rsid w:val="33A2A714"/>
    <w:rsid w:val="33EE9249"/>
    <w:rsid w:val="33F518C4"/>
    <w:rsid w:val="33FA3A89"/>
    <w:rsid w:val="33FFBF89"/>
    <w:rsid w:val="341E344D"/>
    <w:rsid w:val="34561988"/>
    <w:rsid w:val="346147DA"/>
    <w:rsid w:val="346D7065"/>
    <w:rsid w:val="34A449AC"/>
    <w:rsid w:val="34A80999"/>
    <w:rsid w:val="34B46985"/>
    <w:rsid w:val="34BE278A"/>
    <w:rsid w:val="34C0900E"/>
    <w:rsid w:val="34F49301"/>
    <w:rsid w:val="350586FD"/>
    <w:rsid w:val="350C96A5"/>
    <w:rsid w:val="350D4088"/>
    <w:rsid w:val="35339009"/>
    <w:rsid w:val="35871E87"/>
    <w:rsid w:val="35AAAFE5"/>
    <w:rsid w:val="35CF9037"/>
    <w:rsid w:val="35E5CB74"/>
    <w:rsid w:val="3601D5C3"/>
    <w:rsid w:val="360D15DE"/>
    <w:rsid w:val="3644D00B"/>
    <w:rsid w:val="365C18A4"/>
    <w:rsid w:val="366BC231"/>
    <w:rsid w:val="3684F878"/>
    <w:rsid w:val="36C5D6C8"/>
    <w:rsid w:val="36CF0C78"/>
    <w:rsid w:val="36D202BB"/>
    <w:rsid w:val="3710FFC4"/>
    <w:rsid w:val="371DD796"/>
    <w:rsid w:val="372166F7"/>
    <w:rsid w:val="373A47CA"/>
    <w:rsid w:val="3751099C"/>
    <w:rsid w:val="37560C7E"/>
    <w:rsid w:val="3769FC90"/>
    <w:rsid w:val="37BB7218"/>
    <w:rsid w:val="37F5317F"/>
    <w:rsid w:val="37FB5E7C"/>
    <w:rsid w:val="387EB667"/>
    <w:rsid w:val="38C1D851"/>
    <w:rsid w:val="38F429F3"/>
    <w:rsid w:val="39436618"/>
    <w:rsid w:val="3952D83D"/>
    <w:rsid w:val="397C78E1"/>
    <w:rsid w:val="39B976CF"/>
    <w:rsid w:val="39E7A3E0"/>
    <w:rsid w:val="39EF6CCB"/>
    <w:rsid w:val="39F457A5"/>
    <w:rsid w:val="3A0253EC"/>
    <w:rsid w:val="3A65FC22"/>
    <w:rsid w:val="3A767427"/>
    <w:rsid w:val="3A84E848"/>
    <w:rsid w:val="3A852D50"/>
    <w:rsid w:val="3AA8FFC4"/>
    <w:rsid w:val="3AB3E429"/>
    <w:rsid w:val="3ADA0B19"/>
    <w:rsid w:val="3AF0FFCD"/>
    <w:rsid w:val="3AF58D1C"/>
    <w:rsid w:val="3B2D4129"/>
    <w:rsid w:val="3B4C4138"/>
    <w:rsid w:val="3B717D80"/>
    <w:rsid w:val="3BD3A58A"/>
    <w:rsid w:val="3BD79B6E"/>
    <w:rsid w:val="3BF1040E"/>
    <w:rsid w:val="3BFE303E"/>
    <w:rsid w:val="3C048211"/>
    <w:rsid w:val="3C051E7A"/>
    <w:rsid w:val="3C2DFD8E"/>
    <w:rsid w:val="3C416827"/>
    <w:rsid w:val="3C549480"/>
    <w:rsid w:val="3C56B582"/>
    <w:rsid w:val="3C717253"/>
    <w:rsid w:val="3C862FE4"/>
    <w:rsid w:val="3C8D610A"/>
    <w:rsid w:val="3C9B2B5A"/>
    <w:rsid w:val="3CCF2EDA"/>
    <w:rsid w:val="3D04972C"/>
    <w:rsid w:val="3D24C54C"/>
    <w:rsid w:val="3D4FD98C"/>
    <w:rsid w:val="3D5C5D74"/>
    <w:rsid w:val="3D9E09FA"/>
    <w:rsid w:val="3D9EA426"/>
    <w:rsid w:val="3DA4A9CE"/>
    <w:rsid w:val="3DFCB0AA"/>
    <w:rsid w:val="3E38F670"/>
    <w:rsid w:val="3E5B444F"/>
    <w:rsid w:val="3E72466D"/>
    <w:rsid w:val="3EA7EAA6"/>
    <w:rsid w:val="3EEF50FA"/>
    <w:rsid w:val="3F07DE6E"/>
    <w:rsid w:val="3F156BAB"/>
    <w:rsid w:val="3F3ADF2E"/>
    <w:rsid w:val="3F538C1D"/>
    <w:rsid w:val="3F883248"/>
    <w:rsid w:val="3F8F2D10"/>
    <w:rsid w:val="40205C2D"/>
    <w:rsid w:val="4072BDEF"/>
    <w:rsid w:val="407E4994"/>
    <w:rsid w:val="40A3017A"/>
    <w:rsid w:val="40C06B91"/>
    <w:rsid w:val="40DD1C08"/>
    <w:rsid w:val="41035CD6"/>
    <w:rsid w:val="412E7382"/>
    <w:rsid w:val="4172CB1A"/>
    <w:rsid w:val="419F1E4D"/>
    <w:rsid w:val="41C65DD9"/>
    <w:rsid w:val="41DB78FA"/>
    <w:rsid w:val="41E5C695"/>
    <w:rsid w:val="41F7D669"/>
    <w:rsid w:val="420D4A4F"/>
    <w:rsid w:val="4224866E"/>
    <w:rsid w:val="423D3F4D"/>
    <w:rsid w:val="4253664B"/>
    <w:rsid w:val="429A5DED"/>
    <w:rsid w:val="429D3851"/>
    <w:rsid w:val="42AD9A94"/>
    <w:rsid w:val="42DE5457"/>
    <w:rsid w:val="42FA6E8B"/>
    <w:rsid w:val="433D3981"/>
    <w:rsid w:val="4352FFE3"/>
    <w:rsid w:val="4357FCEF"/>
    <w:rsid w:val="43CC535F"/>
    <w:rsid w:val="43CC841C"/>
    <w:rsid w:val="43F6B2D9"/>
    <w:rsid w:val="441BE7E8"/>
    <w:rsid w:val="4427709A"/>
    <w:rsid w:val="44417831"/>
    <w:rsid w:val="445C5293"/>
    <w:rsid w:val="44770884"/>
    <w:rsid w:val="448F5755"/>
    <w:rsid w:val="44BD7DD7"/>
    <w:rsid w:val="44BF667D"/>
    <w:rsid w:val="44D79CAC"/>
    <w:rsid w:val="44E62942"/>
    <w:rsid w:val="44F3CD50"/>
    <w:rsid w:val="44F889AB"/>
    <w:rsid w:val="450121FA"/>
    <w:rsid w:val="4521BABD"/>
    <w:rsid w:val="45356712"/>
    <w:rsid w:val="457183E5"/>
    <w:rsid w:val="45983E39"/>
    <w:rsid w:val="45BA4F6D"/>
    <w:rsid w:val="45CAE6BA"/>
    <w:rsid w:val="46604883"/>
    <w:rsid w:val="46CCE26E"/>
    <w:rsid w:val="472F8BF6"/>
    <w:rsid w:val="474703E8"/>
    <w:rsid w:val="47888B06"/>
    <w:rsid w:val="479141BF"/>
    <w:rsid w:val="47D14D97"/>
    <w:rsid w:val="47DDBF43"/>
    <w:rsid w:val="4803D61E"/>
    <w:rsid w:val="482B63E9"/>
    <w:rsid w:val="4839913D"/>
    <w:rsid w:val="4869F817"/>
    <w:rsid w:val="48AAF961"/>
    <w:rsid w:val="48CA1E81"/>
    <w:rsid w:val="48DBF90F"/>
    <w:rsid w:val="48FC0EF1"/>
    <w:rsid w:val="4965076A"/>
    <w:rsid w:val="4975F212"/>
    <w:rsid w:val="498BC803"/>
    <w:rsid w:val="49CB5DD0"/>
    <w:rsid w:val="49EA883B"/>
    <w:rsid w:val="4A092888"/>
    <w:rsid w:val="4A371C97"/>
    <w:rsid w:val="4AAFECB2"/>
    <w:rsid w:val="4AB3CBB2"/>
    <w:rsid w:val="4ADE5C66"/>
    <w:rsid w:val="4AE90499"/>
    <w:rsid w:val="4AF4893B"/>
    <w:rsid w:val="4B38EBCD"/>
    <w:rsid w:val="4B5E1EBD"/>
    <w:rsid w:val="4B70828F"/>
    <w:rsid w:val="4BBCC652"/>
    <w:rsid w:val="4BCD5A2B"/>
    <w:rsid w:val="4BD29319"/>
    <w:rsid w:val="4BF058E3"/>
    <w:rsid w:val="4BFAF551"/>
    <w:rsid w:val="4C1660AD"/>
    <w:rsid w:val="4C2ADA64"/>
    <w:rsid w:val="4C633057"/>
    <w:rsid w:val="4C6CACBA"/>
    <w:rsid w:val="4C8E18AB"/>
    <w:rsid w:val="4CC03F1D"/>
    <w:rsid w:val="4CC77593"/>
    <w:rsid w:val="4CFAD52E"/>
    <w:rsid w:val="4DA74D17"/>
    <w:rsid w:val="4DB1FBF5"/>
    <w:rsid w:val="4DF05226"/>
    <w:rsid w:val="4DF090F9"/>
    <w:rsid w:val="4E182ECF"/>
    <w:rsid w:val="4E235A5D"/>
    <w:rsid w:val="4E312261"/>
    <w:rsid w:val="4E51E0B2"/>
    <w:rsid w:val="4E57E291"/>
    <w:rsid w:val="4E744A4B"/>
    <w:rsid w:val="4E9E42AC"/>
    <w:rsid w:val="4EBAB8FD"/>
    <w:rsid w:val="4EC799C6"/>
    <w:rsid w:val="4EE91F24"/>
    <w:rsid w:val="4F1AC081"/>
    <w:rsid w:val="4F383CB2"/>
    <w:rsid w:val="4F49ED02"/>
    <w:rsid w:val="4F6D135C"/>
    <w:rsid w:val="4FC7FE33"/>
    <w:rsid w:val="501FA0BC"/>
    <w:rsid w:val="502CD4AA"/>
    <w:rsid w:val="50336CF3"/>
    <w:rsid w:val="5033C4B6"/>
    <w:rsid w:val="506F974A"/>
    <w:rsid w:val="50735100"/>
    <w:rsid w:val="5080EAB0"/>
    <w:rsid w:val="509F3F47"/>
    <w:rsid w:val="50B135AA"/>
    <w:rsid w:val="511A63E9"/>
    <w:rsid w:val="51201010"/>
    <w:rsid w:val="513886E7"/>
    <w:rsid w:val="51445D74"/>
    <w:rsid w:val="517487E6"/>
    <w:rsid w:val="5190CE96"/>
    <w:rsid w:val="51E3B6C0"/>
    <w:rsid w:val="51FD81FF"/>
    <w:rsid w:val="5205D303"/>
    <w:rsid w:val="520D6BEE"/>
    <w:rsid w:val="52760493"/>
    <w:rsid w:val="527F9B2C"/>
    <w:rsid w:val="52D087A2"/>
    <w:rsid w:val="53014DEC"/>
    <w:rsid w:val="53543EAF"/>
    <w:rsid w:val="5368F77F"/>
    <w:rsid w:val="5379C944"/>
    <w:rsid w:val="53815818"/>
    <w:rsid w:val="538AE29C"/>
    <w:rsid w:val="539214CF"/>
    <w:rsid w:val="53E5E2EF"/>
    <w:rsid w:val="53FFAD2D"/>
    <w:rsid w:val="541D2672"/>
    <w:rsid w:val="541EDE8E"/>
    <w:rsid w:val="54263339"/>
    <w:rsid w:val="547EC533"/>
    <w:rsid w:val="5482DC89"/>
    <w:rsid w:val="549124CE"/>
    <w:rsid w:val="549B47E9"/>
    <w:rsid w:val="54B4E2DA"/>
    <w:rsid w:val="54FE26EA"/>
    <w:rsid w:val="552D2B69"/>
    <w:rsid w:val="558FE57D"/>
    <w:rsid w:val="55D8714B"/>
    <w:rsid w:val="55DD49D6"/>
    <w:rsid w:val="55EA6F5F"/>
    <w:rsid w:val="560E40B0"/>
    <w:rsid w:val="560E4617"/>
    <w:rsid w:val="562C6021"/>
    <w:rsid w:val="56326B1F"/>
    <w:rsid w:val="56555308"/>
    <w:rsid w:val="56657E50"/>
    <w:rsid w:val="56886571"/>
    <w:rsid w:val="56CB0FDB"/>
    <w:rsid w:val="56EC6580"/>
    <w:rsid w:val="56F03CC3"/>
    <w:rsid w:val="57040AB7"/>
    <w:rsid w:val="5729D6A7"/>
    <w:rsid w:val="572AA3CF"/>
    <w:rsid w:val="57815665"/>
    <w:rsid w:val="57BEFE1F"/>
    <w:rsid w:val="57E399E9"/>
    <w:rsid w:val="5812A615"/>
    <w:rsid w:val="58194329"/>
    <w:rsid w:val="582142F7"/>
    <w:rsid w:val="5888F497"/>
    <w:rsid w:val="58ACE136"/>
    <w:rsid w:val="590ECD97"/>
    <w:rsid w:val="592F963D"/>
    <w:rsid w:val="597AD21F"/>
    <w:rsid w:val="59C0C5A0"/>
    <w:rsid w:val="59D5B34B"/>
    <w:rsid w:val="5A05ECBE"/>
    <w:rsid w:val="5A3C89CD"/>
    <w:rsid w:val="5A744E7E"/>
    <w:rsid w:val="5A8D74B8"/>
    <w:rsid w:val="5A9486F9"/>
    <w:rsid w:val="5ABB8312"/>
    <w:rsid w:val="5AEAEEA2"/>
    <w:rsid w:val="5B109F8C"/>
    <w:rsid w:val="5B2E017C"/>
    <w:rsid w:val="5B7028B8"/>
    <w:rsid w:val="5B90E8D7"/>
    <w:rsid w:val="5B995B78"/>
    <w:rsid w:val="5BC0CE11"/>
    <w:rsid w:val="5BD22F1D"/>
    <w:rsid w:val="5BD31015"/>
    <w:rsid w:val="5C38C34F"/>
    <w:rsid w:val="5C4B0F02"/>
    <w:rsid w:val="5C609049"/>
    <w:rsid w:val="5CC40FB3"/>
    <w:rsid w:val="5CEB69C8"/>
    <w:rsid w:val="5CFD036F"/>
    <w:rsid w:val="5D09C70E"/>
    <w:rsid w:val="5D09C754"/>
    <w:rsid w:val="5D133C0F"/>
    <w:rsid w:val="5D28D453"/>
    <w:rsid w:val="5D5083C5"/>
    <w:rsid w:val="5DC45FC4"/>
    <w:rsid w:val="5E12D5B8"/>
    <w:rsid w:val="5E1CC303"/>
    <w:rsid w:val="5E221DFA"/>
    <w:rsid w:val="5E50ED2D"/>
    <w:rsid w:val="5E834C63"/>
    <w:rsid w:val="5EE185CB"/>
    <w:rsid w:val="5EEE4574"/>
    <w:rsid w:val="5EF718B7"/>
    <w:rsid w:val="5EFD9FBE"/>
    <w:rsid w:val="5F5575FA"/>
    <w:rsid w:val="5F914690"/>
    <w:rsid w:val="5FB5C083"/>
    <w:rsid w:val="5FE8D9AE"/>
    <w:rsid w:val="6011422B"/>
    <w:rsid w:val="6016F70A"/>
    <w:rsid w:val="601E8074"/>
    <w:rsid w:val="606D0A80"/>
    <w:rsid w:val="606D4AE5"/>
    <w:rsid w:val="609DB61B"/>
    <w:rsid w:val="60A1EF93"/>
    <w:rsid w:val="60D9BC7C"/>
    <w:rsid w:val="60F8D53C"/>
    <w:rsid w:val="61A303DE"/>
    <w:rsid w:val="61B40BE8"/>
    <w:rsid w:val="61C326F9"/>
    <w:rsid w:val="61D17941"/>
    <w:rsid w:val="61D728E0"/>
    <w:rsid w:val="6200D66B"/>
    <w:rsid w:val="620CC8AA"/>
    <w:rsid w:val="62A99F5F"/>
    <w:rsid w:val="62BD7EC9"/>
    <w:rsid w:val="62D2C3AB"/>
    <w:rsid w:val="62F3D64B"/>
    <w:rsid w:val="630326F8"/>
    <w:rsid w:val="63132EE3"/>
    <w:rsid w:val="638C51E3"/>
    <w:rsid w:val="63A17A6D"/>
    <w:rsid w:val="63D55BDB"/>
    <w:rsid w:val="63E30BCE"/>
    <w:rsid w:val="63F3D096"/>
    <w:rsid w:val="64003837"/>
    <w:rsid w:val="640EE733"/>
    <w:rsid w:val="6442C829"/>
    <w:rsid w:val="64585EE7"/>
    <w:rsid w:val="6467A085"/>
    <w:rsid w:val="6472A97C"/>
    <w:rsid w:val="64A29AA6"/>
    <w:rsid w:val="64ABC293"/>
    <w:rsid w:val="64E4FFC5"/>
    <w:rsid w:val="64E66072"/>
    <w:rsid w:val="64F2FE44"/>
    <w:rsid w:val="6512C0C4"/>
    <w:rsid w:val="651D2297"/>
    <w:rsid w:val="6571FB8E"/>
    <w:rsid w:val="6576074F"/>
    <w:rsid w:val="657B5DE7"/>
    <w:rsid w:val="65892B43"/>
    <w:rsid w:val="65A01CFE"/>
    <w:rsid w:val="65A6401D"/>
    <w:rsid w:val="65C3030F"/>
    <w:rsid w:val="65CA16F3"/>
    <w:rsid w:val="65F8A925"/>
    <w:rsid w:val="662DB51E"/>
    <w:rsid w:val="665B9BED"/>
    <w:rsid w:val="66812210"/>
    <w:rsid w:val="668FFC75"/>
    <w:rsid w:val="66918A42"/>
    <w:rsid w:val="66B1DFD8"/>
    <w:rsid w:val="66B6360B"/>
    <w:rsid w:val="66EAF3E1"/>
    <w:rsid w:val="66FEEC45"/>
    <w:rsid w:val="670D5C51"/>
    <w:rsid w:val="6732139D"/>
    <w:rsid w:val="675F37EE"/>
    <w:rsid w:val="677E3E95"/>
    <w:rsid w:val="679D9CB1"/>
    <w:rsid w:val="67AA423F"/>
    <w:rsid w:val="67ABA5D4"/>
    <w:rsid w:val="67D24B90"/>
    <w:rsid w:val="67D8C2C7"/>
    <w:rsid w:val="67EEC92F"/>
    <w:rsid w:val="67F777AC"/>
    <w:rsid w:val="6847E5CE"/>
    <w:rsid w:val="684A0AC8"/>
    <w:rsid w:val="685CB321"/>
    <w:rsid w:val="686D3077"/>
    <w:rsid w:val="687A1479"/>
    <w:rsid w:val="688A0F84"/>
    <w:rsid w:val="68CEA4B8"/>
    <w:rsid w:val="68EBEDD6"/>
    <w:rsid w:val="69077649"/>
    <w:rsid w:val="69185099"/>
    <w:rsid w:val="6935C3BA"/>
    <w:rsid w:val="6937B581"/>
    <w:rsid w:val="6948B097"/>
    <w:rsid w:val="69818104"/>
    <w:rsid w:val="69A4972E"/>
    <w:rsid w:val="69B0218F"/>
    <w:rsid w:val="69C46B21"/>
    <w:rsid w:val="6A4FC518"/>
    <w:rsid w:val="6AD60E23"/>
    <w:rsid w:val="6AF6E52F"/>
    <w:rsid w:val="6B040BBA"/>
    <w:rsid w:val="6B087803"/>
    <w:rsid w:val="6B22321E"/>
    <w:rsid w:val="6B4A2922"/>
    <w:rsid w:val="6B75E14E"/>
    <w:rsid w:val="6BCC0175"/>
    <w:rsid w:val="6BCF0DC4"/>
    <w:rsid w:val="6BE52AA0"/>
    <w:rsid w:val="6BE67934"/>
    <w:rsid w:val="6BF80B92"/>
    <w:rsid w:val="6C0F88A0"/>
    <w:rsid w:val="6C22649C"/>
    <w:rsid w:val="6C8E136A"/>
    <w:rsid w:val="6C96DD45"/>
    <w:rsid w:val="6CB7277E"/>
    <w:rsid w:val="6CEA0D65"/>
    <w:rsid w:val="6D094E83"/>
    <w:rsid w:val="6D1B9110"/>
    <w:rsid w:val="6D39D3FE"/>
    <w:rsid w:val="6D535188"/>
    <w:rsid w:val="6D6183CF"/>
    <w:rsid w:val="6D76C963"/>
    <w:rsid w:val="6DD76715"/>
    <w:rsid w:val="6DFFA4DA"/>
    <w:rsid w:val="6E134A5C"/>
    <w:rsid w:val="6E2DE95F"/>
    <w:rsid w:val="6E2F94CE"/>
    <w:rsid w:val="6E5D0107"/>
    <w:rsid w:val="6ED06DA9"/>
    <w:rsid w:val="6F22CB0E"/>
    <w:rsid w:val="6F255F91"/>
    <w:rsid w:val="6F2B707A"/>
    <w:rsid w:val="6F44ADA7"/>
    <w:rsid w:val="6FA287B6"/>
    <w:rsid w:val="6FE23291"/>
    <w:rsid w:val="6FE396D5"/>
    <w:rsid w:val="6FEA2E36"/>
    <w:rsid w:val="6FF63AE3"/>
    <w:rsid w:val="6FFC2653"/>
    <w:rsid w:val="6FFC7691"/>
    <w:rsid w:val="704D29E5"/>
    <w:rsid w:val="7058AE43"/>
    <w:rsid w:val="705C1490"/>
    <w:rsid w:val="707BBEFB"/>
    <w:rsid w:val="70965688"/>
    <w:rsid w:val="70B49DC7"/>
    <w:rsid w:val="7126D6EE"/>
    <w:rsid w:val="71329D83"/>
    <w:rsid w:val="7179CB30"/>
    <w:rsid w:val="717CA83E"/>
    <w:rsid w:val="71DB1508"/>
    <w:rsid w:val="71FCF276"/>
    <w:rsid w:val="721A9C2D"/>
    <w:rsid w:val="723E4FDB"/>
    <w:rsid w:val="7255083B"/>
    <w:rsid w:val="7277609B"/>
    <w:rsid w:val="72885531"/>
    <w:rsid w:val="72890AE1"/>
    <w:rsid w:val="72C1B9DE"/>
    <w:rsid w:val="72FDE96A"/>
    <w:rsid w:val="732465B1"/>
    <w:rsid w:val="732E2C62"/>
    <w:rsid w:val="732E5BED"/>
    <w:rsid w:val="7347C7BA"/>
    <w:rsid w:val="735154BB"/>
    <w:rsid w:val="737A5365"/>
    <w:rsid w:val="737D5529"/>
    <w:rsid w:val="738CD7FF"/>
    <w:rsid w:val="739D7D21"/>
    <w:rsid w:val="73B8D5F0"/>
    <w:rsid w:val="73BEDC96"/>
    <w:rsid w:val="74366019"/>
    <w:rsid w:val="74516977"/>
    <w:rsid w:val="7483EB7D"/>
    <w:rsid w:val="748685C6"/>
    <w:rsid w:val="748B0EAA"/>
    <w:rsid w:val="74B8B624"/>
    <w:rsid w:val="7500D486"/>
    <w:rsid w:val="753E8DCB"/>
    <w:rsid w:val="75B35620"/>
    <w:rsid w:val="7603DD67"/>
    <w:rsid w:val="761898EA"/>
    <w:rsid w:val="7642297A"/>
    <w:rsid w:val="7673BF7B"/>
    <w:rsid w:val="76CAC01D"/>
    <w:rsid w:val="76CDE8E4"/>
    <w:rsid w:val="7728F498"/>
    <w:rsid w:val="773776CF"/>
    <w:rsid w:val="774EB777"/>
    <w:rsid w:val="77519954"/>
    <w:rsid w:val="77597C67"/>
    <w:rsid w:val="7776B237"/>
    <w:rsid w:val="77C57BC2"/>
    <w:rsid w:val="77D1EFFB"/>
    <w:rsid w:val="77DCE575"/>
    <w:rsid w:val="7800539D"/>
    <w:rsid w:val="78172D12"/>
    <w:rsid w:val="781CFEC0"/>
    <w:rsid w:val="7831878E"/>
    <w:rsid w:val="7843485B"/>
    <w:rsid w:val="78658E75"/>
    <w:rsid w:val="78A14259"/>
    <w:rsid w:val="7909964B"/>
    <w:rsid w:val="790E434E"/>
    <w:rsid w:val="79188C3E"/>
    <w:rsid w:val="792B34D1"/>
    <w:rsid w:val="793A06AA"/>
    <w:rsid w:val="7950E1CF"/>
    <w:rsid w:val="79642C6D"/>
    <w:rsid w:val="79809DBE"/>
    <w:rsid w:val="79869EB3"/>
    <w:rsid w:val="79AD8299"/>
    <w:rsid w:val="79BA42DE"/>
    <w:rsid w:val="79BAE430"/>
    <w:rsid w:val="79BED697"/>
    <w:rsid w:val="79E74F22"/>
    <w:rsid w:val="7A26CF3E"/>
    <w:rsid w:val="7A621CD1"/>
    <w:rsid w:val="7A884081"/>
    <w:rsid w:val="7AA3EB97"/>
    <w:rsid w:val="7AD048D2"/>
    <w:rsid w:val="7AD4C5E7"/>
    <w:rsid w:val="7ADA2F5D"/>
    <w:rsid w:val="7AEB50C0"/>
    <w:rsid w:val="7AF76B9F"/>
    <w:rsid w:val="7B11D512"/>
    <w:rsid w:val="7B213093"/>
    <w:rsid w:val="7B4B8803"/>
    <w:rsid w:val="7B7D35C6"/>
    <w:rsid w:val="7B7F137F"/>
    <w:rsid w:val="7B8DC71A"/>
    <w:rsid w:val="7B985099"/>
    <w:rsid w:val="7B9C97A9"/>
    <w:rsid w:val="7BEB11F2"/>
    <w:rsid w:val="7C0FCFC6"/>
    <w:rsid w:val="7C1358F9"/>
    <w:rsid w:val="7C3312E2"/>
    <w:rsid w:val="7C347A6B"/>
    <w:rsid w:val="7CABEE10"/>
    <w:rsid w:val="7CB014A6"/>
    <w:rsid w:val="7CB54EBB"/>
    <w:rsid w:val="7CCDC86E"/>
    <w:rsid w:val="7D3B4D1A"/>
    <w:rsid w:val="7D7290AF"/>
    <w:rsid w:val="7D75A59D"/>
    <w:rsid w:val="7D98B263"/>
    <w:rsid w:val="7DEF8C0F"/>
    <w:rsid w:val="7E263081"/>
    <w:rsid w:val="7E528671"/>
    <w:rsid w:val="7E630533"/>
    <w:rsid w:val="7E71919D"/>
    <w:rsid w:val="7EBEE2A5"/>
    <w:rsid w:val="7ECA1806"/>
    <w:rsid w:val="7ED372F5"/>
    <w:rsid w:val="7F594598"/>
    <w:rsid w:val="7F81F908"/>
    <w:rsid w:val="7FD12B9F"/>
    <w:rsid w:val="7FDE4046"/>
    <w:rsid w:val="7FE0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CF0541F-DAE0-4121-96A6-C1D278C3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76B"/>
    <w:pPr>
      <w:spacing w:after="0" w:line="300" w:lineRule="atLeast"/>
      <w:ind w:left="567"/>
    </w:pPr>
    <w:rPr>
      <w:rFonts w:ascii="Trebuchet MS" w:hAnsi="Trebuchet MS"/>
      <w:sz w:val="18"/>
      <w:lang w:val="en-GB"/>
    </w:rPr>
  </w:style>
  <w:style w:type="paragraph" w:styleId="Nadpis1">
    <w:name w:val="heading 1"/>
    <w:aliases w:val="Heading - Chapter,(Section),MOVE-it 1,Heading 11,Hoofdstuk,Επικεφαλίδα 1 ΌΧΙ,Heading 1 - Main Heading of Document,F3 Heading 1 - Section,Numbered - 1,Section,Chapter Hdg,h1,CH TITLE 1,Chapter Heading,AChapter,Sub code header,Chapter,NEA1,1"/>
    <w:basedOn w:val="Odstavecseseznamem"/>
    <w:next w:val="Normln"/>
    <w:link w:val="Nadpis1Char"/>
    <w:uiPriority w:val="9"/>
    <w:qFormat/>
    <w:rsid w:val="002022F4"/>
    <w:pPr>
      <w:numPr>
        <w:numId w:val="4"/>
      </w:numPr>
      <w:spacing w:before="360" w:after="240"/>
      <w:ind w:left="567" w:hanging="567"/>
      <w:contextualSpacing w:val="0"/>
      <w:outlineLvl w:val="0"/>
    </w:pPr>
    <w:rPr>
      <w:b/>
      <w:color w:val="005962"/>
      <w:sz w:val="40"/>
    </w:rPr>
  </w:style>
  <w:style w:type="paragraph" w:styleId="Nadpis2">
    <w:name w:val="heading 2"/>
    <w:aliases w:val="Heading 2 - Paragrapf,2,Paragraaf,NEA2,14,H2,Se,Section1,Section2,Section3,NEA21,subhead 1,h2,subhead 11,h21,subhead 12,h22,subhead 13,h23,subhead 14,h24,subhead 15,h25,subhead 111,h211,subhead 121,h221,subhead 131,h231,subhead 141,h241,h26"/>
    <w:basedOn w:val="Odstavecseseznamem"/>
    <w:next w:val="Normln"/>
    <w:link w:val="Nadpis2Char"/>
    <w:uiPriority w:val="9"/>
    <w:qFormat/>
    <w:rsid w:val="00DA50DB"/>
    <w:pPr>
      <w:numPr>
        <w:ilvl w:val="1"/>
        <w:numId w:val="4"/>
      </w:numPr>
      <w:spacing w:before="120" w:after="120"/>
      <w:outlineLvl w:val="1"/>
    </w:pPr>
    <w:rPr>
      <w:b/>
      <w:color w:val="005962"/>
      <w:sz w:val="24"/>
    </w:rPr>
  </w:style>
  <w:style w:type="paragraph" w:styleId="Nadpis3">
    <w:name w:val="heading 3"/>
    <w:aliases w:val="Heading 3 - Subparagraph,Heading 31,Heading 32,Heading 33,Heading 34,Heading 35,Heading 36,Heading 311,Heading 321,Heading 331,Heading 341,Heading 351,Heading 37,Heading 312,Heading 322,Heading 332,Heading 342,Heading 352,Heading 313"/>
    <w:basedOn w:val="Odstavecseseznamem"/>
    <w:next w:val="Normln"/>
    <w:link w:val="Nadpis3Char"/>
    <w:uiPriority w:val="9"/>
    <w:qFormat/>
    <w:rsid w:val="00FD72F7"/>
    <w:pPr>
      <w:numPr>
        <w:ilvl w:val="2"/>
        <w:numId w:val="4"/>
      </w:numPr>
      <w:outlineLvl w:val="2"/>
    </w:pPr>
    <w:rPr>
      <w:b/>
      <w:i/>
      <w:color w:val="F04E30"/>
    </w:rPr>
  </w:style>
  <w:style w:type="paragraph" w:styleId="Nadpis4">
    <w:name w:val="heading 4"/>
    <w:basedOn w:val="Normln"/>
    <w:next w:val="Normln"/>
    <w:link w:val="Nadpis4Char"/>
    <w:uiPriority w:val="9"/>
    <w:qFormat/>
    <w:rsid w:val="00B241E9"/>
    <w:pPr>
      <w:keepNext/>
      <w:keepLines/>
      <w:ind w:left="0" w:firstLine="567"/>
      <w:outlineLvl w:val="3"/>
    </w:pPr>
    <w:rPr>
      <w:rFonts w:eastAsiaTheme="majorEastAsia" w:cstheme="majorBidi"/>
      <w:b/>
      <w:bCs/>
      <w:iCs/>
      <w:color w:val="F04E3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780D"/>
    <w:pPr>
      <w:keepNext/>
      <w:keepLines/>
      <w:outlineLvl w:val="4"/>
    </w:pPr>
    <w:rPr>
      <w:rFonts w:eastAsiaTheme="majorEastAsia" w:cstheme="majorBidi"/>
      <w:b/>
      <w:bCs/>
      <w:color w:val="002C54" w:themeColor="text2"/>
    </w:rPr>
  </w:style>
  <w:style w:type="paragraph" w:styleId="Nadpis6">
    <w:name w:val="heading 6"/>
    <w:basedOn w:val="Normln"/>
    <w:next w:val="Normln"/>
    <w:uiPriority w:val="9"/>
    <w:unhideWhenUsed/>
    <w:qFormat/>
    <w:rsid w:val="007835EF"/>
    <w:pPr>
      <w:keepNext/>
      <w:keepLines/>
      <w:spacing w:before="40"/>
      <w:outlineLvl w:val="5"/>
    </w:pPr>
    <w:rPr>
      <w:rFonts w:eastAsiaTheme="majorEastAsia" w:cstheme="majorBidi"/>
      <w:b/>
      <w:color w:val="002C30" w:themeColor="accent1" w:themeShade="7F"/>
    </w:rPr>
  </w:style>
  <w:style w:type="paragraph" w:styleId="Nadpis7">
    <w:name w:val="heading 7"/>
    <w:basedOn w:val="Normln"/>
    <w:next w:val="Normln"/>
    <w:uiPriority w:val="9"/>
    <w:unhideWhenUsed/>
    <w:qFormat/>
    <w:rsid w:val="00AA1D30"/>
    <w:pPr>
      <w:keepNext/>
      <w:keepLines/>
      <w:spacing w:before="40"/>
      <w:outlineLvl w:val="6"/>
    </w:pPr>
    <w:rPr>
      <w:rFonts w:eastAsiaTheme="majorEastAsia" w:cstheme="majorBidi"/>
      <w:i/>
      <w:iCs/>
      <w:color w:val="002C30" w:themeColor="accent1" w:themeShade="7F"/>
    </w:rPr>
  </w:style>
  <w:style w:type="paragraph" w:styleId="Nadpis8">
    <w:name w:val="heading 8"/>
    <w:basedOn w:val="Normln"/>
    <w:next w:val="Normln"/>
    <w:uiPriority w:val="9"/>
    <w:unhideWhenUsed/>
    <w:rsid w:val="00AA1D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0DC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0DC"/>
  </w:style>
  <w:style w:type="paragraph" w:styleId="Zpat">
    <w:name w:val="footer"/>
    <w:basedOn w:val="Normln"/>
    <w:link w:val="ZpatChar"/>
    <w:uiPriority w:val="99"/>
    <w:unhideWhenUsed/>
    <w:rsid w:val="00D900DC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0DC"/>
  </w:style>
  <w:style w:type="paragraph" w:styleId="Textbubliny">
    <w:name w:val="Balloon Text"/>
    <w:basedOn w:val="Normln"/>
    <w:link w:val="TextbublinyChar"/>
    <w:uiPriority w:val="99"/>
    <w:semiHidden/>
    <w:unhideWhenUsed/>
    <w:rsid w:val="003D1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0CE"/>
    <w:rPr>
      <w:rFonts w:ascii="Tahoma" w:hAnsi="Tahoma" w:cs="Tahoma"/>
      <w:sz w:val="16"/>
      <w:szCs w:val="16"/>
    </w:rPr>
  </w:style>
  <w:style w:type="paragraph" w:customStyle="1" w:styleId="NoteLevel1">
    <w:name w:val="Note Level 1"/>
    <w:basedOn w:val="Normln"/>
    <w:semiHidden/>
    <w:rsid w:val="003D10CE"/>
    <w:pPr>
      <w:keepNext/>
      <w:tabs>
        <w:tab w:val="num" w:pos="0"/>
      </w:tabs>
      <w:spacing w:line="240" w:lineRule="auto"/>
      <w:contextualSpacing/>
      <w:outlineLvl w:val="0"/>
    </w:pPr>
    <w:rPr>
      <w:rFonts w:ascii="Verdana" w:eastAsia="Times New Roman" w:hAnsi="Verdana" w:cs="Times New Roman"/>
      <w:szCs w:val="18"/>
    </w:rPr>
  </w:style>
  <w:style w:type="paragraph" w:customStyle="1" w:styleId="NoteLevel2">
    <w:name w:val="Note Level 2"/>
    <w:basedOn w:val="Normln"/>
    <w:semiHidden/>
    <w:rsid w:val="003D10CE"/>
    <w:pPr>
      <w:keepNext/>
      <w:tabs>
        <w:tab w:val="num" w:pos="720"/>
      </w:tabs>
      <w:spacing w:line="240" w:lineRule="auto"/>
      <w:ind w:left="1080" w:hanging="360"/>
      <w:contextualSpacing/>
      <w:outlineLvl w:val="1"/>
    </w:pPr>
    <w:rPr>
      <w:rFonts w:ascii="Verdana" w:eastAsia="Times New Roman" w:hAnsi="Verdana" w:cs="Times New Roman"/>
      <w:szCs w:val="18"/>
    </w:rPr>
  </w:style>
  <w:style w:type="paragraph" w:customStyle="1" w:styleId="NoteLevel3">
    <w:name w:val="Note Level 3"/>
    <w:basedOn w:val="Normln"/>
    <w:semiHidden/>
    <w:rsid w:val="003D10CE"/>
    <w:pPr>
      <w:keepNext/>
      <w:tabs>
        <w:tab w:val="num" w:pos="1440"/>
      </w:tabs>
      <w:spacing w:line="240" w:lineRule="auto"/>
      <w:ind w:left="1800" w:hanging="360"/>
      <w:contextualSpacing/>
      <w:outlineLvl w:val="2"/>
    </w:pPr>
    <w:rPr>
      <w:rFonts w:ascii="Verdana" w:eastAsia="Times New Roman" w:hAnsi="Verdana" w:cs="Times New Roman"/>
      <w:szCs w:val="18"/>
    </w:rPr>
  </w:style>
  <w:style w:type="paragraph" w:customStyle="1" w:styleId="NoteLevel4">
    <w:name w:val="Note Level 4"/>
    <w:basedOn w:val="Normln"/>
    <w:semiHidden/>
    <w:rsid w:val="003D10CE"/>
    <w:pPr>
      <w:keepNext/>
      <w:tabs>
        <w:tab w:val="num" w:pos="2160"/>
      </w:tabs>
      <w:spacing w:line="240" w:lineRule="auto"/>
      <w:ind w:left="2520" w:hanging="360"/>
      <w:contextualSpacing/>
      <w:outlineLvl w:val="3"/>
    </w:pPr>
    <w:rPr>
      <w:rFonts w:ascii="Verdana" w:eastAsia="Times New Roman" w:hAnsi="Verdana" w:cs="Times New Roman"/>
      <w:szCs w:val="18"/>
    </w:rPr>
  </w:style>
  <w:style w:type="paragraph" w:customStyle="1" w:styleId="NoteLevel5">
    <w:name w:val="Note Level 5"/>
    <w:basedOn w:val="Normln"/>
    <w:semiHidden/>
    <w:rsid w:val="003D10CE"/>
    <w:pPr>
      <w:keepNext/>
      <w:tabs>
        <w:tab w:val="num" w:pos="2880"/>
      </w:tabs>
      <w:spacing w:line="240" w:lineRule="auto"/>
      <w:ind w:left="3240" w:hanging="360"/>
      <w:contextualSpacing/>
      <w:outlineLvl w:val="4"/>
    </w:pPr>
    <w:rPr>
      <w:rFonts w:ascii="Verdana" w:eastAsia="Times New Roman" w:hAnsi="Verdana" w:cs="Times New Roman"/>
      <w:szCs w:val="18"/>
    </w:rPr>
  </w:style>
  <w:style w:type="paragraph" w:customStyle="1" w:styleId="NoteLevel6">
    <w:name w:val="Note Level 6"/>
    <w:basedOn w:val="Normln"/>
    <w:semiHidden/>
    <w:rsid w:val="003D10CE"/>
    <w:pPr>
      <w:keepNext/>
      <w:tabs>
        <w:tab w:val="num" w:pos="3600"/>
      </w:tabs>
      <w:spacing w:line="240" w:lineRule="auto"/>
      <w:ind w:left="3960" w:hanging="360"/>
      <w:contextualSpacing/>
      <w:outlineLvl w:val="5"/>
    </w:pPr>
    <w:rPr>
      <w:rFonts w:ascii="Verdana" w:eastAsia="Times New Roman" w:hAnsi="Verdana" w:cs="Times New Roman"/>
      <w:szCs w:val="18"/>
    </w:rPr>
  </w:style>
  <w:style w:type="paragraph" w:customStyle="1" w:styleId="NoteLevel7">
    <w:name w:val="Note Level 7"/>
    <w:basedOn w:val="Normln"/>
    <w:semiHidden/>
    <w:rsid w:val="003D10CE"/>
    <w:pPr>
      <w:keepNext/>
      <w:tabs>
        <w:tab w:val="num" w:pos="4320"/>
      </w:tabs>
      <w:spacing w:line="240" w:lineRule="auto"/>
      <w:ind w:left="4680" w:hanging="360"/>
      <w:contextualSpacing/>
      <w:outlineLvl w:val="6"/>
    </w:pPr>
    <w:rPr>
      <w:rFonts w:ascii="Verdana" w:eastAsia="Times New Roman" w:hAnsi="Verdana" w:cs="Times New Roman"/>
      <w:szCs w:val="18"/>
    </w:rPr>
  </w:style>
  <w:style w:type="paragraph" w:customStyle="1" w:styleId="NoteLevel8">
    <w:name w:val="Note Level 8"/>
    <w:basedOn w:val="Normln"/>
    <w:semiHidden/>
    <w:rsid w:val="003D10CE"/>
    <w:pPr>
      <w:keepNext/>
      <w:tabs>
        <w:tab w:val="num" w:pos="5040"/>
      </w:tabs>
      <w:spacing w:line="240" w:lineRule="auto"/>
      <w:ind w:left="5400" w:hanging="360"/>
      <w:contextualSpacing/>
      <w:outlineLvl w:val="7"/>
    </w:pPr>
    <w:rPr>
      <w:rFonts w:ascii="Verdana" w:eastAsia="Times New Roman" w:hAnsi="Verdana" w:cs="Times New Roman"/>
      <w:szCs w:val="18"/>
    </w:rPr>
  </w:style>
  <w:style w:type="paragraph" w:customStyle="1" w:styleId="NoteLevel9">
    <w:name w:val="Note Level 9"/>
    <w:basedOn w:val="Normln"/>
    <w:semiHidden/>
    <w:rsid w:val="003D10CE"/>
    <w:pPr>
      <w:keepNext/>
      <w:tabs>
        <w:tab w:val="num" w:pos="5760"/>
      </w:tabs>
      <w:spacing w:line="240" w:lineRule="auto"/>
      <w:ind w:left="6120" w:hanging="360"/>
      <w:contextualSpacing/>
      <w:outlineLvl w:val="8"/>
    </w:pPr>
    <w:rPr>
      <w:rFonts w:ascii="Verdana" w:eastAsia="Times New Roman" w:hAnsi="Verdana" w:cs="Times New Roman"/>
      <w:szCs w:val="18"/>
    </w:rPr>
  </w:style>
  <w:style w:type="character" w:customStyle="1" w:styleId="Nadpis1Char">
    <w:name w:val="Nadpis 1 Char"/>
    <w:aliases w:val="Heading - Chapter Char,(Section) Char,MOVE-it 1 Char,Heading 11 Char,Hoofdstuk Char,Επικεφαλίδα 1 ΌΧΙ Char,Heading 1 - Main Heading of Document Char,F3 Heading 1 - Section Char,Numbered - 1 Char,Section Char,Chapter Hdg Char,h1 Char,1 Char"/>
    <w:basedOn w:val="Standardnpsmoodstavce"/>
    <w:link w:val="Nadpis1"/>
    <w:uiPriority w:val="9"/>
    <w:rsid w:val="002022F4"/>
    <w:rPr>
      <w:rFonts w:ascii="Trebuchet MS" w:hAnsi="Trebuchet MS"/>
      <w:b/>
      <w:color w:val="005962"/>
      <w:sz w:val="40"/>
      <w:lang w:val="en-GB"/>
    </w:rPr>
  </w:style>
  <w:style w:type="character" w:customStyle="1" w:styleId="Nadpis2Char">
    <w:name w:val="Nadpis 2 Char"/>
    <w:aliases w:val="Heading 2 - Paragrapf Char,2 Char,Paragraaf Char,NEA2 Char,14 Char,H2 Char,Se Char,Section1 Char,Section2 Char,Section3 Char,NEA21 Char,subhead 1 Char,h2 Char,subhead 11 Char,h21 Char,subhead 12 Char,h22 Char,subhead 13 Char,h23 Char"/>
    <w:basedOn w:val="Standardnpsmoodstavce"/>
    <w:link w:val="Nadpis2"/>
    <w:uiPriority w:val="9"/>
    <w:rsid w:val="00DA50DB"/>
    <w:rPr>
      <w:rFonts w:ascii="Trebuchet MS" w:hAnsi="Trebuchet MS"/>
      <w:b/>
      <w:color w:val="005962"/>
      <w:sz w:val="24"/>
      <w:lang w:val="en-GB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8F78C8"/>
    <w:pPr>
      <w:pBdr>
        <w:bottom w:val="single" w:sz="8" w:space="4" w:color="005962" w:themeColor="accent1"/>
      </w:pBd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85CB0"/>
    <w:rPr>
      <w:rFonts w:ascii="Trebuchet MS" w:eastAsiaTheme="majorEastAsia" w:hAnsi="Trebuchet MS" w:cstheme="majorBidi"/>
      <w:spacing w:val="5"/>
      <w:kern w:val="28"/>
      <w:sz w:val="40"/>
      <w:szCs w:val="52"/>
    </w:rPr>
  </w:style>
  <w:style w:type="paragraph" w:styleId="Bezmezer">
    <w:name w:val="No Spacing"/>
    <w:uiPriority w:val="1"/>
    <w:unhideWhenUsed/>
    <w:rsid w:val="00007DF2"/>
    <w:pPr>
      <w:spacing w:after="0" w:line="240" w:lineRule="auto"/>
    </w:pPr>
  </w:style>
  <w:style w:type="paragraph" w:styleId="Odstavecseseznamem">
    <w:name w:val="List Paragraph"/>
    <w:aliases w:val="1st elvel bullet green,1st level - Bullet List Paragraph,Lettre d'introduction,Paragrafo elenco,List Paragraph1,Medium Grid 1 - Accent 21,FooterText,Paragraphe de liste1,Heading 2_sj,Numbered Para 1,Dot pt,No Spacing1,Bullet 1,lp1"/>
    <w:basedOn w:val="Normln"/>
    <w:link w:val="OdstavecseseznamemChar"/>
    <w:uiPriority w:val="34"/>
    <w:qFormat/>
    <w:rsid w:val="003367E5"/>
    <w:pPr>
      <w:tabs>
        <w:tab w:val="left" w:pos="851"/>
      </w:tabs>
      <w:ind w:left="0"/>
      <w:contextualSpacing/>
    </w:pPr>
  </w:style>
  <w:style w:type="numbering" w:customStyle="1" w:styleId="Style1">
    <w:name w:val="Style1"/>
    <w:uiPriority w:val="99"/>
    <w:rsid w:val="006526A8"/>
    <w:pPr>
      <w:numPr>
        <w:numId w:val="2"/>
      </w:numPr>
    </w:pPr>
  </w:style>
  <w:style w:type="numbering" w:customStyle="1" w:styleId="Style2">
    <w:name w:val="Style2"/>
    <w:uiPriority w:val="99"/>
    <w:rsid w:val="003055E8"/>
    <w:pPr>
      <w:numPr>
        <w:numId w:val="3"/>
      </w:numPr>
    </w:pPr>
  </w:style>
  <w:style w:type="character" w:customStyle="1" w:styleId="Nadpis3Char">
    <w:name w:val="Nadpis 3 Char"/>
    <w:aliases w:val="Heading 3 - Subparagraph Char,Heading 31 Char,Heading 32 Char,Heading 33 Char,Heading 34 Char,Heading 35 Char,Heading 36 Char,Heading 311 Char,Heading 321 Char,Heading 331 Char,Heading 341 Char,Heading 351 Char,Heading 37 Char"/>
    <w:basedOn w:val="Standardnpsmoodstavce"/>
    <w:link w:val="Nadpis3"/>
    <w:uiPriority w:val="9"/>
    <w:rsid w:val="00456CCB"/>
    <w:rPr>
      <w:rFonts w:ascii="Trebuchet MS" w:hAnsi="Trebuchet MS"/>
      <w:b/>
      <w:i/>
      <w:color w:val="F04E30"/>
      <w:sz w:val="18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B241E9"/>
    <w:rPr>
      <w:rFonts w:ascii="Trebuchet MS" w:eastAsiaTheme="majorEastAsia" w:hAnsi="Trebuchet MS" w:cstheme="majorBidi"/>
      <w:b/>
      <w:bCs/>
      <w:iCs/>
      <w:color w:val="F04E30"/>
      <w:sz w:val="18"/>
    </w:rPr>
  </w:style>
  <w:style w:type="character" w:customStyle="1" w:styleId="Nadpis5Char">
    <w:name w:val="Nadpis 5 Char"/>
    <w:basedOn w:val="Standardnpsmoodstavce"/>
    <w:link w:val="Nadpis5"/>
    <w:uiPriority w:val="9"/>
    <w:rsid w:val="0021780D"/>
    <w:rPr>
      <w:rFonts w:ascii="Trebuchet MS" w:eastAsiaTheme="majorEastAsia" w:hAnsi="Trebuchet MS" w:cstheme="majorBidi"/>
      <w:b/>
      <w:bCs/>
      <w:color w:val="002C54" w:themeColor="text2"/>
      <w:sz w:val="18"/>
      <w:lang w:val="en-GB"/>
    </w:rPr>
  </w:style>
  <w:style w:type="paragraph" w:customStyle="1" w:styleId="broodtekst">
    <w:name w:val="broodtekst"/>
    <w:basedOn w:val="Normln"/>
    <w:link w:val="broodtekstChar"/>
    <w:uiPriority w:val="99"/>
    <w:rsid w:val="00BC3C79"/>
    <w:pPr>
      <w:keepNext/>
      <w:spacing w:line="240" w:lineRule="auto"/>
      <w:ind w:left="360" w:hanging="360"/>
      <w:contextualSpacing/>
      <w:outlineLvl w:val="0"/>
    </w:pPr>
    <w:rPr>
      <w:rFonts w:eastAsia="Times New Roman" w:cs="Times New Roman"/>
      <w:szCs w:val="18"/>
    </w:rPr>
  </w:style>
  <w:style w:type="character" w:customStyle="1" w:styleId="broodtekstChar">
    <w:name w:val="broodtekst Char"/>
    <w:link w:val="broodtekst"/>
    <w:uiPriority w:val="99"/>
    <w:rsid w:val="00BC3C79"/>
    <w:rPr>
      <w:rFonts w:ascii="Trebuchet MS" w:eastAsia="Times New Roman" w:hAnsi="Trebuchet MS" w:cs="Times New Roman"/>
      <w:sz w:val="18"/>
      <w:szCs w:val="18"/>
    </w:rPr>
  </w:style>
  <w:style w:type="character" w:styleId="Nzevknihy">
    <w:name w:val="Book Title"/>
    <w:basedOn w:val="Standardnpsmoodstavce"/>
    <w:uiPriority w:val="33"/>
    <w:rsid w:val="0041283F"/>
    <w:rPr>
      <w:rFonts w:ascii="Trebuchet MS" w:hAnsi="Trebuchet MS"/>
      <w:b/>
      <w:bCs/>
      <w:smallCaps/>
      <w:spacing w:val="5"/>
      <w:sz w:val="16"/>
      <w:szCs w:val="16"/>
    </w:rPr>
  </w:style>
  <w:style w:type="paragraph" w:customStyle="1" w:styleId="Addingupnumeral">
    <w:name w:val="Adding up (numeral)"/>
    <w:basedOn w:val="Normln"/>
    <w:link w:val="AddingupnumeralChar"/>
    <w:autoRedefine/>
    <w:rsid w:val="008018ED"/>
    <w:pPr>
      <w:numPr>
        <w:numId w:val="8"/>
      </w:numPr>
      <w:contextualSpacing/>
    </w:pPr>
    <w:rPr>
      <w:rFonts w:eastAsia="Calibri" w:cs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0E1F1D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4249" w:themeColor="accent1" w:themeShade="BF"/>
      <w:sz w:val="28"/>
      <w:szCs w:val="28"/>
      <w:lang w:val="en-US" w:eastAsia="ja-JP"/>
    </w:rPr>
  </w:style>
  <w:style w:type="paragraph" w:styleId="Obsah1">
    <w:name w:val="toc 1"/>
    <w:basedOn w:val="Normln"/>
    <w:next w:val="Normln"/>
    <w:autoRedefine/>
    <w:uiPriority w:val="39"/>
    <w:unhideWhenUsed/>
    <w:rsid w:val="00362D33"/>
    <w:pPr>
      <w:tabs>
        <w:tab w:val="left" w:pos="540"/>
        <w:tab w:val="right" w:leader="dot" w:pos="9016"/>
      </w:tabs>
      <w:spacing w:before="120"/>
      <w:ind w:left="0"/>
    </w:pPr>
    <w:rPr>
      <w:b/>
      <w:bCs/>
      <w:color w:val="005962"/>
      <w:sz w:val="22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DB5DD1"/>
    <w:pPr>
      <w:tabs>
        <w:tab w:val="left" w:pos="1260"/>
        <w:tab w:val="right" w:leader="dot" w:pos="9016"/>
      </w:tabs>
      <w:spacing w:before="120"/>
      <w:ind w:left="0" w:firstLine="567"/>
    </w:pPr>
    <w:rPr>
      <w:rFonts w:cstheme="minorHAnsi"/>
      <w:b/>
      <w:bCs/>
      <w:color w:val="005962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3247B6"/>
    <w:pPr>
      <w:tabs>
        <w:tab w:val="right" w:leader="dot" w:pos="9016"/>
      </w:tabs>
      <w:ind w:left="284" w:firstLine="567"/>
    </w:pPr>
    <w:rPr>
      <w:rFonts w:cstheme="minorHAnsi"/>
      <w:color w:val="005962"/>
      <w:szCs w:val="20"/>
    </w:rPr>
  </w:style>
  <w:style w:type="character" w:styleId="Hypertextovodkaz">
    <w:name w:val="Hyperlink"/>
    <w:basedOn w:val="Standardnpsmoodstavce"/>
    <w:uiPriority w:val="99"/>
    <w:unhideWhenUsed/>
    <w:rsid w:val="000E1F1D"/>
    <w:rPr>
      <w:color w:val="005962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0A3FCD"/>
    <w:pPr>
      <w:ind w:left="36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A3FCD"/>
    <w:pPr>
      <w:ind w:left="54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0A3FCD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0A3FCD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0A3FCD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0A3FCD"/>
    <w:pPr>
      <w:ind w:left="1260"/>
    </w:pPr>
    <w:rPr>
      <w:rFonts w:asciiTheme="minorHAnsi" w:hAnsiTheme="minorHAnsi" w:cstheme="minorHAnsi"/>
      <w:sz w:val="20"/>
      <w:szCs w:val="20"/>
    </w:rPr>
  </w:style>
  <w:style w:type="table" w:styleId="Mkatabulky">
    <w:name w:val="Table Grid"/>
    <w:basedOn w:val="Normlntabulka"/>
    <w:uiPriority w:val="39"/>
    <w:rsid w:val="00216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">
    <w:name w:val="Table 1"/>
    <w:basedOn w:val="Normlntabulka"/>
    <w:uiPriority w:val="99"/>
    <w:rsid w:val="004103B8"/>
    <w:pPr>
      <w:spacing w:after="0" w:line="240" w:lineRule="auto"/>
      <w:jc w:val="center"/>
    </w:pPr>
    <w:rPr>
      <w:rFonts w:ascii="Trebuchet MS" w:hAnsi="Trebuchet MS"/>
      <w:sz w:val="16"/>
    </w:rPr>
    <w:tblPr>
      <w:tblInd w:w="567" w:type="dxa"/>
      <w:tblBorders>
        <w:top w:val="single" w:sz="4" w:space="0" w:color="005962"/>
        <w:left w:val="single" w:sz="4" w:space="0" w:color="005962"/>
        <w:bottom w:val="single" w:sz="4" w:space="0" w:color="005962"/>
        <w:right w:val="single" w:sz="4" w:space="0" w:color="005962"/>
        <w:insideH w:val="single" w:sz="4" w:space="0" w:color="005962"/>
        <w:insideV w:val="single" w:sz="4" w:space="0" w:color="00596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300" w:lineRule="atLeast"/>
        <w:ind w:leftChars="0" w:left="0" w:rightChars="0" w:right="0" w:firstLineChars="0" w:firstLine="0"/>
        <w:jc w:val="center"/>
      </w:pPr>
      <w:rPr>
        <w:rFonts w:ascii="ÍH_" w:hAnsi="ÍH_"/>
        <w:b/>
        <w:color w:val="FFFFFF" w:themeColor="background1"/>
        <w:sz w:val="16"/>
      </w:rPr>
      <w:tblPr/>
      <w:tcPr>
        <w:shd w:val="clear" w:color="auto" w:fill="005962"/>
      </w:tcPr>
    </w:tblStylePr>
    <w:tblStylePr w:type="firstCol">
      <w:pPr>
        <w:wordWrap/>
        <w:jc w:val="left"/>
        <w:outlineLvl w:val="9"/>
      </w:pPr>
    </w:tblStylePr>
  </w:style>
  <w:style w:type="paragraph" w:styleId="Textpoznpodarou">
    <w:name w:val="footnote text"/>
    <w:aliases w:val="Fußnotentextf,Fußnotentextr,stile 1,Footnote,Footnote1,Footnote2,Footnote3,Footnote4,Footnote5,Footnote6,Footnote7,Footnote8,Footnote9,Footnote10,Footnote11,Footnote21,Footnote31,Footnote41,Footnote51,Footnote61,Footnote71"/>
    <w:basedOn w:val="Normln"/>
    <w:link w:val="TextpoznpodarouChar"/>
    <w:uiPriority w:val="99"/>
    <w:unhideWhenUsed/>
    <w:rsid w:val="002A03E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ußnotentextf Char,Fußnotentextr Char,stile 1 Char,Footnote Char,Footnote1 Char,Footnote2 Char,Footnote3 Char,Footnote4 Char,Footnote5 Char,Footnote6 Char,Footnote7 Char,Footnote8 Char,Footnote9 Char,Footnote10 Char"/>
    <w:basedOn w:val="Standardnpsmoodstavce"/>
    <w:link w:val="Textpoznpodarou"/>
    <w:uiPriority w:val="99"/>
    <w:rsid w:val="002A03EA"/>
    <w:rPr>
      <w:rFonts w:ascii="Trebuchet MS" w:hAnsi="Trebuchet MS"/>
      <w:sz w:val="20"/>
      <w:szCs w:val="20"/>
    </w:rPr>
  </w:style>
  <w:style w:type="character" w:styleId="Znakapoznpodarou">
    <w:name w:val="footnote reference"/>
    <w:aliases w:val="SUPERS,Odwołanie przypisu,Times 10 Point,Exposant 3 Point,Footnote symbol,Footnote reference number,number,Footnote Reference Superscript,stylish,Знак сноски-FN,Ciae niinee-FN,Знак сноски 1,(Footnote Reference), Exposant 3 Point"/>
    <w:basedOn w:val="Standardnpsmoodstavce"/>
    <w:unhideWhenUsed/>
    <w:qFormat/>
    <w:rsid w:val="002A03EA"/>
    <w:rPr>
      <w:vertAlign w:val="superscript"/>
    </w:rPr>
  </w:style>
  <w:style w:type="paragraph" w:customStyle="1" w:styleId="foonote">
    <w:name w:val="foonote"/>
    <w:basedOn w:val="Textpoznpodarou"/>
    <w:link w:val="foonoteChar"/>
    <w:qFormat/>
    <w:rsid w:val="002A03EA"/>
    <w:rPr>
      <w:rFonts w:ascii="Arial" w:hAnsi="Arial" w:cs="Arial"/>
      <w:sz w:val="16"/>
      <w:szCs w:val="16"/>
    </w:rPr>
  </w:style>
  <w:style w:type="character" w:customStyle="1" w:styleId="foonoteChar">
    <w:name w:val="foonote Char"/>
    <w:basedOn w:val="TextpoznpodarouChar"/>
    <w:link w:val="foonote"/>
    <w:rsid w:val="002D4BF3"/>
    <w:rPr>
      <w:rFonts w:ascii="Arial" w:hAnsi="Arial" w:cs="Arial"/>
      <w:sz w:val="16"/>
      <w:szCs w:val="16"/>
    </w:rPr>
  </w:style>
  <w:style w:type="paragraph" w:styleId="Revize">
    <w:name w:val="Revision"/>
    <w:hidden/>
    <w:uiPriority w:val="99"/>
    <w:semiHidden/>
    <w:rsid w:val="00594342"/>
    <w:pPr>
      <w:spacing w:after="0" w:line="240" w:lineRule="auto"/>
    </w:pPr>
    <w:rPr>
      <w:rFonts w:ascii="Trebuchet MS" w:hAnsi="Trebuchet MS"/>
      <w:sz w:val="18"/>
    </w:rPr>
  </w:style>
  <w:style w:type="paragraph" w:customStyle="1" w:styleId="Default">
    <w:name w:val="Default"/>
    <w:rsid w:val="009D3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1st elvel bullet green Char,1st level - Bullet List Paragraph Char,Lettre d'introduction Char,Paragrafo elenco Char,List Paragraph1 Char,Medium Grid 1 - Accent 21 Char,FooterText Char,Paragraphe de liste1 Char,Heading 2_sj Char"/>
    <w:link w:val="Odstavecseseznamem"/>
    <w:uiPriority w:val="34"/>
    <w:qFormat/>
    <w:rsid w:val="003367E5"/>
    <w:rPr>
      <w:rFonts w:ascii="Trebuchet MS" w:hAnsi="Trebuchet MS"/>
      <w:sz w:val="18"/>
      <w:lang w:val="en-GB"/>
    </w:rPr>
  </w:style>
  <w:style w:type="character" w:styleId="Odkaznakoment">
    <w:name w:val="annotation reference"/>
    <w:uiPriority w:val="99"/>
    <w:semiHidden/>
    <w:unhideWhenUsed/>
    <w:rsid w:val="00D13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3A76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3A76"/>
    <w:rPr>
      <w:rFonts w:ascii="Trebuchet MS" w:eastAsia="Calibri" w:hAnsi="Trebuchet MS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8B9"/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08B9"/>
    <w:rPr>
      <w:rFonts w:ascii="Trebuchet MS" w:eastAsia="Calibri" w:hAnsi="Trebuchet MS" w:cs="Times New Roman"/>
      <w:b/>
      <w:bCs/>
      <w:sz w:val="20"/>
      <w:szCs w:val="20"/>
    </w:rPr>
  </w:style>
  <w:style w:type="character" w:styleId="Siln">
    <w:name w:val="Strong"/>
    <w:aliases w:val="Bold"/>
    <w:basedOn w:val="Standardnpsmoodstavce"/>
    <w:uiPriority w:val="22"/>
    <w:qFormat/>
    <w:rsid w:val="003808B9"/>
    <w:rPr>
      <w:b/>
      <w:bCs/>
    </w:rPr>
  </w:style>
  <w:style w:type="paragraph" w:customStyle="1" w:styleId="Orangetabletext">
    <w:name w:val="Orange table text"/>
    <w:basedOn w:val="Normln"/>
    <w:link w:val="OrangetabletextChar"/>
    <w:rsid w:val="00204ED4"/>
    <w:pPr>
      <w:numPr>
        <w:numId w:val="7"/>
      </w:numPr>
      <w:spacing w:line="260" w:lineRule="atLeast"/>
    </w:pPr>
    <w:rPr>
      <w:b/>
      <w:bCs/>
      <w:color w:val="FFFFFF"/>
      <w:sz w:val="16"/>
      <w:szCs w:val="14"/>
      <w:lang w:eastAsia="nl-NL"/>
    </w:rPr>
  </w:style>
  <w:style w:type="paragraph" w:styleId="Titulek">
    <w:name w:val="caption"/>
    <w:aliases w:val="Caption-tables,Tasks,Beschriftung Char2,Beschriftung Char1 Char1,Beschriftung Char Char Char1,Beschriftung Char1 Char Char,Beschriftung Char Char Char Char,Beschriftung Char Char1 Char,Beschriftung Char Char2,Beschriftung Char1 Cha...,Eco"/>
    <w:basedOn w:val="Normln"/>
    <w:next w:val="Normln"/>
    <w:link w:val="TitulekChar"/>
    <w:unhideWhenUsed/>
    <w:qFormat/>
    <w:rsid w:val="00D95BB0"/>
    <w:pPr>
      <w:spacing w:after="120" w:line="240" w:lineRule="auto"/>
    </w:pPr>
    <w:rPr>
      <w:b/>
      <w:bCs/>
      <w:color w:val="005962"/>
      <w:sz w:val="16"/>
    </w:rPr>
  </w:style>
  <w:style w:type="paragraph" w:customStyle="1" w:styleId="table-text">
    <w:name w:val="table-text"/>
    <w:basedOn w:val="broodtekst"/>
    <w:uiPriority w:val="99"/>
    <w:rsid w:val="00330BB1"/>
    <w:pPr>
      <w:keepNext w:val="0"/>
      <w:spacing w:line="280" w:lineRule="atLeast"/>
      <w:ind w:left="0" w:firstLine="0"/>
      <w:contextualSpacing w:val="0"/>
      <w:outlineLvl w:val="9"/>
    </w:pPr>
    <w:rPr>
      <w:rFonts w:ascii="Arial" w:hAnsi="Arial"/>
      <w:sz w:val="16"/>
      <w:szCs w:val="24"/>
      <w:lang w:val="nl-NL" w:eastAsia="nl-NL"/>
    </w:rPr>
  </w:style>
  <w:style w:type="paragraph" w:customStyle="1" w:styleId="tabelkop">
    <w:name w:val="tabelkop"/>
    <w:basedOn w:val="Normln"/>
    <w:rsid w:val="00330BB1"/>
    <w:pPr>
      <w:keepNext/>
      <w:keepLines/>
      <w:spacing w:line="280" w:lineRule="atLeast"/>
      <w:ind w:left="0"/>
    </w:pPr>
    <w:rPr>
      <w:rFonts w:ascii="Arial" w:eastAsia="Times New Roman" w:hAnsi="Arial" w:cs="Times New Roman"/>
      <w:b/>
      <w:color w:val="FFFFFF"/>
      <w:sz w:val="16"/>
      <w:szCs w:val="24"/>
      <w:lang w:val="nl-NL" w:eastAsia="nl-NL"/>
    </w:rPr>
  </w:style>
  <w:style w:type="table" w:styleId="Svtlseznamzvraznn2">
    <w:name w:val="Light List Accent 2"/>
    <w:basedOn w:val="Normlntabulka"/>
    <w:uiPriority w:val="61"/>
    <w:semiHidden/>
    <w:unhideWhenUsed/>
    <w:rsid w:val="00247A28"/>
    <w:pPr>
      <w:spacing w:after="0" w:line="240" w:lineRule="auto"/>
    </w:pPr>
    <w:tblPr>
      <w:tblStyleRowBandSize w:val="1"/>
      <w:tblStyleColBandSize w:val="1"/>
      <w:tblBorders>
        <w:top w:val="single" w:sz="8" w:space="0" w:color="F04E30" w:themeColor="accent2"/>
        <w:left w:val="single" w:sz="8" w:space="0" w:color="F04E30" w:themeColor="accent2"/>
        <w:bottom w:val="single" w:sz="8" w:space="0" w:color="F04E30" w:themeColor="accent2"/>
        <w:right w:val="single" w:sz="8" w:space="0" w:color="F04E3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4E3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4E30" w:themeColor="accent2"/>
          <w:left w:val="single" w:sz="8" w:space="0" w:color="F04E30" w:themeColor="accent2"/>
          <w:bottom w:val="single" w:sz="8" w:space="0" w:color="F04E30" w:themeColor="accent2"/>
          <w:right w:val="single" w:sz="8" w:space="0" w:color="F04E3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4E30" w:themeColor="accent2"/>
          <w:left w:val="single" w:sz="8" w:space="0" w:color="F04E30" w:themeColor="accent2"/>
          <w:bottom w:val="single" w:sz="8" w:space="0" w:color="F04E30" w:themeColor="accent2"/>
          <w:right w:val="single" w:sz="8" w:space="0" w:color="F04E30" w:themeColor="accent2"/>
        </w:tcBorders>
      </w:tcPr>
    </w:tblStylePr>
    <w:tblStylePr w:type="band1Horz">
      <w:tblPr/>
      <w:tcPr>
        <w:tcBorders>
          <w:top w:val="single" w:sz="8" w:space="0" w:color="F04E30" w:themeColor="accent2"/>
          <w:left w:val="single" w:sz="8" w:space="0" w:color="F04E30" w:themeColor="accent2"/>
          <w:bottom w:val="single" w:sz="8" w:space="0" w:color="F04E30" w:themeColor="accent2"/>
          <w:right w:val="single" w:sz="8" w:space="0" w:color="F04E30" w:themeColor="accent2"/>
        </w:tcBorders>
      </w:tcPr>
    </w:tblStylePr>
  </w:style>
  <w:style w:type="table" w:customStyle="1" w:styleId="Box">
    <w:name w:val="Box"/>
    <w:basedOn w:val="Klasicktabulka1"/>
    <w:uiPriority w:val="99"/>
    <w:rsid w:val="008018ED"/>
    <w:rPr>
      <w:rFonts w:ascii="Trebuchet MS" w:hAnsi="Trebuchet MS"/>
      <w:sz w:val="16"/>
      <w:szCs w:val="20"/>
      <w:lang w:val="cs-CZ" w:eastAsia="en-GB"/>
    </w:rPr>
    <w:tblPr>
      <w:tblInd w:w="567" w:type="dxa"/>
    </w:tblPr>
    <w:tcPr>
      <w:shd w:val="clear" w:color="auto" w:fill="auto"/>
    </w:tcPr>
    <w:tblStylePr w:type="firstRow">
      <w:rPr>
        <w:rFonts w:ascii="ÍH_" w:hAnsi="ÍH_"/>
        <w:i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ÍH_" w:hAnsi="ÍH_"/>
        <w:color w:val="auto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E3A5" w:themeFill="accent4"/>
      </w:tcPr>
    </w:tblStylePr>
    <w:tblStylePr w:type="firstCol">
      <w:rPr>
        <w:rFonts w:ascii="ÍH_" w:hAnsi="ÍH_"/>
        <w:color w:val="auto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E3A5" w:themeFill="accent4"/>
      </w:tcPr>
    </w:tblStylePr>
    <w:tblStylePr w:type="lastCol">
      <w:rPr>
        <w:rFonts w:ascii="ÍH_" w:hAnsi="ÍH_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A5" w:themeFill="accent4"/>
      </w:tcPr>
    </w:tblStylePr>
    <w:tblStylePr w:type="neCell">
      <w:rPr>
        <w:rFonts w:ascii="ÍH_" w:hAnsi="ÍH_"/>
        <w:b/>
        <w:bCs/>
        <w:i w:val="0"/>
        <w:iCs w:val="0"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rPr>
        <w:rFonts w:ascii="ÍH_" w:hAnsi="ÍH_"/>
        <w:sz w:val="16"/>
      </w:rPr>
    </w:tblStylePr>
    <w:tblStylePr w:type="swCell">
      <w:rPr>
        <w:rFonts w:ascii="ÍH_" w:hAnsi="ÍH_"/>
        <w:b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ulekChar">
    <w:name w:val="Titulek Char"/>
    <w:aliases w:val="Caption-tables Char,Tasks Char,Beschriftung Char2 Char,Beschriftung Char1 Char1 Char,Beschriftung Char Char Char1 Char,Beschriftung Char1 Char Char Char,Beschriftung Char Char Char Char Char,Beschriftung Char Char1 Char Char,Eco Char"/>
    <w:link w:val="Titulek"/>
    <w:locked/>
    <w:rsid w:val="00D95BB0"/>
    <w:rPr>
      <w:rFonts w:ascii="Trebuchet MS" w:hAnsi="Trebuchet MS"/>
      <w:b/>
      <w:bCs/>
      <w:color w:val="005962"/>
      <w:sz w:val="16"/>
      <w:szCs w:val="18"/>
    </w:rPr>
  </w:style>
  <w:style w:type="character" w:customStyle="1" w:styleId="AAAAAtextChar">
    <w:name w:val="AAAAAtext Char"/>
    <w:basedOn w:val="Standardnpsmoodstavce"/>
    <w:link w:val="AAAAAtext"/>
    <w:locked/>
    <w:rsid w:val="00456CCB"/>
    <w:rPr>
      <w:rFonts w:ascii="Calibri" w:hAnsi="Calibri"/>
      <w:sz w:val="22"/>
      <w:szCs w:val="24"/>
      <w:lang w:eastAsia="en-GB"/>
    </w:rPr>
  </w:style>
  <w:style w:type="paragraph" w:customStyle="1" w:styleId="AAAAAtext">
    <w:name w:val="AAAAAtext"/>
    <w:basedOn w:val="Normln"/>
    <w:link w:val="AAAAAtextChar"/>
    <w:rsid w:val="00371E2C"/>
    <w:pPr>
      <w:spacing w:before="60" w:after="60" w:line="320" w:lineRule="atLeast"/>
      <w:ind w:left="0"/>
      <w:jc w:val="both"/>
    </w:pPr>
    <w:rPr>
      <w:rFonts w:ascii="Calibri" w:hAnsi="Calibri"/>
      <w:sz w:val="22"/>
      <w:szCs w:val="24"/>
      <w:lang w:eastAsia="en-GB"/>
    </w:rPr>
  </w:style>
  <w:style w:type="paragraph" w:styleId="Normlnweb">
    <w:name w:val="Normal (Web)"/>
    <w:basedOn w:val="Normln"/>
    <w:uiPriority w:val="99"/>
    <w:unhideWhenUsed/>
    <w:rsid w:val="0033662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20">
    <w:name w:val="Pa20"/>
    <w:basedOn w:val="Default"/>
    <w:next w:val="Default"/>
    <w:uiPriority w:val="99"/>
    <w:rsid w:val="00336623"/>
    <w:pPr>
      <w:spacing w:line="171" w:lineRule="atLeast"/>
    </w:pPr>
    <w:rPr>
      <w:rFonts w:ascii="EC Square Sans Pro" w:hAnsi="EC Square Sans Pro" w:cstheme="minorBidi"/>
      <w:color w:val="auto"/>
    </w:rPr>
  </w:style>
  <w:style w:type="character" w:styleId="Zdraznn">
    <w:name w:val="Emphasis"/>
    <w:basedOn w:val="Standardnpsmoodstavce"/>
    <w:uiPriority w:val="20"/>
    <w:qFormat/>
    <w:rsid w:val="00724F32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A705E"/>
    <w:pPr>
      <w:spacing w:line="240" w:lineRule="auto"/>
      <w:ind w:left="0"/>
    </w:pPr>
    <w:rPr>
      <w:rFonts w:ascii="Calibri" w:eastAsia="Calibri" w:hAnsi="Calibri" w:cs="Times New Roman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A705E"/>
    <w:rPr>
      <w:rFonts w:ascii="Calibri" w:eastAsia="Calibri" w:hAnsi="Calibri" w:cs="Times New Roman"/>
      <w:sz w:val="20"/>
      <w:szCs w:val="21"/>
    </w:rPr>
  </w:style>
  <w:style w:type="character" w:customStyle="1" w:styleId="rStyle">
    <w:name w:val="rStyle"/>
    <w:rsid w:val="0019417C"/>
    <w:rPr>
      <w:b/>
      <w:bCs w:val="0"/>
    </w:rPr>
  </w:style>
  <w:style w:type="character" w:styleId="Sledovanodkaz">
    <w:name w:val="FollowedHyperlink"/>
    <w:basedOn w:val="Standardnpsmoodstavce"/>
    <w:uiPriority w:val="99"/>
    <w:semiHidden/>
    <w:unhideWhenUsed/>
    <w:rsid w:val="0064096B"/>
    <w:rPr>
      <w:color w:val="F04E30" w:themeColor="followedHyperlink"/>
      <w:u w:val="single"/>
    </w:rPr>
  </w:style>
  <w:style w:type="character" w:customStyle="1" w:styleId="Hyperlink1">
    <w:name w:val="Hyperlink1"/>
    <w:basedOn w:val="Standardnpsmoodstavce"/>
    <w:uiPriority w:val="99"/>
    <w:unhideWhenUsed/>
    <w:rsid w:val="00915515"/>
    <w:rPr>
      <w:color w:val="0000FF"/>
      <w:u w:val="single"/>
    </w:rPr>
  </w:style>
  <w:style w:type="paragraph" w:customStyle="1" w:styleId="paragraph">
    <w:name w:val="paragraph"/>
    <w:basedOn w:val="Normln"/>
    <w:rsid w:val="0076575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Standardnpsmoodstavce"/>
    <w:rsid w:val="00765759"/>
  </w:style>
  <w:style w:type="character" w:customStyle="1" w:styleId="scx12335173">
    <w:name w:val="scx12335173"/>
    <w:basedOn w:val="Standardnpsmoodstavce"/>
    <w:rsid w:val="00765759"/>
  </w:style>
  <w:style w:type="character" w:customStyle="1" w:styleId="apple-converted-space">
    <w:name w:val="apple-converted-space"/>
    <w:basedOn w:val="Standardnpsmoodstavce"/>
    <w:rsid w:val="00765759"/>
  </w:style>
  <w:style w:type="character" w:customStyle="1" w:styleId="eop">
    <w:name w:val="eop"/>
    <w:basedOn w:val="Standardnpsmoodstavce"/>
    <w:rsid w:val="00765759"/>
  </w:style>
  <w:style w:type="character" w:customStyle="1" w:styleId="spellingerror">
    <w:name w:val="spellingerror"/>
    <w:basedOn w:val="Standardnpsmoodstavce"/>
    <w:rsid w:val="00765759"/>
  </w:style>
  <w:style w:type="paragraph" w:customStyle="1" w:styleId="ECVSectionBullet">
    <w:name w:val="_ECV_SectionBullet"/>
    <w:basedOn w:val="Normln"/>
    <w:rsid w:val="00E676D9"/>
    <w:pPr>
      <w:suppressLineNumbers/>
      <w:autoSpaceDE w:val="0"/>
      <w:spacing w:line="100" w:lineRule="atLeast"/>
      <w:ind w:left="0"/>
    </w:pPr>
    <w:rPr>
      <w:rFonts w:ascii="Arial" w:eastAsia="SimSun" w:hAnsi="Arial" w:cs="Mangal"/>
      <w:color w:val="3F3A38"/>
      <w:spacing w:val="-6"/>
      <w:kern w:val="2"/>
      <w:szCs w:val="24"/>
      <w:lang w:eastAsia="zh-CN" w:bidi="hi-IN"/>
    </w:rPr>
  </w:style>
  <w:style w:type="character" w:customStyle="1" w:styleId="AddingupnumeralChar">
    <w:name w:val="Adding up (numeral) Char"/>
    <w:basedOn w:val="Standardnpsmoodstavce"/>
    <w:link w:val="Addingupnumeral"/>
    <w:rsid w:val="008018ED"/>
    <w:rPr>
      <w:rFonts w:ascii="Trebuchet MS" w:eastAsia="Calibri" w:hAnsi="Trebuchet MS" w:cs="Times New Roman"/>
      <w:sz w:val="18"/>
      <w:lang w:val="en-GB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3A045A"/>
    <w:rPr>
      <w:color w:val="605E5C"/>
      <w:shd w:val="clear" w:color="auto" w:fill="E1DFDD"/>
    </w:rPr>
  </w:style>
  <w:style w:type="table" w:styleId="Klasicktabulka1">
    <w:name w:val="Table Classic 1"/>
    <w:basedOn w:val="Normlntabulka"/>
    <w:uiPriority w:val="99"/>
    <w:semiHidden/>
    <w:unhideWhenUsed/>
    <w:rsid w:val="008018ED"/>
    <w:pPr>
      <w:spacing w:after="0" w:line="300" w:lineRule="atLeast"/>
      <w:ind w:left="56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Normlntabulka"/>
    <w:next w:val="Mkatabulky"/>
    <w:uiPriority w:val="59"/>
    <w:rsid w:val="0006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bulletpoint0">
    <w:name w:val="Checklist bulletpoint"/>
    <w:basedOn w:val="Normln"/>
    <w:link w:val="ChecklistbulletpointChar"/>
    <w:rsid w:val="00F93481"/>
    <w:pPr>
      <w:numPr>
        <w:numId w:val="6"/>
      </w:numPr>
    </w:pPr>
    <w:rPr>
      <w:b/>
      <w:color w:val="F04E30"/>
      <w:szCs w:val="18"/>
    </w:rPr>
  </w:style>
  <w:style w:type="paragraph" w:customStyle="1" w:styleId="ChecklistBulletpoint">
    <w:name w:val="Checklist Bulletpoint"/>
    <w:basedOn w:val="Normln"/>
    <w:link w:val="ChecklistBulletpointChar0"/>
    <w:qFormat/>
    <w:rsid w:val="00F93481"/>
    <w:pPr>
      <w:numPr>
        <w:numId w:val="5"/>
      </w:numPr>
      <w:tabs>
        <w:tab w:val="left" w:pos="851"/>
      </w:tabs>
      <w:ind w:left="1247" w:hanging="340"/>
    </w:pPr>
  </w:style>
  <w:style w:type="character" w:customStyle="1" w:styleId="ChecklistbulletpointChar">
    <w:name w:val="Checklist bulletpoint Char"/>
    <w:basedOn w:val="Standardnpsmoodstavce"/>
    <w:link w:val="Checklistbulletpoint0"/>
    <w:rsid w:val="00F93481"/>
    <w:rPr>
      <w:rFonts w:ascii="Trebuchet MS" w:hAnsi="Trebuchet MS"/>
      <w:b/>
      <w:color w:val="F04E30"/>
      <w:sz w:val="18"/>
      <w:szCs w:val="18"/>
      <w:lang w:val="en-GB"/>
    </w:rPr>
  </w:style>
  <w:style w:type="paragraph" w:customStyle="1" w:styleId="Frontpagetitle">
    <w:name w:val="Frontpage title"/>
    <w:basedOn w:val="Normln"/>
    <w:link w:val="FrontpagetitleChar"/>
    <w:qFormat/>
    <w:rsid w:val="003367E5"/>
    <w:pPr>
      <w:ind w:left="0"/>
      <w:jc w:val="center"/>
    </w:pPr>
    <w:rPr>
      <w:color w:val="FFFFFF" w:themeColor="background1"/>
      <w:sz w:val="80"/>
      <w:szCs w:val="80"/>
    </w:rPr>
  </w:style>
  <w:style w:type="character" w:customStyle="1" w:styleId="ChecklistBulletpointChar0">
    <w:name w:val="Checklist Bulletpoint Char"/>
    <w:basedOn w:val="Standardnpsmoodstavce"/>
    <w:link w:val="ChecklistBulletpoint"/>
    <w:rsid w:val="00F93481"/>
    <w:rPr>
      <w:rFonts w:ascii="Trebuchet MS" w:hAnsi="Trebuchet MS"/>
      <w:sz w:val="18"/>
      <w:lang w:val="en-GB"/>
    </w:rPr>
  </w:style>
  <w:style w:type="paragraph" w:customStyle="1" w:styleId="2ndlevelbulletpoint">
    <w:name w:val="2nd level bulletpoint"/>
    <w:basedOn w:val="Odstavecseseznamem"/>
    <w:next w:val="3rdlevelbulletpoint"/>
    <w:link w:val="2ndlevelbulletpointChar"/>
    <w:rsid w:val="00F8775C"/>
    <w:pPr>
      <w:numPr>
        <w:ilvl w:val="1"/>
      </w:numPr>
      <w:ind w:left="1661" w:hanging="357"/>
    </w:pPr>
  </w:style>
  <w:style w:type="character" w:customStyle="1" w:styleId="FrontpagetitleChar">
    <w:name w:val="Frontpage title Char"/>
    <w:basedOn w:val="Standardnpsmoodstavce"/>
    <w:link w:val="Frontpagetitle"/>
    <w:rsid w:val="003367E5"/>
    <w:rPr>
      <w:rFonts w:ascii="Trebuchet MS" w:hAnsi="Trebuchet MS"/>
      <w:color w:val="FFFFFF" w:themeColor="background1"/>
      <w:sz w:val="80"/>
      <w:szCs w:val="80"/>
    </w:rPr>
  </w:style>
  <w:style w:type="paragraph" w:customStyle="1" w:styleId="3rdlevelbulletpoint">
    <w:name w:val="3rd level bulletpoint"/>
    <w:basedOn w:val="2ndlevelbulletpoint"/>
    <w:link w:val="3rdlevelbulletpointChar"/>
    <w:rsid w:val="005D19A4"/>
    <w:pPr>
      <w:numPr>
        <w:ilvl w:val="2"/>
      </w:numPr>
      <w:ind w:left="2001" w:hanging="357"/>
    </w:pPr>
  </w:style>
  <w:style w:type="character" w:customStyle="1" w:styleId="2ndlevelbulletpointChar">
    <w:name w:val="2nd level bulletpoint Char"/>
    <w:basedOn w:val="OdstavecseseznamemChar"/>
    <w:link w:val="2ndlevelbulletpoint"/>
    <w:rsid w:val="00F8775C"/>
    <w:rPr>
      <w:rFonts w:ascii="Trebuchet MS" w:hAnsi="Trebuchet MS"/>
      <w:sz w:val="18"/>
      <w:lang w:val="en-GB"/>
    </w:rPr>
  </w:style>
  <w:style w:type="paragraph" w:customStyle="1" w:styleId="Bulletpoint">
    <w:name w:val="Bulletpoint"/>
    <w:basedOn w:val="2ndlevelbulletpoint"/>
    <w:next w:val="2ndlevelbulletpoint"/>
    <w:link w:val="BulletpointChar"/>
    <w:qFormat/>
    <w:rsid w:val="003367E5"/>
    <w:pPr>
      <w:numPr>
        <w:ilvl w:val="0"/>
      </w:numPr>
      <w:ind w:left="1661" w:hanging="357"/>
    </w:pPr>
  </w:style>
  <w:style w:type="character" w:customStyle="1" w:styleId="3rdlevelbulletpointChar">
    <w:name w:val="3rd level bulletpoint Char"/>
    <w:basedOn w:val="2ndlevelbulletpointChar"/>
    <w:link w:val="3rdlevelbulletpoint"/>
    <w:rsid w:val="005D19A4"/>
    <w:rPr>
      <w:rFonts w:ascii="Trebuchet MS" w:hAnsi="Trebuchet MS"/>
      <w:sz w:val="18"/>
      <w:lang w:val="en-GB"/>
    </w:rPr>
  </w:style>
  <w:style w:type="paragraph" w:customStyle="1" w:styleId="Tabletext">
    <w:name w:val="Table text"/>
    <w:basedOn w:val="Normln"/>
    <w:link w:val="TabletextChar"/>
    <w:qFormat/>
    <w:rsid w:val="00EA353A"/>
    <w:pPr>
      <w:ind w:left="0"/>
    </w:pPr>
    <w:rPr>
      <w:rFonts w:eastAsia="Calibri" w:cs="Times New Roman"/>
      <w:bCs/>
      <w:sz w:val="16"/>
      <w:szCs w:val="16"/>
    </w:rPr>
  </w:style>
  <w:style w:type="character" w:customStyle="1" w:styleId="BulletpointChar">
    <w:name w:val="Bulletpoint Char"/>
    <w:basedOn w:val="3rdlevelbulletpointChar"/>
    <w:link w:val="Bulletpoint"/>
    <w:rsid w:val="005D19A4"/>
    <w:rPr>
      <w:rFonts w:ascii="Trebuchet MS" w:hAnsi="Trebuchet MS"/>
      <w:sz w:val="18"/>
      <w:lang w:val="en-GB"/>
    </w:rPr>
  </w:style>
  <w:style w:type="table" w:customStyle="1" w:styleId="SummaryofTask">
    <w:name w:val="Summary of Task"/>
    <w:basedOn w:val="Normlntabulka"/>
    <w:uiPriority w:val="99"/>
    <w:rsid w:val="00855511"/>
    <w:pPr>
      <w:spacing w:after="0" w:line="240" w:lineRule="auto"/>
    </w:pPr>
    <w:rPr>
      <w:rFonts w:ascii="Trebuchet MS" w:hAnsi="Trebuchet MS"/>
      <w:sz w:val="16"/>
    </w:rPr>
    <w:tblPr>
      <w:tblInd w:w="567" w:type="dxa"/>
      <w:tblBorders>
        <w:top w:val="single" w:sz="4" w:space="0" w:color="FFE3A5" w:themeColor="accent4"/>
        <w:left w:val="single" w:sz="4" w:space="0" w:color="FFE3A5" w:themeColor="accent4"/>
        <w:bottom w:val="single" w:sz="4" w:space="0" w:color="FFE3A5" w:themeColor="accent4"/>
        <w:right w:val="single" w:sz="4" w:space="0" w:color="FFE3A5" w:themeColor="accent4"/>
        <w:insideH w:val="single" w:sz="4" w:space="0" w:color="FFE3A5" w:themeColor="accent4"/>
        <w:insideV w:val="single" w:sz="4" w:space="0" w:color="FFE3A5" w:themeColor="accent4"/>
      </w:tblBorders>
      <w:tblCellMar>
        <w:left w:w="0" w:type="dxa"/>
        <w:right w:w="0" w:type="dxa"/>
      </w:tblCellMar>
    </w:tblPr>
    <w:tblStylePr w:type="firstCol">
      <w:pPr>
        <w:wordWrap/>
        <w:ind w:leftChars="0" w:left="113"/>
      </w:pPr>
      <w:rPr>
        <w:rFonts w:ascii="ÍH_" w:hAnsi="ÍH_"/>
        <w:b/>
        <w:sz w:val="16"/>
      </w:rPr>
      <w:tblPr/>
      <w:tcPr>
        <w:shd w:val="clear" w:color="auto" w:fill="FFE3A5" w:themeFill="accent4"/>
      </w:tcPr>
    </w:tblStylePr>
    <w:tblStylePr w:type="lastCol">
      <w:pPr>
        <w:jc w:val="left"/>
      </w:pPr>
      <w:rPr>
        <w:rFonts w:ascii="ÍH_" w:hAnsi="ÍH_"/>
        <w:sz w:val="16"/>
      </w:rPr>
      <w:tblPr/>
      <w:tcPr>
        <w:vAlign w:val="center"/>
      </w:tcPr>
    </w:tblStylePr>
  </w:style>
  <w:style w:type="character" w:customStyle="1" w:styleId="TabletextChar">
    <w:name w:val="Table text Char"/>
    <w:basedOn w:val="Standardnpsmoodstavce"/>
    <w:link w:val="Tabletext"/>
    <w:rsid w:val="00EA353A"/>
    <w:rPr>
      <w:rFonts w:ascii="Trebuchet MS" w:eastAsia="Calibri" w:hAnsi="Trebuchet MS" w:cs="Times New Roman"/>
      <w:bCs/>
      <w:sz w:val="16"/>
      <w:szCs w:val="16"/>
      <w:lang w:val="en-GB"/>
    </w:rPr>
  </w:style>
  <w:style w:type="character" w:customStyle="1" w:styleId="OrangetabletextChar">
    <w:name w:val="Orange table text Char"/>
    <w:basedOn w:val="Standardnpsmoodstavce"/>
    <w:link w:val="Orangetabletext"/>
    <w:rsid w:val="00204ED4"/>
    <w:rPr>
      <w:rFonts w:ascii="Trebuchet MS" w:hAnsi="Trebuchet MS"/>
      <w:b/>
      <w:bCs/>
      <w:color w:val="FFFFFF"/>
      <w:sz w:val="16"/>
      <w:szCs w:val="14"/>
      <w:lang w:val="en-GB" w:eastAsia="nl-NL"/>
    </w:rPr>
  </w:style>
  <w:style w:type="character" w:customStyle="1" w:styleId="ui-provider">
    <w:name w:val="ui-provider"/>
    <w:basedOn w:val="Standardnpsmoodstavce"/>
    <w:rsid w:val="009336A6"/>
  </w:style>
  <w:style w:type="character" w:customStyle="1" w:styleId="tabchar">
    <w:name w:val="tabchar"/>
    <w:basedOn w:val="Standardnpsmoodstavce"/>
    <w:rsid w:val="00503D9C"/>
  </w:style>
  <w:style w:type="character" w:styleId="slostrnky">
    <w:name w:val="page number"/>
    <w:basedOn w:val="Standardnpsmoodstavce"/>
    <w:uiPriority w:val="99"/>
    <w:semiHidden/>
    <w:unhideWhenUsed/>
    <w:rsid w:val="001508D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242DFC"/>
    <w:rPr>
      <w:color w:val="605E5C"/>
      <w:shd w:val="clear" w:color="auto" w:fill="E1DFDD"/>
    </w:rPr>
  </w:style>
  <w:style w:type="character" w:customStyle="1" w:styleId="size">
    <w:name w:val="size"/>
    <w:basedOn w:val="Standardnpsmoodstavce"/>
    <w:rsid w:val="00790D99"/>
  </w:style>
  <w:style w:type="character" w:customStyle="1" w:styleId="cf01">
    <w:name w:val="cf01"/>
    <w:basedOn w:val="Standardnpsmoodstavce"/>
    <w:rsid w:val="0028249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40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mailto:pavla.cihlarova@trinomics.eu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://www.trinomics.e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eter.janoska@trinomics.eu" TargetMode="Externa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yperlink" Target="http://www.trinomics.eu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p.europa.eu/en/publication-detail/-/publication/23a24b21-16d0-11ec-b4fe-01aa75ed71a1/language-en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002C54"/>
      </a:dk2>
      <a:lt2>
        <a:srgbClr val="EEECE1"/>
      </a:lt2>
      <a:accent1>
        <a:srgbClr val="005962"/>
      </a:accent1>
      <a:accent2>
        <a:srgbClr val="F04E30"/>
      </a:accent2>
      <a:accent3>
        <a:srgbClr val="B2CFCD"/>
      </a:accent3>
      <a:accent4>
        <a:srgbClr val="FFE3A5"/>
      </a:accent4>
      <a:accent5>
        <a:srgbClr val="002C54"/>
      </a:accent5>
      <a:accent6>
        <a:srgbClr val="ECEBE1"/>
      </a:accent6>
      <a:hlink>
        <a:srgbClr val="005962"/>
      </a:hlink>
      <a:folHlink>
        <a:srgbClr val="F04E3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838B464AC91499AA09F4C55BE8D43" ma:contentTypeVersion="8" ma:contentTypeDescription="Create a new document." ma:contentTypeScope="" ma:versionID="b396deec30164d5614a29665b12c0074">
  <xsd:schema xmlns:xsd="http://www.w3.org/2001/XMLSchema" xmlns:xs="http://www.w3.org/2001/XMLSchema" xmlns:p="http://schemas.microsoft.com/office/2006/metadata/properties" xmlns:ns2="78d703fb-01d8-4643-8d91-943788335c7e" xmlns:ns3="abefe56a-03ab-4bc7-ab52-4c54346a4e05" targetNamespace="http://schemas.microsoft.com/office/2006/metadata/properties" ma:root="true" ma:fieldsID="028926108f1821e4ec7fb24d1c38faa2" ns2:_="" ns3:_="">
    <xsd:import namespace="78d703fb-01d8-4643-8d91-943788335c7e"/>
    <xsd:import namespace="abefe56a-03ab-4bc7-ab52-4c54346a4e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703fb-01d8-4643-8d91-943788335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fe56a-03ab-4bc7-ab52-4c54346a4e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EA10-D4BF-4271-A978-7D0E1649E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703fb-01d8-4643-8d91-943788335c7e"/>
    <ds:schemaRef ds:uri="abefe56a-03ab-4bc7-ab52-4c54346a4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E5FB1-C31F-417D-A155-86E7B903D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E2325A-ADCF-4944-8A6A-0E277955C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B4C5FE-315A-4FBC-8831-C8FE767E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11793</Words>
  <Characters>69579</Characters>
  <Application>Microsoft Office Word</Application>
  <DocSecurity>0</DocSecurity>
  <Lines>579</Lines>
  <Paragraphs>162</Paragraphs>
  <ScaleCrop>false</ScaleCrop>
  <Company>Microsoft</Company>
  <LinksUpToDate>false</LinksUpToDate>
  <CharactersWithSpaces>81210</CharactersWithSpaces>
  <SharedDoc>false</SharedDoc>
  <HLinks>
    <vt:vector size="168" baseType="variant">
      <vt:variant>
        <vt:i4>2031668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_Toc133944269</vt:lpwstr>
      </vt:variant>
      <vt:variant>
        <vt:i4>2031668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_Toc133944268</vt:lpwstr>
      </vt:variant>
      <vt:variant>
        <vt:i4>2031668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_Toc133944267</vt:lpwstr>
      </vt:variant>
      <vt:variant>
        <vt:i4>2031668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_Toc133944266</vt:lpwstr>
      </vt:variant>
      <vt:variant>
        <vt:i4>2031668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_Toc133944265</vt:lpwstr>
      </vt:variant>
      <vt:variant>
        <vt:i4>2031668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_Toc133944264</vt:lpwstr>
      </vt:variant>
      <vt:variant>
        <vt:i4>2031668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_Toc133944263</vt:lpwstr>
      </vt:variant>
      <vt:variant>
        <vt:i4>2031668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_Toc133944262</vt:lpwstr>
      </vt:variant>
      <vt:variant>
        <vt:i4>2031668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_Toc133944261</vt:lpwstr>
      </vt:variant>
      <vt:variant>
        <vt:i4>2031668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_Toc133944260</vt:lpwstr>
      </vt:variant>
      <vt:variant>
        <vt:i4>1835060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_Toc133944259</vt:lpwstr>
      </vt:variant>
      <vt:variant>
        <vt:i4>1835060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_Toc133944258</vt:lpwstr>
      </vt:variant>
      <vt:variant>
        <vt:i4>1835060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_Toc133944257</vt:lpwstr>
      </vt:variant>
      <vt:variant>
        <vt:i4>1835060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_Toc133944256</vt:lpwstr>
      </vt:variant>
      <vt:variant>
        <vt:i4>1835060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_Toc133944255</vt:lpwstr>
      </vt:variant>
      <vt:variant>
        <vt:i4>1835060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_Toc133944254</vt:lpwstr>
      </vt:variant>
      <vt:variant>
        <vt:i4>1835060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_Toc133944253</vt:lpwstr>
      </vt:variant>
      <vt:variant>
        <vt:i4>1835060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_Toc133944252</vt:lpwstr>
      </vt:variant>
      <vt:variant>
        <vt:i4>1835060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_Toc133944251</vt:lpwstr>
      </vt:variant>
      <vt:variant>
        <vt:i4>1835060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_Toc133944250</vt:lpwstr>
      </vt:variant>
      <vt:variant>
        <vt:i4>1900596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_Toc133944249</vt:lpwstr>
      </vt:variant>
      <vt:variant>
        <vt:i4>1900596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_Toc133944248</vt:lpwstr>
      </vt:variant>
      <vt:variant>
        <vt:i4>1900596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_Toc133944247</vt:lpwstr>
      </vt:variant>
      <vt:variant>
        <vt:i4>7077908</vt:i4>
      </vt:variant>
      <vt:variant>
        <vt:i4>6</vt:i4>
      </vt:variant>
      <vt:variant>
        <vt:i4>0</vt:i4>
      </vt:variant>
      <vt:variant>
        <vt:i4>5</vt:i4>
      </vt:variant>
      <vt:variant>
        <vt:lpwstr>mailto:pavla.cihlarova@trinomics.eu</vt:lpwstr>
      </vt:variant>
      <vt:variant>
        <vt:lpwstr/>
      </vt:variant>
      <vt:variant>
        <vt:i4>983165</vt:i4>
      </vt:variant>
      <vt:variant>
        <vt:i4>3</vt:i4>
      </vt:variant>
      <vt:variant>
        <vt:i4>0</vt:i4>
      </vt:variant>
      <vt:variant>
        <vt:i4>5</vt:i4>
      </vt:variant>
      <vt:variant>
        <vt:lpwstr>mailto:peter.janoska@trinomics.eu</vt:lpwstr>
      </vt:variant>
      <vt:variant>
        <vt:lpwstr/>
      </vt:variant>
      <vt:variant>
        <vt:i4>8323079</vt:i4>
      </vt:variant>
      <vt:variant>
        <vt:i4>0</vt:i4>
      </vt:variant>
      <vt:variant>
        <vt:i4>0</vt:i4>
      </vt:variant>
      <vt:variant>
        <vt:i4>5</vt:i4>
      </vt:variant>
      <vt:variant>
        <vt:lpwstr>mailto:julian.toth@isfc.org</vt:lpwstr>
      </vt:variant>
      <vt:variant>
        <vt:lpwstr/>
      </vt:variant>
      <vt:variant>
        <vt:i4>4718617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https://op.europa.eu/en/publication-detail/-/publication/23a24b21-16d0-11ec-b4fe-01aa75ed71a1/language-en</vt:lpwstr>
      </vt:variant>
      <vt:variant>
        <vt:lpwstr/>
      </vt:variant>
      <vt:variant>
        <vt:i4>589849</vt:i4>
      </vt:variant>
      <vt:variant>
        <vt:i4>0</vt:i4>
      </vt:variant>
      <vt:variant>
        <vt:i4>0</vt:i4>
      </vt:variant>
      <vt:variant>
        <vt:i4>5</vt:i4>
      </vt:variant>
      <vt:variant>
        <vt:lpwstr>http://www.trinomics.eu/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docId:FB4BC598EAD6863F6338AA7A500B40E7</cp:keywords>
  <dc:description/>
  <cp:lastModifiedBy>Maděra Milan</cp:lastModifiedBy>
  <cp:revision>4</cp:revision>
  <cp:lastPrinted>2023-08-21T19:19:00Z</cp:lastPrinted>
  <dcterms:created xsi:type="dcterms:W3CDTF">2023-08-21T19:19:00Z</dcterms:created>
  <dcterms:modified xsi:type="dcterms:W3CDTF">2024-08-09T16:39:00Z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0x010100B44838B464AC91499AA09F4C55BE8D43</vt:lpwstr>
  </property>
  <property fmtid="{D5CDD505-2E9C-101B-9397-08002B2CF9AE}" pid="3" name="AuthorIds_UIVersion_25600">
    <vt:lpwstr>18</vt:lpwstr>
  </property>
  <property fmtid="{D5CDD505-2E9C-101B-9397-08002B2CF9AE}" pid="4" name="MediaServiceImageTags">
    <vt:lpwstr/>
  </property>
</Properties>
</file>