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D185F" w14:textId="77777777" w:rsidR="00D900DC" w:rsidRPr="007F1283" w:rsidRDefault="00D900DC" w:rsidP="0021780D">
      <w:pPr>
        <w:pStyle w:val="Nadpis5"/>
      </w:pPr>
      <w:r w:rsidRPr="007F1283">
        <w:rPr>
          <w:noProof/>
          <w:lang w:val="cs-CZ" w:eastAsia="cs-CZ"/>
        </w:rPr>
        <mc:AlternateContent>
          <mc:Choice Requires="wps">
            <w:drawing>
              <wp:anchor distT="0" distB="0" distL="114300" distR="114300" simplePos="0" relativeHeight="251658241" behindDoc="1" locked="0" layoutInCell="1" allowOverlap="1" wp14:anchorId="04A1A692" wp14:editId="487FF3E6">
                <wp:simplePos x="0" y="0"/>
                <wp:positionH relativeFrom="margin">
                  <wp:align>center</wp:align>
                </wp:positionH>
                <wp:positionV relativeFrom="page">
                  <wp:posOffset>201930</wp:posOffset>
                </wp:positionV>
                <wp:extent cx="7200000" cy="7920000"/>
                <wp:effectExtent l="0" t="0" r="20320" b="241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000" cy="7920000"/>
                        </a:xfrm>
                        <a:prstGeom prst="rect">
                          <a:avLst/>
                        </a:prstGeom>
                        <a:solidFill>
                          <a:srgbClr val="005962"/>
                        </a:solidFill>
                        <a:ln w="9525">
                          <a:solidFill>
                            <a:srgbClr val="4A7EBB"/>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61597D89">
              <v:rect id="Rectangle 23" style="position:absolute;margin-left:0;margin-top:15.9pt;width:566.95pt;height:623.6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spid="_x0000_s1026" fillcolor="#005962" strokecolor="#4a7ebb" w14:anchorId="738FDD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">
                <w10:wrap anchorx="margin" anchory="page"/>
              </v:rect>
            </w:pict>
          </mc:Fallback>
        </mc:AlternateContent>
      </w:r>
    </w:p>
    <w:p w14:paraId="1EACEE93" w14:textId="77777777" w:rsidR="003D10CE" w:rsidRPr="007F1283" w:rsidRDefault="003D10CE" w:rsidP="008059BC">
      <w:r w:rsidRPr="007F1283">
        <w:rPr>
          <w:noProof/>
          <w:lang w:val="cs-CZ" w:eastAsia="cs-CZ"/>
        </w:rPr>
        <w:drawing>
          <wp:anchor distT="0" distB="0" distL="114300" distR="114300" simplePos="0" relativeHeight="251658247" behindDoc="1" locked="0" layoutInCell="1" allowOverlap="1" wp14:anchorId="6FBC959E" wp14:editId="30C4D126">
            <wp:simplePos x="0" y="0"/>
            <wp:positionH relativeFrom="margin">
              <wp:posOffset>2691130</wp:posOffset>
            </wp:positionH>
            <wp:positionV relativeFrom="paragraph">
              <wp:posOffset>5715</wp:posOffset>
            </wp:positionV>
            <wp:extent cx="768350" cy="768350"/>
            <wp:effectExtent l="0" t="0" r="0" b="0"/>
            <wp:wrapTight wrapText="bothSides">
              <wp:wrapPolygon edited="0">
                <wp:start x="6962" y="0"/>
                <wp:lineTo x="0" y="3213"/>
                <wp:lineTo x="0" y="13924"/>
                <wp:lineTo x="1071" y="17137"/>
                <wp:lineTo x="5355" y="20886"/>
                <wp:lineTo x="14995" y="20886"/>
                <wp:lineTo x="19815" y="17137"/>
                <wp:lineTo x="20886" y="12317"/>
                <wp:lineTo x="20886" y="6426"/>
                <wp:lineTo x="17137" y="1607"/>
                <wp:lineTo x="13388" y="0"/>
                <wp:lineTo x="6962" y="0"/>
              </wp:wrapPolygon>
            </wp:wrapTight>
            <wp:docPr id="20" name="Picture 20" descr="Macintosh HD:Users:fraukeeversmann:Dropbox:PROJEKTE:TRIPLE E:DELIVERABLES:ICONS:earth_whit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aukeeversmann:Dropbox:PROJEKTE:TRIPLE E:DELIVERABLES:ICONS:earth_white.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92CD4" w14:textId="77777777" w:rsidR="00D900DC" w:rsidRPr="007F1283" w:rsidRDefault="00D900DC" w:rsidP="008059BC"/>
    <w:p w14:paraId="7149C064" w14:textId="77777777" w:rsidR="00235FB4" w:rsidRPr="007F1283" w:rsidRDefault="00235FB4" w:rsidP="008059BC"/>
    <w:p w14:paraId="3566B470" w14:textId="77777777" w:rsidR="00235FB4" w:rsidRPr="007F1283" w:rsidRDefault="00235FB4" w:rsidP="008059BC"/>
    <w:p w14:paraId="40250D1F" w14:textId="77777777" w:rsidR="00235FB4" w:rsidRPr="007F1283" w:rsidRDefault="007F22F2" w:rsidP="008059BC">
      <w:r w:rsidRPr="007F1283">
        <w:rPr>
          <w:noProof/>
          <w:lang w:val="cs-CZ" w:eastAsia="cs-CZ"/>
        </w:rPr>
        <mc:AlternateContent>
          <mc:Choice Requires="wps">
            <w:drawing>
              <wp:anchor distT="0" distB="0" distL="114300" distR="114300" simplePos="0" relativeHeight="251658244" behindDoc="0" locked="0" layoutInCell="1" allowOverlap="1" wp14:anchorId="0998774C" wp14:editId="392565F1">
                <wp:simplePos x="0" y="0"/>
                <wp:positionH relativeFrom="column">
                  <wp:posOffset>4536374</wp:posOffset>
                </wp:positionH>
                <wp:positionV relativeFrom="paragraph">
                  <wp:posOffset>13030</wp:posOffset>
                </wp:positionV>
                <wp:extent cx="1365662" cy="14039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662" cy="1403985"/>
                        </a:xfrm>
                        <a:prstGeom prst="rect">
                          <a:avLst/>
                        </a:prstGeom>
                        <a:noFill/>
                        <a:ln w="9525">
                          <a:noFill/>
                          <a:miter lim="800000"/>
                          <a:headEnd/>
                          <a:tailEnd/>
                        </a:ln>
                      </wps:spPr>
                      <wps:txbx>
                        <w:txbxContent>
                          <w:p w14:paraId="3EBDAD0A" w14:textId="77777777" w:rsidR="00ED53BC" w:rsidRDefault="00ED53BC"/>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0998774C" id="_x0000_t202" coordsize="21600,21600" o:spt="202" path="m,l,21600r21600,l21600,xe">
                <v:stroke joinstyle="miter"/>
                <v:path gradientshapeok="t" o:connecttype="rect"/>
              </v:shapetype>
              <v:shape id="Text Box 3" o:spid="_x0000_s1026" type="#_x0000_t202" style="position:absolute;left:0;text-align:left;margin-left:357.2pt;margin-top:1.05pt;width:107.55pt;height:110.55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" filled="f" stroked="f">
                <v:textbox style="mso-fit-shape-to-text:t">
                  <w:txbxContent>
                    <w:p w14:paraId="3EBDAD0A" w14:textId="77777777" w:rsidR="00ED53BC" w:rsidRDefault="00ED53BC"/>
                  </w:txbxContent>
                </v:textbox>
              </v:shape>
            </w:pict>
          </mc:Fallback>
        </mc:AlternateContent>
      </w:r>
    </w:p>
    <w:p w14:paraId="68752F55" w14:textId="77777777" w:rsidR="00007DF2" w:rsidRPr="007F1283" w:rsidRDefault="00007DF2" w:rsidP="008059BC"/>
    <w:p w14:paraId="72A5BE3F" w14:textId="77777777" w:rsidR="00007DF2" w:rsidRPr="007F1283" w:rsidRDefault="00007DF2" w:rsidP="008059BC"/>
    <w:p w14:paraId="5B806614" w14:textId="77777777" w:rsidR="00833BB1" w:rsidRPr="007F1283" w:rsidRDefault="00833BB1" w:rsidP="003367E5">
      <w:pPr>
        <w:pStyle w:val="Frontpagetitle"/>
      </w:pPr>
    </w:p>
    <w:p w14:paraId="0A5723C1" w14:textId="0237D35A" w:rsidR="00F33643" w:rsidRPr="007F1283" w:rsidRDefault="00AF6325" w:rsidP="003367E5">
      <w:pPr>
        <w:pStyle w:val="Frontpagetitle"/>
      </w:pPr>
      <w:r w:rsidRPr="007F1283">
        <w:t>Methodology for the application of the DNSH principle at the national level in Czechia</w:t>
      </w:r>
    </w:p>
    <w:p w14:paraId="32B3D5C0" w14:textId="381BE71E" w:rsidR="00AF6325" w:rsidRPr="007F1283" w:rsidRDefault="00AF6325" w:rsidP="003367E5">
      <w:pPr>
        <w:pStyle w:val="Frontpagetitle"/>
      </w:pPr>
    </w:p>
    <w:p w14:paraId="4ED04AF0" w14:textId="1A439679" w:rsidR="00AF6325" w:rsidRPr="007F1283" w:rsidRDefault="00AF6325" w:rsidP="003367E5">
      <w:pPr>
        <w:pStyle w:val="Frontpagetitle"/>
        <w:rPr>
          <w:sz w:val="48"/>
          <w:szCs w:val="48"/>
        </w:rPr>
      </w:pPr>
      <w:r w:rsidRPr="007F1283">
        <w:rPr>
          <w:sz w:val="48"/>
          <w:szCs w:val="48"/>
        </w:rPr>
        <w:t>DLV 4 –</w:t>
      </w:r>
    </w:p>
    <w:p w14:paraId="217E3581" w14:textId="33DB50AE" w:rsidR="00AF6325" w:rsidRPr="007F1283" w:rsidRDefault="243C7B69" w:rsidP="003367E5">
      <w:pPr>
        <w:pStyle w:val="Frontpagetitle"/>
        <w:rPr>
          <w:sz w:val="48"/>
          <w:szCs w:val="48"/>
        </w:rPr>
      </w:pPr>
      <w:r w:rsidRPr="007F1283">
        <w:rPr>
          <w:sz w:val="48"/>
          <w:szCs w:val="48"/>
        </w:rPr>
        <w:t xml:space="preserve">Final </w:t>
      </w:r>
      <w:r w:rsidR="00AF6325" w:rsidRPr="007F1283">
        <w:rPr>
          <w:sz w:val="48"/>
          <w:szCs w:val="48"/>
        </w:rPr>
        <w:t>Report on recommendations for revising and supplementing existing guidance on the application of the DNSH principle</w:t>
      </w:r>
    </w:p>
    <w:p w14:paraId="4C036905" w14:textId="77777777" w:rsidR="00213E5B" w:rsidRPr="007F1283" w:rsidRDefault="00213E5B" w:rsidP="003367E5">
      <w:pPr>
        <w:pStyle w:val="Frontpagetitle"/>
      </w:pPr>
    </w:p>
    <w:p w14:paraId="39E0D0B7" w14:textId="77777777" w:rsidR="00213E5B" w:rsidRPr="007F1283" w:rsidRDefault="00213E5B" w:rsidP="003367E5">
      <w:pPr>
        <w:pStyle w:val="Frontpagetitle"/>
      </w:pPr>
    </w:p>
    <w:p w14:paraId="00B3C58A" w14:textId="77777777" w:rsidR="00D900DC" w:rsidRPr="007F1283" w:rsidRDefault="00D900DC" w:rsidP="008059BC"/>
    <w:p w14:paraId="0BADF66F" w14:textId="77777777" w:rsidR="00D900DC" w:rsidRPr="007F1283" w:rsidRDefault="00D900DC" w:rsidP="008059BC"/>
    <w:p w14:paraId="2BD3B5C0" w14:textId="77777777" w:rsidR="00D900DC" w:rsidRPr="007F1283" w:rsidRDefault="00D900DC" w:rsidP="008059BC"/>
    <w:p w14:paraId="73F05948" w14:textId="77777777" w:rsidR="00D900DC" w:rsidRPr="007F1283" w:rsidRDefault="00D900DC" w:rsidP="008059BC">
      <w:pPr>
        <w:sectPr w:rsidR="00D900DC" w:rsidRPr="007F1283" w:rsidSect="003D10CE">
          <w:footerReference w:type="even" r:id="rId12"/>
          <w:footerReference w:type="default" r:id="rId13"/>
          <w:footerReference w:type="first" r:id="rId14"/>
          <w:pgSz w:w="11906" w:h="16838"/>
          <w:pgMar w:top="1440" w:right="1440" w:bottom="1440" w:left="1440" w:header="708" w:footer="1958" w:gutter="0"/>
          <w:cols w:space="708"/>
          <w:docGrid w:linePitch="360"/>
        </w:sectPr>
      </w:pPr>
    </w:p>
    <w:p w14:paraId="669E0F22" w14:textId="77777777" w:rsidR="002B011A" w:rsidRPr="007F1283" w:rsidRDefault="00124C0D" w:rsidP="008059BC">
      <w:r w:rsidRPr="007F1283">
        <w:rPr>
          <w:noProof/>
          <w:lang w:val="cs-CZ" w:eastAsia="cs-CZ"/>
        </w:rPr>
        <w:lastRenderedPageBreak/>
        <mc:AlternateContent>
          <mc:Choice Requires="wps">
            <w:drawing>
              <wp:anchor distT="0" distB="0" distL="114300" distR="114300" simplePos="0" relativeHeight="251658240" behindDoc="1" locked="0" layoutInCell="1" allowOverlap="1" wp14:anchorId="6AC4A564" wp14:editId="5B6FBCAB">
                <wp:simplePos x="0" y="0"/>
                <wp:positionH relativeFrom="margin">
                  <wp:align>center</wp:align>
                </wp:positionH>
                <wp:positionV relativeFrom="page">
                  <wp:posOffset>402590</wp:posOffset>
                </wp:positionV>
                <wp:extent cx="7077600" cy="10027104"/>
                <wp:effectExtent l="0" t="0" r="28575" b="12700"/>
                <wp:wrapNone/>
                <wp:docPr id="31" name="Rectangle 31"/>
                <wp:cNvGraphicFramePr/>
                <a:graphic xmlns:a="http://schemas.openxmlformats.org/drawingml/2006/main">
                  <a:graphicData uri="http://schemas.microsoft.com/office/word/2010/wordprocessingShape">
                    <wps:wsp>
                      <wps:cNvSpPr/>
                      <wps:spPr>
                        <a:xfrm>
                          <a:off x="0" y="0"/>
                          <a:ext cx="7077600" cy="10027104"/>
                        </a:xfrm>
                        <a:prstGeom prst="rect">
                          <a:avLst/>
                        </a:prstGeom>
                        <a:solidFill>
                          <a:srgbClr val="ECEBE1"/>
                        </a:solidFill>
                        <a:ln>
                          <a:solidFill>
                            <a:srgbClr val="ECEBE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178C482A">
              <v:rect id="Rectangle 31" style="position:absolute;margin-left:0;margin-top:31.7pt;width:557.3pt;height:789.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ecebe1" strokecolor="#ecebe1" strokeweight="2pt" w14:anchorId="380E7C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">
                <w10:wrap anchorx="margin" anchory="page"/>
              </v:rect>
            </w:pict>
          </mc:Fallback>
        </mc:AlternateContent>
      </w:r>
    </w:p>
    <w:p w14:paraId="58B78A34" w14:textId="77777777" w:rsidR="002B011A" w:rsidRPr="007F1283" w:rsidRDefault="002B011A" w:rsidP="008059BC"/>
    <w:p w14:paraId="143DDA97" w14:textId="77777777" w:rsidR="00AC6062" w:rsidRPr="007F1283" w:rsidRDefault="00AC6062" w:rsidP="00B241E9">
      <w:pPr>
        <w:pStyle w:val="Nadpis4"/>
      </w:pPr>
      <w:r w:rsidRPr="007F1283">
        <w:t>Contract</w:t>
      </w:r>
      <w:r w:rsidR="00BC3C79" w:rsidRPr="007F1283">
        <w:t xml:space="preserve"> details</w:t>
      </w:r>
    </w:p>
    <w:p w14:paraId="78C43AFC" w14:textId="5E7FC494" w:rsidR="00AC6062" w:rsidRPr="007F1283" w:rsidRDefault="00AF6325" w:rsidP="008059BC">
      <w:r w:rsidRPr="007F1283">
        <w:rPr>
          <w:szCs w:val="18"/>
        </w:rPr>
        <w:t>REFORM/SC2022/112 -</w:t>
      </w:r>
      <w:r w:rsidR="00FE23D8" w:rsidRPr="007F1283">
        <w:rPr>
          <w:szCs w:val="18"/>
        </w:rPr>
        <w:t xml:space="preserve"> </w:t>
      </w:r>
      <w:r w:rsidRPr="007F1283">
        <w:rPr>
          <w:szCs w:val="18"/>
        </w:rPr>
        <w:t>Methodology for the application of the DNSH principle at the national level in Czechia</w:t>
      </w:r>
    </w:p>
    <w:p w14:paraId="1B17BB27" w14:textId="5AF4E64A" w:rsidR="00D350A4" w:rsidRPr="007F1283" w:rsidRDefault="00D350A4" w:rsidP="008059BC"/>
    <w:p w14:paraId="00337E20" w14:textId="77777777" w:rsidR="003C53A4" w:rsidRPr="007F1283" w:rsidRDefault="003C53A4" w:rsidP="008059BC"/>
    <w:p w14:paraId="2DCF5744" w14:textId="6B64E80C" w:rsidR="00AF6325" w:rsidRPr="007F1283" w:rsidRDefault="00AF6325" w:rsidP="00AF6325">
      <w:pPr>
        <w:pStyle w:val="Nadpis4"/>
      </w:pPr>
      <w:r w:rsidRPr="007F1283">
        <w:t>Authors</w:t>
      </w:r>
    </w:p>
    <w:p w14:paraId="1927061A" w14:textId="3D8C3465" w:rsidR="00AF6325" w:rsidRPr="007F1283" w:rsidRDefault="0010435A" w:rsidP="00AF6325">
      <w:r w:rsidRPr="007F1283">
        <w:t>Julian Toth</w:t>
      </w:r>
      <w:r w:rsidR="00242B09" w:rsidRPr="007F1283">
        <w:t xml:space="preserve"> – ISFC</w:t>
      </w:r>
    </w:p>
    <w:p w14:paraId="2A3E1EC8" w14:textId="2400FF8D" w:rsidR="00242B09" w:rsidRPr="007F1283" w:rsidRDefault="00A2213D" w:rsidP="00AF6325">
      <w:r w:rsidRPr="007F1283">
        <w:t>Karel Voldřich - ISFC</w:t>
      </w:r>
    </w:p>
    <w:p w14:paraId="003FB4CA" w14:textId="1E7D656A" w:rsidR="00AF6325" w:rsidRPr="007F1283" w:rsidRDefault="00AF6325" w:rsidP="008059BC"/>
    <w:p w14:paraId="4BA86089" w14:textId="77777777" w:rsidR="003C53A4" w:rsidRPr="007F1283" w:rsidRDefault="003C53A4" w:rsidP="008059BC"/>
    <w:p w14:paraId="78738654" w14:textId="77777777" w:rsidR="00530049" w:rsidRPr="007F1283" w:rsidRDefault="00530049" w:rsidP="00B241E9">
      <w:pPr>
        <w:pStyle w:val="Nadpis4"/>
      </w:pPr>
      <w:r w:rsidRPr="007F1283">
        <w:t>Presented by</w:t>
      </w:r>
    </w:p>
    <w:p w14:paraId="02F54971" w14:textId="77777777" w:rsidR="00235FB4" w:rsidRPr="007F1283" w:rsidRDefault="00F40A09" w:rsidP="008059BC">
      <w:r w:rsidRPr="007F1283">
        <w:t>Trinomics</w:t>
      </w:r>
      <w:r w:rsidR="00430C4F" w:rsidRPr="007F1283">
        <w:t xml:space="preserve"> </w:t>
      </w:r>
      <w:r w:rsidR="00235FB4" w:rsidRPr="007F1283">
        <w:t>B.V.</w:t>
      </w:r>
    </w:p>
    <w:p w14:paraId="170F3085" w14:textId="77777777" w:rsidR="00235FB4" w:rsidRPr="007F1283" w:rsidRDefault="00235FB4" w:rsidP="008059BC">
      <w:r w:rsidRPr="007F1283">
        <w:t>Westersingel 3</w:t>
      </w:r>
      <w:r w:rsidR="00317A82" w:rsidRPr="007F1283">
        <w:t>4</w:t>
      </w:r>
    </w:p>
    <w:p w14:paraId="3CC52833" w14:textId="77777777" w:rsidR="00235FB4" w:rsidRPr="007F1283" w:rsidRDefault="00235FB4" w:rsidP="008059BC">
      <w:r w:rsidRPr="007F1283">
        <w:t>3014 GS Rotterdam</w:t>
      </w:r>
    </w:p>
    <w:p w14:paraId="72A3FAC0" w14:textId="77777777" w:rsidR="00235FB4" w:rsidRPr="007F1283" w:rsidRDefault="00E964EF" w:rsidP="008059BC">
      <w:r w:rsidRPr="007F1283">
        <w:t>T</w:t>
      </w:r>
      <w:r w:rsidR="00235FB4" w:rsidRPr="007F1283">
        <w:t>he Netherlands</w:t>
      </w:r>
    </w:p>
    <w:p w14:paraId="17D789DE" w14:textId="77777777" w:rsidR="00235FB4" w:rsidRPr="007F1283" w:rsidRDefault="00235FB4" w:rsidP="008059BC"/>
    <w:p w14:paraId="42D0D5B3" w14:textId="77777777" w:rsidR="00D350A4" w:rsidRPr="007F1283" w:rsidRDefault="00D350A4" w:rsidP="008059BC"/>
    <w:p w14:paraId="60A31BE0" w14:textId="77777777" w:rsidR="00235FB4" w:rsidRPr="007F1283" w:rsidRDefault="002B011A" w:rsidP="00B241E9">
      <w:pPr>
        <w:pStyle w:val="Nadpis4"/>
      </w:pPr>
      <w:r w:rsidRPr="007F1283">
        <w:t xml:space="preserve">Contact </w:t>
      </w:r>
      <w:r w:rsidR="009D3B6B" w:rsidRPr="007F1283">
        <w:t>person</w:t>
      </w:r>
    </w:p>
    <w:p w14:paraId="5328AFBB" w14:textId="712C6832" w:rsidR="009D3B6B" w:rsidRPr="007F1283" w:rsidRDefault="00446DB1" w:rsidP="00AF6325">
      <w:r w:rsidRPr="007F1283">
        <w:t xml:space="preserve">Mr. </w:t>
      </w:r>
      <w:r w:rsidR="00AF6325" w:rsidRPr="007F1283">
        <w:t>Julian Toth (Task Lead)</w:t>
      </w:r>
    </w:p>
    <w:p w14:paraId="5AEA86DA" w14:textId="06081B2F" w:rsidR="00DB51A2" w:rsidRPr="007F1283" w:rsidRDefault="009D3B6B" w:rsidP="009D3B6B">
      <w:r w:rsidRPr="007F1283">
        <w:t xml:space="preserve">E: </w:t>
      </w:r>
      <w:hyperlink r:id="rId15" w:history="1">
        <w:r w:rsidR="00AF6325" w:rsidRPr="007F1283">
          <w:rPr>
            <w:rStyle w:val="Hypertextovodkaz"/>
          </w:rPr>
          <w:t>julian.toth@isfc.org</w:t>
        </w:r>
      </w:hyperlink>
      <w:r w:rsidR="00AF6325" w:rsidRPr="007F1283">
        <w:t xml:space="preserve"> </w:t>
      </w:r>
    </w:p>
    <w:p w14:paraId="724444F0" w14:textId="3289203A" w:rsidR="00235FB4" w:rsidRPr="007F1283" w:rsidRDefault="00235FB4" w:rsidP="008059BC"/>
    <w:p w14:paraId="51A61C26" w14:textId="64985E3E" w:rsidR="00AF6325" w:rsidRPr="007F1283" w:rsidRDefault="00AF6325" w:rsidP="008059BC">
      <w:r w:rsidRPr="007F1283">
        <w:t>Mr. Peter Janoska (Project Manager)</w:t>
      </w:r>
    </w:p>
    <w:p w14:paraId="44646975" w14:textId="0932EA9E" w:rsidR="00AF6325" w:rsidRPr="007F1283" w:rsidRDefault="00AF6325" w:rsidP="008059BC">
      <w:pPr>
        <w:rPr>
          <w:lang w:val="it-IT"/>
        </w:rPr>
      </w:pPr>
      <w:r w:rsidRPr="007F1283">
        <w:rPr>
          <w:lang w:val="it-IT"/>
        </w:rPr>
        <w:t xml:space="preserve">E: </w:t>
      </w:r>
      <w:hyperlink r:id="rId16" w:history="1">
        <w:r w:rsidRPr="007F1283">
          <w:rPr>
            <w:rStyle w:val="Hypertextovodkaz"/>
            <w:lang w:val="it-IT"/>
          </w:rPr>
          <w:t>peter.janoska@trinomics.eu</w:t>
        </w:r>
      </w:hyperlink>
    </w:p>
    <w:p w14:paraId="6C3EFB76" w14:textId="0710E8F5" w:rsidR="00AF6325" w:rsidRPr="007F1283" w:rsidRDefault="00AF6325" w:rsidP="008059BC">
      <w:pPr>
        <w:rPr>
          <w:lang w:val="it-IT"/>
        </w:rPr>
      </w:pPr>
    </w:p>
    <w:p w14:paraId="2EC5AA9D" w14:textId="4C87A55E" w:rsidR="00AF6325" w:rsidRPr="007F1283" w:rsidRDefault="00AF6325" w:rsidP="008059BC">
      <w:pPr>
        <w:rPr>
          <w:lang w:val="it-IT"/>
        </w:rPr>
      </w:pPr>
      <w:r w:rsidRPr="007F1283">
        <w:rPr>
          <w:lang w:val="it-IT"/>
        </w:rPr>
        <w:t>Ms. Pavla Cihlarova (Project Coordinator)</w:t>
      </w:r>
    </w:p>
    <w:p w14:paraId="0ADFD8D4" w14:textId="5D3F5088" w:rsidR="00AF6325" w:rsidRPr="007F1283" w:rsidRDefault="00AF6325" w:rsidP="008059BC">
      <w:pPr>
        <w:rPr>
          <w:lang w:val="it-IT"/>
        </w:rPr>
      </w:pPr>
      <w:r w:rsidRPr="007F1283">
        <w:rPr>
          <w:lang w:val="it-IT"/>
        </w:rPr>
        <w:t xml:space="preserve">E: </w:t>
      </w:r>
      <w:hyperlink r:id="rId17" w:history="1">
        <w:r w:rsidRPr="007F1283">
          <w:rPr>
            <w:rStyle w:val="Hypertextovodkaz"/>
            <w:lang w:val="it-IT"/>
          </w:rPr>
          <w:t>pavla.cihlarova@trinomics.eu</w:t>
        </w:r>
      </w:hyperlink>
      <w:r w:rsidRPr="007F1283">
        <w:rPr>
          <w:lang w:val="it-IT"/>
        </w:rPr>
        <w:t xml:space="preserve"> </w:t>
      </w:r>
    </w:p>
    <w:p w14:paraId="4015B308" w14:textId="06E32B35" w:rsidR="00D350A4" w:rsidRPr="007F1283" w:rsidRDefault="00D350A4" w:rsidP="008059BC">
      <w:pPr>
        <w:rPr>
          <w:lang w:val="it-IT"/>
        </w:rPr>
      </w:pPr>
    </w:p>
    <w:p w14:paraId="53FD3963" w14:textId="77777777" w:rsidR="00AF6325" w:rsidRPr="007F1283" w:rsidRDefault="00AF6325" w:rsidP="008059BC">
      <w:pPr>
        <w:rPr>
          <w:lang w:val="it-IT"/>
        </w:rPr>
      </w:pPr>
    </w:p>
    <w:p w14:paraId="1B821FE3" w14:textId="77777777" w:rsidR="00235FB4" w:rsidRPr="007F1283" w:rsidRDefault="00235FB4" w:rsidP="00672FB1">
      <w:pPr>
        <w:rPr>
          <w:b/>
          <w:color w:val="F04E30"/>
          <w:lang w:val="it-IT"/>
        </w:rPr>
      </w:pPr>
      <w:r w:rsidRPr="007F1283">
        <w:rPr>
          <w:b/>
          <w:color w:val="F04E30"/>
          <w:lang w:val="it-IT"/>
        </w:rPr>
        <w:t>Date</w:t>
      </w:r>
    </w:p>
    <w:p w14:paraId="50B995A9" w14:textId="040A0F1D" w:rsidR="00E4051C" w:rsidRPr="007F1283" w:rsidRDefault="00E4051C" w:rsidP="009D3B6B">
      <w:pPr>
        <w:spacing w:line="276" w:lineRule="auto"/>
      </w:pPr>
      <w:r w:rsidRPr="007F1283">
        <w:t>Rotterdam, 24 July 2023</w:t>
      </w:r>
    </w:p>
    <w:p w14:paraId="369A1321" w14:textId="77777777" w:rsidR="00235FB4" w:rsidRPr="007F1283" w:rsidRDefault="00235FB4" w:rsidP="008059BC"/>
    <w:p w14:paraId="4FDC972E" w14:textId="77777777" w:rsidR="00EF30D1" w:rsidRPr="007F1283" w:rsidRDefault="00EF30D1" w:rsidP="00C07D53">
      <w:pPr>
        <w:tabs>
          <w:tab w:val="left" w:pos="5520"/>
        </w:tabs>
      </w:pPr>
    </w:p>
    <w:p w14:paraId="5CA09068" w14:textId="77777777" w:rsidR="00EF30D1" w:rsidRPr="007F1283" w:rsidRDefault="00EF30D1" w:rsidP="008059BC"/>
    <w:p w14:paraId="64B2C2CB" w14:textId="77777777" w:rsidR="00EF30D1" w:rsidRPr="007F1283" w:rsidRDefault="00EF30D1" w:rsidP="008059BC"/>
    <w:p w14:paraId="38E7C5F4" w14:textId="77777777" w:rsidR="00EF30D1" w:rsidRPr="007F1283" w:rsidRDefault="00EF30D1" w:rsidP="008059BC"/>
    <w:p w14:paraId="2EA2042C" w14:textId="77777777" w:rsidR="00EF30D1" w:rsidRPr="007F1283" w:rsidRDefault="00EF30D1" w:rsidP="008059BC"/>
    <w:p w14:paraId="1886E05B" w14:textId="77777777" w:rsidR="00EF30D1" w:rsidRPr="007F1283" w:rsidRDefault="00EF30D1" w:rsidP="008059BC"/>
    <w:p w14:paraId="0959CAC5" w14:textId="77777777" w:rsidR="00235FB4" w:rsidRPr="007F1283" w:rsidRDefault="00235FB4" w:rsidP="008059BC"/>
    <w:p w14:paraId="54C49486" w14:textId="77777777" w:rsidR="003D10CE" w:rsidRPr="007F1283" w:rsidRDefault="003D10CE" w:rsidP="008059BC"/>
    <w:p w14:paraId="1482B1EC" w14:textId="77777777" w:rsidR="00AC6062" w:rsidRPr="007F1283" w:rsidRDefault="00AC6062" w:rsidP="008059BC"/>
    <w:p w14:paraId="74F06B05" w14:textId="77777777" w:rsidR="00AC6062" w:rsidRPr="007F1283" w:rsidRDefault="00AC6062" w:rsidP="008059BC"/>
    <w:p w14:paraId="4646992D" w14:textId="77777777" w:rsidR="003D10CE" w:rsidRPr="007F1283" w:rsidRDefault="003D10CE" w:rsidP="008059BC"/>
    <w:p w14:paraId="1D6F1EA7" w14:textId="77777777" w:rsidR="003D10CE" w:rsidRPr="007F1283" w:rsidRDefault="003D10CE" w:rsidP="008059BC">
      <w:pPr>
        <w:sectPr w:rsidR="003D10CE" w:rsidRPr="007F1283">
          <w:footerReference w:type="default" r:id="rId18"/>
          <w:pgSz w:w="11906" w:h="16838"/>
          <w:pgMar w:top="1440" w:right="1440" w:bottom="1440" w:left="1440" w:header="708" w:footer="708" w:gutter="0"/>
          <w:cols w:space="708"/>
          <w:docGrid w:linePitch="360"/>
        </w:sectPr>
      </w:pPr>
    </w:p>
    <w:p w14:paraId="4AF7B533" w14:textId="77777777" w:rsidR="003D10CE" w:rsidRPr="007F1283" w:rsidRDefault="003D10CE" w:rsidP="008059BC"/>
    <w:p w14:paraId="1BEF38C6" w14:textId="77777777" w:rsidR="00CB7234" w:rsidRPr="007F1283" w:rsidRDefault="00CB7234" w:rsidP="008059BC"/>
    <w:p w14:paraId="4361D633" w14:textId="77777777" w:rsidR="00CB7234" w:rsidRPr="007F1283" w:rsidRDefault="00CB7234" w:rsidP="008059BC"/>
    <w:p w14:paraId="1B634D4D" w14:textId="77777777" w:rsidR="00CB7234" w:rsidRPr="007F1283" w:rsidRDefault="00CB7234" w:rsidP="008059BC"/>
    <w:p w14:paraId="4B995698" w14:textId="77777777" w:rsidR="00CB7234" w:rsidRPr="007F1283" w:rsidRDefault="00CB7234" w:rsidP="008059BC"/>
    <w:p w14:paraId="549BD3F8" w14:textId="77777777" w:rsidR="00CB7234" w:rsidRPr="007F1283" w:rsidRDefault="00CB7234" w:rsidP="008059BC"/>
    <w:p w14:paraId="791FA742" w14:textId="77777777" w:rsidR="003D10CE" w:rsidRPr="007F1283" w:rsidRDefault="003D10CE" w:rsidP="008059BC"/>
    <w:p w14:paraId="4E608AD5" w14:textId="77777777" w:rsidR="003D10CE" w:rsidRPr="007F1283" w:rsidRDefault="003D10CE" w:rsidP="008059BC"/>
    <w:p w14:paraId="68BAF0F5" w14:textId="77777777" w:rsidR="003D10CE" w:rsidRPr="007F1283" w:rsidRDefault="00A94808" w:rsidP="008059BC">
      <w:r w:rsidRPr="007F1283">
        <w:rPr>
          <w:noProof/>
          <w:lang w:val="cs-CZ" w:eastAsia="cs-CZ"/>
        </w:rPr>
        <w:drawing>
          <wp:anchor distT="0" distB="0" distL="114300" distR="114300" simplePos="0" relativeHeight="251658246" behindDoc="1" locked="0" layoutInCell="1" allowOverlap="1" wp14:anchorId="362A0BC4" wp14:editId="06121D72">
            <wp:simplePos x="0" y="0"/>
            <wp:positionH relativeFrom="margin">
              <wp:align>center</wp:align>
            </wp:positionH>
            <wp:positionV relativeFrom="paragraph">
              <wp:posOffset>-429260</wp:posOffset>
            </wp:positionV>
            <wp:extent cx="3718560" cy="1352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omics-log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18560" cy="1352550"/>
                    </a:xfrm>
                    <a:prstGeom prst="rect">
                      <a:avLst/>
                    </a:prstGeom>
                  </pic:spPr>
                </pic:pic>
              </a:graphicData>
            </a:graphic>
            <wp14:sizeRelH relativeFrom="page">
              <wp14:pctWidth>0</wp14:pctWidth>
            </wp14:sizeRelH>
            <wp14:sizeRelV relativeFrom="page">
              <wp14:pctHeight>0</wp14:pctHeight>
            </wp14:sizeRelV>
          </wp:anchor>
        </w:drawing>
      </w:r>
    </w:p>
    <w:p w14:paraId="66BAD034" w14:textId="77777777" w:rsidR="003D10CE" w:rsidRPr="007F1283" w:rsidRDefault="003D10CE" w:rsidP="008059BC"/>
    <w:p w14:paraId="27D235A1" w14:textId="77777777" w:rsidR="003D10CE" w:rsidRPr="007F1283" w:rsidRDefault="003D10CE" w:rsidP="008059BC"/>
    <w:p w14:paraId="46603A0E" w14:textId="77777777" w:rsidR="003D10CE" w:rsidRPr="007F1283" w:rsidRDefault="003D10CE" w:rsidP="008059BC"/>
    <w:p w14:paraId="749FF962" w14:textId="77777777" w:rsidR="003D10CE" w:rsidRPr="007F1283" w:rsidRDefault="003D10CE" w:rsidP="008059BC"/>
    <w:p w14:paraId="382F1DB0" w14:textId="77777777" w:rsidR="00530049" w:rsidRPr="007F1283" w:rsidRDefault="00530049" w:rsidP="008059BC"/>
    <w:p w14:paraId="0292B0CC" w14:textId="1DAF3D61" w:rsidR="00AC6062" w:rsidRPr="007F1283" w:rsidRDefault="009D3B6B" w:rsidP="00BC3C79">
      <w:pPr>
        <w:jc w:val="center"/>
        <w:rPr>
          <w:b/>
          <w:color w:val="F04E30"/>
          <w:sz w:val="24"/>
          <w:szCs w:val="24"/>
        </w:rPr>
      </w:pPr>
      <w:r w:rsidRPr="007F1283">
        <w:rPr>
          <w:b/>
          <w:color w:val="F04E30"/>
          <w:sz w:val="24"/>
          <w:szCs w:val="24"/>
        </w:rPr>
        <w:t>Rotterda</w:t>
      </w:r>
      <w:r w:rsidR="00AA0896" w:rsidRPr="007F1283">
        <w:rPr>
          <w:b/>
          <w:color w:val="F04E30"/>
          <w:sz w:val="24"/>
          <w:szCs w:val="24"/>
        </w:rPr>
        <w:t xml:space="preserve">m, </w:t>
      </w:r>
      <w:r w:rsidR="00956AFB" w:rsidRPr="007F1283">
        <w:rPr>
          <w:b/>
          <w:color w:val="F04E30"/>
          <w:sz w:val="24"/>
          <w:szCs w:val="24"/>
        </w:rPr>
        <w:t>2</w:t>
      </w:r>
      <w:r w:rsidR="00E4051C" w:rsidRPr="007F1283">
        <w:rPr>
          <w:b/>
          <w:color w:val="F04E30"/>
          <w:sz w:val="24"/>
          <w:szCs w:val="24"/>
        </w:rPr>
        <w:t>4</w:t>
      </w:r>
      <w:r w:rsidR="00A2213D" w:rsidRPr="007F1283">
        <w:rPr>
          <w:b/>
          <w:color w:val="F04E30"/>
          <w:sz w:val="24"/>
          <w:szCs w:val="24"/>
        </w:rPr>
        <w:t xml:space="preserve"> </w:t>
      </w:r>
      <w:r w:rsidR="00E4051C" w:rsidRPr="007F1283">
        <w:rPr>
          <w:b/>
          <w:color w:val="F04E30"/>
          <w:sz w:val="24"/>
          <w:szCs w:val="24"/>
        </w:rPr>
        <w:t>July</w:t>
      </w:r>
      <w:r w:rsidR="00AF6325" w:rsidRPr="007F1283">
        <w:rPr>
          <w:b/>
          <w:color w:val="F04E30"/>
          <w:sz w:val="24"/>
          <w:szCs w:val="24"/>
        </w:rPr>
        <w:t xml:space="preserve"> 2023</w:t>
      </w:r>
    </w:p>
    <w:p w14:paraId="50953D01" w14:textId="77777777" w:rsidR="00AC6062" w:rsidRPr="007F1283" w:rsidRDefault="00AC6062" w:rsidP="00BC3C79">
      <w:pPr>
        <w:jc w:val="center"/>
        <w:rPr>
          <w:b/>
          <w:color w:val="F04E30"/>
          <w:sz w:val="24"/>
          <w:szCs w:val="24"/>
        </w:rPr>
      </w:pPr>
    </w:p>
    <w:p w14:paraId="0852205E" w14:textId="6C5502C9" w:rsidR="009D3B6B" w:rsidRPr="007F1283" w:rsidRDefault="00AC6062" w:rsidP="009D3B6B">
      <w:pPr>
        <w:jc w:val="center"/>
        <w:rPr>
          <w:b/>
          <w:color w:val="F04E30"/>
          <w:sz w:val="24"/>
          <w:szCs w:val="24"/>
        </w:rPr>
      </w:pPr>
      <w:r w:rsidRPr="007F1283">
        <w:rPr>
          <w:b/>
          <w:color w:val="F04E30"/>
          <w:sz w:val="24"/>
          <w:szCs w:val="24"/>
        </w:rPr>
        <w:t xml:space="preserve">Client: </w:t>
      </w:r>
      <w:r w:rsidR="00AF6325" w:rsidRPr="007F1283">
        <w:rPr>
          <w:b/>
          <w:color w:val="F04E30"/>
          <w:sz w:val="24"/>
          <w:szCs w:val="24"/>
        </w:rPr>
        <w:t>DG REFORM</w:t>
      </w:r>
    </w:p>
    <w:p w14:paraId="51B067D3" w14:textId="77777777" w:rsidR="008D1E50" w:rsidRPr="007F1283" w:rsidRDefault="008D1E50" w:rsidP="009D3B6B">
      <w:pPr>
        <w:jc w:val="center"/>
        <w:rPr>
          <w:b/>
          <w:color w:val="F04E30"/>
          <w:sz w:val="24"/>
          <w:szCs w:val="24"/>
        </w:rPr>
      </w:pPr>
    </w:p>
    <w:p w14:paraId="30C89957" w14:textId="770FD934" w:rsidR="00365CA7" w:rsidRPr="007F1283" w:rsidRDefault="00AF6325" w:rsidP="008F78C8">
      <w:pPr>
        <w:jc w:val="center"/>
        <w:rPr>
          <w:b/>
          <w:color w:val="F04E30"/>
          <w:sz w:val="24"/>
          <w:szCs w:val="24"/>
        </w:rPr>
      </w:pPr>
      <w:r w:rsidRPr="007F1283">
        <w:rPr>
          <w:b/>
          <w:color w:val="F04E30"/>
          <w:sz w:val="24"/>
          <w:szCs w:val="24"/>
        </w:rPr>
        <w:t>Methodology for the application of the DNSH principle at the national level in Czechia</w:t>
      </w:r>
    </w:p>
    <w:p w14:paraId="1AAF6245" w14:textId="77777777" w:rsidR="003D10CE" w:rsidRPr="007F1283" w:rsidRDefault="003D10CE" w:rsidP="008059BC"/>
    <w:p w14:paraId="5559B0DE" w14:textId="15EFFDC9" w:rsidR="00FF3218" w:rsidRPr="007F1283" w:rsidRDefault="00FF3218" w:rsidP="008059BC">
      <w:pPr>
        <w:rPr>
          <w:b/>
          <w:color w:val="002C54"/>
          <w:sz w:val="24"/>
          <w:szCs w:val="24"/>
        </w:rPr>
      </w:pPr>
      <w:r w:rsidRPr="007F1283">
        <w:rPr>
          <w:b/>
          <w:color w:val="002C54"/>
          <w:sz w:val="24"/>
          <w:szCs w:val="24"/>
        </w:rPr>
        <w:t>In association with:</w:t>
      </w:r>
    </w:p>
    <w:p w14:paraId="6CE314E4" w14:textId="74F6D098" w:rsidR="00FF3218" w:rsidRPr="007F1283" w:rsidRDefault="00AF6325" w:rsidP="008059BC">
      <w:r w:rsidRPr="007F1283">
        <w:fldChar w:fldCharType="begin"/>
      </w:r>
      <w:r w:rsidRPr="007F1283">
        <w:instrText xml:space="preserve"> INCLUDEPICTURE "https://images.squarespace-cdn.com/content/v1/5f7709cd633d6220bbee2709/1601637220770-5FVVJH7PBY2LVL5F4JYD/logo.png" \* MERGEFORMATINET </w:instrText>
      </w:r>
      <w:r w:rsidRPr="007F1283">
        <w:fldChar w:fldCharType="end"/>
      </w:r>
    </w:p>
    <w:p w14:paraId="5EA56810" w14:textId="3BAD3F25" w:rsidR="00381452" w:rsidRPr="007F1283" w:rsidRDefault="003247B6" w:rsidP="008059BC">
      <w:r w:rsidRPr="007F1283">
        <w:rPr>
          <w:noProof/>
          <w:lang w:val="cs-CZ" w:eastAsia="cs-CZ"/>
        </w:rPr>
        <w:drawing>
          <wp:anchor distT="0" distB="0" distL="114300" distR="114300" simplePos="0" relativeHeight="251658248" behindDoc="1" locked="0" layoutInCell="1" allowOverlap="1" wp14:anchorId="634FE003" wp14:editId="739ADE7D">
            <wp:simplePos x="0" y="0"/>
            <wp:positionH relativeFrom="column">
              <wp:posOffset>2136775</wp:posOffset>
            </wp:positionH>
            <wp:positionV relativeFrom="paragraph">
              <wp:posOffset>30480</wp:posOffset>
            </wp:positionV>
            <wp:extent cx="1807210" cy="1807210"/>
            <wp:effectExtent l="0" t="0" r="2540" b="2540"/>
            <wp:wrapTight wrapText="bothSides">
              <wp:wrapPolygon edited="0">
                <wp:start x="8424" y="0"/>
                <wp:lineTo x="7058" y="228"/>
                <wp:lineTo x="2049" y="2960"/>
                <wp:lineTo x="1822" y="3871"/>
                <wp:lineTo x="0" y="7286"/>
                <wp:lineTo x="0" y="12751"/>
                <wp:lineTo x="228" y="14572"/>
                <wp:lineTo x="2277" y="18215"/>
                <wp:lineTo x="2505" y="18898"/>
                <wp:lineTo x="7514" y="21403"/>
                <wp:lineTo x="8652" y="21403"/>
                <wp:lineTo x="12523" y="21403"/>
                <wp:lineTo x="13889" y="21403"/>
                <wp:lineTo x="18670" y="18898"/>
                <wp:lineTo x="18898" y="18215"/>
                <wp:lineTo x="21175" y="14572"/>
                <wp:lineTo x="21403" y="12523"/>
                <wp:lineTo x="21403" y="7286"/>
                <wp:lineTo x="19581" y="3188"/>
                <wp:lineTo x="14800" y="455"/>
                <wp:lineTo x="12978" y="0"/>
                <wp:lineTo x="8424" y="0"/>
              </wp:wrapPolygon>
            </wp:wrapTight>
            <wp:docPr id="1" name="Picture 1" descr="ISFC - Leveraging finance for positive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FC - Leveraging finance for positive impa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721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9603C2" w14:textId="77777777" w:rsidR="00381452" w:rsidRPr="007F1283" w:rsidRDefault="00381452" w:rsidP="008059BC"/>
    <w:p w14:paraId="381AEA11" w14:textId="77777777" w:rsidR="00381452" w:rsidRPr="007F1283" w:rsidRDefault="00381452" w:rsidP="008059BC"/>
    <w:p w14:paraId="7B9257AD" w14:textId="77777777" w:rsidR="00381452" w:rsidRPr="007F1283" w:rsidRDefault="00381452" w:rsidP="008059BC"/>
    <w:p w14:paraId="383A8F52" w14:textId="77777777" w:rsidR="00381452" w:rsidRPr="007F1283" w:rsidRDefault="00381452" w:rsidP="008059BC"/>
    <w:p w14:paraId="3998FFDA" w14:textId="77777777" w:rsidR="003D10CE" w:rsidRPr="007F1283" w:rsidRDefault="003D10CE" w:rsidP="008059BC"/>
    <w:p w14:paraId="3D9C177A" w14:textId="77777777" w:rsidR="008D1E50" w:rsidRPr="007F1283" w:rsidRDefault="008D1E50" w:rsidP="008059BC"/>
    <w:p w14:paraId="283D6F86" w14:textId="77777777" w:rsidR="008D1E50" w:rsidRPr="007F1283" w:rsidRDefault="008D1E50" w:rsidP="008059BC"/>
    <w:p w14:paraId="57EC371A" w14:textId="77777777" w:rsidR="008D1E50" w:rsidRPr="007F1283" w:rsidRDefault="008D1E50" w:rsidP="008059BC"/>
    <w:p w14:paraId="1C0ACEF8" w14:textId="77777777" w:rsidR="008D1E50" w:rsidRPr="007F1283" w:rsidRDefault="008D1E50" w:rsidP="008059BC"/>
    <w:p w14:paraId="65B2B07F" w14:textId="77777777" w:rsidR="008D1E50" w:rsidRPr="007F1283" w:rsidRDefault="008D1E50" w:rsidP="008059BC"/>
    <w:p w14:paraId="1329DF04" w14:textId="77777777" w:rsidR="00381452" w:rsidRPr="007F1283" w:rsidRDefault="00381452" w:rsidP="008059BC"/>
    <w:p w14:paraId="2451AB40" w14:textId="77777777" w:rsidR="001508DA" w:rsidRPr="007F1283" w:rsidRDefault="001508DA" w:rsidP="00672FB1"/>
    <w:p w14:paraId="28D7B100" w14:textId="77777777" w:rsidR="001508DA" w:rsidRPr="007F1283" w:rsidRDefault="001508DA" w:rsidP="00672FB1"/>
    <w:p w14:paraId="5685AF7A" w14:textId="6FCB1EEA" w:rsidR="001508DA" w:rsidRPr="007F1283" w:rsidRDefault="001508DA" w:rsidP="006D334E">
      <w:pPr>
        <w:ind w:left="0"/>
      </w:pPr>
    </w:p>
    <w:p w14:paraId="4777ED7B" w14:textId="0A2267DA" w:rsidR="001508DA" w:rsidRPr="007F1283" w:rsidRDefault="001508DA" w:rsidP="00672FB1"/>
    <w:p w14:paraId="147EE003" w14:textId="21118752" w:rsidR="00267A68" w:rsidRPr="007F1283" w:rsidRDefault="00267A68" w:rsidP="00672FB1"/>
    <w:p w14:paraId="5F222857" w14:textId="388129AF" w:rsidR="00267A68" w:rsidRPr="007F1283" w:rsidRDefault="00F517EB" w:rsidP="00672FB1">
      <w:r w:rsidRPr="007F1283">
        <w:rPr>
          <w:rFonts w:cs="ÍH_"/>
          <w:noProof/>
          <w:sz w:val="22"/>
          <w:szCs w:val="25"/>
          <w:lang w:val="cs-CZ" w:eastAsia="cs-CZ"/>
        </w:rPr>
        <w:drawing>
          <wp:anchor distT="0" distB="0" distL="114300" distR="114300" simplePos="0" relativeHeight="251658249" behindDoc="1" locked="0" layoutInCell="1" allowOverlap="1" wp14:anchorId="366EDD83" wp14:editId="65ACB981">
            <wp:simplePos x="0" y="0"/>
            <wp:positionH relativeFrom="column">
              <wp:posOffset>9525</wp:posOffset>
            </wp:positionH>
            <wp:positionV relativeFrom="paragraph">
              <wp:posOffset>71239</wp:posOffset>
            </wp:positionV>
            <wp:extent cx="995680" cy="659130"/>
            <wp:effectExtent l="0" t="0" r="0" b="1270"/>
            <wp:wrapThrough wrapText="bothSides">
              <wp:wrapPolygon edited="0">
                <wp:start x="0" y="0"/>
                <wp:lineTo x="0" y="21225"/>
                <wp:lineTo x="21214" y="21225"/>
                <wp:lineTo x="21214" y="0"/>
                <wp:lineTo x="0" y="0"/>
              </wp:wrapPolygon>
            </wp:wrapThrough>
            <wp:docPr id="2" name="Picture 2"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5680"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E01A2" w14:textId="48BA1414" w:rsidR="00CD1506" w:rsidRPr="007F1283" w:rsidRDefault="00F517EB" w:rsidP="006D334E">
      <w:pPr>
        <w:spacing w:line="276" w:lineRule="auto"/>
        <w:rPr>
          <w:rFonts w:cs="ÍH_"/>
        </w:rPr>
      </w:pPr>
      <w:r w:rsidRPr="007F1283">
        <w:rPr>
          <w:rFonts w:cs="ÍH_"/>
        </w:rPr>
        <w:t>This project is carrie</w:t>
      </w:r>
      <w:bookmarkStart w:id="0" w:name="_GoBack"/>
      <w:bookmarkEnd w:id="0"/>
      <w:r w:rsidRPr="007F1283">
        <w:rPr>
          <w:rFonts w:cs="ÍH_"/>
        </w:rPr>
        <w:t>d out with funding by the European Union via the Technical Support Instrument and in cooperation with the Directorate General for Structural Reform Support of the European Commission.</w:t>
      </w:r>
    </w:p>
    <w:p w14:paraId="55A5B6A0" w14:textId="77777777" w:rsidR="00CD1506" w:rsidRPr="007F1283" w:rsidRDefault="00CD1506" w:rsidP="006D334E">
      <w:pPr>
        <w:spacing w:line="276" w:lineRule="auto"/>
      </w:pPr>
    </w:p>
    <w:p w14:paraId="485D5EFD" w14:textId="19C1CE7F" w:rsidR="00CD1506" w:rsidRPr="007F1283" w:rsidRDefault="00CD1506">
      <w:pPr>
        <w:spacing w:after="200" w:line="276" w:lineRule="auto"/>
        <w:ind w:left="0"/>
      </w:pPr>
      <w:r w:rsidRPr="007F1283">
        <w:br w:type="page"/>
      </w:r>
    </w:p>
    <w:p w14:paraId="3B1B949C" w14:textId="77777777" w:rsidR="006F3313" w:rsidRPr="007F1283" w:rsidRDefault="006F3313" w:rsidP="006D334E">
      <w:pPr>
        <w:ind w:left="0"/>
      </w:pPr>
    </w:p>
    <w:p w14:paraId="6B9BF241" w14:textId="77777777" w:rsidR="000A3FCD" w:rsidRPr="007F1283" w:rsidRDefault="00D35B53" w:rsidP="003367E5">
      <w:pPr>
        <w:pStyle w:val="Nadpis4"/>
        <w:ind w:firstLine="0"/>
      </w:pPr>
      <w:r w:rsidRPr="007F1283">
        <w:rPr>
          <w:sz w:val="24"/>
          <w:szCs w:val="32"/>
        </w:rPr>
        <w:t>CONTENT</w:t>
      </w:r>
      <w:r w:rsidR="005B4132" w:rsidRPr="007F1283">
        <w:rPr>
          <w:sz w:val="24"/>
          <w:szCs w:val="32"/>
        </w:rPr>
        <w:t>S</w:t>
      </w:r>
    </w:p>
    <w:p w14:paraId="58A9AA24" w14:textId="77777777" w:rsidR="003367E5" w:rsidRPr="007F1283" w:rsidRDefault="003367E5" w:rsidP="00DB51A2"/>
    <w:p w14:paraId="72BE7B33" w14:textId="5EAB8251" w:rsidR="00242DFC" w:rsidRPr="007F1283" w:rsidRDefault="00DB51A2">
      <w:pPr>
        <w:pStyle w:val="Obsah1"/>
        <w:rPr>
          <w:rFonts w:eastAsiaTheme="minorEastAsia"/>
          <w:b w:val="0"/>
          <w:bCs w:val="0"/>
          <w:noProof/>
          <w:color w:val="auto"/>
          <w:sz w:val="24"/>
          <w:lang w:eastAsia="en-GB"/>
        </w:rPr>
      </w:pPr>
      <w:r w:rsidRPr="007F1283">
        <w:rPr>
          <w:sz w:val="28"/>
        </w:rPr>
        <w:fldChar w:fldCharType="begin"/>
      </w:r>
      <w:r w:rsidRPr="007F1283">
        <w:rPr>
          <w:sz w:val="28"/>
        </w:rPr>
        <w:instrText xml:space="preserve"> TOC \o "1-3" \h \z \u </w:instrText>
      </w:r>
      <w:r w:rsidRPr="007F1283">
        <w:rPr>
          <w:sz w:val="28"/>
        </w:rPr>
        <w:fldChar w:fldCharType="separate"/>
      </w:r>
      <w:hyperlink w:anchor="_Toc133944247" w:history="1">
        <w:r w:rsidR="00242DFC" w:rsidRPr="007F1283">
          <w:rPr>
            <w:rStyle w:val="Hypertextovodkaz"/>
            <w:noProof/>
          </w:rPr>
          <w:t>1</w:t>
        </w:r>
        <w:r w:rsidR="00242DFC" w:rsidRPr="007F1283">
          <w:rPr>
            <w:rFonts w:eastAsiaTheme="minorEastAsia"/>
            <w:b w:val="0"/>
            <w:bCs w:val="0"/>
            <w:noProof/>
            <w:color w:val="auto"/>
            <w:sz w:val="24"/>
            <w:lang w:eastAsia="en-GB"/>
          </w:rPr>
          <w:tab/>
        </w:r>
        <w:r w:rsidR="00242DFC" w:rsidRPr="007F1283">
          <w:rPr>
            <w:rStyle w:val="Hypertextovodkaz"/>
            <w:noProof/>
          </w:rPr>
          <w:t>Introduction</w:t>
        </w:r>
        <w:r w:rsidR="00242DFC" w:rsidRPr="007F1283">
          <w:rPr>
            <w:noProof/>
            <w:webHidden/>
          </w:rPr>
          <w:tab/>
        </w:r>
        <w:r w:rsidR="00242DFC" w:rsidRPr="007F1283">
          <w:rPr>
            <w:noProof/>
            <w:webHidden/>
          </w:rPr>
          <w:fldChar w:fldCharType="begin"/>
        </w:r>
        <w:r w:rsidR="00242DFC" w:rsidRPr="007F1283">
          <w:rPr>
            <w:noProof/>
            <w:webHidden/>
          </w:rPr>
          <w:instrText xml:space="preserve"> PAGEREF _Toc133944247 \h </w:instrText>
        </w:r>
        <w:r w:rsidR="00242DFC" w:rsidRPr="007F1283">
          <w:rPr>
            <w:noProof/>
            <w:webHidden/>
          </w:rPr>
        </w:r>
        <w:r w:rsidR="00242DFC" w:rsidRPr="007F1283">
          <w:rPr>
            <w:noProof/>
            <w:webHidden/>
          </w:rPr>
          <w:fldChar w:fldCharType="separate"/>
        </w:r>
        <w:r w:rsidR="00FE2873">
          <w:rPr>
            <w:noProof/>
            <w:webHidden/>
          </w:rPr>
          <w:t>6</w:t>
        </w:r>
        <w:r w:rsidR="00242DFC" w:rsidRPr="007F1283">
          <w:rPr>
            <w:noProof/>
            <w:webHidden/>
          </w:rPr>
          <w:fldChar w:fldCharType="end"/>
        </w:r>
      </w:hyperlink>
    </w:p>
    <w:p w14:paraId="10893A2F" w14:textId="2A6E88FD" w:rsidR="00242DFC" w:rsidRPr="007F1283" w:rsidRDefault="00FE2873">
      <w:pPr>
        <w:pStyle w:val="Obsah2"/>
        <w:rPr>
          <w:rFonts w:eastAsiaTheme="minorEastAsia" w:cstheme="minorBidi"/>
          <w:b w:val="0"/>
          <w:bCs w:val="0"/>
          <w:noProof/>
          <w:color w:val="auto"/>
          <w:sz w:val="24"/>
          <w:szCs w:val="24"/>
          <w:lang w:eastAsia="en-GB"/>
        </w:rPr>
      </w:pPr>
      <w:hyperlink w:anchor="_Toc133944248" w:history="1">
        <w:r w:rsidR="00242DFC" w:rsidRPr="007F1283">
          <w:rPr>
            <w:rStyle w:val="Hypertextovodkaz"/>
            <w:noProof/>
          </w:rPr>
          <w:t>1.1</w:t>
        </w:r>
        <w:r w:rsidR="00242DFC" w:rsidRPr="007F1283">
          <w:rPr>
            <w:rFonts w:eastAsiaTheme="minorEastAsia" w:cstheme="minorBidi"/>
            <w:b w:val="0"/>
            <w:bCs w:val="0"/>
            <w:noProof/>
            <w:color w:val="auto"/>
            <w:sz w:val="24"/>
            <w:szCs w:val="24"/>
            <w:lang w:eastAsia="en-GB"/>
          </w:rPr>
          <w:tab/>
        </w:r>
        <w:r w:rsidR="00242DFC" w:rsidRPr="007F1283">
          <w:rPr>
            <w:rStyle w:val="Hypertextovodkaz"/>
            <w:noProof/>
          </w:rPr>
          <w:t>Objective of Deliverable 4</w:t>
        </w:r>
        <w:r w:rsidR="00242DFC" w:rsidRPr="007F1283">
          <w:rPr>
            <w:noProof/>
            <w:webHidden/>
          </w:rPr>
          <w:tab/>
        </w:r>
        <w:r w:rsidR="00242DFC" w:rsidRPr="007F1283">
          <w:rPr>
            <w:noProof/>
            <w:webHidden/>
          </w:rPr>
          <w:fldChar w:fldCharType="begin"/>
        </w:r>
        <w:r w:rsidR="00242DFC" w:rsidRPr="007F1283">
          <w:rPr>
            <w:noProof/>
            <w:webHidden/>
          </w:rPr>
          <w:instrText xml:space="preserve"> PAGEREF _Toc133944248 \h </w:instrText>
        </w:r>
        <w:r w:rsidR="00242DFC" w:rsidRPr="007F1283">
          <w:rPr>
            <w:noProof/>
            <w:webHidden/>
          </w:rPr>
        </w:r>
        <w:r w:rsidR="00242DFC" w:rsidRPr="007F1283">
          <w:rPr>
            <w:noProof/>
            <w:webHidden/>
          </w:rPr>
          <w:fldChar w:fldCharType="separate"/>
        </w:r>
        <w:r>
          <w:rPr>
            <w:noProof/>
            <w:webHidden/>
          </w:rPr>
          <w:t>6</w:t>
        </w:r>
        <w:r w:rsidR="00242DFC" w:rsidRPr="007F1283">
          <w:rPr>
            <w:noProof/>
            <w:webHidden/>
          </w:rPr>
          <w:fldChar w:fldCharType="end"/>
        </w:r>
      </w:hyperlink>
    </w:p>
    <w:p w14:paraId="7B89CADA" w14:textId="663C3342" w:rsidR="00242DFC" w:rsidRPr="007F1283" w:rsidRDefault="00FE2873">
      <w:pPr>
        <w:pStyle w:val="Obsah2"/>
        <w:rPr>
          <w:rFonts w:eastAsiaTheme="minorEastAsia" w:cstheme="minorBidi"/>
          <w:b w:val="0"/>
          <w:bCs w:val="0"/>
          <w:noProof/>
          <w:color w:val="auto"/>
          <w:sz w:val="24"/>
          <w:szCs w:val="24"/>
          <w:lang w:eastAsia="en-GB"/>
        </w:rPr>
      </w:pPr>
      <w:hyperlink w:anchor="_Toc133944249" w:history="1">
        <w:r w:rsidR="00242DFC" w:rsidRPr="007F1283">
          <w:rPr>
            <w:rStyle w:val="Hypertextovodkaz"/>
            <w:noProof/>
          </w:rPr>
          <w:t>1.2</w:t>
        </w:r>
        <w:r w:rsidR="00242DFC" w:rsidRPr="007F1283">
          <w:rPr>
            <w:rFonts w:eastAsiaTheme="minorEastAsia" w:cstheme="minorBidi"/>
            <w:b w:val="0"/>
            <w:bCs w:val="0"/>
            <w:noProof/>
            <w:color w:val="auto"/>
            <w:sz w:val="24"/>
            <w:szCs w:val="24"/>
            <w:lang w:eastAsia="en-GB"/>
          </w:rPr>
          <w:tab/>
        </w:r>
        <w:r w:rsidR="00242DFC" w:rsidRPr="007F1283">
          <w:rPr>
            <w:rStyle w:val="Hypertextovodkaz"/>
            <w:noProof/>
          </w:rPr>
          <w:t>Overview of key findings from ad-hoc support and previous deliverables</w:t>
        </w:r>
        <w:r w:rsidR="00242DFC" w:rsidRPr="007F1283">
          <w:rPr>
            <w:noProof/>
            <w:webHidden/>
          </w:rPr>
          <w:tab/>
        </w:r>
        <w:r w:rsidR="00242DFC" w:rsidRPr="007F1283">
          <w:rPr>
            <w:noProof/>
            <w:webHidden/>
          </w:rPr>
          <w:fldChar w:fldCharType="begin"/>
        </w:r>
        <w:r w:rsidR="00242DFC" w:rsidRPr="007F1283">
          <w:rPr>
            <w:noProof/>
            <w:webHidden/>
          </w:rPr>
          <w:instrText xml:space="preserve"> PAGEREF _Toc133944249 \h </w:instrText>
        </w:r>
        <w:r w:rsidR="00242DFC" w:rsidRPr="007F1283">
          <w:rPr>
            <w:noProof/>
            <w:webHidden/>
          </w:rPr>
        </w:r>
        <w:r w:rsidR="00242DFC" w:rsidRPr="007F1283">
          <w:rPr>
            <w:noProof/>
            <w:webHidden/>
          </w:rPr>
          <w:fldChar w:fldCharType="separate"/>
        </w:r>
        <w:r>
          <w:rPr>
            <w:noProof/>
            <w:webHidden/>
          </w:rPr>
          <w:t>6</w:t>
        </w:r>
        <w:r w:rsidR="00242DFC" w:rsidRPr="007F1283">
          <w:rPr>
            <w:noProof/>
            <w:webHidden/>
          </w:rPr>
          <w:fldChar w:fldCharType="end"/>
        </w:r>
      </w:hyperlink>
    </w:p>
    <w:p w14:paraId="70380CB8" w14:textId="1BD71902" w:rsidR="00242DFC" w:rsidRPr="007F1283" w:rsidRDefault="00FE2873">
      <w:pPr>
        <w:pStyle w:val="Obsah3"/>
        <w:tabs>
          <w:tab w:val="left" w:pos="1506"/>
        </w:tabs>
        <w:rPr>
          <w:rFonts w:eastAsiaTheme="minorEastAsia" w:cstheme="minorBidi"/>
          <w:noProof/>
          <w:color w:val="auto"/>
          <w:sz w:val="24"/>
          <w:szCs w:val="24"/>
          <w:lang w:eastAsia="en-GB"/>
        </w:rPr>
      </w:pPr>
      <w:hyperlink w:anchor="_Toc133944250" w:history="1">
        <w:r w:rsidR="00242DFC" w:rsidRPr="007F1283">
          <w:rPr>
            <w:rStyle w:val="Hypertextovodkaz"/>
            <w:noProof/>
          </w:rPr>
          <w:t>1.2.1</w:t>
        </w:r>
        <w:r w:rsidR="00242DFC" w:rsidRPr="007F1283">
          <w:rPr>
            <w:rFonts w:eastAsiaTheme="minorEastAsia" w:cstheme="minorBidi"/>
            <w:noProof/>
            <w:color w:val="auto"/>
            <w:sz w:val="24"/>
            <w:szCs w:val="24"/>
            <w:lang w:eastAsia="en-GB"/>
          </w:rPr>
          <w:tab/>
        </w:r>
        <w:r w:rsidR="00242DFC" w:rsidRPr="007F1283">
          <w:rPr>
            <w:rStyle w:val="Hypertextovodkaz"/>
            <w:noProof/>
          </w:rPr>
          <w:t>Deliverable 1 – Inception report</w:t>
        </w:r>
        <w:r w:rsidR="00242DFC" w:rsidRPr="007F1283">
          <w:rPr>
            <w:noProof/>
            <w:webHidden/>
          </w:rPr>
          <w:tab/>
        </w:r>
        <w:r w:rsidR="00242DFC" w:rsidRPr="007F1283">
          <w:rPr>
            <w:noProof/>
            <w:webHidden/>
          </w:rPr>
          <w:fldChar w:fldCharType="begin"/>
        </w:r>
        <w:r w:rsidR="00242DFC" w:rsidRPr="007F1283">
          <w:rPr>
            <w:noProof/>
            <w:webHidden/>
          </w:rPr>
          <w:instrText xml:space="preserve"> PAGEREF _Toc133944250 \h </w:instrText>
        </w:r>
        <w:r w:rsidR="00242DFC" w:rsidRPr="007F1283">
          <w:rPr>
            <w:noProof/>
            <w:webHidden/>
          </w:rPr>
        </w:r>
        <w:r w:rsidR="00242DFC" w:rsidRPr="007F1283">
          <w:rPr>
            <w:noProof/>
            <w:webHidden/>
          </w:rPr>
          <w:fldChar w:fldCharType="separate"/>
        </w:r>
        <w:r>
          <w:rPr>
            <w:noProof/>
            <w:webHidden/>
          </w:rPr>
          <w:t>6</w:t>
        </w:r>
        <w:r w:rsidR="00242DFC" w:rsidRPr="007F1283">
          <w:rPr>
            <w:noProof/>
            <w:webHidden/>
          </w:rPr>
          <w:fldChar w:fldCharType="end"/>
        </w:r>
      </w:hyperlink>
    </w:p>
    <w:p w14:paraId="314CF50B" w14:textId="2D1F7DD3" w:rsidR="00242DFC" w:rsidRPr="007F1283" w:rsidRDefault="00FE2873">
      <w:pPr>
        <w:pStyle w:val="Obsah3"/>
        <w:tabs>
          <w:tab w:val="left" w:pos="1506"/>
        </w:tabs>
        <w:rPr>
          <w:rFonts w:eastAsiaTheme="minorEastAsia" w:cstheme="minorBidi"/>
          <w:noProof/>
          <w:color w:val="auto"/>
          <w:sz w:val="24"/>
          <w:szCs w:val="24"/>
          <w:lang w:eastAsia="en-GB"/>
        </w:rPr>
      </w:pPr>
      <w:hyperlink w:anchor="_Toc133944251" w:history="1">
        <w:r w:rsidR="00242DFC" w:rsidRPr="007F1283">
          <w:rPr>
            <w:rStyle w:val="Hypertextovodkaz"/>
            <w:noProof/>
          </w:rPr>
          <w:t>1.2.2</w:t>
        </w:r>
        <w:r w:rsidR="00242DFC" w:rsidRPr="007F1283">
          <w:rPr>
            <w:rFonts w:eastAsiaTheme="minorEastAsia" w:cstheme="minorBidi"/>
            <w:noProof/>
            <w:color w:val="auto"/>
            <w:sz w:val="24"/>
            <w:szCs w:val="24"/>
            <w:lang w:eastAsia="en-GB"/>
          </w:rPr>
          <w:tab/>
        </w:r>
        <w:r w:rsidR="00242DFC" w:rsidRPr="007F1283">
          <w:rPr>
            <w:rStyle w:val="Hypertextovodkaz"/>
            <w:noProof/>
          </w:rPr>
          <w:t>Deliverable 2 – Diagnostic report</w:t>
        </w:r>
        <w:r w:rsidR="00242DFC" w:rsidRPr="007F1283">
          <w:rPr>
            <w:noProof/>
            <w:webHidden/>
          </w:rPr>
          <w:tab/>
        </w:r>
        <w:r w:rsidR="00242DFC" w:rsidRPr="007F1283">
          <w:rPr>
            <w:noProof/>
            <w:webHidden/>
          </w:rPr>
          <w:fldChar w:fldCharType="begin"/>
        </w:r>
        <w:r w:rsidR="00242DFC" w:rsidRPr="007F1283">
          <w:rPr>
            <w:noProof/>
            <w:webHidden/>
          </w:rPr>
          <w:instrText xml:space="preserve"> PAGEREF _Toc133944251 \h </w:instrText>
        </w:r>
        <w:r w:rsidR="00242DFC" w:rsidRPr="007F1283">
          <w:rPr>
            <w:noProof/>
            <w:webHidden/>
          </w:rPr>
        </w:r>
        <w:r w:rsidR="00242DFC" w:rsidRPr="007F1283">
          <w:rPr>
            <w:noProof/>
            <w:webHidden/>
          </w:rPr>
          <w:fldChar w:fldCharType="separate"/>
        </w:r>
        <w:r>
          <w:rPr>
            <w:noProof/>
            <w:webHidden/>
          </w:rPr>
          <w:t>7</w:t>
        </w:r>
        <w:r w:rsidR="00242DFC" w:rsidRPr="007F1283">
          <w:rPr>
            <w:noProof/>
            <w:webHidden/>
          </w:rPr>
          <w:fldChar w:fldCharType="end"/>
        </w:r>
      </w:hyperlink>
    </w:p>
    <w:p w14:paraId="706166C2" w14:textId="7F84A535" w:rsidR="00242DFC" w:rsidRPr="007F1283" w:rsidRDefault="00FE2873">
      <w:pPr>
        <w:pStyle w:val="Obsah3"/>
        <w:tabs>
          <w:tab w:val="left" w:pos="1506"/>
        </w:tabs>
        <w:rPr>
          <w:rFonts w:eastAsiaTheme="minorEastAsia" w:cstheme="minorBidi"/>
          <w:noProof/>
          <w:color w:val="auto"/>
          <w:sz w:val="24"/>
          <w:szCs w:val="24"/>
          <w:lang w:eastAsia="en-GB"/>
        </w:rPr>
      </w:pPr>
      <w:hyperlink w:anchor="_Toc133944252" w:history="1">
        <w:r w:rsidR="00242DFC" w:rsidRPr="007F1283">
          <w:rPr>
            <w:rStyle w:val="Hypertextovodkaz"/>
            <w:noProof/>
          </w:rPr>
          <w:t>1.2.3</w:t>
        </w:r>
        <w:r w:rsidR="00242DFC" w:rsidRPr="007F1283">
          <w:rPr>
            <w:rFonts w:eastAsiaTheme="minorEastAsia" w:cstheme="minorBidi"/>
            <w:noProof/>
            <w:color w:val="auto"/>
            <w:sz w:val="24"/>
            <w:szCs w:val="24"/>
            <w:lang w:eastAsia="en-GB"/>
          </w:rPr>
          <w:tab/>
        </w:r>
        <w:r w:rsidR="00242DFC" w:rsidRPr="007F1283">
          <w:rPr>
            <w:rStyle w:val="Hypertextovodkaz"/>
            <w:noProof/>
          </w:rPr>
          <w:t>Deliverable 2 – Ad hoc support</w:t>
        </w:r>
        <w:r w:rsidR="00242DFC" w:rsidRPr="007F1283">
          <w:rPr>
            <w:noProof/>
            <w:webHidden/>
          </w:rPr>
          <w:tab/>
        </w:r>
        <w:r w:rsidR="00242DFC" w:rsidRPr="007F1283">
          <w:rPr>
            <w:noProof/>
            <w:webHidden/>
          </w:rPr>
          <w:fldChar w:fldCharType="begin"/>
        </w:r>
        <w:r w:rsidR="00242DFC" w:rsidRPr="007F1283">
          <w:rPr>
            <w:noProof/>
            <w:webHidden/>
          </w:rPr>
          <w:instrText xml:space="preserve"> PAGEREF _Toc133944252 \h </w:instrText>
        </w:r>
        <w:r w:rsidR="00242DFC" w:rsidRPr="007F1283">
          <w:rPr>
            <w:noProof/>
            <w:webHidden/>
          </w:rPr>
        </w:r>
        <w:r w:rsidR="00242DFC" w:rsidRPr="007F1283">
          <w:rPr>
            <w:noProof/>
            <w:webHidden/>
          </w:rPr>
          <w:fldChar w:fldCharType="separate"/>
        </w:r>
        <w:r>
          <w:rPr>
            <w:noProof/>
            <w:webHidden/>
          </w:rPr>
          <w:t>7</w:t>
        </w:r>
        <w:r w:rsidR="00242DFC" w:rsidRPr="007F1283">
          <w:rPr>
            <w:noProof/>
            <w:webHidden/>
          </w:rPr>
          <w:fldChar w:fldCharType="end"/>
        </w:r>
      </w:hyperlink>
    </w:p>
    <w:p w14:paraId="63B0106B" w14:textId="34684069" w:rsidR="00242DFC" w:rsidRPr="007F1283" w:rsidRDefault="00FE2873">
      <w:pPr>
        <w:pStyle w:val="Obsah3"/>
        <w:tabs>
          <w:tab w:val="left" w:pos="1506"/>
        </w:tabs>
        <w:rPr>
          <w:rFonts w:eastAsiaTheme="minorEastAsia" w:cstheme="minorBidi"/>
          <w:noProof/>
          <w:color w:val="auto"/>
          <w:sz w:val="24"/>
          <w:szCs w:val="24"/>
          <w:lang w:eastAsia="en-GB"/>
        </w:rPr>
      </w:pPr>
      <w:hyperlink w:anchor="_Toc133944253" w:history="1">
        <w:r w:rsidR="00242DFC" w:rsidRPr="007F1283">
          <w:rPr>
            <w:rStyle w:val="Hypertextovodkaz"/>
            <w:noProof/>
          </w:rPr>
          <w:t>1.2.4</w:t>
        </w:r>
        <w:r w:rsidR="00242DFC" w:rsidRPr="007F1283">
          <w:rPr>
            <w:rFonts w:eastAsiaTheme="minorEastAsia" w:cstheme="minorBidi"/>
            <w:noProof/>
            <w:color w:val="auto"/>
            <w:sz w:val="24"/>
            <w:szCs w:val="24"/>
            <w:lang w:eastAsia="en-GB"/>
          </w:rPr>
          <w:tab/>
        </w:r>
        <w:r w:rsidR="00242DFC" w:rsidRPr="007F1283">
          <w:rPr>
            <w:rStyle w:val="Hypertextovodkaz"/>
            <w:noProof/>
          </w:rPr>
          <w:t>Deliverable 3 – Webinars and lessons learned</w:t>
        </w:r>
        <w:r w:rsidR="00242DFC" w:rsidRPr="007F1283">
          <w:rPr>
            <w:noProof/>
            <w:webHidden/>
          </w:rPr>
          <w:tab/>
        </w:r>
        <w:r w:rsidR="00242DFC" w:rsidRPr="007F1283">
          <w:rPr>
            <w:noProof/>
            <w:webHidden/>
          </w:rPr>
          <w:fldChar w:fldCharType="begin"/>
        </w:r>
        <w:r w:rsidR="00242DFC" w:rsidRPr="007F1283">
          <w:rPr>
            <w:noProof/>
            <w:webHidden/>
          </w:rPr>
          <w:instrText xml:space="preserve"> PAGEREF _Toc133944253 \h </w:instrText>
        </w:r>
        <w:r w:rsidR="00242DFC" w:rsidRPr="007F1283">
          <w:rPr>
            <w:noProof/>
            <w:webHidden/>
          </w:rPr>
        </w:r>
        <w:r w:rsidR="00242DFC" w:rsidRPr="007F1283">
          <w:rPr>
            <w:noProof/>
            <w:webHidden/>
          </w:rPr>
          <w:fldChar w:fldCharType="separate"/>
        </w:r>
        <w:r>
          <w:rPr>
            <w:noProof/>
            <w:webHidden/>
          </w:rPr>
          <w:t>7</w:t>
        </w:r>
        <w:r w:rsidR="00242DFC" w:rsidRPr="007F1283">
          <w:rPr>
            <w:noProof/>
            <w:webHidden/>
          </w:rPr>
          <w:fldChar w:fldCharType="end"/>
        </w:r>
      </w:hyperlink>
    </w:p>
    <w:p w14:paraId="7472C118" w14:textId="0B9706B8" w:rsidR="00242DFC" w:rsidRPr="007F1283" w:rsidRDefault="00FE2873">
      <w:pPr>
        <w:pStyle w:val="Obsah2"/>
        <w:rPr>
          <w:rFonts w:eastAsiaTheme="minorEastAsia" w:cstheme="minorBidi"/>
          <w:b w:val="0"/>
          <w:bCs w:val="0"/>
          <w:noProof/>
          <w:color w:val="auto"/>
          <w:sz w:val="24"/>
          <w:szCs w:val="24"/>
          <w:lang w:eastAsia="en-GB"/>
        </w:rPr>
      </w:pPr>
      <w:hyperlink w:anchor="_Toc133944254" w:history="1">
        <w:r w:rsidR="00242DFC" w:rsidRPr="007F1283">
          <w:rPr>
            <w:rStyle w:val="Hypertextovodkaz"/>
            <w:noProof/>
          </w:rPr>
          <w:t>1.3</w:t>
        </w:r>
        <w:r w:rsidR="00242DFC" w:rsidRPr="007F1283">
          <w:rPr>
            <w:rFonts w:eastAsiaTheme="minorEastAsia" w:cstheme="minorBidi"/>
            <w:b w:val="0"/>
            <w:bCs w:val="0"/>
            <w:noProof/>
            <w:color w:val="auto"/>
            <w:sz w:val="24"/>
            <w:szCs w:val="24"/>
            <w:lang w:eastAsia="en-GB"/>
          </w:rPr>
          <w:tab/>
        </w:r>
        <w:r w:rsidR="00242DFC" w:rsidRPr="007F1283">
          <w:rPr>
            <w:rStyle w:val="Hypertextovodkaz"/>
            <w:noProof/>
          </w:rPr>
          <w:t>Methodology and approach for the Deliverable 4</w:t>
        </w:r>
        <w:r w:rsidR="00242DFC" w:rsidRPr="007F1283">
          <w:rPr>
            <w:noProof/>
            <w:webHidden/>
          </w:rPr>
          <w:tab/>
        </w:r>
        <w:r w:rsidR="00242DFC" w:rsidRPr="007F1283">
          <w:rPr>
            <w:noProof/>
            <w:webHidden/>
          </w:rPr>
          <w:fldChar w:fldCharType="begin"/>
        </w:r>
        <w:r w:rsidR="00242DFC" w:rsidRPr="007F1283">
          <w:rPr>
            <w:noProof/>
            <w:webHidden/>
          </w:rPr>
          <w:instrText xml:space="preserve"> PAGEREF _Toc133944254 \h </w:instrText>
        </w:r>
        <w:r w:rsidR="00242DFC" w:rsidRPr="007F1283">
          <w:rPr>
            <w:noProof/>
            <w:webHidden/>
          </w:rPr>
        </w:r>
        <w:r w:rsidR="00242DFC" w:rsidRPr="007F1283">
          <w:rPr>
            <w:noProof/>
            <w:webHidden/>
          </w:rPr>
          <w:fldChar w:fldCharType="separate"/>
        </w:r>
        <w:r>
          <w:rPr>
            <w:noProof/>
            <w:webHidden/>
          </w:rPr>
          <w:t>8</w:t>
        </w:r>
        <w:r w:rsidR="00242DFC" w:rsidRPr="007F1283">
          <w:rPr>
            <w:noProof/>
            <w:webHidden/>
          </w:rPr>
          <w:fldChar w:fldCharType="end"/>
        </w:r>
      </w:hyperlink>
    </w:p>
    <w:p w14:paraId="7166A8F5" w14:textId="07AFCD7D" w:rsidR="00242DFC" w:rsidRPr="007F1283" w:rsidRDefault="00FE2873">
      <w:pPr>
        <w:pStyle w:val="Obsah3"/>
        <w:tabs>
          <w:tab w:val="left" w:pos="1506"/>
        </w:tabs>
        <w:rPr>
          <w:rFonts w:eastAsiaTheme="minorEastAsia" w:cstheme="minorBidi"/>
          <w:noProof/>
          <w:color w:val="auto"/>
          <w:sz w:val="24"/>
          <w:szCs w:val="24"/>
          <w:lang w:eastAsia="en-GB"/>
        </w:rPr>
      </w:pPr>
      <w:hyperlink w:anchor="_Toc133944255" w:history="1">
        <w:r w:rsidR="00242DFC" w:rsidRPr="007F1283">
          <w:rPr>
            <w:rStyle w:val="Hypertextovodkaz"/>
            <w:noProof/>
          </w:rPr>
          <w:t>1.3.1</w:t>
        </w:r>
        <w:r w:rsidR="00242DFC" w:rsidRPr="007F1283">
          <w:rPr>
            <w:rFonts w:eastAsiaTheme="minorEastAsia" w:cstheme="minorBidi"/>
            <w:noProof/>
            <w:color w:val="auto"/>
            <w:sz w:val="24"/>
            <w:szCs w:val="24"/>
            <w:lang w:eastAsia="en-GB"/>
          </w:rPr>
          <w:tab/>
        </w:r>
        <w:r w:rsidR="00242DFC" w:rsidRPr="007F1283">
          <w:rPr>
            <w:rStyle w:val="Hypertextovodkaz"/>
            <w:noProof/>
          </w:rPr>
          <w:t>Investment types</w:t>
        </w:r>
        <w:r w:rsidR="00242DFC" w:rsidRPr="007F1283">
          <w:rPr>
            <w:noProof/>
            <w:webHidden/>
          </w:rPr>
          <w:tab/>
        </w:r>
        <w:r w:rsidR="00242DFC" w:rsidRPr="007F1283">
          <w:rPr>
            <w:noProof/>
            <w:webHidden/>
          </w:rPr>
          <w:fldChar w:fldCharType="begin"/>
        </w:r>
        <w:r w:rsidR="00242DFC" w:rsidRPr="007F1283">
          <w:rPr>
            <w:noProof/>
            <w:webHidden/>
          </w:rPr>
          <w:instrText xml:space="preserve"> PAGEREF _Toc133944255 \h </w:instrText>
        </w:r>
        <w:r w:rsidR="00242DFC" w:rsidRPr="007F1283">
          <w:rPr>
            <w:noProof/>
            <w:webHidden/>
          </w:rPr>
        </w:r>
        <w:r w:rsidR="00242DFC" w:rsidRPr="007F1283">
          <w:rPr>
            <w:noProof/>
            <w:webHidden/>
          </w:rPr>
          <w:fldChar w:fldCharType="separate"/>
        </w:r>
        <w:r>
          <w:rPr>
            <w:noProof/>
            <w:webHidden/>
          </w:rPr>
          <w:t>8</w:t>
        </w:r>
        <w:r w:rsidR="00242DFC" w:rsidRPr="007F1283">
          <w:rPr>
            <w:noProof/>
            <w:webHidden/>
          </w:rPr>
          <w:fldChar w:fldCharType="end"/>
        </w:r>
      </w:hyperlink>
    </w:p>
    <w:p w14:paraId="0A6CA6EF" w14:textId="66A21D62" w:rsidR="00242DFC" w:rsidRPr="007F1283" w:rsidRDefault="00FE2873">
      <w:pPr>
        <w:pStyle w:val="Obsah3"/>
        <w:tabs>
          <w:tab w:val="left" w:pos="1506"/>
        </w:tabs>
        <w:rPr>
          <w:rFonts w:eastAsiaTheme="minorEastAsia" w:cstheme="minorBidi"/>
          <w:noProof/>
          <w:color w:val="auto"/>
          <w:sz w:val="24"/>
          <w:szCs w:val="24"/>
          <w:lang w:eastAsia="en-GB"/>
        </w:rPr>
      </w:pPr>
      <w:hyperlink w:anchor="_Toc133944256" w:history="1">
        <w:r w:rsidR="00242DFC" w:rsidRPr="007F1283">
          <w:rPr>
            <w:rStyle w:val="Hypertextovodkaz"/>
            <w:noProof/>
          </w:rPr>
          <w:t>1.3.2</w:t>
        </w:r>
        <w:r w:rsidR="00242DFC" w:rsidRPr="007F1283">
          <w:rPr>
            <w:rFonts w:eastAsiaTheme="minorEastAsia" w:cstheme="minorBidi"/>
            <w:noProof/>
            <w:color w:val="auto"/>
            <w:sz w:val="24"/>
            <w:szCs w:val="24"/>
            <w:lang w:eastAsia="en-GB"/>
          </w:rPr>
          <w:tab/>
        </w:r>
        <w:r w:rsidR="00242DFC" w:rsidRPr="007F1283">
          <w:rPr>
            <w:rStyle w:val="Hypertextovodkaz"/>
            <w:noProof/>
          </w:rPr>
          <w:t>Categorisation based on investment types</w:t>
        </w:r>
        <w:r w:rsidR="00242DFC" w:rsidRPr="007F1283">
          <w:rPr>
            <w:noProof/>
            <w:webHidden/>
          </w:rPr>
          <w:tab/>
        </w:r>
        <w:r w:rsidR="00242DFC" w:rsidRPr="007F1283">
          <w:rPr>
            <w:noProof/>
            <w:webHidden/>
          </w:rPr>
          <w:fldChar w:fldCharType="begin"/>
        </w:r>
        <w:r w:rsidR="00242DFC" w:rsidRPr="007F1283">
          <w:rPr>
            <w:noProof/>
            <w:webHidden/>
          </w:rPr>
          <w:instrText xml:space="preserve"> PAGEREF _Toc133944256 \h </w:instrText>
        </w:r>
        <w:r w:rsidR="00242DFC" w:rsidRPr="007F1283">
          <w:rPr>
            <w:noProof/>
            <w:webHidden/>
          </w:rPr>
        </w:r>
        <w:r w:rsidR="00242DFC" w:rsidRPr="007F1283">
          <w:rPr>
            <w:noProof/>
            <w:webHidden/>
          </w:rPr>
          <w:fldChar w:fldCharType="separate"/>
        </w:r>
        <w:r>
          <w:rPr>
            <w:noProof/>
            <w:webHidden/>
          </w:rPr>
          <w:t>9</w:t>
        </w:r>
        <w:r w:rsidR="00242DFC" w:rsidRPr="007F1283">
          <w:rPr>
            <w:noProof/>
            <w:webHidden/>
          </w:rPr>
          <w:fldChar w:fldCharType="end"/>
        </w:r>
      </w:hyperlink>
    </w:p>
    <w:p w14:paraId="054CCFE8" w14:textId="772E10C8" w:rsidR="00242DFC" w:rsidRPr="007F1283" w:rsidRDefault="00FE2873">
      <w:pPr>
        <w:pStyle w:val="Obsah1"/>
        <w:rPr>
          <w:rFonts w:eastAsiaTheme="minorEastAsia"/>
          <w:b w:val="0"/>
          <w:bCs w:val="0"/>
          <w:noProof/>
          <w:color w:val="auto"/>
          <w:sz w:val="24"/>
          <w:lang w:eastAsia="en-GB"/>
        </w:rPr>
      </w:pPr>
      <w:hyperlink w:anchor="_Toc133944257" w:history="1">
        <w:r w:rsidR="00242DFC" w:rsidRPr="007F1283">
          <w:rPr>
            <w:rStyle w:val="Hypertextovodkaz"/>
            <w:noProof/>
          </w:rPr>
          <w:t>2</w:t>
        </w:r>
        <w:r w:rsidR="00242DFC" w:rsidRPr="007F1283">
          <w:rPr>
            <w:rFonts w:eastAsiaTheme="minorEastAsia"/>
            <w:b w:val="0"/>
            <w:bCs w:val="0"/>
            <w:noProof/>
            <w:color w:val="auto"/>
            <w:sz w:val="24"/>
            <w:lang w:eastAsia="en-GB"/>
          </w:rPr>
          <w:tab/>
        </w:r>
        <w:r w:rsidR="00242DFC" w:rsidRPr="007F1283">
          <w:rPr>
            <w:rStyle w:val="Hypertextovodkaz"/>
            <w:noProof/>
          </w:rPr>
          <w:t>Investment typology and categorisation</w:t>
        </w:r>
        <w:r w:rsidR="00242DFC" w:rsidRPr="007F1283">
          <w:rPr>
            <w:noProof/>
            <w:webHidden/>
          </w:rPr>
          <w:tab/>
        </w:r>
        <w:r w:rsidR="00242DFC" w:rsidRPr="007F1283">
          <w:rPr>
            <w:noProof/>
            <w:webHidden/>
          </w:rPr>
          <w:fldChar w:fldCharType="begin"/>
        </w:r>
        <w:r w:rsidR="00242DFC" w:rsidRPr="007F1283">
          <w:rPr>
            <w:noProof/>
            <w:webHidden/>
          </w:rPr>
          <w:instrText xml:space="preserve"> PAGEREF _Toc133944257 \h </w:instrText>
        </w:r>
        <w:r w:rsidR="00242DFC" w:rsidRPr="007F1283">
          <w:rPr>
            <w:noProof/>
            <w:webHidden/>
          </w:rPr>
        </w:r>
        <w:r w:rsidR="00242DFC" w:rsidRPr="007F1283">
          <w:rPr>
            <w:noProof/>
            <w:webHidden/>
          </w:rPr>
          <w:fldChar w:fldCharType="separate"/>
        </w:r>
        <w:r>
          <w:rPr>
            <w:noProof/>
            <w:webHidden/>
          </w:rPr>
          <w:t>10</w:t>
        </w:r>
        <w:r w:rsidR="00242DFC" w:rsidRPr="007F1283">
          <w:rPr>
            <w:noProof/>
            <w:webHidden/>
          </w:rPr>
          <w:fldChar w:fldCharType="end"/>
        </w:r>
      </w:hyperlink>
    </w:p>
    <w:p w14:paraId="6ED0A9C8" w14:textId="5ED0FA76" w:rsidR="00242DFC" w:rsidRPr="007F1283" w:rsidRDefault="00FE2873">
      <w:pPr>
        <w:pStyle w:val="Obsah2"/>
        <w:rPr>
          <w:rFonts w:eastAsiaTheme="minorEastAsia" w:cstheme="minorBidi"/>
          <w:b w:val="0"/>
          <w:bCs w:val="0"/>
          <w:noProof/>
          <w:color w:val="auto"/>
          <w:sz w:val="24"/>
          <w:szCs w:val="24"/>
          <w:lang w:eastAsia="en-GB"/>
        </w:rPr>
      </w:pPr>
      <w:hyperlink w:anchor="_Toc133944258" w:history="1">
        <w:r w:rsidR="00242DFC" w:rsidRPr="007F1283">
          <w:rPr>
            <w:rStyle w:val="Hypertextovodkaz"/>
            <w:noProof/>
          </w:rPr>
          <w:t>2.1</w:t>
        </w:r>
        <w:r w:rsidR="00242DFC" w:rsidRPr="007F1283">
          <w:rPr>
            <w:rFonts w:eastAsiaTheme="minorEastAsia" w:cstheme="minorBidi"/>
            <w:b w:val="0"/>
            <w:bCs w:val="0"/>
            <w:noProof/>
            <w:color w:val="auto"/>
            <w:sz w:val="24"/>
            <w:szCs w:val="24"/>
            <w:lang w:eastAsia="en-GB"/>
          </w:rPr>
          <w:tab/>
        </w:r>
        <w:r w:rsidR="00242DFC" w:rsidRPr="007F1283">
          <w:rPr>
            <w:rStyle w:val="Hypertextovodkaz"/>
            <w:noProof/>
          </w:rPr>
          <w:t>Investment types</w:t>
        </w:r>
        <w:r w:rsidR="00242DFC" w:rsidRPr="007F1283">
          <w:rPr>
            <w:noProof/>
            <w:webHidden/>
          </w:rPr>
          <w:tab/>
        </w:r>
        <w:r w:rsidR="00242DFC" w:rsidRPr="007F1283">
          <w:rPr>
            <w:noProof/>
            <w:webHidden/>
          </w:rPr>
          <w:fldChar w:fldCharType="begin"/>
        </w:r>
        <w:r w:rsidR="00242DFC" w:rsidRPr="007F1283">
          <w:rPr>
            <w:noProof/>
            <w:webHidden/>
          </w:rPr>
          <w:instrText xml:space="preserve"> PAGEREF _Toc133944258 \h </w:instrText>
        </w:r>
        <w:r w:rsidR="00242DFC" w:rsidRPr="007F1283">
          <w:rPr>
            <w:noProof/>
            <w:webHidden/>
          </w:rPr>
        </w:r>
        <w:r w:rsidR="00242DFC" w:rsidRPr="007F1283">
          <w:rPr>
            <w:noProof/>
            <w:webHidden/>
          </w:rPr>
          <w:fldChar w:fldCharType="separate"/>
        </w:r>
        <w:r>
          <w:rPr>
            <w:noProof/>
            <w:webHidden/>
          </w:rPr>
          <w:t>10</w:t>
        </w:r>
        <w:r w:rsidR="00242DFC" w:rsidRPr="007F1283">
          <w:rPr>
            <w:noProof/>
            <w:webHidden/>
          </w:rPr>
          <w:fldChar w:fldCharType="end"/>
        </w:r>
      </w:hyperlink>
    </w:p>
    <w:p w14:paraId="560E47D4" w14:textId="40D02400" w:rsidR="00242DFC" w:rsidRPr="007F1283" w:rsidRDefault="00FE2873">
      <w:pPr>
        <w:pStyle w:val="Obsah2"/>
        <w:rPr>
          <w:rFonts w:eastAsiaTheme="minorEastAsia" w:cstheme="minorBidi"/>
          <w:b w:val="0"/>
          <w:bCs w:val="0"/>
          <w:noProof/>
          <w:color w:val="auto"/>
          <w:sz w:val="24"/>
          <w:szCs w:val="24"/>
          <w:lang w:eastAsia="en-GB"/>
        </w:rPr>
      </w:pPr>
      <w:hyperlink w:anchor="_Toc133944259" w:history="1">
        <w:r w:rsidR="00242DFC" w:rsidRPr="007F1283">
          <w:rPr>
            <w:rStyle w:val="Hypertextovodkaz"/>
            <w:noProof/>
          </w:rPr>
          <w:t>2.2</w:t>
        </w:r>
        <w:r w:rsidR="00242DFC" w:rsidRPr="007F1283">
          <w:rPr>
            <w:rFonts w:eastAsiaTheme="minorEastAsia" w:cstheme="minorBidi"/>
            <w:b w:val="0"/>
            <w:bCs w:val="0"/>
            <w:noProof/>
            <w:color w:val="auto"/>
            <w:sz w:val="24"/>
            <w:szCs w:val="24"/>
            <w:lang w:eastAsia="en-GB"/>
          </w:rPr>
          <w:tab/>
        </w:r>
        <w:r w:rsidR="00242DFC" w:rsidRPr="007F1283">
          <w:rPr>
            <w:rStyle w:val="Hypertextovodkaz"/>
            <w:noProof/>
          </w:rPr>
          <w:t>Investment categorisation</w:t>
        </w:r>
        <w:r w:rsidR="00242DFC" w:rsidRPr="007F1283">
          <w:rPr>
            <w:noProof/>
            <w:webHidden/>
          </w:rPr>
          <w:tab/>
        </w:r>
        <w:r w:rsidR="00242DFC" w:rsidRPr="007F1283">
          <w:rPr>
            <w:noProof/>
            <w:webHidden/>
          </w:rPr>
          <w:fldChar w:fldCharType="begin"/>
        </w:r>
        <w:r w:rsidR="00242DFC" w:rsidRPr="007F1283">
          <w:rPr>
            <w:noProof/>
            <w:webHidden/>
          </w:rPr>
          <w:instrText xml:space="preserve"> PAGEREF _Toc133944259 \h </w:instrText>
        </w:r>
        <w:r w:rsidR="00242DFC" w:rsidRPr="007F1283">
          <w:rPr>
            <w:noProof/>
            <w:webHidden/>
          </w:rPr>
        </w:r>
        <w:r w:rsidR="00242DFC" w:rsidRPr="007F1283">
          <w:rPr>
            <w:noProof/>
            <w:webHidden/>
          </w:rPr>
          <w:fldChar w:fldCharType="separate"/>
        </w:r>
        <w:r>
          <w:rPr>
            <w:noProof/>
            <w:webHidden/>
          </w:rPr>
          <w:t>11</w:t>
        </w:r>
        <w:r w:rsidR="00242DFC" w:rsidRPr="007F1283">
          <w:rPr>
            <w:noProof/>
            <w:webHidden/>
          </w:rPr>
          <w:fldChar w:fldCharType="end"/>
        </w:r>
      </w:hyperlink>
    </w:p>
    <w:p w14:paraId="7CE678B0" w14:textId="40648A68" w:rsidR="00242DFC" w:rsidRPr="007F1283" w:rsidRDefault="00FE2873">
      <w:pPr>
        <w:pStyle w:val="Obsah2"/>
        <w:rPr>
          <w:rFonts w:eastAsiaTheme="minorEastAsia" w:cstheme="minorBidi"/>
          <w:b w:val="0"/>
          <w:bCs w:val="0"/>
          <w:noProof/>
          <w:color w:val="auto"/>
          <w:sz w:val="24"/>
          <w:szCs w:val="24"/>
          <w:lang w:eastAsia="en-GB"/>
        </w:rPr>
      </w:pPr>
      <w:hyperlink w:anchor="_Toc133944260" w:history="1">
        <w:r w:rsidR="00242DFC" w:rsidRPr="007F1283">
          <w:rPr>
            <w:rStyle w:val="Hypertextovodkaz"/>
            <w:noProof/>
          </w:rPr>
          <w:t>2.3</w:t>
        </w:r>
        <w:r w:rsidR="00242DFC" w:rsidRPr="007F1283">
          <w:rPr>
            <w:rFonts w:eastAsiaTheme="minorEastAsia" w:cstheme="minorBidi"/>
            <w:b w:val="0"/>
            <w:bCs w:val="0"/>
            <w:noProof/>
            <w:color w:val="auto"/>
            <w:sz w:val="24"/>
            <w:szCs w:val="24"/>
            <w:lang w:eastAsia="en-GB"/>
          </w:rPr>
          <w:tab/>
        </w:r>
        <w:r w:rsidR="00242DFC" w:rsidRPr="007F1283">
          <w:rPr>
            <w:rStyle w:val="Hypertextovodkaz"/>
            <w:noProof/>
          </w:rPr>
          <w:t>Interlinkages between the categories and the DNSH assessment in Czechia</w:t>
        </w:r>
        <w:r w:rsidR="00242DFC" w:rsidRPr="007F1283">
          <w:rPr>
            <w:noProof/>
            <w:webHidden/>
          </w:rPr>
          <w:tab/>
        </w:r>
        <w:r w:rsidR="00242DFC" w:rsidRPr="007F1283">
          <w:rPr>
            <w:noProof/>
            <w:webHidden/>
          </w:rPr>
          <w:fldChar w:fldCharType="begin"/>
        </w:r>
        <w:r w:rsidR="00242DFC" w:rsidRPr="007F1283">
          <w:rPr>
            <w:noProof/>
            <w:webHidden/>
          </w:rPr>
          <w:instrText xml:space="preserve"> PAGEREF _Toc133944260 \h </w:instrText>
        </w:r>
        <w:r w:rsidR="00242DFC" w:rsidRPr="007F1283">
          <w:rPr>
            <w:noProof/>
            <w:webHidden/>
          </w:rPr>
        </w:r>
        <w:r w:rsidR="00242DFC" w:rsidRPr="007F1283">
          <w:rPr>
            <w:noProof/>
            <w:webHidden/>
          </w:rPr>
          <w:fldChar w:fldCharType="separate"/>
        </w:r>
        <w:r>
          <w:rPr>
            <w:noProof/>
            <w:webHidden/>
          </w:rPr>
          <w:t>16</w:t>
        </w:r>
        <w:r w:rsidR="00242DFC" w:rsidRPr="007F1283">
          <w:rPr>
            <w:noProof/>
            <w:webHidden/>
          </w:rPr>
          <w:fldChar w:fldCharType="end"/>
        </w:r>
      </w:hyperlink>
    </w:p>
    <w:p w14:paraId="30B0EEA0" w14:textId="6DA55CD5" w:rsidR="00242DFC" w:rsidRPr="007F1283" w:rsidRDefault="00FE2873">
      <w:pPr>
        <w:pStyle w:val="Obsah1"/>
        <w:rPr>
          <w:rFonts w:eastAsiaTheme="minorEastAsia"/>
          <w:b w:val="0"/>
          <w:bCs w:val="0"/>
          <w:noProof/>
          <w:color w:val="auto"/>
          <w:sz w:val="24"/>
          <w:lang w:eastAsia="en-GB"/>
        </w:rPr>
      </w:pPr>
      <w:hyperlink w:anchor="_Toc133944261" w:history="1">
        <w:r w:rsidR="00242DFC" w:rsidRPr="007F1283">
          <w:rPr>
            <w:rStyle w:val="Hypertextovodkaz"/>
            <w:noProof/>
          </w:rPr>
          <w:t>3</w:t>
        </w:r>
        <w:r w:rsidR="00242DFC" w:rsidRPr="007F1283">
          <w:rPr>
            <w:rFonts w:eastAsiaTheme="minorEastAsia"/>
            <w:b w:val="0"/>
            <w:bCs w:val="0"/>
            <w:noProof/>
            <w:color w:val="auto"/>
            <w:sz w:val="24"/>
            <w:lang w:eastAsia="en-GB"/>
          </w:rPr>
          <w:tab/>
        </w:r>
        <w:r w:rsidR="00242DFC" w:rsidRPr="007F1283">
          <w:rPr>
            <w:rStyle w:val="Hypertextovodkaz"/>
            <w:noProof/>
          </w:rPr>
          <w:t>Fit-for-purpose recommendations</w:t>
        </w:r>
        <w:r w:rsidR="00242DFC" w:rsidRPr="007F1283">
          <w:rPr>
            <w:noProof/>
            <w:webHidden/>
          </w:rPr>
          <w:tab/>
        </w:r>
        <w:r w:rsidR="00242DFC" w:rsidRPr="007F1283">
          <w:rPr>
            <w:noProof/>
            <w:webHidden/>
          </w:rPr>
          <w:fldChar w:fldCharType="begin"/>
        </w:r>
        <w:r w:rsidR="00242DFC" w:rsidRPr="007F1283">
          <w:rPr>
            <w:noProof/>
            <w:webHidden/>
          </w:rPr>
          <w:instrText xml:space="preserve"> PAGEREF _Toc133944261 \h </w:instrText>
        </w:r>
        <w:r w:rsidR="00242DFC" w:rsidRPr="007F1283">
          <w:rPr>
            <w:noProof/>
            <w:webHidden/>
          </w:rPr>
        </w:r>
        <w:r w:rsidR="00242DFC" w:rsidRPr="007F1283">
          <w:rPr>
            <w:noProof/>
            <w:webHidden/>
          </w:rPr>
          <w:fldChar w:fldCharType="separate"/>
        </w:r>
        <w:r>
          <w:rPr>
            <w:noProof/>
            <w:webHidden/>
          </w:rPr>
          <w:t>18</w:t>
        </w:r>
        <w:r w:rsidR="00242DFC" w:rsidRPr="007F1283">
          <w:rPr>
            <w:noProof/>
            <w:webHidden/>
          </w:rPr>
          <w:fldChar w:fldCharType="end"/>
        </w:r>
      </w:hyperlink>
    </w:p>
    <w:p w14:paraId="0EBF3F2D" w14:textId="75627D83" w:rsidR="00242DFC" w:rsidRPr="007F1283" w:rsidRDefault="00FE2873">
      <w:pPr>
        <w:pStyle w:val="Obsah2"/>
        <w:rPr>
          <w:rFonts w:eastAsiaTheme="minorEastAsia" w:cstheme="minorBidi"/>
          <w:b w:val="0"/>
          <w:bCs w:val="0"/>
          <w:noProof/>
          <w:color w:val="auto"/>
          <w:sz w:val="24"/>
          <w:szCs w:val="24"/>
          <w:lang w:eastAsia="en-GB"/>
        </w:rPr>
      </w:pPr>
      <w:hyperlink w:anchor="_Toc133944262" w:history="1">
        <w:r w:rsidR="00242DFC" w:rsidRPr="007F1283">
          <w:rPr>
            <w:rStyle w:val="Hypertextovodkaz"/>
            <w:noProof/>
          </w:rPr>
          <w:t>3.1</w:t>
        </w:r>
        <w:r w:rsidR="00242DFC" w:rsidRPr="007F1283">
          <w:rPr>
            <w:rFonts w:eastAsiaTheme="minorEastAsia" w:cstheme="minorBidi"/>
            <w:b w:val="0"/>
            <w:bCs w:val="0"/>
            <w:noProof/>
            <w:color w:val="auto"/>
            <w:sz w:val="24"/>
            <w:szCs w:val="24"/>
            <w:lang w:eastAsia="en-GB"/>
          </w:rPr>
          <w:tab/>
        </w:r>
        <w:r w:rsidR="00242DFC" w:rsidRPr="007F1283">
          <w:rPr>
            <w:rStyle w:val="Hypertextovodkaz"/>
            <w:noProof/>
          </w:rPr>
          <w:t>Basis for recommendations on the structure and approach to guidance</w:t>
        </w:r>
        <w:r w:rsidR="00242DFC" w:rsidRPr="007F1283">
          <w:rPr>
            <w:noProof/>
            <w:webHidden/>
          </w:rPr>
          <w:tab/>
        </w:r>
        <w:r w:rsidR="00242DFC" w:rsidRPr="007F1283">
          <w:rPr>
            <w:noProof/>
            <w:webHidden/>
          </w:rPr>
          <w:fldChar w:fldCharType="begin"/>
        </w:r>
        <w:r w:rsidR="00242DFC" w:rsidRPr="007F1283">
          <w:rPr>
            <w:noProof/>
            <w:webHidden/>
          </w:rPr>
          <w:instrText xml:space="preserve"> PAGEREF _Toc133944262 \h </w:instrText>
        </w:r>
        <w:r w:rsidR="00242DFC" w:rsidRPr="007F1283">
          <w:rPr>
            <w:noProof/>
            <w:webHidden/>
          </w:rPr>
        </w:r>
        <w:r w:rsidR="00242DFC" w:rsidRPr="007F1283">
          <w:rPr>
            <w:noProof/>
            <w:webHidden/>
          </w:rPr>
          <w:fldChar w:fldCharType="separate"/>
        </w:r>
        <w:r>
          <w:rPr>
            <w:noProof/>
            <w:webHidden/>
          </w:rPr>
          <w:t>18</w:t>
        </w:r>
        <w:r w:rsidR="00242DFC" w:rsidRPr="007F1283">
          <w:rPr>
            <w:noProof/>
            <w:webHidden/>
          </w:rPr>
          <w:fldChar w:fldCharType="end"/>
        </w:r>
      </w:hyperlink>
    </w:p>
    <w:p w14:paraId="59E76D06" w14:textId="6DF6C89E" w:rsidR="00242DFC" w:rsidRPr="007F1283" w:rsidRDefault="00FE2873">
      <w:pPr>
        <w:pStyle w:val="Obsah2"/>
        <w:rPr>
          <w:rFonts w:eastAsiaTheme="minorEastAsia" w:cstheme="minorBidi"/>
          <w:b w:val="0"/>
          <w:bCs w:val="0"/>
          <w:noProof/>
          <w:color w:val="auto"/>
          <w:sz w:val="24"/>
          <w:szCs w:val="24"/>
          <w:lang w:eastAsia="en-GB"/>
        </w:rPr>
      </w:pPr>
      <w:hyperlink w:anchor="_Toc133944263" w:history="1">
        <w:r w:rsidR="00242DFC" w:rsidRPr="007F1283">
          <w:rPr>
            <w:rStyle w:val="Hypertextovodkaz"/>
            <w:noProof/>
          </w:rPr>
          <w:t>3.2</w:t>
        </w:r>
        <w:r w:rsidR="00242DFC" w:rsidRPr="007F1283">
          <w:rPr>
            <w:rFonts w:eastAsiaTheme="minorEastAsia" w:cstheme="minorBidi"/>
            <w:b w:val="0"/>
            <w:bCs w:val="0"/>
            <w:noProof/>
            <w:color w:val="auto"/>
            <w:sz w:val="24"/>
            <w:szCs w:val="24"/>
            <w:lang w:eastAsia="en-GB"/>
          </w:rPr>
          <w:tab/>
        </w:r>
        <w:r w:rsidR="00242DFC" w:rsidRPr="007F1283">
          <w:rPr>
            <w:rStyle w:val="Hypertextovodkaz"/>
            <w:noProof/>
          </w:rPr>
          <w:t>Recommended DNSH assessment steps</w:t>
        </w:r>
        <w:r w:rsidR="00242DFC" w:rsidRPr="007F1283">
          <w:rPr>
            <w:noProof/>
            <w:webHidden/>
          </w:rPr>
          <w:tab/>
        </w:r>
        <w:r w:rsidR="00242DFC" w:rsidRPr="007F1283">
          <w:rPr>
            <w:noProof/>
            <w:webHidden/>
          </w:rPr>
          <w:fldChar w:fldCharType="begin"/>
        </w:r>
        <w:r w:rsidR="00242DFC" w:rsidRPr="007F1283">
          <w:rPr>
            <w:noProof/>
            <w:webHidden/>
          </w:rPr>
          <w:instrText xml:space="preserve"> PAGEREF _Toc133944263 \h </w:instrText>
        </w:r>
        <w:r w:rsidR="00242DFC" w:rsidRPr="007F1283">
          <w:rPr>
            <w:noProof/>
            <w:webHidden/>
          </w:rPr>
        </w:r>
        <w:r w:rsidR="00242DFC" w:rsidRPr="007F1283">
          <w:rPr>
            <w:noProof/>
            <w:webHidden/>
          </w:rPr>
          <w:fldChar w:fldCharType="separate"/>
        </w:r>
        <w:r>
          <w:rPr>
            <w:noProof/>
            <w:webHidden/>
          </w:rPr>
          <w:t>19</w:t>
        </w:r>
        <w:r w:rsidR="00242DFC" w:rsidRPr="007F1283">
          <w:rPr>
            <w:noProof/>
            <w:webHidden/>
          </w:rPr>
          <w:fldChar w:fldCharType="end"/>
        </w:r>
      </w:hyperlink>
    </w:p>
    <w:p w14:paraId="1E4E6A8E" w14:textId="25B5D2FA" w:rsidR="00242DFC" w:rsidRPr="007F1283" w:rsidRDefault="00FE2873">
      <w:pPr>
        <w:pStyle w:val="Obsah3"/>
        <w:tabs>
          <w:tab w:val="left" w:pos="1506"/>
        </w:tabs>
        <w:rPr>
          <w:rFonts w:eastAsiaTheme="minorEastAsia" w:cstheme="minorBidi"/>
          <w:noProof/>
          <w:color w:val="auto"/>
          <w:sz w:val="24"/>
          <w:szCs w:val="24"/>
          <w:lang w:eastAsia="en-GB"/>
        </w:rPr>
      </w:pPr>
      <w:hyperlink w:anchor="_Toc133944264" w:history="1">
        <w:r w:rsidR="00242DFC" w:rsidRPr="007F1283">
          <w:rPr>
            <w:rStyle w:val="Hypertextovodkaz"/>
            <w:noProof/>
          </w:rPr>
          <w:t>3.2.1</w:t>
        </w:r>
        <w:r w:rsidR="00242DFC" w:rsidRPr="007F1283">
          <w:rPr>
            <w:rFonts w:eastAsiaTheme="minorEastAsia" w:cstheme="minorBidi"/>
            <w:noProof/>
            <w:color w:val="auto"/>
            <w:sz w:val="24"/>
            <w:szCs w:val="24"/>
            <w:lang w:eastAsia="en-GB"/>
          </w:rPr>
          <w:tab/>
        </w:r>
        <w:r w:rsidR="00242DFC" w:rsidRPr="007F1283">
          <w:rPr>
            <w:rStyle w:val="Hypertextovodkaz"/>
            <w:noProof/>
          </w:rPr>
          <w:t>Stages of the DNSH assessment and key parameters</w:t>
        </w:r>
        <w:r w:rsidR="00242DFC" w:rsidRPr="007F1283">
          <w:rPr>
            <w:noProof/>
            <w:webHidden/>
          </w:rPr>
          <w:tab/>
        </w:r>
        <w:r w:rsidR="00242DFC" w:rsidRPr="007F1283">
          <w:rPr>
            <w:noProof/>
            <w:webHidden/>
          </w:rPr>
          <w:fldChar w:fldCharType="begin"/>
        </w:r>
        <w:r w:rsidR="00242DFC" w:rsidRPr="007F1283">
          <w:rPr>
            <w:noProof/>
            <w:webHidden/>
          </w:rPr>
          <w:instrText xml:space="preserve"> PAGEREF _Toc133944264 \h </w:instrText>
        </w:r>
        <w:r w:rsidR="00242DFC" w:rsidRPr="007F1283">
          <w:rPr>
            <w:noProof/>
            <w:webHidden/>
          </w:rPr>
        </w:r>
        <w:r w:rsidR="00242DFC" w:rsidRPr="007F1283">
          <w:rPr>
            <w:noProof/>
            <w:webHidden/>
          </w:rPr>
          <w:fldChar w:fldCharType="separate"/>
        </w:r>
        <w:r>
          <w:rPr>
            <w:noProof/>
            <w:webHidden/>
          </w:rPr>
          <w:t>19</w:t>
        </w:r>
        <w:r w:rsidR="00242DFC" w:rsidRPr="007F1283">
          <w:rPr>
            <w:noProof/>
            <w:webHidden/>
          </w:rPr>
          <w:fldChar w:fldCharType="end"/>
        </w:r>
      </w:hyperlink>
    </w:p>
    <w:p w14:paraId="415A883A" w14:textId="7924C20E" w:rsidR="00242DFC" w:rsidRPr="007F1283" w:rsidRDefault="00FE2873">
      <w:pPr>
        <w:pStyle w:val="Obsah2"/>
        <w:rPr>
          <w:rFonts w:eastAsiaTheme="minorEastAsia" w:cstheme="minorBidi"/>
          <w:b w:val="0"/>
          <w:bCs w:val="0"/>
          <w:noProof/>
          <w:color w:val="auto"/>
          <w:sz w:val="24"/>
          <w:szCs w:val="24"/>
          <w:lang w:eastAsia="en-GB"/>
        </w:rPr>
      </w:pPr>
      <w:hyperlink w:anchor="_Toc133944265" w:history="1">
        <w:r w:rsidR="00242DFC" w:rsidRPr="007F1283">
          <w:rPr>
            <w:rStyle w:val="Hypertextovodkaz"/>
            <w:noProof/>
          </w:rPr>
          <w:t>3.3</w:t>
        </w:r>
        <w:r w:rsidR="00242DFC" w:rsidRPr="007F1283">
          <w:rPr>
            <w:rFonts w:eastAsiaTheme="minorEastAsia" w:cstheme="minorBidi"/>
            <w:b w:val="0"/>
            <w:bCs w:val="0"/>
            <w:noProof/>
            <w:color w:val="auto"/>
            <w:sz w:val="24"/>
            <w:szCs w:val="24"/>
            <w:lang w:eastAsia="en-GB"/>
          </w:rPr>
          <w:tab/>
        </w:r>
        <w:r w:rsidR="00242DFC" w:rsidRPr="007F1283">
          <w:rPr>
            <w:rStyle w:val="Hypertextovodkaz"/>
            <w:noProof/>
          </w:rPr>
          <w:t>Recommendations for guidelines contents and clarity</w:t>
        </w:r>
        <w:r w:rsidR="00242DFC" w:rsidRPr="007F1283">
          <w:rPr>
            <w:noProof/>
            <w:webHidden/>
          </w:rPr>
          <w:tab/>
        </w:r>
        <w:r w:rsidR="00242DFC" w:rsidRPr="007F1283">
          <w:rPr>
            <w:noProof/>
            <w:webHidden/>
          </w:rPr>
          <w:fldChar w:fldCharType="begin"/>
        </w:r>
        <w:r w:rsidR="00242DFC" w:rsidRPr="007F1283">
          <w:rPr>
            <w:noProof/>
            <w:webHidden/>
          </w:rPr>
          <w:instrText xml:space="preserve"> PAGEREF _Toc133944265 \h </w:instrText>
        </w:r>
        <w:r w:rsidR="00242DFC" w:rsidRPr="007F1283">
          <w:rPr>
            <w:noProof/>
            <w:webHidden/>
          </w:rPr>
        </w:r>
        <w:r w:rsidR="00242DFC" w:rsidRPr="007F1283">
          <w:rPr>
            <w:noProof/>
            <w:webHidden/>
          </w:rPr>
          <w:fldChar w:fldCharType="separate"/>
        </w:r>
        <w:r>
          <w:rPr>
            <w:noProof/>
            <w:webHidden/>
          </w:rPr>
          <w:t>21</w:t>
        </w:r>
        <w:r w:rsidR="00242DFC" w:rsidRPr="007F1283">
          <w:rPr>
            <w:noProof/>
            <w:webHidden/>
          </w:rPr>
          <w:fldChar w:fldCharType="end"/>
        </w:r>
      </w:hyperlink>
    </w:p>
    <w:p w14:paraId="4928ED37" w14:textId="2D0FA7AB" w:rsidR="00242DFC" w:rsidRPr="007F1283" w:rsidRDefault="00FE2873">
      <w:pPr>
        <w:pStyle w:val="Obsah1"/>
        <w:rPr>
          <w:rFonts w:eastAsiaTheme="minorEastAsia"/>
          <w:b w:val="0"/>
          <w:bCs w:val="0"/>
          <w:noProof/>
          <w:color w:val="auto"/>
          <w:sz w:val="24"/>
          <w:lang w:eastAsia="en-GB"/>
        </w:rPr>
      </w:pPr>
      <w:hyperlink w:anchor="_Toc133944266" w:history="1">
        <w:r w:rsidR="00242DFC" w:rsidRPr="007F1283">
          <w:rPr>
            <w:rStyle w:val="Hypertextovodkaz"/>
            <w:noProof/>
          </w:rPr>
          <w:t>4 Conclusion and implications for DLV 5</w:t>
        </w:r>
        <w:r w:rsidR="00242DFC" w:rsidRPr="007F1283">
          <w:rPr>
            <w:noProof/>
            <w:webHidden/>
          </w:rPr>
          <w:tab/>
        </w:r>
        <w:r w:rsidR="00242DFC" w:rsidRPr="007F1283">
          <w:rPr>
            <w:noProof/>
            <w:webHidden/>
          </w:rPr>
          <w:fldChar w:fldCharType="begin"/>
        </w:r>
        <w:r w:rsidR="00242DFC" w:rsidRPr="007F1283">
          <w:rPr>
            <w:noProof/>
            <w:webHidden/>
          </w:rPr>
          <w:instrText xml:space="preserve"> PAGEREF _Toc133944266 \h </w:instrText>
        </w:r>
        <w:r w:rsidR="00242DFC" w:rsidRPr="007F1283">
          <w:rPr>
            <w:noProof/>
            <w:webHidden/>
          </w:rPr>
        </w:r>
        <w:r w:rsidR="00242DFC" w:rsidRPr="007F1283">
          <w:rPr>
            <w:noProof/>
            <w:webHidden/>
          </w:rPr>
          <w:fldChar w:fldCharType="separate"/>
        </w:r>
        <w:r>
          <w:rPr>
            <w:noProof/>
            <w:webHidden/>
          </w:rPr>
          <w:t>25</w:t>
        </w:r>
        <w:r w:rsidR="00242DFC" w:rsidRPr="007F1283">
          <w:rPr>
            <w:noProof/>
            <w:webHidden/>
          </w:rPr>
          <w:fldChar w:fldCharType="end"/>
        </w:r>
      </w:hyperlink>
    </w:p>
    <w:p w14:paraId="42213025" w14:textId="3378086A" w:rsidR="00242DFC" w:rsidRPr="007F1283" w:rsidRDefault="00FE2873">
      <w:pPr>
        <w:pStyle w:val="Obsah1"/>
        <w:rPr>
          <w:rFonts w:eastAsiaTheme="minorEastAsia"/>
          <w:b w:val="0"/>
          <w:bCs w:val="0"/>
          <w:noProof/>
          <w:color w:val="auto"/>
          <w:sz w:val="24"/>
          <w:lang w:eastAsia="en-GB"/>
        </w:rPr>
      </w:pPr>
      <w:hyperlink w:anchor="_Toc133944267" w:history="1">
        <w:r w:rsidR="00242DFC" w:rsidRPr="007F1283">
          <w:rPr>
            <w:rStyle w:val="Hypertextovodkaz"/>
            <w:noProof/>
          </w:rPr>
          <w:t>Annex A List of programmes’ priorities &amp; specific objectives</w:t>
        </w:r>
        <w:r w:rsidR="00242DFC" w:rsidRPr="007F1283">
          <w:rPr>
            <w:noProof/>
            <w:webHidden/>
          </w:rPr>
          <w:tab/>
        </w:r>
        <w:r w:rsidR="00242DFC" w:rsidRPr="007F1283">
          <w:rPr>
            <w:noProof/>
            <w:webHidden/>
          </w:rPr>
          <w:fldChar w:fldCharType="begin"/>
        </w:r>
        <w:r w:rsidR="00242DFC" w:rsidRPr="007F1283">
          <w:rPr>
            <w:noProof/>
            <w:webHidden/>
          </w:rPr>
          <w:instrText xml:space="preserve"> PAGEREF _Toc133944267 \h </w:instrText>
        </w:r>
        <w:r w:rsidR="00242DFC" w:rsidRPr="007F1283">
          <w:rPr>
            <w:noProof/>
            <w:webHidden/>
          </w:rPr>
        </w:r>
        <w:r w:rsidR="00242DFC" w:rsidRPr="007F1283">
          <w:rPr>
            <w:noProof/>
            <w:webHidden/>
          </w:rPr>
          <w:fldChar w:fldCharType="separate"/>
        </w:r>
        <w:r>
          <w:rPr>
            <w:noProof/>
            <w:webHidden/>
          </w:rPr>
          <w:t>26</w:t>
        </w:r>
        <w:r w:rsidR="00242DFC" w:rsidRPr="007F1283">
          <w:rPr>
            <w:noProof/>
            <w:webHidden/>
          </w:rPr>
          <w:fldChar w:fldCharType="end"/>
        </w:r>
      </w:hyperlink>
    </w:p>
    <w:p w14:paraId="0E40DB21" w14:textId="37C999CE" w:rsidR="00242DFC" w:rsidRPr="007F1283" w:rsidRDefault="00FE2873">
      <w:pPr>
        <w:pStyle w:val="Obsah1"/>
        <w:rPr>
          <w:rFonts w:eastAsiaTheme="minorEastAsia"/>
          <w:b w:val="0"/>
          <w:bCs w:val="0"/>
          <w:noProof/>
          <w:color w:val="auto"/>
          <w:sz w:val="24"/>
          <w:lang w:eastAsia="en-GB"/>
        </w:rPr>
      </w:pPr>
      <w:hyperlink w:anchor="_Toc133944268" w:history="1">
        <w:r w:rsidR="00242DFC" w:rsidRPr="007F1283">
          <w:rPr>
            <w:rStyle w:val="Hypertextovodkaz"/>
            <w:noProof/>
          </w:rPr>
          <w:t>Annex B Main considerations in the DNSH assessment</w:t>
        </w:r>
        <w:r w:rsidR="00242DFC" w:rsidRPr="007F1283">
          <w:rPr>
            <w:noProof/>
            <w:webHidden/>
          </w:rPr>
          <w:tab/>
        </w:r>
        <w:r w:rsidR="00242DFC" w:rsidRPr="007F1283">
          <w:rPr>
            <w:noProof/>
            <w:webHidden/>
          </w:rPr>
          <w:fldChar w:fldCharType="begin"/>
        </w:r>
        <w:r w:rsidR="00242DFC" w:rsidRPr="007F1283">
          <w:rPr>
            <w:noProof/>
            <w:webHidden/>
          </w:rPr>
          <w:instrText xml:space="preserve"> PAGEREF _Toc133944268 \h </w:instrText>
        </w:r>
        <w:r w:rsidR="00242DFC" w:rsidRPr="007F1283">
          <w:rPr>
            <w:noProof/>
            <w:webHidden/>
          </w:rPr>
        </w:r>
        <w:r w:rsidR="00242DFC" w:rsidRPr="007F1283">
          <w:rPr>
            <w:noProof/>
            <w:webHidden/>
          </w:rPr>
          <w:fldChar w:fldCharType="separate"/>
        </w:r>
        <w:r>
          <w:rPr>
            <w:noProof/>
            <w:webHidden/>
          </w:rPr>
          <w:t>30</w:t>
        </w:r>
        <w:r w:rsidR="00242DFC" w:rsidRPr="007F1283">
          <w:rPr>
            <w:noProof/>
            <w:webHidden/>
          </w:rPr>
          <w:fldChar w:fldCharType="end"/>
        </w:r>
      </w:hyperlink>
    </w:p>
    <w:p w14:paraId="692332BD" w14:textId="42854CC9" w:rsidR="00242DFC" w:rsidRPr="007F1283" w:rsidRDefault="00FE2873">
      <w:pPr>
        <w:pStyle w:val="Obsah1"/>
        <w:rPr>
          <w:rFonts w:eastAsiaTheme="minorEastAsia"/>
          <w:b w:val="0"/>
          <w:bCs w:val="0"/>
          <w:noProof/>
          <w:color w:val="auto"/>
          <w:sz w:val="24"/>
          <w:lang w:eastAsia="en-GB"/>
        </w:rPr>
      </w:pPr>
      <w:hyperlink w:anchor="_Toc133944269" w:history="1">
        <w:r w:rsidR="00242DFC" w:rsidRPr="007F1283">
          <w:rPr>
            <w:rStyle w:val="Hypertextovodkaz"/>
            <w:noProof/>
          </w:rPr>
          <w:t>Annex C Example of application of the recommended approach</w:t>
        </w:r>
        <w:r w:rsidR="00242DFC" w:rsidRPr="007F1283">
          <w:rPr>
            <w:noProof/>
            <w:webHidden/>
          </w:rPr>
          <w:tab/>
        </w:r>
        <w:r w:rsidR="00242DFC" w:rsidRPr="007F1283">
          <w:rPr>
            <w:noProof/>
            <w:webHidden/>
          </w:rPr>
          <w:fldChar w:fldCharType="begin"/>
        </w:r>
        <w:r w:rsidR="00242DFC" w:rsidRPr="007F1283">
          <w:rPr>
            <w:noProof/>
            <w:webHidden/>
          </w:rPr>
          <w:instrText xml:space="preserve"> PAGEREF _Toc133944269 \h </w:instrText>
        </w:r>
        <w:r w:rsidR="00242DFC" w:rsidRPr="007F1283">
          <w:rPr>
            <w:noProof/>
            <w:webHidden/>
          </w:rPr>
        </w:r>
        <w:r w:rsidR="00242DFC" w:rsidRPr="007F1283">
          <w:rPr>
            <w:noProof/>
            <w:webHidden/>
          </w:rPr>
          <w:fldChar w:fldCharType="separate"/>
        </w:r>
        <w:r>
          <w:rPr>
            <w:noProof/>
            <w:webHidden/>
          </w:rPr>
          <w:t>32</w:t>
        </w:r>
        <w:r w:rsidR="00242DFC" w:rsidRPr="007F1283">
          <w:rPr>
            <w:noProof/>
            <w:webHidden/>
          </w:rPr>
          <w:fldChar w:fldCharType="end"/>
        </w:r>
      </w:hyperlink>
    </w:p>
    <w:p w14:paraId="689D053E" w14:textId="065E6DE1" w:rsidR="002A41AB" w:rsidRPr="007F1283" w:rsidRDefault="00DB51A2" w:rsidP="008059BC">
      <w:pPr>
        <w:rPr>
          <w:color w:val="005962"/>
          <w:sz w:val="28"/>
          <w:szCs w:val="24"/>
        </w:rPr>
      </w:pPr>
      <w:r w:rsidRPr="007F1283">
        <w:rPr>
          <w:color w:val="005962"/>
          <w:sz w:val="28"/>
          <w:szCs w:val="24"/>
        </w:rPr>
        <w:fldChar w:fldCharType="end"/>
      </w:r>
      <w:r w:rsidR="006E0971" w:rsidRPr="007F1283">
        <w:rPr>
          <w:color w:val="005962"/>
          <w:sz w:val="28"/>
          <w:szCs w:val="24"/>
        </w:rPr>
        <w:br w:type="page"/>
      </w:r>
    </w:p>
    <w:p w14:paraId="2E318690" w14:textId="5976325C" w:rsidR="00D900DC" w:rsidRPr="007F1283" w:rsidRDefault="00947669" w:rsidP="002022F4">
      <w:pPr>
        <w:pStyle w:val="Nadpis1"/>
      </w:pPr>
      <w:bookmarkStart w:id="1" w:name="_Toc391301430"/>
      <w:bookmarkStart w:id="2" w:name="_Toc391301432"/>
      <w:bookmarkStart w:id="3" w:name="_Toc429057985"/>
      <w:bookmarkStart w:id="4" w:name="_Toc429670905"/>
      <w:bookmarkStart w:id="5" w:name="_Toc133944247"/>
      <w:bookmarkEnd w:id="1"/>
      <w:bookmarkEnd w:id="2"/>
      <w:bookmarkEnd w:id="3"/>
      <w:bookmarkEnd w:id="4"/>
      <w:r w:rsidRPr="007F1283">
        <w:lastRenderedPageBreak/>
        <w:t>Introduction</w:t>
      </w:r>
      <w:bookmarkEnd w:id="5"/>
    </w:p>
    <w:p w14:paraId="043980C1" w14:textId="73B961BE" w:rsidR="002B1CFE" w:rsidRPr="007F1283" w:rsidRDefault="002B1CFE" w:rsidP="002B1CFE">
      <w:pPr>
        <w:pStyle w:val="Nadpis2"/>
        <w:ind w:firstLine="0"/>
      </w:pPr>
      <w:bookmarkStart w:id="6" w:name="_Toc123566332"/>
      <w:bookmarkStart w:id="7" w:name="_Toc123570671"/>
      <w:bookmarkStart w:id="8" w:name="_Toc133944248"/>
      <w:r w:rsidRPr="007F1283">
        <w:t>Objective</w:t>
      </w:r>
      <w:r w:rsidR="007F06FE" w:rsidRPr="007F1283">
        <w:t xml:space="preserve"> of </w:t>
      </w:r>
      <w:r w:rsidRPr="007F1283">
        <w:t>Deliverable</w:t>
      </w:r>
      <w:bookmarkEnd w:id="6"/>
      <w:bookmarkEnd w:id="7"/>
      <w:r w:rsidR="007F06FE" w:rsidRPr="007F1283">
        <w:t xml:space="preserve"> 4</w:t>
      </w:r>
      <w:bookmarkEnd w:id="8"/>
    </w:p>
    <w:p w14:paraId="6304774B" w14:textId="17807B43" w:rsidR="00D12904" w:rsidRPr="007F1283" w:rsidRDefault="00D12904" w:rsidP="00D12904">
      <w:r w:rsidRPr="007F1283">
        <w:t xml:space="preserve">The objective </w:t>
      </w:r>
      <w:r w:rsidR="7B4B8803" w:rsidRPr="007F1283">
        <w:t>of</w:t>
      </w:r>
      <w:r w:rsidR="3B2D4129" w:rsidRPr="007F1283">
        <w:t xml:space="preserve"> </w:t>
      </w:r>
      <w:r w:rsidR="00EF5D79" w:rsidRPr="007F1283">
        <w:t>Deliverable 4</w:t>
      </w:r>
      <w:r w:rsidR="00534FB4" w:rsidRPr="007F1283">
        <w:t xml:space="preserve"> (</w:t>
      </w:r>
      <w:r w:rsidR="19D692FB" w:rsidRPr="007F1283">
        <w:t>DLV4</w:t>
      </w:r>
      <w:r w:rsidR="1FCB326E" w:rsidRPr="007F1283">
        <w:t>)</w:t>
      </w:r>
      <w:r w:rsidRPr="007F1283">
        <w:t xml:space="preserve"> is to compile a set of fit-for-purpose recommendations for potential revisions, amendments or additions to supplement the existing guidance on the application of the </w:t>
      </w:r>
      <w:r w:rsidR="00BA5A56" w:rsidRPr="007F1283">
        <w:t>“Do no sig</w:t>
      </w:r>
      <w:r w:rsidR="000A27C1" w:rsidRPr="007F1283">
        <w:t>nificant harm” (</w:t>
      </w:r>
      <w:r w:rsidRPr="007F1283">
        <w:t>DNSH</w:t>
      </w:r>
      <w:r w:rsidR="000A27C1" w:rsidRPr="007F1283">
        <w:t>)</w:t>
      </w:r>
      <w:r w:rsidRPr="007F1283">
        <w:t xml:space="preserve"> principle in Czechia - the Framework guidance for the implementation of the DNSH principle and Climate Proofing for the EU funds in Czechia, developed by the Ministry of Environment</w:t>
      </w:r>
      <w:r w:rsidR="00534FB4" w:rsidRPr="007F1283">
        <w:t xml:space="preserve"> (MoE)</w:t>
      </w:r>
      <w:r w:rsidRPr="007F1283">
        <w:t xml:space="preserve">. </w:t>
      </w:r>
    </w:p>
    <w:p w14:paraId="3D615F33" w14:textId="77777777" w:rsidR="00D12904" w:rsidRPr="007F1283" w:rsidRDefault="00D12904" w:rsidP="00D12904"/>
    <w:p w14:paraId="5B8DF108" w14:textId="3702C878" w:rsidR="00D12904" w:rsidRPr="007F1283" w:rsidRDefault="00D12904" w:rsidP="00D12904">
      <w:r w:rsidRPr="007F1283">
        <w:t xml:space="preserve">As per the Request for Service (RfS), the proposed recommendations should be based on investment categorisation developed by the </w:t>
      </w:r>
      <w:r w:rsidR="003247B6" w:rsidRPr="007F1283">
        <w:t>project</w:t>
      </w:r>
      <w:r w:rsidRPr="007F1283">
        <w:t xml:space="preserve"> team. The investment categories will consist of types of investment and interventions identified across all programmes and </w:t>
      </w:r>
      <w:r w:rsidR="003247B6" w:rsidRPr="007F1283">
        <w:t xml:space="preserve">EU </w:t>
      </w:r>
      <w:r w:rsidRPr="007F1283">
        <w:t xml:space="preserve">funds </w:t>
      </w:r>
      <w:r w:rsidR="6576074F" w:rsidRPr="007F1283">
        <w:t>that are</w:t>
      </w:r>
      <w:r w:rsidRPr="007F1283">
        <w:t xml:space="preserve"> in scope</w:t>
      </w:r>
      <w:r w:rsidR="4BCD5A2B" w:rsidRPr="007F1283">
        <w:t xml:space="preserve"> </w:t>
      </w:r>
      <w:r w:rsidR="003247B6" w:rsidRPr="007F1283">
        <w:t>of this TSI project and relevant for</w:t>
      </w:r>
      <w:r w:rsidR="4BCD5A2B" w:rsidRPr="007F1283">
        <w:t xml:space="preserve"> Czechia</w:t>
      </w:r>
      <w:r w:rsidRPr="007F1283">
        <w:t xml:space="preserve">, for which alignment with the DNSH principle is required. </w:t>
      </w:r>
    </w:p>
    <w:p w14:paraId="6F64A103" w14:textId="77777777" w:rsidR="00D12904" w:rsidRPr="007F1283" w:rsidRDefault="00D12904" w:rsidP="00D12904"/>
    <w:p w14:paraId="0281D985" w14:textId="62310AA6" w:rsidR="00D12904" w:rsidRPr="007F1283" w:rsidRDefault="00D12904" w:rsidP="00D12904">
      <w:r w:rsidRPr="007F1283">
        <w:t>Identifying the relevant types of investments</w:t>
      </w:r>
      <w:r w:rsidR="001F0D27" w:rsidRPr="007F1283">
        <w:rPr>
          <w:rStyle w:val="Znakapoznpodarou"/>
        </w:rPr>
        <w:footnoteReference w:id="2"/>
      </w:r>
      <w:r w:rsidRPr="007F1283">
        <w:t xml:space="preserve"> and interventions, both existing (open calls) and </w:t>
      </w:r>
      <w:r w:rsidR="002D6CB1" w:rsidRPr="007F1283">
        <w:t xml:space="preserve">currently </w:t>
      </w:r>
      <w:r w:rsidRPr="007F1283">
        <w:t>in the pipeline, and subsequently creating the categorisation</w:t>
      </w:r>
      <w:r w:rsidR="4E312261" w:rsidRPr="007F1283">
        <w:t>,</w:t>
      </w:r>
      <w:r w:rsidRPr="007F1283">
        <w:t xml:space="preserve"> provides an overview of the main priorities, funded sectors and areas, and types of activities where the financing from the EU funds will be allocated in the programming period 2021-2027.</w:t>
      </w:r>
    </w:p>
    <w:p w14:paraId="4A82664F" w14:textId="77777777" w:rsidR="00D12904" w:rsidRPr="007F1283" w:rsidRDefault="00D12904" w:rsidP="00D12904"/>
    <w:p w14:paraId="3D041ABA" w14:textId="33C914AE" w:rsidR="00E475BB" w:rsidRPr="007F1283" w:rsidRDefault="00D12904" w:rsidP="00D12904">
      <w:r w:rsidRPr="007F1283">
        <w:t xml:space="preserve">The </w:t>
      </w:r>
      <w:r w:rsidR="19D692FB" w:rsidRPr="007F1283">
        <w:t>DLV4</w:t>
      </w:r>
      <w:r w:rsidRPr="007F1283">
        <w:t xml:space="preserve"> and its findings represent a</w:t>
      </w:r>
      <w:r w:rsidR="0028433D" w:rsidRPr="007F1283">
        <w:t xml:space="preserve">n interim </w:t>
      </w:r>
      <w:r w:rsidRPr="007F1283">
        <w:t xml:space="preserve">step which will feed into </w:t>
      </w:r>
      <w:r w:rsidR="009E2FDC" w:rsidRPr="007F1283">
        <w:t xml:space="preserve">and inform </w:t>
      </w:r>
      <w:r w:rsidRPr="007F1283">
        <w:t xml:space="preserve">the design and </w:t>
      </w:r>
      <w:r w:rsidR="00BD44BE" w:rsidRPr="007F1283">
        <w:t xml:space="preserve">the </w:t>
      </w:r>
      <w:r w:rsidRPr="007F1283">
        <w:t xml:space="preserve">development of the coherent </w:t>
      </w:r>
      <w:r w:rsidR="00BC5796" w:rsidRPr="007F1283">
        <w:t xml:space="preserve">guidelines </w:t>
      </w:r>
      <w:r w:rsidRPr="007F1283">
        <w:t xml:space="preserve">on </w:t>
      </w:r>
      <w:r w:rsidR="00BC5796" w:rsidRPr="007F1283">
        <w:t xml:space="preserve">the application of the </w:t>
      </w:r>
      <w:r w:rsidRPr="007F1283">
        <w:t>DNSH</w:t>
      </w:r>
      <w:r w:rsidR="00BC5796" w:rsidRPr="007F1283">
        <w:t xml:space="preserve"> principle</w:t>
      </w:r>
      <w:r w:rsidRPr="007F1283">
        <w:t xml:space="preserve"> as part of the DLV5.</w:t>
      </w:r>
    </w:p>
    <w:p w14:paraId="5CECB8B7" w14:textId="77777777" w:rsidR="009B0DC4" w:rsidRPr="007F1283" w:rsidRDefault="009B0DC4" w:rsidP="008059BC"/>
    <w:p w14:paraId="1B310275" w14:textId="44BEAF49" w:rsidR="00A577E2" w:rsidRPr="007F1283" w:rsidRDefault="00A577E2" w:rsidP="00A577E2">
      <w:pPr>
        <w:pStyle w:val="Nadpis2"/>
        <w:ind w:firstLine="0"/>
      </w:pPr>
      <w:bookmarkStart w:id="9" w:name="_Toc133944249"/>
      <w:r w:rsidRPr="007F1283">
        <w:t>Overview of key findings from ad-hoc support and previous deliverables</w:t>
      </w:r>
      <w:bookmarkEnd w:id="9"/>
    </w:p>
    <w:p w14:paraId="4828B4AA" w14:textId="76670127" w:rsidR="00096DB0" w:rsidRPr="007F1283" w:rsidRDefault="00BD44BE" w:rsidP="00096DB0">
      <w:r w:rsidRPr="007F1283">
        <w:t>The p</w:t>
      </w:r>
      <w:r w:rsidR="00096DB0" w:rsidRPr="007F1283">
        <w:t>urpose of th</w:t>
      </w:r>
      <w:r w:rsidR="003247B6" w:rsidRPr="007F1283">
        <w:t>is</w:t>
      </w:r>
      <w:r w:rsidR="00096DB0" w:rsidRPr="007F1283">
        <w:t xml:space="preserve"> report is </w:t>
      </w:r>
      <w:r w:rsidR="00F574F0" w:rsidRPr="007F1283">
        <w:t xml:space="preserve">also </w:t>
      </w:r>
      <w:r w:rsidR="00096DB0" w:rsidRPr="007F1283">
        <w:t>to outline our approach to DLV</w:t>
      </w:r>
      <w:r w:rsidR="00A730DC" w:rsidRPr="007F1283">
        <w:t>5</w:t>
      </w:r>
      <w:r w:rsidR="00096DB0" w:rsidRPr="007F1283">
        <w:t xml:space="preserve"> as part of the TSI DNSH CZ project. </w:t>
      </w:r>
    </w:p>
    <w:p w14:paraId="5CA7C2AF" w14:textId="549D6383" w:rsidR="00096DB0" w:rsidRPr="007F1283" w:rsidRDefault="498BC803" w:rsidP="00096DB0">
      <w:r w:rsidRPr="007F1283">
        <w:t>The f</w:t>
      </w:r>
      <w:r w:rsidR="02DD02AE" w:rsidRPr="007F1283">
        <w:t>irst</w:t>
      </w:r>
      <w:r w:rsidR="00096DB0" w:rsidRPr="007F1283">
        <w:t xml:space="preserve"> three deliverables focused on the analysis and diagnostics of the current stage (i.e., status quo) of the DNSH principle and CP assessment </w:t>
      </w:r>
      <w:r w:rsidR="665B9BED" w:rsidRPr="007F1283">
        <w:t>application</w:t>
      </w:r>
      <w:r w:rsidR="02DD02AE" w:rsidRPr="007F1283">
        <w:t xml:space="preserve"> </w:t>
      </w:r>
      <w:r w:rsidR="00096DB0" w:rsidRPr="007F1283">
        <w:t>in Czechia</w:t>
      </w:r>
      <w:r w:rsidR="003247B6" w:rsidRPr="007F1283">
        <w:t>, as well as practices and examples of the application of the DNSH principle in other peer EU countries</w:t>
      </w:r>
      <w:r w:rsidR="00096DB0" w:rsidRPr="007F1283">
        <w:t>. It has enabled the project team to better understand the practices and processes followed to apply these concepts across different entities managing public investments for measures and projects financed from the EU funds. Simultaneously, it has uncovered key challenges, priorities, needs and expectations, which need to be taken into account</w:t>
      </w:r>
      <w:r w:rsidR="1FFED2D3" w:rsidRPr="007F1283">
        <w:t xml:space="preserve">, addressed, </w:t>
      </w:r>
      <w:r w:rsidR="02DD02AE" w:rsidRPr="007F1283">
        <w:t>and</w:t>
      </w:r>
      <w:r w:rsidR="00096DB0" w:rsidRPr="007F1283">
        <w:t xml:space="preserve"> incorporated into the draft of the methodological guidance developed under the DLV5.</w:t>
      </w:r>
    </w:p>
    <w:p w14:paraId="2AE4A71E" w14:textId="77777777" w:rsidR="00096DB0" w:rsidRPr="007F1283" w:rsidRDefault="00096DB0" w:rsidP="00096DB0"/>
    <w:p w14:paraId="759C3868" w14:textId="38D9693F" w:rsidR="009B0DC4" w:rsidRPr="007F1283" w:rsidRDefault="00096DB0" w:rsidP="00096DB0">
      <w:r w:rsidRPr="007F1283">
        <w:t>The below section highlights some of the key findings to be considered for DLV4, and DLV5 accordingly.</w:t>
      </w:r>
    </w:p>
    <w:p w14:paraId="0AB993C4" w14:textId="77777777" w:rsidR="00117B00" w:rsidRPr="007F1283" w:rsidRDefault="00117B00" w:rsidP="00117B00"/>
    <w:p w14:paraId="0C668E83" w14:textId="6845E7BC" w:rsidR="00117B00" w:rsidRPr="007F1283" w:rsidRDefault="0052717D" w:rsidP="005D5776">
      <w:pPr>
        <w:pStyle w:val="Nadpis3"/>
      </w:pPr>
      <w:bookmarkStart w:id="10" w:name="_Toc133944250"/>
      <w:r w:rsidRPr="007F1283">
        <w:t>Deliverable 1</w:t>
      </w:r>
      <w:r w:rsidR="003247B6" w:rsidRPr="007F1283">
        <w:t xml:space="preserve"> – Inception report</w:t>
      </w:r>
      <w:bookmarkEnd w:id="10"/>
    </w:p>
    <w:p w14:paraId="5EDA19C0" w14:textId="4B14F252" w:rsidR="00901B9D" w:rsidRPr="007F1283" w:rsidRDefault="00901B9D" w:rsidP="006920E6">
      <w:pPr>
        <w:pStyle w:val="Odstavecseseznamem"/>
        <w:numPr>
          <w:ilvl w:val="0"/>
          <w:numId w:val="9"/>
        </w:numPr>
      </w:pPr>
      <w:r w:rsidRPr="007F1283">
        <w:t>The entities managing public investments (both in programmes and the</w:t>
      </w:r>
      <w:r w:rsidR="00534FB4" w:rsidRPr="007F1283">
        <w:t xml:space="preserve"> National Recovery Plan</w:t>
      </w:r>
      <w:r w:rsidRPr="007F1283">
        <w:t xml:space="preserve"> </w:t>
      </w:r>
      <w:r w:rsidR="00534FB4" w:rsidRPr="007F1283">
        <w:t>(</w:t>
      </w:r>
      <w:r w:rsidRPr="007F1283">
        <w:t>NRP</w:t>
      </w:r>
      <w:r w:rsidR="00534FB4" w:rsidRPr="007F1283">
        <w:t>)</w:t>
      </w:r>
      <w:r w:rsidRPr="007F1283">
        <w:t>) have approached the application of the DNS</w:t>
      </w:r>
      <w:r w:rsidR="00C53AC2" w:rsidRPr="007F1283">
        <w:t>H</w:t>
      </w:r>
      <w:r w:rsidRPr="007F1283">
        <w:t xml:space="preserve"> and CP assessment in varied </w:t>
      </w:r>
      <w:r w:rsidR="79BA42DE" w:rsidRPr="007F1283">
        <w:t>format</w:t>
      </w:r>
      <w:r w:rsidR="0BD0E535" w:rsidRPr="007F1283">
        <w:t>s</w:t>
      </w:r>
      <w:r w:rsidRPr="007F1283">
        <w:t xml:space="preserve"> and there is an evident lack of consistency and coherence across the programmes and components.</w:t>
      </w:r>
    </w:p>
    <w:p w14:paraId="701AB197" w14:textId="6D3EEBC0" w:rsidR="00901B9D" w:rsidRPr="007F1283" w:rsidRDefault="00901B9D" w:rsidP="006920E6">
      <w:pPr>
        <w:pStyle w:val="Odstavecseseznamem"/>
        <w:numPr>
          <w:ilvl w:val="0"/>
          <w:numId w:val="9"/>
        </w:numPr>
      </w:pPr>
      <w:r w:rsidRPr="007F1283">
        <w:t xml:space="preserve">There is limited knowledge and experience with </w:t>
      </w:r>
      <w:r w:rsidR="1D792DD8" w:rsidRPr="007F1283">
        <w:t xml:space="preserve">the </w:t>
      </w:r>
      <w:r w:rsidR="79BA42DE" w:rsidRPr="007F1283">
        <w:t>appl</w:t>
      </w:r>
      <w:r w:rsidR="3E38F670" w:rsidRPr="007F1283">
        <w:t>ication</w:t>
      </w:r>
      <w:r w:rsidRPr="007F1283">
        <w:t xml:space="preserve"> of these concepts, and the current understanding of the topics </w:t>
      </w:r>
      <w:r w:rsidR="79BA42DE" w:rsidRPr="007F1283">
        <w:t>var</w:t>
      </w:r>
      <w:r w:rsidR="79642C6D" w:rsidRPr="007F1283">
        <w:t>ies</w:t>
      </w:r>
      <w:r w:rsidRPr="007F1283">
        <w:t xml:space="preserve"> across </w:t>
      </w:r>
      <w:r w:rsidR="00B0487A" w:rsidRPr="007F1283">
        <w:t xml:space="preserve">the entities managing public investments. </w:t>
      </w:r>
    </w:p>
    <w:p w14:paraId="4B1BDBB3" w14:textId="28A95B92" w:rsidR="00901B9D" w:rsidRPr="007F1283" w:rsidRDefault="00901B9D" w:rsidP="006920E6">
      <w:pPr>
        <w:pStyle w:val="Odstavecseseznamem"/>
        <w:numPr>
          <w:ilvl w:val="0"/>
          <w:numId w:val="9"/>
        </w:numPr>
      </w:pPr>
      <w:r w:rsidRPr="007F1283">
        <w:lastRenderedPageBreak/>
        <w:t>Given the timeline of the financing period of 2021 – 2027</w:t>
      </w:r>
      <w:r w:rsidR="761898EA" w:rsidRPr="007F1283">
        <w:t>,</w:t>
      </w:r>
      <w:r w:rsidRPr="007F1283">
        <w:t xml:space="preserve"> the DNSH assessment process has already been set up for all programmes</w:t>
      </w:r>
      <w:r w:rsidR="007F4AE4" w:rsidRPr="007F1283">
        <w:t xml:space="preserve"> and the NRP (RRF)</w:t>
      </w:r>
      <w:r w:rsidRPr="007F1283">
        <w:t xml:space="preserve">, and </w:t>
      </w:r>
      <w:r w:rsidR="0046028E" w:rsidRPr="007F1283">
        <w:t xml:space="preserve">one of the pressing priorities </w:t>
      </w:r>
      <w:r w:rsidRPr="007F1283">
        <w:t>is to verify that the selected approaches are sufficient and in line with the EU regulation</w:t>
      </w:r>
      <w:r w:rsidR="005F0AA4" w:rsidRPr="007F1283">
        <w:t>.</w:t>
      </w:r>
    </w:p>
    <w:p w14:paraId="6B3E04E9" w14:textId="5A23A546" w:rsidR="00117B00" w:rsidRPr="007F1283" w:rsidRDefault="00901B9D" w:rsidP="006920E6">
      <w:pPr>
        <w:pStyle w:val="Odstavecseseznamem"/>
        <w:numPr>
          <w:ilvl w:val="0"/>
          <w:numId w:val="9"/>
        </w:numPr>
      </w:pPr>
      <w:r w:rsidRPr="007F1283">
        <w:t xml:space="preserve">The </w:t>
      </w:r>
      <w:r w:rsidR="00B74AA5" w:rsidRPr="007F1283">
        <w:t>Ministry of the Environment (</w:t>
      </w:r>
      <w:r w:rsidRPr="007F1283">
        <w:t>MoE</w:t>
      </w:r>
      <w:r w:rsidR="00B74AA5" w:rsidRPr="007F1283">
        <w:t>)</w:t>
      </w:r>
      <w:r w:rsidRPr="007F1283">
        <w:t xml:space="preserve"> recently (end of 2022) developed framework guidance for the DNSH application and CP assessmen</w:t>
      </w:r>
      <w:r w:rsidR="0017482C" w:rsidRPr="007F1283">
        <w:t xml:space="preserve">t, which </w:t>
      </w:r>
      <w:r w:rsidR="00BD030A" w:rsidRPr="007F1283">
        <w:t>will</w:t>
      </w:r>
      <w:r w:rsidR="00C32B95" w:rsidRPr="007F1283">
        <w:t xml:space="preserve"> be </w:t>
      </w:r>
      <w:r w:rsidR="00BD030A" w:rsidRPr="007F1283">
        <w:t xml:space="preserve">taken into account in the design and development of the </w:t>
      </w:r>
      <w:r w:rsidR="00CC36FD" w:rsidRPr="007F1283">
        <w:t>methodological guidance as part of this TSI project.</w:t>
      </w:r>
    </w:p>
    <w:p w14:paraId="15B1F055" w14:textId="77777777" w:rsidR="0052717D" w:rsidRPr="007F1283" w:rsidRDefault="0052717D" w:rsidP="00901B9D"/>
    <w:p w14:paraId="530CC3F7" w14:textId="6121B150" w:rsidR="00485354" w:rsidRPr="007F1283" w:rsidRDefault="00485354" w:rsidP="005D5776">
      <w:pPr>
        <w:pStyle w:val="Nadpis3"/>
      </w:pPr>
      <w:bookmarkStart w:id="11" w:name="_Toc133944251"/>
      <w:r w:rsidRPr="007F1283">
        <w:t>Deliverable 2</w:t>
      </w:r>
      <w:r w:rsidR="003247B6" w:rsidRPr="007F1283">
        <w:t xml:space="preserve"> – Diagnostic report</w:t>
      </w:r>
      <w:bookmarkEnd w:id="11"/>
    </w:p>
    <w:p w14:paraId="4F5283AD" w14:textId="691E3219" w:rsidR="009F20C1" w:rsidRPr="007F1283" w:rsidRDefault="00C66F41" w:rsidP="006920E6">
      <w:pPr>
        <w:pStyle w:val="Odstavecseseznamem"/>
        <w:numPr>
          <w:ilvl w:val="0"/>
          <w:numId w:val="9"/>
        </w:numPr>
        <w:rPr>
          <w:szCs w:val="18"/>
        </w:rPr>
      </w:pPr>
      <w:r w:rsidRPr="007F1283">
        <w:t>The DLV2 identified some of the m</w:t>
      </w:r>
      <w:r w:rsidR="009F20C1" w:rsidRPr="007F1283">
        <w:t>ain gaps in</w:t>
      </w:r>
      <w:r w:rsidRPr="007F1283">
        <w:t xml:space="preserve"> the</w:t>
      </w:r>
      <w:r w:rsidR="009F20C1" w:rsidRPr="007F1283">
        <w:t xml:space="preserve"> existing guidanc</w:t>
      </w:r>
      <w:r w:rsidRPr="007F1283">
        <w:t>e documents at the national level</w:t>
      </w:r>
      <w:r w:rsidR="0011632B" w:rsidRPr="007F1283">
        <w:t xml:space="preserve"> (i.e</w:t>
      </w:r>
      <w:r w:rsidR="77519954" w:rsidRPr="007F1283">
        <w:t>.</w:t>
      </w:r>
      <w:r w:rsidR="10C34DBA" w:rsidRPr="007F1283">
        <w:t>,</w:t>
      </w:r>
      <w:r w:rsidR="00FB3812" w:rsidRPr="007F1283">
        <w:t xml:space="preserve"> both developed by the</w:t>
      </w:r>
      <w:r w:rsidR="0011632B" w:rsidRPr="007F1283">
        <w:t xml:space="preserve"> </w:t>
      </w:r>
      <w:r w:rsidR="00B74AA5" w:rsidRPr="007F1283">
        <w:t xml:space="preserve">Ministry of Trade </w:t>
      </w:r>
      <w:r w:rsidRPr="007F1283">
        <w:t>and Industry (</w:t>
      </w:r>
      <w:r w:rsidR="004B141E" w:rsidRPr="007F1283">
        <w:t>MIT</w:t>
      </w:r>
      <w:r w:rsidRPr="007F1283">
        <w:t>)</w:t>
      </w:r>
      <w:r w:rsidR="009F20C1" w:rsidRPr="007F1283">
        <w:t xml:space="preserve"> and MoE</w:t>
      </w:r>
      <w:r w:rsidR="0011632B" w:rsidRPr="007F1283">
        <w:t>)</w:t>
      </w:r>
      <w:r w:rsidR="00A91BAC" w:rsidRPr="007F1283">
        <w:t xml:space="preserve">, which </w:t>
      </w:r>
      <w:r w:rsidR="0045542C" w:rsidRPr="007F1283">
        <w:t xml:space="preserve">highlighted </w:t>
      </w:r>
      <w:r w:rsidR="00CC3FC9" w:rsidRPr="007F1283">
        <w:t>protentional</w:t>
      </w:r>
      <w:r w:rsidR="009F20C1" w:rsidRPr="007F1283">
        <w:t xml:space="preserve"> areas for improvement or </w:t>
      </w:r>
      <w:r w:rsidR="009F7964" w:rsidRPr="007F1283">
        <w:rPr>
          <w:szCs w:val="18"/>
        </w:rPr>
        <w:t>revision</w:t>
      </w:r>
      <w:r w:rsidR="009F20C1" w:rsidRPr="007F1283">
        <w:rPr>
          <w:szCs w:val="18"/>
        </w:rPr>
        <w:t xml:space="preserve"> to increase usability and </w:t>
      </w:r>
      <w:r w:rsidR="00655822" w:rsidRPr="007F1283">
        <w:rPr>
          <w:szCs w:val="18"/>
        </w:rPr>
        <w:t>content of the documents</w:t>
      </w:r>
      <w:r w:rsidR="008C4D32" w:rsidRPr="007F1283">
        <w:rPr>
          <w:szCs w:val="18"/>
        </w:rPr>
        <w:t>.</w:t>
      </w:r>
    </w:p>
    <w:p w14:paraId="2B927032" w14:textId="6A88F48E" w:rsidR="009F20C1" w:rsidRPr="007F1283" w:rsidRDefault="008852DF" w:rsidP="006920E6">
      <w:pPr>
        <w:pStyle w:val="Odstavecseseznamem"/>
        <w:numPr>
          <w:ilvl w:val="0"/>
          <w:numId w:val="9"/>
        </w:numPr>
      </w:pPr>
      <w:r w:rsidRPr="007F1283">
        <w:t>The analysis in the DLV2 further provided the project team with a m</w:t>
      </w:r>
      <w:r w:rsidR="009F20C1" w:rsidRPr="007F1283">
        <w:t>ore in-depth understanding of the</w:t>
      </w:r>
      <w:r w:rsidRPr="007F1283">
        <w:t xml:space="preserve"> current</w:t>
      </w:r>
      <w:r w:rsidR="009F20C1" w:rsidRPr="007F1283">
        <w:t xml:space="preserve"> status, approaches</w:t>
      </w:r>
      <w:r w:rsidR="429A5DED" w:rsidRPr="007F1283">
        <w:t>,</w:t>
      </w:r>
      <w:r w:rsidR="009F20C1" w:rsidRPr="007F1283">
        <w:t xml:space="preserve"> and documents (forms) used</w:t>
      </w:r>
      <w:r w:rsidRPr="007F1283">
        <w:t xml:space="preserve"> across the funds and programmes</w:t>
      </w:r>
    </w:p>
    <w:p w14:paraId="2BE6FAAB" w14:textId="1FB2B1BA" w:rsidR="009F20C1" w:rsidRPr="007F1283" w:rsidRDefault="009F20C1" w:rsidP="006920E6">
      <w:pPr>
        <w:pStyle w:val="Odstavecseseznamem"/>
        <w:numPr>
          <w:ilvl w:val="0"/>
          <w:numId w:val="9"/>
        </w:numPr>
        <w:rPr>
          <w:szCs w:val="18"/>
        </w:rPr>
      </w:pPr>
      <w:r w:rsidRPr="007F1283">
        <w:rPr>
          <w:szCs w:val="18"/>
        </w:rPr>
        <w:t xml:space="preserve">Consultation and findings </w:t>
      </w:r>
      <w:r w:rsidR="008852DF" w:rsidRPr="007F1283">
        <w:rPr>
          <w:szCs w:val="18"/>
        </w:rPr>
        <w:t>in the DLV2 un</w:t>
      </w:r>
      <w:r w:rsidR="008D3BDE" w:rsidRPr="007F1283">
        <w:rPr>
          <w:szCs w:val="18"/>
        </w:rPr>
        <w:t>covered</w:t>
      </w:r>
      <w:r w:rsidRPr="007F1283">
        <w:rPr>
          <w:szCs w:val="18"/>
        </w:rPr>
        <w:t xml:space="preserve"> external stakeholders' expectations</w:t>
      </w:r>
      <w:r w:rsidR="008D3BDE" w:rsidRPr="007F1283">
        <w:rPr>
          <w:szCs w:val="18"/>
        </w:rPr>
        <w:t xml:space="preserve">, which mainly revolved around the importance of </w:t>
      </w:r>
      <w:r w:rsidRPr="007F1283">
        <w:rPr>
          <w:szCs w:val="18"/>
        </w:rPr>
        <w:t xml:space="preserve">coherence, </w:t>
      </w:r>
      <w:r w:rsidR="00EE5CF8" w:rsidRPr="007F1283">
        <w:rPr>
          <w:szCs w:val="18"/>
        </w:rPr>
        <w:t xml:space="preserve">clarity, simplicity of the guidance, and the need to </w:t>
      </w:r>
      <w:r w:rsidR="00255563" w:rsidRPr="007F1283">
        <w:rPr>
          <w:szCs w:val="18"/>
        </w:rPr>
        <w:t xml:space="preserve">develop a </w:t>
      </w:r>
      <w:r w:rsidR="00CF6078" w:rsidRPr="007F1283">
        <w:rPr>
          <w:szCs w:val="18"/>
        </w:rPr>
        <w:t xml:space="preserve">guidance document </w:t>
      </w:r>
      <w:r w:rsidR="008C4D32" w:rsidRPr="007F1283">
        <w:rPr>
          <w:szCs w:val="18"/>
        </w:rPr>
        <w:t xml:space="preserve">aimed specifically </w:t>
      </w:r>
      <w:r w:rsidR="00CF6078" w:rsidRPr="007F1283">
        <w:rPr>
          <w:szCs w:val="18"/>
        </w:rPr>
        <w:t>for the project proponents</w:t>
      </w:r>
      <w:r w:rsidR="008C4D32" w:rsidRPr="007F1283">
        <w:rPr>
          <w:szCs w:val="18"/>
        </w:rPr>
        <w:t>.</w:t>
      </w:r>
      <w:r w:rsidR="005F0AA4" w:rsidRPr="007F1283">
        <w:rPr>
          <w:szCs w:val="18"/>
        </w:rPr>
        <w:t xml:space="preserve"> </w:t>
      </w:r>
    </w:p>
    <w:p w14:paraId="572B370E" w14:textId="41252E9E" w:rsidR="009F20C1" w:rsidRPr="007F1283" w:rsidRDefault="009F20C1" w:rsidP="006920E6">
      <w:pPr>
        <w:pStyle w:val="Odstavecseseznamem"/>
        <w:numPr>
          <w:ilvl w:val="0"/>
          <w:numId w:val="9"/>
        </w:numPr>
      </w:pPr>
      <w:r w:rsidRPr="007F1283">
        <w:t>The</w:t>
      </w:r>
      <w:r w:rsidR="008C4D32" w:rsidRPr="007F1283">
        <w:t>re is a</w:t>
      </w:r>
      <w:r w:rsidRPr="007F1283">
        <w:t xml:space="preserve"> need </w:t>
      </w:r>
      <w:r w:rsidR="008C4D32" w:rsidRPr="007F1283">
        <w:t xml:space="preserve">to </w:t>
      </w:r>
      <w:r w:rsidR="00BD18EF" w:rsidRPr="007F1283">
        <w:t>analyse and improve</w:t>
      </w:r>
      <w:r w:rsidR="00BD1BB3" w:rsidRPr="007F1283">
        <w:t xml:space="preserve"> the alignment </w:t>
      </w:r>
      <w:r w:rsidR="00CB1420" w:rsidRPr="007F1283">
        <w:t xml:space="preserve">of the Czech national legislation </w:t>
      </w:r>
      <w:r w:rsidR="0062525A" w:rsidRPr="007F1283">
        <w:t xml:space="preserve">and the </w:t>
      </w:r>
      <w:r w:rsidR="00E208C9" w:rsidRPr="007F1283">
        <w:t xml:space="preserve">requirements under the DNSH principle/EU regulation, to </w:t>
      </w:r>
      <w:r w:rsidR="00245349" w:rsidRPr="007F1283">
        <w:t xml:space="preserve">efficiently leverage </w:t>
      </w:r>
      <w:r w:rsidR="0030277C" w:rsidRPr="007F1283">
        <w:t xml:space="preserve">existing </w:t>
      </w:r>
      <w:r w:rsidR="00245349" w:rsidRPr="007F1283">
        <w:t xml:space="preserve">legislative processes and </w:t>
      </w:r>
      <w:r w:rsidR="00817601" w:rsidRPr="007F1283">
        <w:t xml:space="preserve">data generated </w:t>
      </w:r>
      <w:r w:rsidR="0038340B" w:rsidRPr="007F1283">
        <w:t xml:space="preserve">that can </w:t>
      </w:r>
      <w:r w:rsidR="139D5386" w:rsidRPr="007F1283">
        <w:t xml:space="preserve">help </w:t>
      </w:r>
      <w:r w:rsidR="007A6AC0" w:rsidRPr="007F1283">
        <w:t>ensure compliance.</w:t>
      </w:r>
    </w:p>
    <w:p w14:paraId="12170DFB" w14:textId="77777777" w:rsidR="00485354" w:rsidRPr="007F1283" w:rsidRDefault="00485354" w:rsidP="00485354"/>
    <w:p w14:paraId="341C947A" w14:textId="7093910B" w:rsidR="00485354" w:rsidRPr="007F1283" w:rsidRDefault="00485354" w:rsidP="005D5776">
      <w:pPr>
        <w:pStyle w:val="Nadpis3"/>
      </w:pPr>
      <w:bookmarkStart w:id="12" w:name="_Toc133944252"/>
      <w:r w:rsidRPr="007F1283">
        <w:t xml:space="preserve">Deliverable </w:t>
      </w:r>
      <w:r w:rsidR="00483AE5" w:rsidRPr="007F1283">
        <w:t>2 – Ad</w:t>
      </w:r>
      <w:r w:rsidR="00171C96" w:rsidRPr="007F1283">
        <w:t xml:space="preserve"> </w:t>
      </w:r>
      <w:r w:rsidR="00483AE5" w:rsidRPr="007F1283">
        <w:t>hoc</w:t>
      </w:r>
      <w:r w:rsidR="007A6AC0" w:rsidRPr="007F1283">
        <w:t xml:space="preserve"> support</w:t>
      </w:r>
      <w:bookmarkEnd w:id="12"/>
    </w:p>
    <w:p w14:paraId="12EE6461" w14:textId="6AF32191" w:rsidR="003748A6" w:rsidRPr="007F1283" w:rsidRDefault="007A6AC0" w:rsidP="006920E6">
      <w:pPr>
        <w:pStyle w:val="Odstavecseseznamem"/>
        <w:numPr>
          <w:ilvl w:val="0"/>
          <w:numId w:val="9"/>
        </w:numPr>
      </w:pPr>
      <w:r w:rsidRPr="007F1283">
        <w:t>There has been evident d</w:t>
      </w:r>
      <w:r w:rsidR="003748A6" w:rsidRPr="007F1283">
        <w:t>ominance of the questions</w:t>
      </w:r>
      <w:r w:rsidRPr="007F1283">
        <w:t>/requests</w:t>
      </w:r>
      <w:r w:rsidR="003748A6" w:rsidRPr="007F1283">
        <w:t xml:space="preserve"> focused on the</w:t>
      </w:r>
      <w:r w:rsidRPr="007F1283">
        <w:t xml:space="preserve"> challenges with the</w:t>
      </w:r>
      <w:r w:rsidR="003748A6" w:rsidRPr="007F1283">
        <w:t xml:space="preserve"> CP assessment</w:t>
      </w:r>
      <w:r w:rsidR="00CD69FF" w:rsidRPr="007F1283">
        <w:t xml:space="preserve"> </w:t>
      </w:r>
      <w:r w:rsidR="00E97D9A" w:rsidRPr="007F1283">
        <w:t>and</w:t>
      </w:r>
      <w:r w:rsidR="000A596A" w:rsidRPr="007F1283">
        <w:t xml:space="preserve"> correct</w:t>
      </w:r>
      <w:r w:rsidR="00E97D9A" w:rsidRPr="007F1283">
        <w:t xml:space="preserve"> interpretation </w:t>
      </w:r>
      <w:r w:rsidR="000A596A" w:rsidRPr="007F1283">
        <w:t>of the EU regulations.</w:t>
      </w:r>
    </w:p>
    <w:p w14:paraId="5E8D9DFA" w14:textId="271C99B2" w:rsidR="003748A6" w:rsidRPr="007F1283" w:rsidRDefault="00F063AE" w:rsidP="006920E6">
      <w:pPr>
        <w:pStyle w:val="Odstavecseseznamem"/>
        <w:numPr>
          <w:ilvl w:val="0"/>
          <w:numId w:val="9"/>
        </w:numPr>
        <w:rPr>
          <w:szCs w:val="18"/>
        </w:rPr>
      </w:pPr>
      <w:r w:rsidRPr="007F1283">
        <w:rPr>
          <w:szCs w:val="18"/>
        </w:rPr>
        <w:t>Strong interest</w:t>
      </w:r>
      <w:r w:rsidR="003748A6" w:rsidRPr="007F1283">
        <w:rPr>
          <w:szCs w:val="18"/>
        </w:rPr>
        <w:t xml:space="preserve"> focused on verification of the already set up approach to </w:t>
      </w:r>
      <w:r w:rsidRPr="007F1283">
        <w:rPr>
          <w:szCs w:val="18"/>
        </w:rPr>
        <w:t>DNSH and CP across programmes, to ensure that the current approach is sufficient.</w:t>
      </w:r>
    </w:p>
    <w:p w14:paraId="79F25742" w14:textId="7E64DD8D" w:rsidR="003748A6" w:rsidRPr="007F1283" w:rsidRDefault="00EB42AF" w:rsidP="006920E6">
      <w:pPr>
        <w:pStyle w:val="Odstavecseseznamem"/>
        <w:numPr>
          <w:ilvl w:val="0"/>
          <w:numId w:val="9"/>
        </w:numPr>
        <w:rPr>
          <w:szCs w:val="18"/>
        </w:rPr>
      </w:pPr>
      <w:r w:rsidRPr="007F1283">
        <w:rPr>
          <w:szCs w:val="18"/>
        </w:rPr>
        <w:t>The project team noted case of misunderstanding and/or missing</w:t>
      </w:r>
      <w:r w:rsidR="003748A6" w:rsidRPr="007F1283">
        <w:rPr>
          <w:szCs w:val="18"/>
        </w:rPr>
        <w:t xml:space="preserve"> of some of the key aspects of the EU level regulation </w:t>
      </w:r>
      <w:r w:rsidRPr="007F1283">
        <w:rPr>
          <w:szCs w:val="18"/>
        </w:rPr>
        <w:t>and its impacts on the application on the DNSH ex-ante assessment</w:t>
      </w:r>
    </w:p>
    <w:p w14:paraId="610A7E34" w14:textId="28494DB5" w:rsidR="003748A6" w:rsidRPr="007F1283" w:rsidRDefault="003748A6" w:rsidP="006920E6">
      <w:pPr>
        <w:pStyle w:val="Odstavecseseznamem"/>
        <w:numPr>
          <w:ilvl w:val="0"/>
          <w:numId w:val="9"/>
        </w:numPr>
        <w:rPr>
          <w:szCs w:val="18"/>
        </w:rPr>
      </w:pPr>
      <w:r w:rsidRPr="007F1283">
        <w:rPr>
          <w:szCs w:val="18"/>
        </w:rPr>
        <w:t>Strong focus of requests and questions about potential simplification of the process for both DNSH and CP– especially for calls/areas where a high number of small projects is expected</w:t>
      </w:r>
      <w:r w:rsidR="005F0AA4" w:rsidRPr="007F1283">
        <w:rPr>
          <w:szCs w:val="18"/>
        </w:rPr>
        <w:t>.</w:t>
      </w:r>
    </w:p>
    <w:p w14:paraId="10F44098" w14:textId="7D4C7A7E" w:rsidR="00485354" w:rsidRPr="007F1283" w:rsidRDefault="00E155A5" w:rsidP="006920E6">
      <w:pPr>
        <w:pStyle w:val="Odstavecseseznamem"/>
        <w:numPr>
          <w:ilvl w:val="0"/>
          <w:numId w:val="9"/>
        </w:numPr>
        <w:rPr>
          <w:szCs w:val="18"/>
        </w:rPr>
      </w:pPr>
      <w:r w:rsidRPr="007F1283">
        <w:rPr>
          <w:szCs w:val="18"/>
        </w:rPr>
        <w:t>There have been evident</w:t>
      </w:r>
      <w:r w:rsidR="003748A6" w:rsidRPr="007F1283">
        <w:rPr>
          <w:szCs w:val="18"/>
        </w:rPr>
        <w:t xml:space="preserve"> challenges </w:t>
      </w:r>
      <w:r w:rsidR="006A4D14" w:rsidRPr="007F1283">
        <w:rPr>
          <w:szCs w:val="18"/>
        </w:rPr>
        <w:t xml:space="preserve">noted </w:t>
      </w:r>
      <w:r w:rsidR="009D48D6" w:rsidRPr="007F1283">
        <w:rPr>
          <w:szCs w:val="18"/>
        </w:rPr>
        <w:t xml:space="preserve">especially </w:t>
      </w:r>
      <w:r w:rsidR="006A4D14" w:rsidRPr="007F1283">
        <w:rPr>
          <w:szCs w:val="18"/>
        </w:rPr>
        <w:t xml:space="preserve">when it comes to </w:t>
      </w:r>
      <w:r w:rsidR="003748A6" w:rsidRPr="007F1283">
        <w:rPr>
          <w:szCs w:val="18"/>
        </w:rPr>
        <w:t>co</w:t>
      </w:r>
      <w:r w:rsidR="000B4211" w:rsidRPr="007F1283">
        <w:rPr>
          <w:szCs w:val="18"/>
        </w:rPr>
        <w:t>nduc</w:t>
      </w:r>
      <w:r w:rsidR="00DB7C6E" w:rsidRPr="007F1283">
        <w:rPr>
          <w:szCs w:val="18"/>
        </w:rPr>
        <w:t>ting</w:t>
      </w:r>
      <w:r w:rsidR="003748A6" w:rsidRPr="007F1283">
        <w:rPr>
          <w:szCs w:val="18"/>
        </w:rPr>
        <w:t xml:space="preserve"> the CP </w:t>
      </w:r>
      <w:r w:rsidR="004354D7" w:rsidRPr="007F1283">
        <w:rPr>
          <w:szCs w:val="18"/>
        </w:rPr>
        <w:t>assessment</w:t>
      </w:r>
      <w:r w:rsidR="009D48D6" w:rsidRPr="007F1283">
        <w:rPr>
          <w:szCs w:val="18"/>
        </w:rPr>
        <w:t xml:space="preserve"> for </w:t>
      </w:r>
      <w:r w:rsidR="00567633" w:rsidRPr="007F1283">
        <w:rPr>
          <w:szCs w:val="18"/>
        </w:rPr>
        <w:t>c</w:t>
      </w:r>
      <w:r w:rsidR="009D48D6" w:rsidRPr="007F1283">
        <w:rPr>
          <w:szCs w:val="18"/>
        </w:rPr>
        <w:t xml:space="preserve">limate </w:t>
      </w:r>
      <w:r w:rsidR="00567633" w:rsidRPr="007F1283">
        <w:rPr>
          <w:szCs w:val="18"/>
        </w:rPr>
        <w:t>a</w:t>
      </w:r>
      <w:r w:rsidR="009D48D6" w:rsidRPr="007F1283">
        <w:rPr>
          <w:szCs w:val="18"/>
        </w:rPr>
        <w:t>daptation</w:t>
      </w:r>
      <w:r w:rsidR="00567633" w:rsidRPr="007F1283">
        <w:rPr>
          <w:szCs w:val="18"/>
        </w:rPr>
        <w:t xml:space="preserve">, mainly due to </w:t>
      </w:r>
      <w:r w:rsidR="00AF6266" w:rsidRPr="007F1283">
        <w:rPr>
          <w:szCs w:val="18"/>
        </w:rPr>
        <w:t xml:space="preserve">high complexity of the </w:t>
      </w:r>
      <w:r w:rsidR="008277C6" w:rsidRPr="007F1283">
        <w:rPr>
          <w:szCs w:val="18"/>
        </w:rPr>
        <w:t xml:space="preserve">methodology and the </w:t>
      </w:r>
      <w:r w:rsidR="00567633" w:rsidRPr="007F1283">
        <w:rPr>
          <w:szCs w:val="18"/>
        </w:rPr>
        <w:t xml:space="preserve">lack of relevant </w:t>
      </w:r>
      <w:r w:rsidR="00AF6266" w:rsidRPr="007F1283">
        <w:rPr>
          <w:szCs w:val="18"/>
        </w:rPr>
        <w:t>data.</w:t>
      </w:r>
    </w:p>
    <w:p w14:paraId="7A042A62" w14:textId="7E004229" w:rsidR="00527C43" w:rsidRPr="007F1283" w:rsidRDefault="00527C43" w:rsidP="00527C43">
      <w:pPr>
        <w:rPr>
          <w:szCs w:val="18"/>
        </w:rPr>
      </w:pPr>
    </w:p>
    <w:p w14:paraId="6AF723D1" w14:textId="62A63935" w:rsidR="00527C43" w:rsidRPr="007F1283" w:rsidRDefault="00527C43" w:rsidP="007F0A41">
      <w:pPr>
        <w:pStyle w:val="Nadpis3"/>
        <w:spacing w:line="360" w:lineRule="auto"/>
      </w:pPr>
      <w:bookmarkStart w:id="13" w:name="_Toc133944253"/>
      <w:r w:rsidRPr="007F1283">
        <w:t>Deliverable 3 – Webinars and lessons learned</w:t>
      </w:r>
      <w:bookmarkEnd w:id="13"/>
    </w:p>
    <w:p w14:paraId="25CB30D6" w14:textId="1340C9B7" w:rsidR="003C1D76" w:rsidRPr="007F1283" w:rsidRDefault="003C1D76" w:rsidP="0014021F">
      <w:pPr>
        <w:spacing w:after="160" w:line="360" w:lineRule="auto"/>
        <w:ind w:left="709"/>
        <w:rPr>
          <w:szCs w:val="18"/>
        </w:rPr>
      </w:pPr>
      <w:r w:rsidRPr="007F1283">
        <w:rPr>
          <w:szCs w:val="18"/>
        </w:rPr>
        <w:t>As part of the three Webinars, which took place as under the Deliverable 3, the following considerations have been identified as key to take into account in the Deliverable 4:</w:t>
      </w:r>
    </w:p>
    <w:p w14:paraId="7F1D55E2" w14:textId="77777777" w:rsidR="003C1D76" w:rsidRPr="007F1283" w:rsidRDefault="003C1D76" w:rsidP="007F0A41">
      <w:pPr>
        <w:pStyle w:val="Odstavecseseznamem"/>
        <w:numPr>
          <w:ilvl w:val="0"/>
          <w:numId w:val="9"/>
        </w:numPr>
      </w:pPr>
      <w:r w:rsidRPr="007F1283">
        <w:t>The content and process of DNSH assessments should accommodate for flexibility over time, in order to reflect the lessons learnt through the years and changes to the objectives and environmental risks.</w:t>
      </w:r>
    </w:p>
    <w:p w14:paraId="2374BEA2" w14:textId="77777777" w:rsidR="003C1D76" w:rsidRPr="007F1283" w:rsidRDefault="003C1D76" w:rsidP="007F0A41">
      <w:pPr>
        <w:pStyle w:val="Odstavecseseznamem"/>
        <w:numPr>
          <w:ilvl w:val="0"/>
          <w:numId w:val="9"/>
        </w:numPr>
      </w:pPr>
      <w:r w:rsidRPr="007F1283">
        <w:t>There is a strong need for clarification of thresholds at the EU level, which should be taken into account in the guidelines developed as part of the DVL5</w:t>
      </w:r>
    </w:p>
    <w:p w14:paraId="50C20652" w14:textId="77777777" w:rsidR="003C1D76" w:rsidRPr="007F1283" w:rsidRDefault="003C1D76" w:rsidP="007F0A41">
      <w:pPr>
        <w:pStyle w:val="Odstavecseseznamem"/>
        <w:numPr>
          <w:ilvl w:val="0"/>
          <w:numId w:val="9"/>
        </w:numPr>
      </w:pPr>
      <w:r w:rsidRPr="007F1283">
        <w:lastRenderedPageBreak/>
        <w:t>The developed guidelines must be simple, easy-to-use and follow. The document should be clear, synthetic and pragmatic particularly where their audience consists of proponents, e.g. by offering checklists and imposing the same criteria across all financial instruments</w:t>
      </w:r>
    </w:p>
    <w:p w14:paraId="3E795DD8" w14:textId="77777777" w:rsidR="003C1D76" w:rsidRPr="007F1283" w:rsidRDefault="003C1D76" w:rsidP="007F0A41">
      <w:pPr>
        <w:pStyle w:val="Odstavecseseznamem"/>
        <w:numPr>
          <w:ilvl w:val="0"/>
          <w:numId w:val="9"/>
        </w:numPr>
      </w:pPr>
      <w:r w:rsidRPr="007F1283">
        <w:t>The guidelines document should include additional resources, such as templates, case studies etc. </w:t>
      </w:r>
    </w:p>
    <w:p w14:paraId="5111EA14" w14:textId="77777777" w:rsidR="003C1D76" w:rsidRPr="007F1283" w:rsidRDefault="003C1D76" w:rsidP="007F0A41">
      <w:pPr>
        <w:pStyle w:val="Odstavecseseznamem"/>
        <w:numPr>
          <w:ilvl w:val="0"/>
          <w:numId w:val="9"/>
        </w:numPr>
      </w:pPr>
      <w:r w:rsidRPr="007F1283">
        <w:t>The guidelines should consider the possibility to develop (additional) DNSH criteria specific to calls or projects to tailor the generic DNSH assessments to particular contexts. </w:t>
      </w:r>
    </w:p>
    <w:p w14:paraId="374DED77" w14:textId="77777777" w:rsidR="003C1D76" w:rsidRPr="007F1283" w:rsidRDefault="003C1D76" w:rsidP="007F0A41">
      <w:pPr>
        <w:pStyle w:val="Odstavecseseznamem"/>
        <w:numPr>
          <w:ilvl w:val="0"/>
          <w:numId w:val="9"/>
        </w:numPr>
      </w:pPr>
      <w:r w:rsidRPr="007F1283">
        <w:t>There is a need to strike a balance between a limited administrative burden and oversimplified DNSH assessments, while still ensuring sufficient environmental integrity. </w:t>
      </w:r>
    </w:p>
    <w:p w14:paraId="1521737C" w14:textId="4D463BF4" w:rsidR="003C1D76" w:rsidRPr="007F1283" w:rsidRDefault="003C1D76" w:rsidP="007F0A41">
      <w:pPr>
        <w:pStyle w:val="Odstavecseseznamem"/>
        <w:numPr>
          <w:ilvl w:val="0"/>
          <w:numId w:val="9"/>
        </w:numPr>
      </w:pPr>
      <w:r w:rsidRPr="007F1283">
        <w:t>It is key to consider the number and differences of the authorities and stakeholders involved (both authorities managing public investments and project proponents), not only in the guidelines development, but also when it comes to future capacity building and training.</w:t>
      </w:r>
    </w:p>
    <w:p w14:paraId="14A6836E" w14:textId="77777777" w:rsidR="00485354" w:rsidRPr="007F1283" w:rsidRDefault="00485354" w:rsidP="007F0A41">
      <w:pPr>
        <w:ind w:left="0"/>
      </w:pPr>
    </w:p>
    <w:p w14:paraId="4D6AB4B2" w14:textId="629A2F10" w:rsidR="00A577E2" w:rsidRPr="007F1283" w:rsidRDefault="000543FF" w:rsidP="00A577E2">
      <w:pPr>
        <w:pStyle w:val="Nadpis2"/>
        <w:ind w:firstLine="0"/>
      </w:pPr>
      <w:bookmarkStart w:id="14" w:name="_Toc133944254"/>
      <w:r w:rsidRPr="007F1283">
        <w:t xml:space="preserve">Methodology and approach for the </w:t>
      </w:r>
      <w:r w:rsidR="00A577E2" w:rsidRPr="007F1283">
        <w:t>Deliverable 4</w:t>
      </w:r>
      <w:bookmarkEnd w:id="14"/>
    </w:p>
    <w:p w14:paraId="11A2F1D9" w14:textId="043E6938" w:rsidR="00A577E2" w:rsidRPr="007F1283" w:rsidRDefault="00D94B06" w:rsidP="00A577E2">
      <w:r w:rsidRPr="007F1283">
        <w:t>This section outlines the main steps in our approach when it comes to the identification of investment type and compiling investment categorisation under the DLV4.</w:t>
      </w:r>
      <w:r w:rsidR="009B31FA" w:rsidRPr="007F1283">
        <w:t xml:space="preserve"> </w:t>
      </w:r>
    </w:p>
    <w:p w14:paraId="6629DE50" w14:textId="77777777" w:rsidR="001508DA" w:rsidRPr="007F1283" w:rsidRDefault="001508DA" w:rsidP="001508DA"/>
    <w:p w14:paraId="340F3F06" w14:textId="1446409F" w:rsidR="00883372" w:rsidRPr="007F1283" w:rsidRDefault="00BF0C3B" w:rsidP="005D5776">
      <w:pPr>
        <w:pStyle w:val="Nadpis3"/>
      </w:pPr>
      <w:bookmarkStart w:id="15" w:name="_Toc133944255"/>
      <w:r w:rsidRPr="007F1283">
        <w:t>Investment type</w:t>
      </w:r>
      <w:r w:rsidR="00D101EC" w:rsidRPr="007F1283">
        <w:t>s</w:t>
      </w:r>
      <w:bookmarkEnd w:id="15"/>
    </w:p>
    <w:p w14:paraId="24A4DD03" w14:textId="521CBA74" w:rsidR="009B0DC4" w:rsidRPr="007F1283" w:rsidRDefault="047ACB50" w:rsidP="00883372">
      <w:r w:rsidRPr="007F1283">
        <w:t>The project team followed th</w:t>
      </w:r>
      <w:r w:rsidR="419F1E4D" w:rsidRPr="007F1283">
        <w:t>e</w:t>
      </w:r>
      <w:r w:rsidRPr="007F1283">
        <w:t xml:space="preserve"> steps</w:t>
      </w:r>
      <w:r w:rsidR="3D4FD98C" w:rsidRPr="007F1283">
        <w:t xml:space="preserve"> below</w:t>
      </w:r>
      <w:r w:rsidRPr="007F1283">
        <w:t xml:space="preserve"> to identify the types of investments at programme level under EU Funds and programmes, for which alignment with the DNSH principle and/or CP assessment is required</w:t>
      </w:r>
      <w:r w:rsidR="57E399E9" w:rsidRPr="007F1283">
        <w:t>.</w:t>
      </w:r>
    </w:p>
    <w:p w14:paraId="08173974" w14:textId="77777777" w:rsidR="00E304B3" w:rsidRPr="007F1283" w:rsidRDefault="00E304B3" w:rsidP="00883372"/>
    <w:p w14:paraId="3FA8DC43" w14:textId="6908883F" w:rsidR="00484403" w:rsidRPr="007F1283" w:rsidRDefault="25D979C7" w:rsidP="64585EE7">
      <w:pPr>
        <w:pStyle w:val="Odstavecseseznamem"/>
        <w:numPr>
          <w:ilvl w:val="0"/>
          <w:numId w:val="9"/>
        </w:numPr>
      </w:pPr>
      <w:r w:rsidRPr="007F1283">
        <w:rPr>
          <w:b/>
          <w:bCs/>
        </w:rPr>
        <w:t>Step 1</w:t>
      </w:r>
      <w:r w:rsidRPr="007F1283">
        <w:t xml:space="preserve"> – The team conducted an in-depth review of relevant documentation and resources under all programmes, the NRP (RRF)</w:t>
      </w:r>
      <w:r w:rsidR="4E51E0B2" w:rsidRPr="007F1283">
        <w:t>,</w:t>
      </w:r>
      <w:r w:rsidRPr="007F1283">
        <w:t xml:space="preserve"> and the InvestEU to first identify the </w:t>
      </w:r>
      <w:bookmarkStart w:id="16" w:name="_Int_sSVs5lFv"/>
      <w:r w:rsidRPr="007F1283">
        <w:t>focus</w:t>
      </w:r>
      <w:bookmarkEnd w:id="16"/>
      <w:r w:rsidRPr="007F1283">
        <w:t xml:space="preserve"> and investment areas for each fund in scope. The documentation and resources reviewed include the main programme documents outlining the funded areas and objectives, schedules and timetables for the funding pipeline, programme websites with information on the planned allocation of funds, </w:t>
      </w:r>
      <w:r w:rsidR="44770884" w:rsidRPr="007F1283">
        <w:t>plus</w:t>
      </w:r>
      <w:r w:rsidRPr="007F1283">
        <w:t xml:space="preserve"> information and documentation </w:t>
      </w:r>
      <w:r w:rsidR="72C1B9DE" w:rsidRPr="007F1283">
        <w:t>for</w:t>
      </w:r>
      <w:r w:rsidRPr="007F1283">
        <w:t xml:space="preserve"> the already opened calls.</w:t>
      </w:r>
    </w:p>
    <w:p w14:paraId="4C16C6E3" w14:textId="77777777" w:rsidR="00484403" w:rsidRPr="007F1283" w:rsidRDefault="00484403" w:rsidP="00484403">
      <w:pPr>
        <w:pStyle w:val="Odstavecseseznamem"/>
        <w:ind w:left="1211"/>
        <w:rPr>
          <w:szCs w:val="18"/>
        </w:rPr>
      </w:pPr>
    </w:p>
    <w:p w14:paraId="20D8D66C" w14:textId="6DF65144" w:rsidR="00484403" w:rsidRPr="007F1283" w:rsidRDefault="39EF6CCB" w:rsidP="606D0A80">
      <w:pPr>
        <w:pStyle w:val="Odstavecseseznamem"/>
        <w:numPr>
          <w:ilvl w:val="0"/>
          <w:numId w:val="9"/>
        </w:numPr>
      </w:pPr>
      <w:r w:rsidRPr="007F1283">
        <w:rPr>
          <w:b/>
          <w:bCs/>
        </w:rPr>
        <w:t>Step 2</w:t>
      </w:r>
      <w:r w:rsidRPr="007F1283">
        <w:t xml:space="preserve"> – Once all documentation and information </w:t>
      </w:r>
      <w:bookmarkStart w:id="17" w:name="_Int_VDpjWiph"/>
      <w:r w:rsidR="3161DDBF" w:rsidRPr="007F1283">
        <w:t>was</w:t>
      </w:r>
      <w:bookmarkEnd w:id="17"/>
      <w:r w:rsidR="3161DDBF" w:rsidRPr="007F1283">
        <w:t xml:space="preserve"> </w:t>
      </w:r>
      <w:r w:rsidRPr="007F1283">
        <w:t xml:space="preserve">collected, the </w:t>
      </w:r>
      <w:r w:rsidR="00114045" w:rsidRPr="007F1283">
        <w:t xml:space="preserve">project </w:t>
      </w:r>
      <w:r w:rsidRPr="007F1283">
        <w:t xml:space="preserve">team compiled a comprehensive table listing </w:t>
      </w:r>
      <w:r w:rsidR="597AD21F" w:rsidRPr="007F1283">
        <w:t xml:space="preserve">the </w:t>
      </w:r>
      <w:r w:rsidRPr="007F1283">
        <w:t>information across multiple levels of each programme/fund, as per the diagram</w:t>
      </w:r>
      <w:r w:rsidR="19D0A06B" w:rsidRPr="007F1283">
        <w:t xml:space="preserve"> (Figure 1)</w:t>
      </w:r>
      <w:r w:rsidRPr="007F1283">
        <w:t xml:space="preserve"> below. In order to ensure that all planned investments were captured, the review included an equivalent (or as close as possible) depth of the levels in each </w:t>
      </w:r>
      <w:r w:rsidR="25D34F4F" w:rsidRPr="007F1283">
        <w:t>programme/</w:t>
      </w:r>
      <w:r w:rsidRPr="007F1283">
        <w:t xml:space="preserve">fund </w:t>
      </w:r>
      <w:r w:rsidR="25D34F4F" w:rsidRPr="007F1283">
        <w:t>(CPF, NRP, InvestEU)</w:t>
      </w:r>
      <w:r w:rsidRPr="007F1283">
        <w:t>, all the way to the level at which the DNSH assessment is required to be carried out. These levels include</w:t>
      </w:r>
      <w:r w:rsidR="31A31EA1" w:rsidRPr="007F1283">
        <w:t>d</w:t>
      </w:r>
      <w:r w:rsidRPr="007F1283">
        <w:t xml:space="preserve"> priorities/pillars – main </w:t>
      </w:r>
      <w:r w:rsidR="3C416827" w:rsidRPr="007F1283">
        <w:t xml:space="preserve">areas </w:t>
      </w:r>
      <w:r w:rsidRPr="007F1283">
        <w:t xml:space="preserve">of focus (e.g., </w:t>
      </w:r>
      <w:r w:rsidR="7255083B" w:rsidRPr="007F1283">
        <w:t xml:space="preserve">GHG </w:t>
      </w:r>
      <w:r w:rsidR="7255083B" w:rsidRPr="007F1283">
        <w:rPr>
          <w:i/>
          <w:iCs/>
        </w:rPr>
        <w:t>Emission reduction</w:t>
      </w:r>
      <w:r w:rsidR="48AAF961" w:rsidRPr="007F1283">
        <w:rPr>
          <w:i/>
          <w:iCs/>
        </w:rPr>
        <w:t>,</w:t>
      </w:r>
      <w:r w:rsidRPr="007F1283">
        <w:rPr>
          <w:i/>
          <w:iCs/>
        </w:rPr>
        <w:t xml:space="preserve"> Digitalisation</w:t>
      </w:r>
      <w:r w:rsidR="48AAF961" w:rsidRPr="007F1283">
        <w:rPr>
          <w:i/>
          <w:iCs/>
        </w:rPr>
        <w:t xml:space="preserve"> etc.</w:t>
      </w:r>
      <w:r w:rsidRPr="007F1283">
        <w:t xml:space="preserve">), Specific objectives/Components </w:t>
      </w:r>
      <w:r w:rsidR="7F81F908" w:rsidRPr="007F1283">
        <w:t>–</w:t>
      </w:r>
      <w:r w:rsidRPr="007F1283">
        <w:t xml:space="preserve"> specific goals for each funded area (e.g. increasing digital connectivity; increasing energy efficiency and reducing emissions of GHG</w:t>
      </w:r>
      <w:r w:rsidR="02D4A911" w:rsidRPr="007F1283">
        <w:t xml:space="preserve">), and the </w:t>
      </w:r>
      <w:r w:rsidR="213A22DE" w:rsidRPr="007F1283">
        <w:t xml:space="preserve">Types of Actions/Measures </w:t>
      </w:r>
      <w:r w:rsidR="64A29AA6" w:rsidRPr="007F1283">
        <w:t>level</w:t>
      </w:r>
      <w:r w:rsidRPr="007F1283">
        <w:t xml:space="preserve"> </w:t>
      </w:r>
      <w:r w:rsidR="7FE05E71" w:rsidRPr="007F1283">
        <w:t xml:space="preserve">- </w:t>
      </w:r>
      <w:r w:rsidRPr="007F1283">
        <w:t>specific action and/or improvement funded by the investment (e.g. Building new networks and upgrading existing network infrastructure for Internet access with specific parameters, Reduction of energy performance of buildings owned by state institutions).</w:t>
      </w:r>
    </w:p>
    <w:p w14:paraId="4A36635B" w14:textId="77777777" w:rsidR="00484403" w:rsidRPr="007F1283" w:rsidRDefault="00484403" w:rsidP="00F263E6">
      <w:pPr>
        <w:spacing w:line="240" w:lineRule="auto"/>
        <w:ind w:left="0"/>
        <w:rPr>
          <w:rFonts w:eastAsia="Arial" w:cs="Arial"/>
          <w:sz w:val="20"/>
          <w:szCs w:val="20"/>
        </w:rPr>
      </w:pPr>
    </w:p>
    <w:p w14:paraId="0FBCF2DE" w14:textId="08AE08BC" w:rsidR="00484403" w:rsidRPr="007F1283" w:rsidRDefault="001508DA">
      <w:pPr>
        <w:pStyle w:val="Titulek"/>
        <w:ind w:left="0"/>
      </w:pPr>
      <w:r w:rsidRPr="007F1283">
        <w:rPr>
          <w:noProof/>
          <w:lang w:val="cs-CZ" w:eastAsia="cs-CZ"/>
        </w:rPr>
        <w:lastRenderedPageBreak/>
        <w:drawing>
          <wp:anchor distT="0" distB="0" distL="114300" distR="114300" simplePos="0" relativeHeight="251658250" behindDoc="0" locked="0" layoutInCell="1" allowOverlap="1" wp14:anchorId="1E7B5E26" wp14:editId="2612478F">
            <wp:simplePos x="0" y="0"/>
            <wp:positionH relativeFrom="column">
              <wp:posOffset>8255</wp:posOffset>
            </wp:positionH>
            <wp:positionV relativeFrom="paragraph">
              <wp:posOffset>312005</wp:posOffset>
            </wp:positionV>
            <wp:extent cx="5731510" cy="2094230"/>
            <wp:effectExtent l="0" t="0" r="0" b="1270"/>
            <wp:wrapThrough wrapText="bothSides">
              <wp:wrapPolygon edited="0">
                <wp:start x="0" y="0"/>
                <wp:lineTo x="0" y="21482"/>
                <wp:lineTo x="21538" y="21482"/>
                <wp:lineTo x="21538" y="0"/>
                <wp:lineTo x="0" y="0"/>
              </wp:wrapPolygon>
            </wp:wrapThrough>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31510" cy="2094230"/>
                    </a:xfrm>
                    <a:prstGeom prst="rect">
                      <a:avLst/>
                    </a:prstGeom>
                  </pic:spPr>
                </pic:pic>
              </a:graphicData>
            </a:graphic>
            <wp14:sizeRelH relativeFrom="page">
              <wp14:pctWidth>0</wp14:pctWidth>
            </wp14:sizeRelH>
            <wp14:sizeRelV relativeFrom="page">
              <wp14:pctHeight>0</wp14:pctHeight>
            </wp14:sizeRelV>
          </wp:anchor>
        </w:drawing>
      </w:r>
      <w:r w:rsidR="005F0AA4" w:rsidRPr="007F1283">
        <w:t xml:space="preserve">Figure </w:t>
      </w:r>
      <w:r w:rsidR="005F0AA4" w:rsidRPr="007F1283">
        <w:fldChar w:fldCharType="begin"/>
      </w:r>
      <w:r w:rsidR="005F0AA4" w:rsidRPr="007F1283">
        <w:instrText xml:space="preserve"> SEQ Figure \* ARABIC </w:instrText>
      </w:r>
      <w:r w:rsidR="005F0AA4" w:rsidRPr="007F1283">
        <w:fldChar w:fldCharType="separate"/>
      </w:r>
      <w:r w:rsidR="00FE2873">
        <w:rPr>
          <w:noProof/>
        </w:rPr>
        <w:t>1</w:t>
      </w:r>
      <w:r w:rsidR="005F0AA4" w:rsidRPr="007F1283">
        <w:fldChar w:fldCharType="end"/>
      </w:r>
      <w:r w:rsidR="005F0AA4" w:rsidRPr="007F1283">
        <w:t xml:space="preserve">  </w:t>
      </w:r>
      <w:r w:rsidR="00F86140" w:rsidRPr="007F1283">
        <w:t xml:space="preserve">- </w:t>
      </w:r>
      <w:r w:rsidR="00F76511" w:rsidRPr="007F1283">
        <w:t xml:space="preserve">Process for </w:t>
      </w:r>
      <w:r w:rsidR="006C13F1" w:rsidRPr="007F1283">
        <w:t>collecting and reviewing information to identify investment types and categories</w:t>
      </w:r>
    </w:p>
    <w:p w14:paraId="2B180F32" w14:textId="77777777" w:rsidR="00484403" w:rsidRPr="007F1283" w:rsidRDefault="00484403" w:rsidP="00484403">
      <w:pPr>
        <w:spacing w:line="240" w:lineRule="auto"/>
        <w:rPr>
          <w:rFonts w:eastAsia="Arial" w:cs="Arial"/>
          <w:b/>
          <w:bCs/>
          <w:sz w:val="20"/>
          <w:szCs w:val="20"/>
        </w:rPr>
      </w:pPr>
    </w:p>
    <w:p w14:paraId="54E0402F" w14:textId="0936BF17" w:rsidR="00484403" w:rsidRPr="007F1283" w:rsidRDefault="39EF6CCB" w:rsidP="008818F0">
      <w:pPr>
        <w:pStyle w:val="Odstavecseseznamem"/>
        <w:numPr>
          <w:ilvl w:val="0"/>
          <w:numId w:val="9"/>
        </w:numPr>
      </w:pPr>
      <w:r w:rsidRPr="007F1283">
        <w:rPr>
          <w:b/>
          <w:bCs/>
        </w:rPr>
        <w:t>Step 3</w:t>
      </w:r>
      <w:r w:rsidRPr="007F1283">
        <w:t xml:space="preserve"> - The team then proceeded to identify investment type at the Type of Action/</w:t>
      </w:r>
      <w:r w:rsidRPr="007F1283">
        <w:rPr>
          <w:rFonts w:eastAsia="Arial" w:cs="Arial"/>
          <w:sz w:val="20"/>
          <w:szCs w:val="20"/>
        </w:rPr>
        <w:t xml:space="preserve"> </w:t>
      </w:r>
      <w:r w:rsidRPr="007F1283">
        <w:t xml:space="preserve">Measure level by finding overlaps in the activities, improvements, and both tangible and non-tangible intervention/activities funded across all programmes and funds. This step created groups (types), which </w:t>
      </w:r>
      <w:r w:rsidR="43CC841C" w:rsidRPr="007F1283">
        <w:t>represent</w:t>
      </w:r>
      <w:r w:rsidRPr="007F1283">
        <w:t xml:space="preserve"> </w:t>
      </w:r>
      <w:r w:rsidR="341E344D" w:rsidRPr="007F1283">
        <w:t xml:space="preserve">a </w:t>
      </w:r>
      <w:r w:rsidRPr="007F1283">
        <w:t>specific investment type.</w:t>
      </w:r>
      <w:r w:rsidR="53543EAF" w:rsidRPr="007F1283">
        <w:t xml:space="preserve"> </w:t>
      </w:r>
      <w:r w:rsidR="03D03312" w:rsidRPr="007F1283">
        <w:t>I</w:t>
      </w:r>
      <w:r w:rsidR="4C1660AD" w:rsidRPr="007F1283">
        <w:t xml:space="preserve">n addition, </w:t>
      </w:r>
      <w:r w:rsidR="6BCF0DC4" w:rsidRPr="007F1283">
        <w:t xml:space="preserve">on the </w:t>
      </w:r>
      <w:r w:rsidR="365C18A4" w:rsidRPr="007F1283">
        <w:t>best-effort</w:t>
      </w:r>
      <w:r w:rsidR="366BC231" w:rsidRPr="007F1283">
        <w:t xml:space="preserve"> </w:t>
      </w:r>
      <w:r w:rsidR="6BCF0DC4" w:rsidRPr="007F1283">
        <w:t xml:space="preserve">basis, </w:t>
      </w:r>
      <w:r w:rsidR="03D03312" w:rsidRPr="007F1283">
        <w:t xml:space="preserve">the team also considered </w:t>
      </w:r>
      <w:r w:rsidR="4C1660AD" w:rsidRPr="007F1283">
        <w:t xml:space="preserve">aspects such as </w:t>
      </w:r>
      <w:r w:rsidR="09D95169" w:rsidRPr="007F1283">
        <w:t xml:space="preserve">the foreseeable complexity of the DNSH assessment </w:t>
      </w:r>
      <w:r w:rsidR="44BF667D" w:rsidRPr="007F1283">
        <w:t>(</w:t>
      </w:r>
      <w:r w:rsidR="6FA287B6" w:rsidRPr="007F1283">
        <w:t>e.g.</w:t>
      </w:r>
      <w:r w:rsidR="373A47CA" w:rsidRPr="007F1283">
        <w:t>,</w:t>
      </w:r>
      <w:r w:rsidR="44BF667D" w:rsidRPr="007F1283">
        <w:t xml:space="preserve"> </w:t>
      </w:r>
      <w:r w:rsidR="0C8D390E" w:rsidRPr="007F1283">
        <w:t>technical screen</w:t>
      </w:r>
      <w:r w:rsidR="360D15DE" w:rsidRPr="007F1283">
        <w:t>ing</w:t>
      </w:r>
      <w:r w:rsidR="0C8D390E" w:rsidRPr="007F1283">
        <w:t xml:space="preserve"> criteria), </w:t>
      </w:r>
      <w:r w:rsidR="6BCF0DC4" w:rsidRPr="007F1283">
        <w:t xml:space="preserve">targeted </w:t>
      </w:r>
      <w:r w:rsidR="4839913D" w:rsidRPr="007F1283">
        <w:t>theme</w:t>
      </w:r>
      <w:r w:rsidR="6BCF0DC4" w:rsidRPr="007F1283">
        <w:t>s</w:t>
      </w:r>
      <w:r w:rsidR="4839913D" w:rsidRPr="007F1283">
        <w:t xml:space="preserve"> and sector</w:t>
      </w:r>
      <w:r w:rsidR="6BCF0DC4" w:rsidRPr="007F1283">
        <w:t>s</w:t>
      </w:r>
      <w:r w:rsidR="4839913D" w:rsidRPr="007F1283">
        <w:t xml:space="preserve"> in question</w:t>
      </w:r>
      <w:r w:rsidR="6BCF0DC4" w:rsidRPr="007F1283">
        <w:t>, and</w:t>
      </w:r>
      <w:r w:rsidR="4839913D" w:rsidRPr="007F1283">
        <w:t xml:space="preserve"> potential inclusion of infrastructure</w:t>
      </w:r>
      <w:r w:rsidR="001F0D27" w:rsidRPr="007F1283">
        <w:rPr>
          <w:rStyle w:val="Znakapoznpodarou"/>
        </w:rPr>
        <w:footnoteReference w:id="3"/>
      </w:r>
      <w:r w:rsidR="40C06B91" w:rsidRPr="007F1283">
        <w:t xml:space="preserve"> </w:t>
      </w:r>
      <w:r w:rsidR="4839913D" w:rsidRPr="007F1283">
        <w:t>elements</w:t>
      </w:r>
      <w:r w:rsidR="6BCF0DC4" w:rsidRPr="007F1283">
        <w:t>.</w:t>
      </w:r>
    </w:p>
    <w:p w14:paraId="3A0B3AF1" w14:textId="77777777" w:rsidR="00484403" w:rsidRPr="007F1283" w:rsidRDefault="00484403" w:rsidP="00484403">
      <w:pPr>
        <w:spacing w:line="240" w:lineRule="auto"/>
        <w:rPr>
          <w:rFonts w:eastAsia="Arial" w:cs="Arial"/>
          <w:sz w:val="20"/>
          <w:szCs w:val="20"/>
        </w:rPr>
      </w:pPr>
    </w:p>
    <w:p w14:paraId="5BE110A8" w14:textId="204E0858" w:rsidR="00484403" w:rsidRPr="007F1283" w:rsidRDefault="25D979C7" w:rsidP="006920E6">
      <w:pPr>
        <w:pStyle w:val="Odstavecseseznamem"/>
        <w:numPr>
          <w:ilvl w:val="0"/>
          <w:numId w:val="9"/>
        </w:numPr>
      </w:pPr>
      <w:r w:rsidRPr="007F1283">
        <w:rPr>
          <w:b/>
          <w:bCs/>
        </w:rPr>
        <w:t>Step 4</w:t>
      </w:r>
      <w:r w:rsidRPr="007F1283">
        <w:t xml:space="preserve"> – Once the list of investment activities and types </w:t>
      </w:r>
      <w:r w:rsidR="30DA273F" w:rsidRPr="007F1283">
        <w:t>were</w:t>
      </w:r>
      <w:r w:rsidRPr="007F1283">
        <w:t xml:space="preserve"> identified,</w:t>
      </w:r>
      <w:r w:rsidR="39EF6CCB" w:rsidRPr="007F1283">
        <w:t xml:space="preserve"> </w:t>
      </w:r>
      <w:r w:rsidRPr="007F1283">
        <w:t xml:space="preserve">the table and the collected information from the previous step was reviewed and reconciled </w:t>
      </w:r>
      <w:r w:rsidR="078DDF08" w:rsidRPr="007F1283">
        <w:t xml:space="preserve">(where possible) </w:t>
      </w:r>
      <w:r w:rsidRPr="007F1283">
        <w:t>against the sectors and economic activities included in the Commission Delegated Regulation (EU) 2021/2139</w:t>
      </w:r>
      <w:r w:rsidR="297023A1" w:rsidRPr="007F1283">
        <w:t>)</w:t>
      </w:r>
      <w:r w:rsidRPr="007F1283">
        <w:t xml:space="preserve"> to ensure that the terminology used in the analysis is consistent.</w:t>
      </w:r>
    </w:p>
    <w:p w14:paraId="522BB988" w14:textId="77777777" w:rsidR="00DA4AF9" w:rsidRPr="007F1283" w:rsidRDefault="00DA4AF9" w:rsidP="007D1B51">
      <w:pPr>
        <w:ind w:left="0"/>
      </w:pPr>
    </w:p>
    <w:p w14:paraId="668E92C9" w14:textId="609A5A09" w:rsidR="00BF0C3B" w:rsidRPr="007F1283" w:rsidRDefault="4FC7FE33" w:rsidP="005D5776">
      <w:pPr>
        <w:pStyle w:val="Nadpis3"/>
      </w:pPr>
      <w:bookmarkStart w:id="18" w:name="_Toc133944256"/>
      <w:r w:rsidRPr="007F1283">
        <w:t>Categorisation based on</w:t>
      </w:r>
      <w:r w:rsidR="18C0960F" w:rsidRPr="007F1283">
        <w:t xml:space="preserve"> </w:t>
      </w:r>
      <w:r w:rsidRPr="007F1283">
        <w:t>investment type</w:t>
      </w:r>
      <w:r w:rsidR="18C0960F" w:rsidRPr="007F1283">
        <w:t>s</w:t>
      </w:r>
      <w:bookmarkEnd w:id="18"/>
    </w:p>
    <w:p w14:paraId="4916905D" w14:textId="5AF8AF13" w:rsidR="12509903" w:rsidRPr="007F1283" w:rsidRDefault="12509903" w:rsidP="232E7DD7">
      <w:pPr>
        <w:rPr>
          <w:rFonts w:eastAsia="Trebuchet MS" w:cs="Trebuchet MS"/>
          <w:szCs w:val="18"/>
        </w:rPr>
      </w:pPr>
      <w:r w:rsidRPr="007F1283">
        <w:rPr>
          <w:rFonts w:eastAsia="Trebuchet MS" w:cs="Trebuchet MS"/>
          <w:szCs w:val="18"/>
        </w:rPr>
        <w:t xml:space="preserve">As described in previous sections, investment categorisation has been developed based on the shared characteristics and the most pronounced features of the investment types identified. The characteristics include sectoral and thematic aspects, perceived implications for the application of the DNSH principle and the potential requirement for the CP assessment. </w:t>
      </w:r>
      <w:r w:rsidR="4352FFE3" w:rsidRPr="007F1283">
        <w:rPr>
          <w:rFonts w:eastAsia="Trebuchet MS" w:cs="Trebuchet MS"/>
          <w:szCs w:val="18"/>
        </w:rPr>
        <w:t>To create the categories, th</w:t>
      </w:r>
      <w:r w:rsidRPr="007F1283">
        <w:rPr>
          <w:rFonts w:eastAsia="Trebuchet MS" w:cs="Trebuchet MS"/>
          <w:szCs w:val="18"/>
        </w:rPr>
        <w:t>e</w:t>
      </w:r>
      <w:r w:rsidR="5E834C63" w:rsidRPr="007F1283">
        <w:rPr>
          <w:rFonts w:eastAsia="Trebuchet MS" w:cs="Trebuchet MS"/>
          <w:szCs w:val="18"/>
        </w:rPr>
        <w:t xml:space="preserve"> types</w:t>
      </w:r>
      <w:r w:rsidRPr="007F1283">
        <w:rPr>
          <w:rFonts w:eastAsia="Trebuchet MS" w:cs="Trebuchet MS"/>
          <w:szCs w:val="18"/>
        </w:rPr>
        <w:t xml:space="preserve"> have been merged into high-level overarching groups (i.e., investment categories). The categories have been designed in such way, that each investment type will fall into at least one (or more) categories.</w:t>
      </w:r>
    </w:p>
    <w:p w14:paraId="116155EE" w14:textId="6DB02F1F" w:rsidR="001508DA" w:rsidRPr="007F1283" w:rsidRDefault="001508DA">
      <w:pPr>
        <w:spacing w:after="200" w:line="276" w:lineRule="auto"/>
        <w:ind w:left="0"/>
        <w:rPr>
          <w:rFonts w:eastAsia="Trebuchet MS" w:cs="Trebuchet MS"/>
          <w:szCs w:val="18"/>
        </w:rPr>
      </w:pPr>
      <w:r w:rsidRPr="007F1283">
        <w:rPr>
          <w:rFonts w:eastAsia="Trebuchet MS" w:cs="Trebuchet MS"/>
          <w:szCs w:val="18"/>
        </w:rPr>
        <w:br w:type="page"/>
      </w:r>
    </w:p>
    <w:p w14:paraId="09D23520" w14:textId="5E687322" w:rsidR="002022F4" w:rsidRPr="007F1283" w:rsidRDefault="009B0DC4" w:rsidP="00151272">
      <w:pPr>
        <w:pStyle w:val="Nadpis1"/>
      </w:pPr>
      <w:bookmarkStart w:id="19" w:name="_Toc133944257"/>
      <w:r w:rsidRPr="007F1283">
        <w:lastRenderedPageBreak/>
        <w:t xml:space="preserve">Investment </w:t>
      </w:r>
      <w:r w:rsidR="00823D42" w:rsidRPr="007F1283">
        <w:t xml:space="preserve">typology and </w:t>
      </w:r>
      <w:r w:rsidRPr="007F1283">
        <w:t>categori</w:t>
      </w:r>
      <w:r w:rsidR="00823D42" w:rsidRPr="007F1283">
        <w:t>s</w:t>
      </w:r>
      <w:r w:rsidRPr="007F1283">
        <w:t>ation</w:t>
      </w:r>
      <w:bookmarkStart w:id="20" w:name="_Toc338338707"/>
      <w:bookmarkStart w:id="21" w:name="_Toc338338779"/>
      <w:bookmarkStart w:id="22" w:name="_Toc338338710"/>
      <w:bookmarkStart w:id="23" w:name="_Toc338338782"/>
      <w:bookmarkStart w:id="24" w:name="_Toc429670961"/>
      <w:bookmarkEnd w:id="19"/>
      <w:bookmarkEnd w:id="20"/>
      <w:bookmarkEnd w:id="21"/>
      <w:bookmarkEnd w:id="22"/>
      <w:bookmarkEnd w:id="23"/>
    </w:p>
    <w:p w14:paraId="0BF1F917" w14:textId="6C9699E5" w:rsidR="002B5230" w:rsidRPr="007F1283" w:rsidRDefault="002B5230" w:rsidP="002B5230">
      <w:r w:rsidRPr="007F1283">
        <w:t xml:space="preserve">The sections </w:t>
      </w:r>
      <w:r w:rsidR="55EA6F5F" w:rsidRPr="007F1283">
        <w:t>below</w:t>
      </w:r>
      <w:r w:rsidR="6948B097" w:rsidRPr="007F1283">
        <w:t xml:space="preserve"> </w:t>
      </w:r>
      <w:r w:rsidRPr="007F1283">
        <w:t xml:space="preserve">provide an overview of the key findings, which </w:t>
      </w:r>
      <w:r w:rsidR="6948B097" w:rsidRPr="007F1283">
        <w:t>stem</w:t>
      </w:r>
      <w:r w:rsidRPr="007F1283">
        <w:t xml:space="preserve"> from the identification </w:t>
      </w:r>
      <w:r w:rsidR="441BE7E8" w:rsidRPr="007F1283">
        <w:t>exercise</w:t>
      </w:r>
      <w:r w:rsidR="6948B097" w:rsidRPr="007F1283">
        <w:t xml:space="preserve"> </w:t>
      </w:r>
      <w:r w:rsidRPr="007F1283">
        <w:t xml:space="preserve">of types of investment/interventions and </w:t>
      </w:r>
      <w:r w:rsidR="0FA8119F" w:rsidRPr="007F1283">
        <w:t>the</w:t>
      </w:r>
      <w:r w:rsidR="6948B097" w:rsidRPr="007F1283">
        <w:t xml:space="preserve"> </w:t>
      </w:r>
      <w:r w:rsidRPr="007F1283">
        <w:t xml:space="preserve">creation of the investment categorisation. In addition, </w:t>
      </w:r>
      <w:r w:rsidR="6948B097" w:rsidRPr="007F1283">
        <w:t>th</w:t>
      </w:r>
      <w:r w:rsidR="4F49ED02" w:rsidRPr="007F1283">
        <w:t>is</w:t>
      </w:r>
      <w:r w:rsidRPr="007F1283">
        <w:t xml:space="preserve"> section explores the main </w:t>
      </w:r>
      <w:r w:rsidR="6948B097" w:rsidRPr="007F1283">
        <w:t>implication</w:t>
      </w:r>
      <w:r w:rsidR="506F974A" w:rsidRPr="007F1283">
        <w:t>s</w:t>
      </w:r>
      <w:r w:rsidRPr="007F1283">
        <w:t xml:space="preserve"> of the identified types of investments in the programmes and funds in Czechia on the application of the DNSH and CP assessment. </w:t>
      </w:r>
    </w:p>
    <w:p w14:paraId="790B52CA" w14:textId="77777777" w:rsidR="002022F4" w:rsidRPr="007F1283" w:rsidRDefault="002022F4" w:rsidP="002B5230">
      <w:pPr>
        <w:ind w:left="0"/>
      </w:pPr>
    </w:p>
    <w:p w14:paraId="1D3EDE83" w14:textId="186316DE" w:rsidR="00151272" w:rsidRPr="007F1283" w:rsidRDefault="00823D42" w:rsidP="00151272">
      <w:pPr>
        <w:pStyle w:val="Nadpis2"/>
        <w:ind w:firstLine="0"/>
      </w:pPr>
      <w:bookmarkStart w:id="25" w:name="_Toc133944258"/>
      <w:r w:rsidRPr="007F1283">
        <w:t>Investment types</w:t>
      </w:r>
      <w:bookmarkEnd w:id="25"/>
    </w:p>
    <w:p w14:paraId="7DA0FE91" w14:textId="5A179B84" w:rsidR="00090515" w:rsidRPr="007F1283" w:rsidRDefault="00090515" w:rsidP="00A95256">
      <w:r w:rsidRPr="007F1283">
        <w:t>In total, 4</w:t>
      </w:r>
      <w:r w:rsidR="005D0977" w:rsidRPr="007F1283">
        <w:t>4</w:t>
      </w:r>
      <w:r w:rsidRPr="007F1283">
        <w:t xml:space="preserve"> investment types have been identified across the priorities and specific objectives of the programmes and funds in scope. Out of the investment types, 16 investment categories have been created. </w:t>
      </w:r>
    </w:p>
    <w:p w14:paraId="2452F019" w14:textId="77777777" w:rsidR="00090515" w:rsidRPr="007F1283" w:rsidRDefault="00090515" w:rsidP="00A95256"/>
    <w:p w14:paraId="1CD1A675" w14:textId="27D2748D" w:rsidR="00090515" w:rsidRPr="007F1283" w:rsidRDefault="76CDE8E4" w:rsidP="00A95256">
      <w:r w:rsidRPr="007F1283">
        <w:t>Since</w:t>
      </w:r>
      <w:r w:rsidR="00090515" w:rsidRPr="007F1283">
        <w:t xml:space="preserve"> identified investment types consist of a variety of actions under the level of specific objectives of components, some of them include activities and interventions that fall under multiple or a combination of different investment categories. For instance, if an investment targets a new innovative technology for renewable power generation (</w:t>
      </w:r>
      <w:r w:rsidR="00625020" w:rsidRPr="007F1283">
        <w:t>e.g. Programme TAC</w:t>
      </w:r>
      <w:r w:rsidR="00090515" w:rsidRPr="007F1283">
        <w:t xml:space="preserve">), it has been assigned to three separate categories: Energy / Innovation / Technology. </w:t>
      </w:r>
    </w:p>
    <w:p w14:paraId="3FC373EE" w14:textId="23B00032" w:rsidR="00CF2D33" w:rsidRPr="007F1283" w:rsidRDefault="00CF2D33" w:rsidP="00A95256"/>
    <w:p w14:paraId="44EF3909" w14:textId="7D8D3F33" w:rsidR="00CF2D33" w:rsidRPr="007F1283" w:rsidRDefault="00CF2D33" w:rsidP="00A95256">
      <w:r w:rsidRPr="007F1283">
        <w:t xml:space="preserve">The full list of the investment types and assigned categories for each of them is presented in the table </w:t>
      </w:r>
      <w:r w:rsidR="006910C8" w:rsidRPr="007F1283">
        <w:t>below</w:t>
      </w:r>
      <w:r w:rsidRPr="007F1283">
        <w:t xml:space="preserve">.  </w:t>
      </w:r>
    </w:p>
    <w:p w14:paraId="2EBE773F" w14:textId="77777777" w:rsidR="001508DA" w:rsidRPr="007F1283" w:rsidRDefault="001508DA" w:rsidP="00A95256"/>
    <w:p w14:paraId="6663FE48" w14:textId="34E02442" w:rsidR="00D4662C" w:rsidRPr="007F1283" w:rsidRDefault="00D4662C" w:rsidP="00D4662C">
      <w:pPr>
        <w:pStyle w:val="Titulek"/>
      </w:pPr>
      <w:r w:rsidRPr="007F1283">
        <w:t xml:space="preserve">Table </w:t>
      </w:r>
      <w:r w:rsidRPr="007F1283">
        <w:fldChar w:fldCharType="begin"/>
      </w:r>
      <w:r w:rsidRPr="007F1283">
        <w:instrText xml:space="preserve"> SEQ Table \* ARABIC </w:instrText>
      </w:r>
      <w:r w:rsidRPr="007F1283">
        <w:fldChar w:fldCharType="separate"/>
      </w:r>
      <w:r w:rsidR="00FE2873">
        <w:rPr>
          <w:noProof/>
        </w:rPr>
        <w:t>1</w:t>
      </w:r>
      <w:r w:rsidRPr="007F1283">
        <w:fldChar w:fldCharType="end"/>
      </w:r>
      <w:r w:rsidRPr="007F1283">
        <w:t xml:space="preserve"> Full list of the investment types and their assigned categories</w:t>
      </w:r>
    </w:p>
    <w:tbl>
      <w:tblPr>
        <w:tblStyle w:val="Mkatabulky"/>
        <w:tblW w:w="8528" w:type="dxa"/>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A0" w:firstRow="1" w:lastRow="0" w:firstColumn="1" w:lastColumn="0" w:noHBand="1" w:noVBand="1"/>
      </w:tblPr>
      <w:tblGrid>
        <w:gridCol w:w="4678"/>
        <w:gridCol w:w="3850"/>
      </w:tblGrid>
      <w:tr w:rsidR="00333A87" w:rsidRPr="007F1283" w14:paraId="7C73709A" w14:textId="77777777" w:rsidTr="001508DA">
        <w:trPr>
          <w:trHeight w:val="315"/>
        </w:trPr>
        <w:tc>
          <w:tcPr>
            <w:tcW w:w="4678" w:type="dxa"/>
            <w:shd w:val="clear" w:color="auto" w:fill="004242"/>
            <w:tcMar>
              <w:top w:w="15" w:type="dxa"/>
              <w:left w:w="15" w:type="dxa"/>
              <w:right w:w="15" w:type="dxa"/>
            </w:tcMar>
            <w:vAlign w:val="center"/>
          </w:tcPr>
          <w:p w14:paraId="0EF993F4" w14:textId="1150B5E7" w:rsidR="00333A87" w:rsidRPr="007F1283" w:rsidRDefault="004E630A">
            <w:pPr>
              <w:spacing w:before="20" w:after="20" w:line="240" w:lineRule="auto"/>
              <w:ind w:left="0"/>
              <w:rPr>
                <w:b/>
                <w:bCs/>
                <w:color w:val="FFFFFF" w:themeColor="background1"/>
                <w:sz w:val="16"/>
                <w:szCs w:val="16"/>
              </w:rPr>
            </w:pPr>
            <w:r w:rsidRPr="007F1283">
              <w:rPr>
                <w:b/>
                <w:bCs/>
                <w:color w:val="FFFFFF" w:themeColor="background1"/>
                <w:sz w:val="16"/>
                <w:szCs w:val="16"/>
              </w:rPr>
              <w:t xml:space="preserve"> Investment t</w:t>
            </w:r>
            <w:r w:rsidR="00333A87" w:rsidRPr="007F1283">
              <w:rPr>
                <w:b/>
                <w:bCs/>
                <w:color w:val="FFFFFF" w:themeColor="background1"/>
                <w:sz w:val="16"/>
                <w:szCs w:val="16"/>
              </w:rPr>
              <w:t>ypes</w:t>
            </w:r>
          </w:p>
        </w:tc>
        <w:tc>
          <w:tcPr>
            <w:tcW w:w="3850" w:type="dxa"/>
            <w:shd w:val="clear" w:color="auto" w:fill="004242"/>
            <w:tcMar>
              <w:top w:w="15" w:type="dxa"/>
              <w:left w:w="15" w:type="dxa"/>
              <w:right w:w="15" w:type="dxa"/>
            </w:tcMar>
            <w:vAlign w:val="center"/>
          </w:tcPr>
          <w:p w14:paraId="17ADAA85" w14:textId="18D02B88" w:rsidR="00333A87" w:rsidRPr="007F1283" w:rsidRDefault="00333A87">
            <w:pPr>
              <w:spacing w:before="20" w:after="20" w:line="240" w:lineRule="auto"/>
              <w:ind w:left="0"/>
              <w:rPr>
                <w:b/>
                <w:bCs/>
                <w:color w:val="FFFFFF" w:themeColor="background1"/>
                <w:sz w:val="16"/>
                <w:szCs w:val="16"/>
              </w:rPr>
            </w:pPr>
            <w:r w:rsidRPr="007F1283">
              <w:rPr>
                <w:color w:val="FFFFFF" w:themeColor="background1"/>
                <w:sz w:val="16"/>
                <w:szCs w:val="16"/>
              </w:rPr>
              <w:t xml:space="preserve"> </w:t>
            </w:r>
            <w:r w:rsidRPr="007F1283">
              <w:rPr>
                <w:b/>
                <w:bCs/>
                <w:color w:val="FFFFFF" w:themeColor="background1"/>
                <w:sz w:val="16"/>
                <w:szCs w:val="16"/>
              </w:rPr>
              <w:t>Categor</w:t>
            </w:r>
            <w:r w:rsidR="004B796E" w:rsidRPr="007F1283">
              <w:rPr>
                <w:b/>
                <w:bCs/>
                <w:color w:val="FFFFFF" w:themeColor="background1"/>
                <w:sz w:val="16"/>
                <w:szCs w:val="16"/>
              </w:rPr>
              <w:t>ies</w:t>
            </w:r>
            <w:r w:rsidRPr="007F1283">
              <w:rPr>
                <w:b/>
                <w:bCs/>
                <w:color w:val="FFFFFF" w:themeColor="background1"/>
                <w:sz w:val="16"/>
                <w:szCs w:val="16"/>
              </w:rPr>
              <w:t xml:space="preserve"> assignment</w:t>
            </w:r>
          </w:p>
        </w:tc>
      </w:tr>
      <w:tr w:rsidR="00333A87" w:rsidRPr="007F1283" w14:paraId="62B2392F" w14:textId="77777777" w:rsidTr="001508DA">
        <w:trPr>
          <w:trHeight w:val="56"/>
        </w:trPr>
        <w:tc>
          <w:tcPr>
            <w:tcW w:w="4678" w:type="dxa"/>
            <w:tcMar>
              <w:top w:w="15" w:type="dxa"/>
              <w:left w:w="15" w:type="dxa"/>
              <w:right w:w="15" w:type="dxa"/>
            </w:tcMar>
            <w:vAlign w:val="bottom"/>
          </w:tcPr>
          <w:p w14:paraId="73B3BE4D" w14:textId="77777777" w:rsidR="00333A87" w:rsidRPr="007F1283" w:rsidRDefault="00333A87">
            <w:pPr>
              <w:spacing w:before="20" w:after="20" w:line="240" w:lineRule="auto"/>
              <w:ind w:left="0"/>
              <w:rPr>
                <w:sz w:val="16"/>
                <w:szCs w:val="16"/>
              </w:rPr>
            </w:pPr>
            <w:r w:rsidRPr="007F1283">
              <w:rPr>
                <w:sz w:val="16"/>
                <w:szCs w:val="16"/>
              </w:rPr>
              <w:t>Administrative capacity &amp; technical assistance</w:t>
            </w:r>
          </w:p>
        </w:tc>
        <w:tc>
          <w:tcPr>
            <w:tcW w:w="3850" w:type="dxa"/>
            <w:tcMar>
              <w:top w:w="15" w:type="dxa"/>
              <w:left w:w="15" w:type="dxa"/>
              <w:right w:w="15" w:type="dxa"/>
            </w:tcMar>
          </w:tcPr>
          <w:p w14:paraId="519881A3" w14:textId="77777777" w:rsidR="00333A87" w:rsidRPr="007F1283" w:rsidRDefault="00333A87">
            <w:pPr>
              <w:spacing w:before="20" w:after="20" w:line="240" w:lineRule="auto"/>
              <w:ind w:left="0"/>
              <w:rPr>
                <w:sz w:val="16"/>
                <w:szCs w:val="16"/>
              </w:rPr>
            </w:pPr>
            <w:r w:rsidRPr="007F1283">
              <w:rPr>
                <w:sz w:val="16"/>
                <w:szCs w:val="16"/>
              </w:rPr>
              <w:t>Administrative, process &amp; project capacity</w:t>
            </w:r>
          </w:p>
        </w:tc>
      </w:tr>
      <w:tr w:rsidR="00333A87" w:rsidRPr="007F1283" w14:paraId="716D390D" w14:textId="77777777" w:rsidTr="001508DA">
        <w:trPr>
          <w:trHeight w:val="56"/>
        </w:trPr>
        <w:tc>
          <w:tcPr>
            <w:tcW w:w="4678" w:type="dxa"/>
            <w:tcMar>
              <w:top w:w="15" w:type="dxa"/>
              <w:left w:w="15" w:type="dxa"/>
              <w:right w:w="15" w:type="dxa"/>
            </w:tcMar>
            <w:vAlign w:val="bottom"/>
          </w:tcPr>
          <w:p w14:paraId="6A489A49" w14:textId="77777777" w:rsidR="00333A87" w:rsidRPr="007F1283" w:rsidRDefault="00333A87">
            <w:pPr>
              <w:spacing w:before="20" w:after="20" w:line="240" w:lineRule="auto"/>
              <w:ind w:left="0"/>
              <w:rPr>
                <w:sz w:val="16"/>
                <w:szCs w:val="16"/>
              </w:rPr>
            </w:pPr>
            <w:r w:rsidRPr="007F1283">
              <w:rPr>
                <w:sz w:val="16"/>
                <w:szCs w:val="16"/>
              </w:rPr>
              <w:t>Legal reforms / advice / expertise</w:t>
            </w:r>
          </w:p>
        </w:tc>
        <w:tc>
          <w:tcPr>
            <w:tcW w:w="3850" w:type="dxa"/>
            <w:tcMar>
              <w:top w:w="15" w:type="dxa"/>
              <w:left w:w="15" w:type="dxa"/>
              <w:right w:w="15" w:type="dxa"/>
            </w:tcMar>
          </w:tcPr>
          <w:p w14:paraId="7E53D708" w14:textId="77777777" w:rsidR="00333A87" w:rsidRPr="007F1283" w:rsidRDefault="00333A87">
            <w:pPr>
              <w:spacing w:before="20" w:after="20" w:line="240" w:lineRule="auto"/>
              <w:ind w:left="0"/>
              <w:rPr>
                <w:sz w:val="16"/>
                <w:szCs w:val="16"/>
              </w:rPr>
            </w:pPr>
            <w:r w:rsidRPr="007F1283">
              <w:rPr>
                <w:sz w:val="16"/>
                <w:szCs w:val="16"/>
              </w:rPr>
              <w:t>Administrative, process &amp; project capacity</w:t>
            </w:r>
          </w:p>
        </w:tc>
      </w:tr>
      <w:tr w:rsidR="00333A87" w:rsidRPr="007F1283" w14:paraId="61354CD2" w14:textId="77777777" w:rsidTr="001508DA">
        <w:trPr>
          <w:trHeight w:val="56"/>
        </w:trPr>
        <w:tc>
          <w:tcPr>
            <w:tcW w:w="4678" w:type="dxa"/>
            <w:tcMar>
              <w:top w:w="15" w:type="dxa"/>
              <w:left w:w="15" w:type="dxa"/>
              <w:right w:w="15" w:type="dxa"/>
            </w:tcMar>
            <w:vAlign w:val="bottom"/>
          </w:tcPr>
          <w:p w14:paraId="06329E57" w14:textId="77777777" w:rsidR="00333A87" w:rsidRPr="007F1283" w:rsidRDefault="00333A87">
            <w:pPr>
              <w:spacing w:before="20" w:after="20" w:line="240" w:lineRule="auto"/>
              <w:ind w:left="0"/>
              <w:rPr>
                <w:sz w:val="16"/>
                <w:szCs w:val="16"/>
              </w:rPr>
            </w:pPr>
            <w:r w:rsidRPr="007F1283">
              <w:rPr>
                <w:sz w:val="16"/>
                <w:szCs w:val="16"/>
              </w:rPr>
              <w:t>Project preparation and documentation / project support</w:t>
            </w:r>
          </w:p>
        </w:tc>
        <w:tc>
          <w:tcPr>
            <w:tcW w:w="3850" w:type="dxa"/>
            <w:tcMar>
              <w:top w:w="15" w:type="dxa"/>
              <w:left w:w="15" w:type="dxa"/>
              <w:right w:w="15" w:type="dxa"/>
            </w:tcMar>
          </w:tcPr>
          <w:p w14:paraId="5EF11166" w14:textId="77777777" w:rsidR="00333A87" w:rsidRPr="007F1283" w:rsidRDefault="00333A87">
            <w:pPr>
              <w:spacing w:before="20" w:after="20" w:line="240" w:lineRule="auto"/>
              <w:ind w:left="0"/>
              <w:rPr>
                <w:sz w:val="16"/>
                <w:szCs w:val="16"/>
              </w:rPr>
            </w:pPr>
            <w:r w:rsidRPr="007F1283">
              <w:rPr>
                <w:sz w:val="16"/>
                <w:szCs w:val="16"/>
              </w:rPr>
              <w:t>Administrative, process &amp; project capacity</w:t>
            </w:r>
          </w:p>
        </w:tc>
      </w:tr>
      <w:tr w:rsidR="00333A87" w:rsidRPr="007F1283" w14:paraId="7128DAC2" w14:textId="77777777" w:rsidTr="001508DA">
        <w:trPr>
          <w:trHeight w:val="56"/>
        </w:trPr>
        <w:tc>
          <w:tcPr>
            <w:tcW w:w="4678" w:type="dxa"/>
            <w:tcMar>
              <w:top w:w="15" w:type="dxa"/>
              <w:left w:w="15" w:type="dxa"/>
              <w:right w:w="15" w:type="dxa"/>
            </w:tcMar>
            <w:vAlign w:val="bottom"/>
          </w:tcPr>
          <w:p w14:paraId="54D0FB2A" w14:textId="77777777" w:rsidR="00333A87" w:rsidRPr="007F1283" w:rsidRDefault="00333A87">
            <w:pPr>
              <w:spacing w:before="20" w:after="20" w:line="240" w:lineRule="auto"/>
              <w:ind w:left="0"/>
              <w:rPr>
                <w:sz w:val="16"/>
                <w:szCs w:val="16"/>
              </w:rPr>
            </w:pPr>
            <w:r w:rsidRPr="007F1283">
              <w:rPr>
                <w:sz w:val="16"/>
                <w:szCs w:val="16"/>
              </w:rPr>
              <w:t>Business / administrative process improvement</w:t>
            </w:r>
          </w:p>
        </w:tc>
        <w:tc>
          <w:tcPr>
            <w:tcW w:w="3850" w:type="dxa"/>
            <w:tcMar>
              <w:top w:w="15" w:type="dxa"/>
              <w:left w:w="15" w:type="dxa"/>
              <w:right w:w="15" w:type="dxa"/>
            </w:tcMar>
          </w:tcPr>
          <w:p w14:paraId="70406328" w14:textId="77777777" w:rsidR="00333A87" w:rsidRPr="007F1283" w:rsidRDefault="00333A87">
            <w:pPr>
              <w:spacing w:before="20" w:after="20" w:line="240" w:lineRule="auto"/>
              <w:ind w:left="0"/>
              <w:rPr>
                <w:sz w:val="16"/>
                <w:szCs w:val="16"/>
              </w:rPr>
            </w:pPr>
            <w:r w:rsidRPr="007F1283">
              <w:rPr>
                <w:sz w:val="16"/>
                <w:szCs w:val="16"/>
              </w:rPr>
              <w:t>Administrative, process &amp; project capacity</w:t>
            </w:r>
          </w:p>
        </w:tc>
      </w:tr>
      <w:tr w:rsidR="00333A87" w:rsidRPr="007F1283" w14:paraId="30E1690A" w14:textId="77777777" w:rsidTr="001508DA">
        <w:trPr>
          <w:trHeight w:val="56"/>
        </w:trPr>
        <w:tc>
          <w:tcPr>
            <w:tcW w:w="4678" w:type="dxa"/>
            <w:tcMar>
              <w:top w:w="15" w:type="dxa"/>
              <w:left w:w="15" w:type="dxa"/>
              <w:right w:w="15" w:type="dxa"/>
            </w:tcMar>
            <w:vAlign w:val="bottom"/>
          </w:tcPr>
          <w:p w14:paraId="475D2D9A" w14:textId="77777777" w:rsidR="00333A87" w:rsidRPr="007F1283" w:rsidRDefault="00333A87">
            <w:pPr>
              <w:spacing w:before="20" w:after="20" w:line="240" w:lineRule="auto"/>
              <w:ind w:left="0"/>
              <w:rPr>
                <w:sz w:val="16"/>
                <w:szCs w:val="16"/>
              </w:rPr>
            </w:pPr>
            <w:r w:rsidRPr="007F1283">
              <w:rPr>
                <w:sz w:val="16"/>
                <w:szCs w:val="16"/>
              </w:rPr>
              <w:t xml:space="preserve">Tourism management </w:t>
            </w:r>
          </w:p>
        </w:tc>
        <w:tc>
          <w:tcPr>
            <w:tcW w:w="3850" w:type="dxa"/>
            <w:tcMar>
              <w:top w:w="15" w:type="dxa"/>
              <w:left w:w="15" w:type="dxa"/>
              <w:right w:w="15" w:type="dxa"/>
            </w:tcMar>
          </w:tcPr>
          <w:p w14:paraId="5CAB40CA" w14:textId="77777777" w:rsidR="00333A87" w:rsidRPr="007F1283" w:rsidRDefault="00333A87">
            <w:pPr>
              <w:spacing w:before="20" w:after="20" w:line="240" w:lineRule="auto"/>
              <w:ind w:left="0"/>
              <w:rPr>
                <w:sz w:val="16"/>
                <w:szCs w:val="16"/>
              </w:rPr>
            </w:pPr>
            <w:r w:rsidRPr="007F1283">
              <w:rPr>
                <w:sz w:val="16"/>
                <w:szCs w:val="16"/>
              </w:rPr>
              <w:t>Culture &amp; tourism</w:t>
            </w:r>
          </w:p>
        </w:tc>
      </w:tr>
      <w:tr w:rsidR="00333A87" w:rsidRPr="007F1283" w14:paraId="3500AA47" w14:textId="77777777" w:rsidTr="001508DA">
        <w:trPr>
          <w:trHeight w:val="56"/>
        </w:trPr>
        <w:tc>
          <w:tcPr>
            <w:tcW w:w="4678" w:type="dxa"/>
            <w:tcMar>
              <w:top w:w="15" w:type="dxa"/>
              <w:left w:w="15" w:type="dxa"/>
              <w:right w:w="15" w:type="dxa"/>
            </w:tcMar>
            <w:vAlign w:val="bottom"/>
          </w:tcPr>
          <w:p w14:paraId="52876E70" w14:textId="77777777" w:rsidR="00333A87" w:rsidRPr="007F1283" w:rsidRDefault="00333A87">
            <w:pPr>
              <w:spacing w:before="20" w:after="20" w:line="240" w:lineRule="auto"/>
              <w:ind w:left="0"/>
              <w:rPr>
                <w:sz w:val="16"/>
                <w:szCs w:val="16"/>
              </w:rPr>
            </w:pPr>
            <w:r w:rsidRPr="007F1283">
              <w:rPr>
                <w:sz w:val="16"/>
                <w:szCs w:val="16"/>
              </w:rPr>
              <w:t xml:space="preserve">Cultural heritage conservation </w:t>
            </w:r>
          </w:p>
        </w:tc>
        <w:tc>
          <w:tcPr>
            <w:tcW w:w="3850" w:type="dxa"/>
            <w:tcMar>
              <w:top w:w="15" w:type="dxa"/>
              <w:left w:w="15" w:type="dxa"/>
              <w:right w:w="15" w:type="dxa"/>
            </w:tcMar>
          </w:tcPr>
          <w:p w14:paraId="30A4954E" w14:textId="77777777" w:rsidR="00333A87" w:rsidRPr="007F1283" w:rsidRDefault="00333A87">
            <w:pPr>
              <w:spacing w:before="20" w:after="20" w:line="240" w:lineRule="auto"/>
              <w:ind w:left="0"/>
              <w:rPr>
                <w:sz w:val="16"/>
                <w:szCs w:val="16"/>
              </w:rPr>
            </w:pPr>
            <w:r w:rsidRPr="007F1283">
              <w:rPr>
                <w:sz w:val="16"/>
                <w:szCs w:val="16"/>
              </w:rPr>
              <w:t>Infrastructure / Culture &amp; tourism</w:t>
            </w:r>
          </w:p>
        </w:tc>
      </w:tr>
      <w:tr w:rsidR="00333A87" w:rsidRPr="007F1283" w14:paraId="6F6EF91E" w14:textId="77777777" w:rsidTr="001508DA">
        <w:trPr>
          <w:trHeight w:val="56"/>
        </w:trPr>
        <w:tc>
          <w:tcPr>
            <w:tcW w:w="4678" w:type="dxa"/>
            <w:tcMar>
              <w:top w:w="15" w:type="dxa"/>
              <w:left w:w="15" w:type="dxa"/>
              <w:right w:w="15" w:type="dxa"/>
            </w:tcMar>
            <w:vAlign w:val="bottom"/>
          </w:tcPr>
          <w:p w14:paraId="75913092" w14:textId="7A296DAC" w:rsidR="00333A87" w:rsidRPr="007F1283" w:rsidRDefault="00333A87">
            <w:pPr>
              <w:spacing w:before="20" w:after="20" w:line="240" w:lineRule="auto"/>
              <w:ind w:left="0"/>
              <w:rPr>
                <w:sz w:val="16"/>
                <w:szCs w:val="16"/>
              </w:rPr>
            </w:pPr>
            <w:r w:rsidRPr="007F1283">
              <w:rPr>
                <w:sz w:val="16"/>
                <w:szCs w:val="16"/>
              </w:rPr>
              <w:t>Landscape revitalisation (e.g</w:t>
            </w:r>
            <w:r w:rsidR="310B06EA" w:rsidRPr="007F1283">
              <w:rPr>
                <w:sz w:val="16"/>
                <w:szCs w:val="16"/>
              </w:rPr>
              <w:t>.,</w:t>
            </w:r>
            <w:r w:rsidRPr="007F1283">
              <w:rPr>
                <w:sz w:val="16"/>
                <w:szCs w:val="16"/>
              </w:rPr>
              <w:t xml:space="preserve"> brownfields)</w:t>
            </w:r>
          </w:p>
        </w:tc>
        <w:tc>
          <w:tcPr>
            <w:tcW w:w="3850" w:type="dxa"/>
            <w:tcMar>
              <w:top w:w="15" w:type="dxa"/>
              <w:left w:w="15" w:type="dxa"/>
              <w:right w:w="15" w:type="dxa"/>
            </w:tcMar>
          </w:tcPr>
          <w:p w14:paraId="5E013584" w14:textId="77777777" w:rsidR="00333A87" w:rsidRPr="007F1283" w:rsidRDefault="00333A87">
            <w:pPr>
              <w:spacing w:before="20" w:after="20" w:line="240" w:lineRule="auto"/>
              <w:ind w:left="0"/>
              <w:rPr>
                <w:sz w:val="16"/>
                <w:szCs w:val="16"/>
              </w:rPr>
            </w:pPr>
            <w:r w:rsidRPr="007F1283">
              <w:rPr>
                <w:sz w:val="16"/>
                <w:szCs w:val="16"/>
              </w:rPr>
              <w:t>Infrastructure / Landscape</w:t>
            </w:r>
          </w:p>
        </w:tc>
      </w:tr>
      <w:tr w:rsidR="00333A87" w:rsidRPr="007F1283" w14:paraId="6CAC9DFD" w14:textId="77777777" w:rsidTr="001508DA">
        <w:trPr>
          <w:trHeight w:val="56"/>
        </w:trPr>
        <w:tc>
          <w:tcPr>
            <w:tcW w:w="4678" w:type="dxa"/>
            <w:tcMar>
              <w:top w:w="15" w:type="dxa"/>
              <w:left w:w="15" w:type="dxa"/>
              <w:right w:w="15" w:type="dxa"/>
            </w:tcMar>
          </w:tcPr>
          <w:p w14:paraId="0F57F0E2" w14:textId="77777777" w:rsidR="00333A87" w:rsidRPr="007F1283" w:rsidRDefault="00333A87">
            <w:pPr>
              <w:spacing w:before="20" w:after="20" w:line="240" w:lineRule="auto"/>
              <w:ind w:left="0"/>
              <w:rPr>
                <w:sz w:val="16"/>
                <w:szCs w:val="16"/>
              </w:rPr>
            </w:pPr>
            <w:r w:rsidRPr="007F1283">
              <w:rPr>
                <w:sz w:val="16"/>
                <w:szCs w:val="16"/>
              </w:rPr>
              <w:t>Improvement of habitats and wildlife</w:t>
            </w:r>
          </w:p>
        </w:tc>
        <w:tc>
          <w:tcPr>
            <w:tcW w:w="3850" w:type="dxa"/>
            <w:tcMar>
              <w:top w:w="15" w:type="dxa"/>
              <w:left w:w="15" w:type="dxa"/>
              <w:right w:w="15" w:type="dxa"/>
            </w:tcMar>
          </w:tcPr>
          <w:p w14:paraId="3BC0C0AE" w14:textId="77777777" w:rsidR="00333A87" w:rsidRPr="007F1283" w:rsidRDefault="00333A87">
            <w:pPr>
              <w:spacing w:before="20" w:after="20" w:line="240" w:lineRule="auto"/>
              <w:ind w:left="0"/>
              <w:rPr>
                <w:sz w:val="16"/>
                <w:szCs w:val="16"/>
              </w:rPr>
            </w:pPr>
            <w:r w:rsidRPr="007F1283">
              <w:rPr>
                <w:sz w:val="16"/>
                <w:szCs w:val="16"/>
              </w:rPr>
              <w:t>Infrastructure / Nature protection</w:t>
            </w:r>
          </w:p>
        </w:tc>
      </w:tr>
      <w:tr w:rsidR="00333A87" w:rsidRPr="007F1283" w14:paraId="038DABF9" w14:textId="77777777" w:rsidTr="001508DA">
        <w:trPr>
          <w:trHeight w:val="56"/>
        </w:trPr>
        <w:tc>
          <w:tcPr>
            <w:tcW w:w="4678" w:type="dxa"/>
            <w:tcMar>
              <w:top w:w="15" w:type="dxa"/>
              <w:left w:w="15" w:type="dxa"/>
              <w:right w:w="15" w:type="dxa"/>
            </w:tcMar>
          </w:tcPr>
          <w:p w14:paraId="3535D764" w14:textId="77777777" w:rsidR="00333A87" w:rsidRPr="007F1283" w:rsidRDefault="00333A87">
            <w:pPr>
              <w:spacing w:before="20" w:after="20" w:line="240" w:lineRule="auto"/>
              <w:ind w:left="0"/>
              <w:rPr>
                <w:sz w:val="16"/>
                <w:szCs w:val="16"/>
              </w:rPr>
            </w:pPr>
            <w:r w:rsidRPr="007F1283">
              <w:rPr>
                <w:sz w:val="16"/>
                <w:szCs w:val="16"/>
              </w:rPr>
              <w:t>Protection of biodiversity</w:t>
            </w:r>
          </w:p>
        </w:tc>
        <w:tc>
          <w:tcPr>
            <w:tcW w:w="3850" w:type="dxa"/>
            <w:tcMar>
              <w:top w:w="15" w:type="dxa"/>
              <w:left w:w="15" w:type="dxa"/>
              <w:right w:w="15" w:type="dxa"/>
            </w:tcMar>
          </w:tcPr>
          <w:p w14:paraId="6D94E121" w14:textId="77777777" w:rsidR="00333A87" w:rsidRPr="007F1283" w:rsidRDefault="00333A87">
            <w:pPr>
              <w:spacing w:before="20" w:after="20" w:line="240" w:lineRule="auto"/>
              <w:ind w:left="0"/>
              <w:rPr>
                <w:sz w:val="16"/>
                <w:szCs w:val="16"/>
              </w:rPr>
            </w:pPr>
            <w:r w:rsidRPr="007F1283">
              <w:rPr>
                <w:sz w:val="16"/>
                <w:szCs w:val="16"/>
              </w:rPr>
              <w:t>Infrastructure / Nature protection</w:t>
            </w:r>
          </w:p>
        </w:tc>
      </w:tr>
      <w:tr w:rsidR="00333A87" w:rsidRPr="007F1283" w14:paraId="3C6176FD" w14:textId="77777777" w:rsidTr="001508DA">
        <w:trPr>
          <w:trHeight w:val="315"/>
        </w:trPr>
        <w:tc>
          <w:tcPr>
            <w:tcW w:w="4678" w:type="dxa"/>
            <w:tcMar>
              <w:top w:w="15" w:type="dxa"/>
              <w:left w:w="15" w:type="dxa"/>
              <w:right w:w="15" w:type="dxa"/>
            </w:tcMar>
          </w:tcPr>
          <w:p w14:paraId="6D0B2208" w14:textId="21D32DF9" w:rsidR="00333A87" w:rsidRPr="007F1283" w:rsidRDefault="00333A87">
            <w:pPr>
              <w:spacing w:before="20" w:after="20" w:line="240" w:lineRule="auto"/>
              <w:ind w:left="0"/>
              <w:rPr>
                <w:sz w:val="16"/>
                <w:szCs w:val="16"/>
              </w:rPr>
            </w:pPr>
            <w:r w:rsidRPr="007F1283">
              <w:rPr>
                <w:sz w:val="16"/>
                <w:szCs w:val="16"/>
              </w:rPr>
              <w:t>Construction &amp; development of green infrastructure (e.g</w:t>
            </w:r>
            <w:r w:rsidR="00FE23D8" w:rsidRPr="007F1283">
              <w:rPr>
                <w:sz w:val="16"/>
                <w:szCs w:val="16"/>
              </w:rPr>
              <w:t>.</w:t>
            </w:r>
            <w:r w:rsidRPr="007F1283">
              <w:rPr>
                <w:sz w:val="16"/>
                <w:szCs w:val="16"/>
              </w:rPr>
              <w:t xml:space="preserve"> urban forests, water collection)</w:t>
            </w:r>
          </w:p>
        </w:tc>
        <w:tc>
          <w:tcPr>
            <w:tcW w:w="3850" w:type="dxa"/>
            <w:tcMar>
              <w:top w:w="15" w:type="dxa"/>
              <w:left w:w="15" w:type="dxa"/>
              <w:right w:w="15" w:type="dxa"/>
            </w:tcMar>
          </w:tcPr>
          <w:p w14:paraId="5F257E0C" w14:textId="77777777" w:rsidR="00333A87" w:rsidRPr="007F1283" w:rsidRDefault="00333A87">
            <w:pPr>
              <w:spacing w:before="20" w:after="20" w:line="240" w:lineRule="auto"/>
              <w:ind w:left="0"/>
              <w:rPr>
                <w:sz w:val="16"/>
                <w:szCs w:val="16"/>
              </w:rPr>
            </w:pPr>
            <w:r w:rsidRPr="007F1283">
              <w:rPr>
                <w:sz w:val="16"/>
                <w:szCs w:val="16"/>
              </w:rPr>
              <w:t>Infrastructure / Nature protection</w:t>
            </w:r>
          </w:p>
        </w:tc>
      </w:tr>
      <w:tr w:rsidR="00333A87" w:rsidRPr="007F1283" w14:paraId="0D924DCD" w14:textId="77777777" w:rsidTr="001508DA">
        <w:trPr>
          <w:trHeight w:val="315"/>
        </w:trPr>
        <w:tc>
          <w:tcPr>
            <w:tcW w:w="4678" w:type="dxa"/>
            <w:tcMar>
              <w:top w:w="15" w:type="dxa"/>
              <w:left w:w="15" w:type="dxa"/>
              <w:right w:w="15" w:type="dxa"/>
            </w:tcMar>
            <w:vAlign w:val="bottom"/>
          </w:tcPr>
          <w:p w14:paraId="021E9F95" w14:textId="5798FE58" w:rsidR="00333A87" w:rsidRPr="007F1283" w:rsidRDefault="00333A87">
            <w:pPr>
              <w:spacing w:before="20" w:after="20" w:line="240" w:lineRule="auto"/>
              <w:ind w:left="0"/>
              <w:rPr>
                <w:sz w:val="16"/>
                <w:szCs w:val="16"/>
              </w:rPr>
            </w:pPr>
            <w:r w:rsidRPr="007F1283">
              <w:rPr>
                <w:sz w:val="16"/>
                <w:szCs w:val="16"/>
              </w:rPr>
              <w:t>Construction &amp; development of low-carbon transport infrastructure (e.g</w:t>
            </w:r>
            <w:r w:rsidR="6AF6E52F" w:rsidRPr="007F1283">
              <w:rPr>
                <w:sz w:val="16"/>
                <w:szCs w:val="16"/>
              </w:rPr>
              <w:t>.,</w:t>
            </w:r>
            <w:r w:rsidRPr="007F1283">
              <w:rPr>
                <w:sz w:val="16"/>
                <w:szCs w:val="16"/>
              </w:rPr>
              <w:t xml:space="preserve"> rail, EVs, multimodal)</w:t>
            </w:r>
          </w:p>
        </w:tc>
        <w:tc>
          <w:tcPr>
            <w:tcW w:w="3850" w:type="dxa"/>
            <w:tcMar>
              <w:top w:w="15" w:type="dxa"/>
              <w:left w:w="15" w:type="dxa"/>
              <w:right w:w="15" w:type="dxa"/>
            </w:tcMar>
          </w:tcPr>
          <w:p w14:paraId="6BDCB82C" w14:textId="77777777" w:rsidR="00333A87" w:rsidRPr="007F1283" w:rsidRDefault="00333A87">
            <w:pPr>
              <w:spacing w:before="20" w:after="20" w:line="240" w:lineRule="auto"/>
              <w:ind w:left="0"/>
              <w:rPr>
                <w:sz w:val="16"/>
                <w:szCs w:val="16"/>
              </w:rPr>
            </w:pPr>
            <w:r w:rsidRPr="007F1283">
              <w:rPr>
                <w:sz w:val="16"/>
                <w:szCs w:val="16"/>
              </w:rPr>
              <w:t>Infrastructure / Transport</w:t>
            </w:r>
          </w:p>
        </w:tc>
      </w:tr>
      <w:tr w:rsidR="00333A87" w:rsidRPr="007F1283" w14:paraId="7C2285CA" w14:textId="77777777" w:rsidTr="001508DA">
        <w:trPr>
          <w:trHeight w:val="56"/>
        </w:trPr>
        <w:tc>
          <w:tcPr>
            <w:tcW w:w="4678" w:type="dxa"/>
            <w:tcMar>
              <w:top w:w="15" w:type="dxa"/>
              <w:left w:w="15" w:type="dxa"/>
              <w:right w:w="15" w:type="dxa"/>
            </w:tcMar>
            <w:vAlign w:val="bottom"/>
          </w:tcPr>
          <w:p w14:paraId="40BF658C" w14:textId="77777777" w:rsidR="00333A87" w:rsidRPr="007F1283" w:rsidRDefault="00333A87">
            <w:pPr>
              <w:spacing w:before="20" w:after="20" w:line="240" w:lineRule="auto"/>
              <w:ind w:left="0"/>
              <w:rPr>
                <w:sz w:val="16"/>
                <w:szCs w:val="16"/>
              </w:rPr>
            </w:pPr>
            <w:r w:rsidRPr="007F1283">
              <w:rPr>
                <w:sz w:val="16"/>
                <w:szCs w:val="16"/>
              </w:rPr>
              <w:t>Construction &amp; development of other transport infrastructure</w:t>
            </w:r>
          </w:p>
        </w:tc>
        <w:tc>
          <w:tcPr>
            <w:tcW w:w="3850" w:type="dxa"/>
            <w:tcMar>
              <w:top w:w="15" w:type="dxa"/>
              <w:left w:w="15" w:type="dxa"/>
              <w:right w:w="15" w:type="dxa"/>
            </w:tcMar>
          </w:tcPr>
          <w:p w14:paraId="09A78EEB" w14:textId="77777777" w:rsidR="00333A87" w:rsidRPr="007F1283" w:rsidRDefault="00333A87">
            <w:pPr>
              <w:spacing w:before="20" w:after="20" w:line="240" w:lineRule="auto"/>
              <w:ind w:left="0"/>
              <w:rPr>
                <w:sz w:val="16"/>
                <w:szCs w:val="16"/>
              </w:rPr>
            </w:pPr>
            <w:r w:rsidRPr="007F1283">
              <w:rPr>
                <w:sz w:val="16"/>
                <w:szCs w:val="16"/>
              </w:rPr>
              <w:t>Infrastructure / Transport</w:t>
            </w:r>
          </w:p>
        </w:tc>
      </w:tr>
      <w:tr w:rsidR="00333A87" w:rsidRPr="007F1283" w14:paraId="700AF538" w14:textId="77777777" w:rsidTr="001508DA">
        <w:trPr>
          <w:trHeight w:val="139"/>
        </w:trPr>
        <w:tc>
          <w:tcPr>
            <w:tcW w:w="4678" w:type="dxa"/>
            <w:tcMar>
              <w:top w:w="15" w:type="dxa"/>
              <w:left w:w="15" w:type="dxa"/>
              <w:right w:w="15" w:type="dxa"/>
            </w:tcMar>
            <w:vAlign w:val="bottom"/>
          </w:tcPr>
          <w:p w14:paraId="53738DF8" w14:textId="77777777" w:rsidR="00333A87" w:rsidRPr="007F1283" w:rsidRDefault="00333A87">
            <w:pPr>
              <w:spacing w:before="20" w:after="20" w:line="240" w:lineRule="auto"/>
              <w:ind w:left="0"/>
              <w:rPr>
                <w:sz w:val="16"/>
                <w:szCs w:val="16"/>
              </w:rPr>
            </w:pPr>
            <w:r w:rsidRPr="007F1283">
              <w:rPr>
                <w:sz w:val="16"/>
                <w:szCs w:val="16"/>
              </w:rPr>
              <w:t>Construction &amp; development of IT &amp; telecommunication infrastructure</w:t>
            </w:r>
          </w:p>
        </w:tc>
        <w:tc>
          <w:tcPr>
            <w:tcW w:w="3850" w:type="dxa"/>
            <w:tcMar>
              <w:top w:w="15" w:type="dxa"/>
              <w:left w:w="15" w:type="dxa"/>
              <w:right w:w="15" w:type="dxa"/>
            </w:tcMar>
          </w:tcPr>
          <w:p w14:paraId="131A390A" w14:textId="77777777" w:rsidR="00333A87" w:rsidRPr="007F1283" w:rsidRDefault="00333A87">
            <w:pPr>
              <w:spacing w:before="20" w:after="20" w:line="240" w:lineRule="auto"/>
              <w:ind w:left="0"/>
              <w:rPr>
                <w:sz w:val="16"/>
                <w:szCs w:val="16"/>
              </w:rPr>
            </w:pPr>
            <w:r w:rsidRPr="007F1283">
              <w:rPr>
                <w:sz w:val="16"/>
                <w:szCs w:val="16"/>
              </w:rPr>
              <w:t>Infrastructure / Technology</w:t>
            </w:r>
          </w:p>
        </w:tc>
      </w:tr>
      <w:tr w:rsidR="00333A87" w:rsidRPr="007F1283" w14:paraId="6BFB5793" w14:textId="77777777" w:rsidTr="001508DA">
        <w:trPr>
          <w:trHeight w:val="56"/>
        </w:trPr>
        <w:tc>
          <w:tcPr>
            <w:tcW w:w="4678" w:type="dxa"/>
            <w:tcMar>
              <w:top w:w="15" w:type="dxa"/>
              <w:left w:w="15" w:type="dxa"/>
              <w:right w:w="15" w:type="dxa"/>
            </w:tcMar>
            <w:vAlign w:val="bottom"/>
          </w:tcPr>
          <w:p w14:paraId="6F6E5536" w14:textId="77777777" w:rsidR="00333A87" w:rsidRPr="007F1283" w:rsidRDefault="00333A87">
            <w:pPr>
              <w:spacing w:before="20" w:after="20" w:line="240" w:lineRule="auto"/>
              <w:ind w:left="0"/>
              <w:rPr>
                <w:sz w:val="16"/>
                <w:szCs w:val="16"/>
                <w:lang w:val="fr-FR"/>
              </w:rPr>
            </w:pPr>
            <w:r w:rsidRPr="007F1283">
              <w:rPr>
                <w:sz w:val="16"/>
                <w:szCs w:val="16"/>
                <w:lang w:val="fr-FR"/>
              </w:rPr>
              <w:t>Digitalisation and information systems (non-infrastructure)</w:t>
            </w:r>
          </w:p>
        </w:tc>
        <w:tc>
          <w:tcPr>
            <w:tcW w:w="3850" w:type="dxa"/>
            <w:tcMar>
              <w:top w:w="15" w:type="dxa"/>
              <w:left w:w="15" w:type="dxa"/>
              <w:right w:w="15" w:type="dxa"/>
            </w:tcMar>
          </w:tcPr>
          <w:p w14:paraId="76C7D9CC" w14:textId="77777777" w:rsidR="00333A87" w:rsidRPr="007F1283" w:rsidRDefault="00333A87">
            <w:pPr>
              <w:spacing w:before="20" w:after="20" w:line="240" w:lineRule="auto"/>
              <w:ind w:left="0"/>
              <w:rPr>
                <w:sz w:val="16"/>
                <w:szCs w:val="16"/>
              </w:rPr>
            </w:pPr>
            <w:r w:rsidRPr="007F1283">
              <w:rPr>
                <w:sz w:val="16"/>
                <w:szCs w:val="16"/>
              </w:rPr>
              <w:t>Technology</w:t>
            </w:r>
          </w:p>
        </w:tc>
      </w:tr>
      <w:tr w:rsidR="00333A87" w:rsidRPr="007F1283" w14:paraId="7B6C3F57" w14:textId="77777777" w:rsidTr="001508DA">
        <w:trPr>
          <w:trHeight w:val="56"/>
        </w:trPr>
        <w:tc>
          <w:tcPr>
            <w:tcW w:w="4678" w:type="dxa"/>
            <w:tcMar>
              <w:top w:w="15" w:type="dxa"/>
              <w:left w:w="15" w:type="dxa"/>
              <w:right w:w="15" w:type="dxa"/>
            </w:tcMar>
            <w:vAlign w:val="bottom"/>
          </w:tcPr>
          <w:p w14:paraId="245B94F8" w14:textId="77777777" w:rsidR="00333A87" w:rsidRPr="007F1283" w:rsidRDefault="00333A87">
            <w:pPr>
              <w:spacing w:before="20" w:after="20" w:line="240" w:lineRule="auto"/>
              <w:ind w:left="0"/>
              <w:rPr>
                <w:sz w:val="16"/>
                <w:szCs w:val="16"/>
              </w:rPr>
            </w:pPr>
            <w:r w:rsidRPr="007F1283">
              <w:rPr>
                <w:sz w:val="16"/>
                <w:szCs w:val="16"/>
              </w:rPr>
              <w:t>Other new technology and equipment</w:t>
            </w:r>
          </w:p>
        </w:tc>
        <w:tc>
          <w:tcPr>
            <w:tcW w:w="3850" w:type="dxa"/>
            <w:tcMar>
              <w:top w:w="15" w:type="dxa"/>
              <w:left w:w="15" w:type="dxa"/>
              <w:right w:w="15" w:type="dxa"/>
            </w:tcMar>
          </w:tcPr>
          <w:p w14:paraId="686EBD97" w14:textId="77777777" w:rsidR="00333A87" w:rsidRPr="007F1283" w:rsidRDefault="00333A87">
            <w:pPr>
              <w:spacing w:before="20" w:after="20" w:line="240" w:lineRule="auto"/>
              <w:ind w:left="0"/>
              <w:rPr>
                <w:sz w:val="16"/>
                <w:szCs w:val="16"/>
              </w:rPr>
            </w:pPr>
            <w:r w:rsidRPr="007F1283">
              <w:rPr>
                <w:sz w:val="16"/>
                <w:szCs w:val="16"/>
              </w:rPr>
              <w:t>Technology</w:t>
            </w:r>
          </w:p>
        </w:tc>
      </w:tr>
      <w:tr w:rsidR="00333A87" w:rsidRPr="007F1283" w14:paraId="3FE578C5" w14:textId="77777777" w:rsidTr="001508DA">
        <w:trPr>
          <w:trHeight w:val="315"/>
        </w:trPr>
        <w:tc>
          <w:tcPr>
            <w:tcW w:w="4678" w:type="dxa"/>
            <w:tcMar>
              <w:top w:w="15" w:type="dxa"/>
              <w:left w:w="15" w:type="dxa"/>
              <w:right w:w="15" w:type="dxa"/>
            </w:tcMar>
            <w:vAlign w:val="bottom"/>
          </w:tcPr>
          <w:p w14:paraId="02C6E59E" w14:textId="77777777" w:rsidR="00333A87" w:rsidRPr="007F1283" w:rsidRDefault="00333A87">
            <w:pPr>
              <w:spacing w:before="20" w:after="20" w:line="240" w:lineRule="auto"/>
              <w:ind w:left="0"/>
              <w:rPr>
                <w:sz w:val="16"/>
                <w:szCs w:val="16"/>
              </w:rPr>
            </w:pPr>
            <w:r w:rsidRPr="007F1283">
              <w:rPr>
                <w:sz w:val="16"/>
                <w:szCs w:val="16"/>
              </w:rPr>
              <w:t>Construction &amp; development of other public services &amp; private infrastructure</w:t>
            </w:r>
          </w:p>
        </w:tc>
        <w:tc>
          <w:tcPr>
            <w:tcW w:w="3850" w:type="dxa"/>
            <w:tcMar>
              <w:top w:w="15" w:type="dxa"/>
              <w:left w:w="15" w:type="dxa"/>
              <w:right w:w="15" w:type="dxa"/>
            </w:tcMar>
          </w:tcPr>
          <w:p w14:paraId="23639F5D" w14:textId="77777777" w:rsidR="00333A87" w:rsidRPr="007F1283" w:rsidRDefault="00333A87">
            <w:pPr>
              <w:spacing w:before="20" w:after="20" w:line="240" w:lineRule="auto"/>
              <w:ind w:left="0"/>
              <w:rPr>
                <w:sz w:val="16"/>
                <w:szCs w:val="16"/>
              </w:rPr>
            </w:pPr>
            <w:r w:rsidRPr="007F1283">
              <w:rPr>
                <w:sz w:val="16"/>
                <w:szCs w:val="16"/>
              </w:rPr>
              <w:t>Infrastructure / Infrastructure</w:t>
            </w:r>
          </w:p>
        </w:tc>
      </w:tr>
      <w:tr w:rsidR="00333A87" w:rsidRPr="007F1283" w14:paraId="27D7F16D" w14:textId="77777777" w:rsidTr="001508DA">
        <w:trPr>
          <w:trHeight w:val="56"/>
        </w:trPr>
        <w:tc>
          <w:tcPr>
            <w:tcW w:w="4678" w:type="dxa"/>
            <w:tcMar>
              <w:top w:w="15" w:type="dxa"/>
              <w:left w:w="15" w:type="dxa"/>
              <w:right w:w="15" w:type="dxa"/>
            </w:tcMar>
            <w:vAlign w:val="bottom"/>
          </w:tcPr>
          <w:p w14:paraId="61570112" w14:textId="02E859E3" w:rsidR="00333A87" w:rsidRPr="007F1283" w:rsidRDefault="00333A87">
            <w:pPr>
              <w:spacing w:before="20" w:after="20" w:line="240" w:lineRule="auto"/>
              <w:ind w:left="0"/>
              <w:rPr>
                <w:sz w:val="16"/>
                <w:szCs w:val="16"/>
              </w:rPr>
            </w:pPr>
            <w:r w:rsidRPr="007F1283">
              <w:rPr>
                <w:sz w:val="16"/>
                <w:szCs w:val="16"/>
              </w:rPr>
              <w:t>Education (investments</w:t>
            </w:r>
            <w:r w:rsidR="0045769F" w:rsidRPr="007F1283">
              <w:rPr>
                <w:sz w:val="16"/>
                <w:szCs w:val="16"/>
              </w:rPr>
              <w:t xml:space="preserve"> expenditure</w:t>
            </w:r>
            <w:r w:rsidRPr="007F1283">
              <w:rPr>
                <w:sz w:val="16"/>
                <w:szCs w:val="16"/>
              </w:rPr>
              <w:t>)</w:t>
            </w:r>
          </w:p>
        </w:tc>
        <w:tc>
          <w:tcPr>
            <w:tcW w:w="3850" w:type="dxa"/>
            <w:tcMar>
              <w:top w:w="15" w:type="dxa"/>
              <w:left w:w="15" w:type="dxa"/>
              <w:right w:w="15" w:type="dxa"/>
            </w:tcMar>
          </w:tcPr>
          <w:p w14:paraId="61D0F1C5" w14:textId="77777777" w:rsidR="00333A87" w:rsidRPr="007F1283" w:rsidRDefault="00333A87">
            <w:pPr>
              <w:spacing w:before="20" w:after="20" w:line="240" w:lineRule="auto"/>
              <w:ind w:left="0"/>
              <w:rPr>
                <w:sz w:val="16"/>
                <w:szCs w:val="16"/>
              </w:rPr>
            </w:pPr>
            <w:r w:rsidRPr="007F1283">
              <w:rPr>
                <w:sz w:val="16"/>
                <w:szCs w:val="16"/>
              </w:rPr>
              <w:t>Infrastructure / Education</w:t>
            </w:r>
          </w:p>
        </w:tc>
      </w:tr>
      <w:tr w:rsidR="00333A87" w:rsidRPr="007F1283" w14:paraId="64C71737" w14:textId="77777777" w:rsidTr="001508DA">
        <w:trPr>
          <w:trHeight w:val="56"/>
        </w:trPr>
        <w:tc>
          <w:tcPr>
            <w:tcW w:w="4678" w:type="dxa"/>
            <w:tcMar>
              <w:top w:w="15" w:type="dxa"/>
              <w:left w:w="15" w:type="dxa"/>
              <w:right w:w="15" w:type="dxa"/>
            </w:tcMar>
            <w:vAlign w:val="bottom"/>
          </w:tcPr>
          <w:p w14:paraId="2255BACA" w14:textId="77777777" w:rsidR="00333A87" w:rsidRPr="007F1283" w:rsidRDefault="00333A87">
            <w:pPr>
              <w:spacing w:before="20" w:after="20" w:line="240" w:lineRule="auto"/>
              <w:ind w:left="0"/>
              <w:rPr>
                <w:sz w:val="16"/>
                <w:szCs w:val="16"/>
              </w:rPr>
            </w:pPr>
            <w:r w:rsidRPr="007F1283">
              <w:rPr>
                <w:sz w:val="16"/>
                <w:szCs w:val="16"/>
              </w:rPr>
              <w:t>Education (costs)</w:t>
            </w:r>
          </w:p>
        </w:tc>
        <w:tc>
          <w:tcPr>
            <w:tcW w:w="3850" w:type="dxa"/>
            <w:tcMar>
              <w:top w:w="15" w:type="dxa"/>
              <w:left w:w="15" w:type="dxa"/>
              <w:right w:w="15" w:type="dxa"/>
            </w:tcMar>
          </w:tcPr>
          <w:p w14:paraId="4DEBA934" w14:textId="77777777" w:rsidR="00333A87" w:rsidRPr="007F1283" w:rsidRDefault="00333A87">
            <w:pPr>
              <w:spacing w:before="20" w:after="20" w:line="240" w:lineRule="auto"/>
              <w:ind w:left="0"/>
              <w:rPr>
                <w:sz w:val="16"/>
                <w:szCs w:val="16"/>
              </w:rPr>
            </w:pPr>
            <w:r w:rsidRPr="007F1283">
              <w:rPr>
                <w:sz w:val="16"/>
                <w:szCs w:val="16"/>
              </w:rPr>
              <w:t>Education</w:t>
            </w:r>
          </w:p>
        </w:tc>
      </w:tr>
      <w:tr w:rsidR="00333A87" w:rsidRPr="007F1283" w14:paraId="6873E8C0" w14:textId="77777777" w:rsidTr="001508DA">
        <w:trPr>
          <w:trHeight w:val="56"/>
        </w:trPr>
        <w:tc>
          <w:tcPr>
            <w:tcW w:w="4678" w:type="dxa"/>
            <w:tcMar>
              <w:top w:w="15" w:type="dxa"/>
              <w:left w:w="15" w:type="dxa"/>
              <w:right w:w="15" w:type="dxa"/>
            </w:tcMar>
            <w:vAlign w:val="bottom"/>
          </w:tcPr>
          <w:p w14:paraId="44D28554" w14:textId="77777777" w:rsidR="00333A87" w:rsidRPr="007F1283" w:rsidRDefault="00333A87">
            <w:pPr>
              <w:spacing w:before="20" w:after="20" w:line="240" w:lineRule="auto"/>
              <w:ind w:left="0"/>
              <w:rPr>
                <w:sz w:val="16"/>
                <w:szCs w:val="16"/>
              </w:rPr>
            </w:pPr>
            <w:r w:rsidRPr="007F1283">
              <w:rPr>
                <w:sz w:val="16"/>
                <w:szCs w:val="16"/>
              </w:rPr>
              <w:t>Training &amp; capacity building</w:t>
            </w:r>
          </w:p>
        </w:tc>
        <w:tc>
          <w:tcPr>
            <w:tcW w:w="3850" w:type="dxa"/>
            <w:tcMar>
              <w:top w:w="15" w:type="dxa"/>
              <w:left w:w="15" w:type="dxa"/>
              <w:right w:w="15" w:type="dxa"/>
            </w:tcMar>
          </w:tcPr>
          <w:p w14:paraId="5B51B404" w14:textId="77777777" w:rsidR="00333A87" w:rsidRPr="007F1283" w:rsidRDefault="00333A87">
            <w:pPr>
              <w:spacing w:before="20" w:after="20" w:line="240" w:lineRule="auto"/>
              <w:ind w:left="0"/>
              <w:rPr>
                <w:sz w:val="16"/>
                <w:szCs w:val="16"/>
              </w:rPr>
            </w:pPr>
            <w:r w:rsidRPr="007F1283">
              <w:rPr>
                <w:sz w:val="16"/>
                <w:szCs w:val="16"/>
              </w:rPr>
              <w:t>Education / Social &amp; health support</w:t>
            </w:r>
          </w:p>
        </w:tc>
      </w:tr>
      <w:tr w:rsidR="00333A87" w:rsidRPr="007F1283" w14:paraId="57E9074F" w14:textId="77777777" w:rsidTr="001508DA">
        <w:trPr>
          <w:trHeight w:val="56"/>
        </w:trPr>
        <w:tc>
          <w:tcPr>
            <w:tcW w:w="4678" w:type="dxa"/>
            <w:tcMar>
              <w:top w:w="15" w:type="dxa"/>
              <w:left w:w="15" w:type="dxa"/>
              <w:right w:w="15" w:type="dxa"/>
            </w:tcMar>
            <w:vAlign w:val="bottom"/>
          </w:tcPr>
          <w:p w14:paraId="41B4EBC9" w14:textId="77777777" w:rsidR="00333A87" w:rsidRPr="007F1283" w:rsidRDefault="00333A87">
            <w:pPr>
              <w:spacing w:before="20" w:after="20" w:line="240" w:lineRule="auto"/>
              <w:ind w:left="0"/>
              <w:rPr>
                <w:sz w:val="16"/>
                <w:szCs w:val="16"/>
              </w:rPr>
            </w:pPr>
            <w:r w:rsidRPr="007F1283">
              <w:rPr>
                <w:sz w:val="16"/>
                <w:szCs w:val="16"/>
              </w:rPr>
              <w:t>Improvement of employability</w:t>
            </w:r>
          </w:p>
        </w:tc>
        <w:tc>
          <w:tcPr>
            <w:tcW w:w="3850" w:type="dxa"/>
            <w:tcMar>
              <w:top w:w="15" w:type="dxa"/>
              <w:left w:w="15" w:type="dxa"/>
              <w:right w:w="15" w:type="dxa"/>
            </w:tcMar>
          </w:tcPr>
          <w:p w14:paraId="54C65649" w14:textId="77777777" w:rsidR="00333A87" w:rsidRPr="007F1283" w:rsidRDefault="00333A87">
            <w:pPr>
              <w:spacing w:before="20" w:after="20" w:line="240" w:lineRule="auto"/>
              <w:ind w:left="0"/>
              <w:rPr>
                <w:sz w:val="16"/>
                <w:szCs w:val="16"/>
              </w:rPr>
            </w:pPr>
            <w:r w:rsidRPr="007F1283">
              <w:rPr>
                <w:sz w:val="16"/>
                <w:szCs w:val="16"/>
              </w:rPr>
              <w:t>Social &amp; health support</w:t>
            </w:r>
          </w:p>
        </w:tc>
      </w:tr>
      <w:tr w:rsidR="00333A87" w:rsidRPr="007F1283" w14:paraId="21E9E28F" w14:textId="77777777" w:rsidTr="001508DA">
        <w:trPr>
          <w:trHeight w:val="56"/>
        </w:trPr>
        <w:tc>
          <w:tcPr>
            <w:tcW w:w="4678" w:type="dxa"/>
            <w:tcMar>
              <w:top w:w="15" w:type="dxa"/>
              <w:left w:w="15" w:type="dxa"/>
              <w:right w:w="15" w:type="dxa"/>
            </w:tcMar>
            <w:vAlign w:val="bottom"/>
          </w:tcPr>
          <w:p w14:paraId="21CA44E8" w14:textId="77777777" w:rsidR="00333A87" w:rsidRPr="007F1283" w:rsidRDefault="00333A87">
            <w:pPr>
              <w:spacing w:before="20" w:after="20" w:line="240" w:lineRule="auto"/>
              <w:ind w:left="0"/>
              <w:rPr>
                <w:sz w:val="16"/>
                <w:szCs w:val="16"/>
              </w:rPr>
            </w:pPr>
            <w:r w:rsidRPr="007F1283">
              <w:rPr>
                <w:sz w:val="16"/>
                <w:szCs w:val="16"/>
              </w:rPr>
              <w:t>Improvement of working conditions</w:t>
            </w:r>
          </w:p>
        </w:tc>
        <w:tc>
          <w:tcPr>
            <w:tcW w:w="3850" w:type="dxa"/>
            <w:tcMar>
              <w:top w:w="15" w:type="dxa"/>
              <w:left w:w="15" w:type="dxa"/>
              <w:right w:w="15" w:type="dxa"/>
            </w:tcMar>
          </w:tcPr>
          <w:p w14:paraId="67C23EA3" w14:textId="77777777" w:rsidR="00333A87" w:rsidRPr="007F1283" w:rsidRDefault="00333A87">
            <w:pPr>
              <w:spacing w:before="20" w:after="20" w:line="240" w:lineRule="auto"/>
              <w:ind w:left="0"/>
              <w:rPr>
                <w:sz w:val="16"/>
                <w:szCs w:val="16"/>
              </w:rPr>
            </w:pPr>
            <w:r w:rsidRPr="007F1283">
              <w:rPr>
                <w:sz w:val="16"/>
                <w:szCs w:val="16"/>
              </w:rPr>
              <w:t>Social &amp; health support</w:t>
            </w:r>
          </w:p>
        </w:tc>
      </w:tr>
      <w:tr w:rsidR="00333A87" w:rsidRPr="007F1283" w14:paraId="05091712" w14:textId="77777777" w:rsidTr="001508DA">
        <w:trPr>
          <w:trHeight w:val="56"/>
        </w:trPr>
        <w:tc>
          <w:tcPr>
            <w:tcW w:w="4678" w:type="dxa"/>
            <w:tcMar>
              <w:top w:w="15" w:type="dxa"/>
              <w:left w:w="15" w:type="dxa"/>
              <w:right w:w="15" w:type="dxa"/>
            </w:tcMar>
            <w:vAlign w:val="bottom"/>
          </w:tcPr>
          <w:p w14:paraId="24A55EA5" w14:textId="77777777" w:rsidR="00333A87" w:rsidRPr="007F1283" w:rsidRDefault="00333A87">
            <w:pPr>
              <w:spacing w:before="20" w:after="20" w:line="240" w:lineRule="auto"/>
              <w:ind w:left="0"/>
              <w:rPr>
                <w:sz w:val="16"/>
                <w:szCs w:val="16"/>
              </w:rPr>
            </w:pPr>
            <w:r w:rsidRPr="007F1283">
              <w:rPr>
                <w:sz w:val="16"/>
                <w:szCs w:val="16"/>
              </w:rPr>
              <w:lastRenderedPageBreak/>
              <w:t>Modernisation of employment services and labour market development</w:t>
            </w:r>
          </w:p>
        </w:tc>
        <w:tc>
          <w:tcPr>
            <w:tcW w:w="3850" w:type="dxa"/>
            <w:tcMar>
              <w:top w:w="15" w:type="dxa"/>
              <w:left w:w="15" w:type="dxa"/>
              <w:right w:w="15" w:type="dxa"/>
            </w:tcMar>
          </w:tcPr>
          <w:p w14:paraId="772C997C" w14:textId="77777777" w:rsidR="00333A87" w:rsidRPr="007F1283" w:rsidRDefault="00333A87">
            <w:pPr>
              <w:spacing w:before="20" w:after="20" w:line="240" w:lineRule="auto"/>
              <w:ind w:left="0"/>
              <w:rPr>
                <w:sz w:val="16"/>
                <w:szCs w:val="16"/>
              </w:rPr>
            </w:pPr>
            <w:r w:rsidRPr="007F1283">
              <w:rPr>
                <w:sz w:val="16"/>
                <w:szCs w:val="16"/>
              </w:rPr>
              <w:t>Social &amp; health support</w:t>
            </w:r>
          </w:p>
        </w:tc>
      </w:tr>
      <w:tr w:rsidR="00333A87" w:rsidRPr="007F1283" w14:paraId="0D1344D6" w14:textId="77777777" w:rsidTr="001508DA">
        <w:trPr>
          <w:trHeight w:val="56"/>
        </w:trPr>
        <w:tc>
          <w:tcPr>
            <w:tcW w:w="4678" w:type="dxa"/>
            <w:tcMar>
              <w:top w:w="15" w:type="dxa"/>
              <w:left w:w="15" w:type="dxa"/>
              <w:right w:w="15" w:type="dxa"/>
            </w:tcMar>
            <w:vAlign w:val="bottom"/>
          </w:tcPr>
          <w:p w14:paraId="48C6CC1B" w14:textId="77777777" w:rsidR="00333A87" w:rsidRPr="007F1283" w:rsidRDefault="00333A87">
            <w:pPr>
              <w:spacing w:before="20" w:after="20" w:line="240" w:lineRule="auto"/>
              <w:ind w:left="0"/>
              <w:rPr>
                <w:sz w:val="16"/>
                <w:szCs w:val="16"/>
              </w:rPr>
            </w:pPr>
            <w:r w:rsidRPr="007F1283">
              <w:rPr>
                <w:sz w:val="16"/>
                <w:szCs w:val="16"/>
              </w:rPr>
              <w:t xml:space="preserve">Improvement of socio-economic conditions </w:t>
            </w:r>
          </w:p>
        </w:tc>
        <w:tc>
          <w:tcPr>
            <w:tcW w:w="3850" w:type="dxa"/>
            <w:tcMar>
              <w:top w:w="15" w:type="dxa"/>
              <w:left w:w="15" w:type="dxa"/>
              <w:right w:w="15" w:type="dxa"/>
            </w:tcMar>
          </w:tcPr>
          <w:p w14:paraId="0D90F4FD" w14:textId="77777777" w:rsidR="00333A87" w:rsidRPr="007F1283" w:rsidRDefault="00333A87">
            <w:pPr>
              <w:spacing w:before="20" w:after="20" w:line="240" w:lineRule="auto"/>
              <w:ind w:left="0"/>
              <w:rPr>
                <w:sz w:val="16"/>
                <w:szCs w:val="16"/>
              </w:rPr>
            </w:pPr>
            <w:r w:rsidRPr="007F1283">
              <w:rPr>
                <w:sz w:val="16"/>
                <w:szCs w:val="16"/>
              </w:rPr>
              <w:t>Social &amp; health support</w:t>
            </w:r>
          </w:p>
        </w:tc>
      </w:tr>
      <w:tr w:rsidR="00333A87" w:rsidRPr="007F1283" w14:paraId="42F243DC" w14:textId="77777777" w:rsidTr="001508DA">
        <w:trPr>
          <w:trHeight w:val="56"/>
        </w:trPr>
        <w:tc>
          <w:tcPr>
            <w:tcW w:w="4678" w:type="dxa"/>
            <w:tcMar>
              <w:top w:w="15" w:type="dxa"/>
              <w:left w:w="15" w:type="dxa"/>
              <w:right w:w="15" w:type="dxa"/>
            </w:tcMar>
            <w:vAlign w:val="bottom"/>
          </w:tcPr>
          <w:p w14:paraId="37447EB0" w14:textId="77777777" w:rsidR="00333A87" w:rsidRPr="007F1283" w:rsidRDefault="00333A87">
            <w:pPr>
              <w:spacing w:before="20" w:after="20" w:line="240" w:lineRule="auto"/>
              <w:ind w:left="0"/>
              <w:rPr>
                <w:sz w:val="16"/>
                <w:szCs w:val="16"/>
              </w:rPr>
            </w:pPr>
            <w:r w:rsidRPr="007F1283">
              <w:rPr>
                <w:sz w:val="16"/>
                <w:szCs w:val="16"/>
              </w:rPr>
              <w:t>Other social &amp; health support (costs)</w:t>
            </w:r>
          </w:p>
        </w:tc>
        <w:tc>
          <w:tcPr>
            <w:tcW w:w="3850" w:type="dxa"/>
            <w:tcMar>
              <w:top w:w="15" w:type="dxa"/>
              <w:left w:w="15" w:type="dxa"/>
              <w:right w:w="15" w:type="dxa"/>
            </w:tcMar>
          </w:tcPr>
          <w:p w14:paraId="59BD0193" w14:textId="77777777" w:rsidR="00333A87" w:rsidRPr="007F1283" w:rsidRDefault="00333A87">
            <w:pPr>
              <w:spacing w:before="20" w:after="20" w:line="240" w:lineRule="auto"/>
              <w:ind w:left="0"/>
              <w:rPr>
                <w:sz w:val="16"/>
                <w:szCs w:val="16"/>
              </w:rPr>
            </w:pPr>
            <w:r w:rsidRPr="007F1283">
              <w:rPr>
                <w:sz w:val="16"/>
                <w:szCs w:val="16"/>
              </w:rPr>
              <w:t>Social &amp; health support</w:t>
            </w:r>
          </w:p>
        </w:tc>
      </w:tr>
      <w:tr w:rsidR="00333A87" w:rsidRPr="007F1283" w14:paraId="11FE6206" w14:textId="77777777" w:rsidTr="001508DA">
        <w:trPr>
          <w:trHeight w:val="56"/>
        </w:trPr>
        <w:tc>
          <w:tcPr>
            <w:tcW w:w="4678" w:type="dxa"/>
            <w:tcMar>
              <w:top w:w="15" w:type="dxa"/>
              <w:left w:w="15" w:type="dxa"/>
              <w:right w:w="15" w:type="dxa"/>
            </w:tcMar>
            <w:vAlign w:val="bottom"/>
          </w:tcPr>
          <w:p w14:paraId="6322387E" w14:textId="77777777" w:rsidR="00333A87" w:rsidRPr="007F1283" w:rsidRDefault="00333A87">
            <w:pPr>
              <w:spacing w:before="20" w:after="20" w:line="240" w:lineRule="auto"/>
              <w:ind w:left="0"/>
              <w:rPr>
                <w:sz w:val="16"/>
                <w:szCs w:val="16"/>
              </w:rPr>
            </w:pPr>
            <w:r w:rsidRPr="007F1283">
              <w:rPr>
                <w:sz w:val="16"/>
                <w:szCs w:val="16"/>
              </w:rPr>
              <w:t>Other social &amp; health support (investment)</w:t>
            </w:r>
          </w:p>
        </w:tc>
        <w:tc>
          <w:tcPr>
            <w:tcW w:w="3850" w:type="dxa"/>
            <w:tcMar>
              <w:top w:w="15" w:type="dxa"/>
              <w:left w:w="15" w:type="dxa"/>
              <w:right w:w="15" w:type="dxa"/>
            </w:tcMar>
          </w:tcPr>
          <w:p w14:paraId="32DE375B" w14:textId="77777777" w:rsidR="00333A87" w:rsidRPr="007F1283" w:rsidRDefault="00333A87">
            <w:pPr>
              <w:spacing w:before="20" w:after="20" w:line="240" w:lineRule="auto"/>
              <w:ind w:left="0"/>
              <w:rPr>
                <w:sz w:val="16"/>
                <w:szCs w:val="16"/>
              </w:rPr>
            </w:pPr>
            <w:r w:rsidRPr="007F1283">
              <w:rPr>
                <w:sz w:val="16"/>
                <w:szCs w:val="16"/>
              </w:rPr>
              <w:t>Infrastructure / Social &amp; health support</w:t>
            </w:r>
          </w:p>
        </w:tc>
      </w:tr>
      <w:tr w:rsidR="00333A87" w:rsidRPr="007F1283" w14:paraId="5557C7E2" w14:textId="77777777" w:rsidTr="001508DA">
        <w:trPr>
          <w:trHeight w:val="179"/>
        </w:trPr>
        <w:tc>
          <w:tcPr>
            <w:tcW w:w="4678" w:type="dxa"/>
            <w:tcMar>
              <w:top w:w="15" w:type="dxa"/>
              <w:left w:w="15" w:type="dxa"/>
              <w:right w:w="15" w:type="dxa"/>
            </w:tcMar>
            <w:vAlign w:val="bottom"/>
          </w:tcPr>
          <w:p w14:paraId="670329FD" w14:textId="77777777" w:rsidR="00333A87" w:rsidRPr="007F1283" w:rsidRDefault="00333A87">
            <w:pPr>
              <w:spacing w:before="20" w:after="20" w:line="240" w:lineRule="auto"/>
              <w:ind w:left="0"/>
              <w:rPr>
                <w:sz w:val="16"/>
                <w:szCs w:val="16"/>
              </w:rPr>
            </w:pPr>
            <w:r w:rsidRPr="007F1283">
              <w:rPr>
                <w:sz w:val="16"/>
                <w:szCs w:val="16"/>
              </w:rPr>
              <w:t>Energy generation (RES &amp; low carbon)</w:t>
            </w:r>
          </w:p>
        </w:tc>
        <w:tc>
          <w:tcPr>
            <w:tcW w:w="3850" w:type="dxa"/>
            <w:tcMar>
              <w:top w:w="15" w:type="dxa"/>
              <w:left w:w="15" w:type="dxa"/>
              <w:right w:w="15" w:type="dxa"/>
            </w:tcMar>
          </w:tcPr>
          <w:p w14:paraId="7F6EB662" w14:textId="77777777" w:rsidR="00333A87" w:rsidRPr="007F1283" w:rsidRDefault="00333A87">
            <w:pPr>
              <w:spacing w:before="20" w:after="20" w:line="240" w:lineRule="auto"/>
              <w:ind w:left="0"/>
              <w:rPr>
                <w:sz w:val="16"/>
                <w:szCs w:val="16"/>
              </w:rPr>
            </w:pPr>
            <w:r w:rsidRPr="007F1283">
              <w:rPr>
                <w:sz w:val="16"/>
                <w:szCs w:val="16"/>
              </w:rPr>
              <w:t>Infrastructure / Energy / Technology</w:t>
            </w:r>
          </w:p>
        </w:tc>
      </w:tr>
      <w:tr w:rsidR="00333A87" w:rsidRPr="007F1283" w14:paraId="5DEA709B" w14:textId="77777777" w:rsidTr="001508DA">
        <w:trPr>
          <w:trHeight w:val="56"/>
        </w:trPr>
        <w:tc>
          <w:tcPr>
            <w:tcW w:w="4678" w:type="dxa"/>
            <w:tcMar>
              <w:top w:w="15" w:type="dxa"/>
              <w:left w:w="15" w:type="dxa"/>
              <w:right w:w="15" w:type="dxa"/>
            </w:tcMar>
            <w:vAlign w:val="bottom"/>
          </w:tcPr>
          <w:p w14:paraId="239C13BA" w14:textId="77777777" w:rsidR="00333A87" w:rsidRPr="007F1283" w:rsidRDefault="00333A87">
            <w:pPr>
              <w:spacing w:before="20" w:after="20" w:line="240" w:lineRule="auto"/>
              <w:ind w:left="0"/>
              <w:rPr>
                <w:sz w:val="16"/>
                <w:szCs w:val="16"/>
              </w:rPr>
            </w:pPr>
            <w:r w:rsidRPr="007F1283">
              <w:rPr>
                <w:sz w:val="16"/>
                <w:szCs w:val="16"/>
              </w:rPr>
              <w:t>Energy generation (gaseous fossil fuels)</w:t>
            </w:r>
          </w:p>
        </w:tc>
        <w:tc>
          <w:tcPr>
            <w:tcW w:w="3850" w:type="dxa"/>
            <w:tcMar>
              <w:top w:w="15" w:type="dxa"/>
              <w:left w:w="15" w:type="dxa"/>
              <w:right w:w="15" w:type="dxa"/>
            </w:tcMar>
          </w:tcPr>
          <w:p w14:paraId="35AD8C41" w14:textId="77777777" w:rsidR="00333A87" w:rsidRPr="007F1283" w:rsidRDefault="00333A87">
            <w:pPr>
              <w:spacing w:before="20" w:after="20" w:line="240" w:lineRule="auto"/>
              <w:ind w:left="0"/>
              <w:rPr>
                <w:sz w:val="16"/>
                <w:szCs w:val="16"/>
              </w:rPr>
            </w:pPr>
            <w:r w:rsidRPr="007F1283">
              <w:rPr>
                <w:sz w:val="16"/>
                <w:szCs w:val="16"/>
              </w:rPr>
              <w:t>Infrastructure / Energy / Technology</w:t>
            </w:r>
          </w:p>
        </w:tc>
      </w:tr>
      <w:tr w:rsidR="00333A87" w:rsidRPr="007F1283" w14:paraId="7BB8E892" w14:textId="77777777" w:rsidTr="001508DA">
        <w:trPr>
          <w:trHeight w:val="56"/>
        </w:trPr>
        <w:tc>
          <w:tcPr>
            <w:tcW w:w="4678" w:type="dxa"/>
            <w:tcMar>
              <w:top w:w="15" w:type="dxa"/>
              <w:left w:w="15" w:type="dxa"/>
              <w:right w:w="15" w:type="dxa"/>
            </w:tcMar>
            <w:vAlign w:val="bottom"/>
          </w:tcPr>
          <w:p w14:paraId="2DD04461" w14:textId="77777777" w:rsidR="00333A87" w:rsidRPr="007F1283" w:rsidRDefault="00333A87">
            <w:pPr>
              <w:spacing w:before="20" w:after="20" w:line="240" w:lineRule="auto"/>
              <w:ind w:left="0"/>
              <w:rPr>
                <w:sz w:val="16"/>
                <w:szCs w:val="16"/>
              </w:rPr>
            </w:pPr>
            <w:r w:rsidRPr="007F1283">
              <w:rPr>
                <w:sz w:val="16"/>
                <w:szCs w:val="16"/>
              </w:rPr>
              <w:t>Energy generation (other)</w:t>
            </w:r>
          </w:p>
        </w:tc>
        <w:tc>
          <w:tcPr>
            <w:tcW w:w="3850" w:type="dxa"/>
            <w:tcMar>
              <w:top w:w="15" w:type="dxa"/>
              <w:left w:w="15" w:type="dxa"/>
              <w:right w:w="15" w:type="dxa"/>
            </w:tcMar>
          </w:tcPr>
          <w:p w14:paraId="29DC1907" w14:textId="77777777" w:rsidR="00333A87" w:rsidRPr="007F1283" w:rsidRDefault="00333A87">
            <w:pPr>
              <w:spacing w:before="20" w:after="20" w:line="240" w:lineRule="auto"/>
              <w:ind w:left="0"/>
              <w:rPr>
                <w:sz w:val="16"/>
                <w:szCs w:val="16"/>
              </w:rPr>
            </w:pPr>
            <w:r w:rsidRPr="007F1283">
              <w:rPr>
                <w:sz w:val="16"/>
                <w:szCs w:val="16"/>
              </w:rPr>
              <w:t>Infrastructure / Energy / Technology</w:t>
            </w:r>
          </w:p>
        </w:tc>
      </w:tr>
      <w:tr w:rsidR="00333A87" w:rsidRPr="007F1283" w14:paraId="5324F191" w14:textId="77777777" w:rsidTr="001508DA">
        <w:trPr>
          <w:trHeight w:val="56"/>
        </w:trPr>
        <w:tc>
          <w:tcPr>
            <w:tcW w:w="4678" w:type="dxa"/>
            <w:tcMar>
              <w:top w:w="15" w:type="dxa"/>
              <w:left w:w="15" w:type="dxa"/>
              <w:right w:w="15" w:type="dxa"/>
            </w:tcMar>
            <w:vAlign w:val="bottom"/>
          </w:tcPr>
          <w:p w14:paraId="7FBF30BB" w14:textId="77777777" w:rsidR="00333A87" w:rsidRPr="007F1283" w:rsidRDefault="00333A87">
            <w:pPr>
              <w:spacing w:before="20" w:after="20" w:line="240" w:lineRule="auto"/>
              <w:ind w:left="0"/>
              <w:rPr>
                <w:sz w:val="16"/>
                <w:szCs w:val="16"/>
              </w:rPr>
            </w:pPr>
            <w:r w:rsidRPr="007F1283">
              <w:rPr>
                <w:sz w:val="16"/>
                <w:szCs w:val="16"/>
              </w:rPr>
              <w:t>Energy transmission &amp; distribution</w:t>
            </w:r>
          </w:p>
        </w:tc>
        <w:tc>
          <w:tcPr>
            <w:tcW w:w="3850" w:type="dxa"/>
            <w:tcMar>
              <w:top w:w="15" w:type="dxa"/>
              <w:left w:w="15" w:type="dxa"/>
              <w:right w:w="15" w:type="dxa"/>
            </w:tcMar>
          </w:tcPr>
          <w:p w14:paraId="64BD7456" w14:textId="77777777" w:rsidR="00333A87" w:rsidRPr="007F1283" w:rsidRDefault="00333A87">
            <w:pPr>
              <w:spacing w:before="20" w:after="20" w:line="240" w:lineRule="auto"/>
              <w:ind w:left="0"/>
              <w:rPr>
                <w:sz w:val="16"/>
                <w:szCs w:val="16"/>
              </w:rPr>
            </w:pPr>
            <w:r w:rsidRPr="007F1283">
              <w:rPr>
                <w:sz w:val="16"/>
                <w:szCs w:val="16"/>
              </w:rPr>
              <w:t>Infrastructure / Energy / Technology</w:t>
            </w:r>
          </w:p>
        </w:tc>
      </w:tr>
      <w:tr w:rsidR="00333A87" w:rsidRPr="007F1283" w14:paraId="330C3547" w14:textId="77777777" w:rsidTr="001508DA">
        <w:trPr>
          <w:trHeight w:val="56"/>
        </w:trPr>
        <w:tc>
          <w:tcPr>
            <w:tcW w:w="4678" w:type="dxa"/>
            <w:tcMar>
              <w:top w:w="15" w:type="dxa"/>
              <w:left w:w="15" w:type="dxa"/>
              <w:right w:w="15" w:type="dxa"/>
            </w:tcMar>
            <w:vAlign w:val="bottom"/>
          </w:tcPr>
          <w:p w14:paraId="2F589906" w14:textId="77777777" w:rsidR="00333A87" w:rsidRPr="007F1283" w:rsidRDefault="00333A87">
            <w:pPr>
              <w:spacing w:before="20" w:after="20" w:line="240" w:lineRule="auto"/>
              <w:ind w:left="0"/>
              <w:rPr>
                <w:sz w:val="16"/>
                <w:szCs w:val="16"/>
              </w:rPr>
            </w:pPr>
            <w:r w:rsidRPr="007F1283">
              <w:rPr>
                <w:sz w:val="16"/>
                <w:szCs w:val="16"/>
              </w:rPr>
              <w:t>Energy storage &amp; transformation</w:t>
            </w:r>
          </w:p>
        </w:tc>
        <w:tc>
          <w:tcPr>
            <w:tcW w:w="3850" w:type="dxa"/>
            <w:tcMar>
              <w:top w:w="15" w:type="dxa"/>
              <w:left w:w="15" w:type="dxa"/>
              <w:right w:w="15" w:type="dxa"/>
            </w:tcMar>
          </w:tcPr>
          <w:p w14:paraId="74F340DC" w14:textId="77777777" w:rsidR="00333A87" w:rsidRPr="007F1283" w:rsidRDefault="00333A87">
            <w:pPr>
              <w:spacing w:before="20" w:after="20" w:line="240" w:lineRule="auto"/>
              <w:ind w:left="0"/>
              <w:rPr>
                <w:sz w:val="16"/>
                <w:szCs w:val="16"/>
              </w:rPr>
            </w:pPr>
            <w:r w:rsidRPr="007F1283">
              <w:rPr>
                <w:sz w:val="16"/>
                <w:szCs w:val="16"/>
              </w:rPr>
              <w:t>Infrastructure / Energy / Technology</w:t>
            </w:r>
          </w:p>
        </w:tc>
      </w:tr>
      <w:tr w:rsidR="00333A87" w:rsidRPr="007F1283" w14:paraId="41904068" w14:textId="77777777" w:rsidTr="001508DA">
        <w:trPr>
          <w:trHeight w:val="56"/>
        </w:trPr>
        <w:tc>
          <w:tcPr>
            <w:tcW w:w="4678" w:type="dxa"/>
            <w:tcMar>
              <w:top w:w="15" w:type="dxa"/>
              <w:left w:w="15" w:type="dxa"/>
              <w:right w:w="15" w:type="dxa"/>
            </w:tcMar>
            <w:vAlign w:val="bottom"/>
          </w:tcPr>
          <w:p w14:paraId="534F5901" w14:textId="77777777" w:rsidR="00333A87" w:rsidRPr="007F1283" w:rsidRDefault="00333A87">
            <w:pPr>
              <w:spacing w:before="20" w:after="20" w:line="240" w:lineRule="auto"/>
              <w:ind w:left="0"/>
              <w:rPr>
                <w:sz w:val="16"/>
                <w:szCs w:val="16"/>
              </w:rPr>
            </w:pPr>
            <w:r w:rsidRPr="007F1283">
              <w:rPr>
                <w:sz w:val="16"/>
                <w:szCs w:val="16"/>
              </w:rPr>
              <w:t>Manufacture of biogas and biofuels</w:t>
            </w:r>
          </w:p>
        </w:tc>
        <w:tc>
          <w:tcPr>
            <w:tcW w:w="3850" w:type="dxa"/>
            <w:tcMar>
              <w:top w:w="15" w:type="dxa"/>
              <w:left w:w="15" w:type="dxa"/>
              <w:right w:w="15" w:type="dxa"/>
            </w:tcMar>
          </w:tcPr>
          <w:p w14:paraId="2616538E" w14:textId="77777777" w:rsidR="00333A87" w:rsidRPr="007F1283" w:rsidRDefault="00333A87">
            <w:pPr>
              <w:spacing w:before="20" w:after="20" w:line="240" w:lineRule="auto"/>
              <w:ind w:left="0"/>
              <w:rPr>
                <w:sz w:val="16"/>
                <w:szCs w:val="16"/>
              </w:rPr>
            </w:pPr>
            <w:r w:rsidRPr="007F1283">
              <w:rPr>
                <w:sz w:val="16"/>
                <w:szCs w:val="16"/>
              </w:rPr>
              <w:t>Infrastructure / Energy / Technology</w:t>
            </w:r>
          </w:p>
        </w:tc>
      </w:tr>
      <w:tr w:rsidR="00333A87" w:rsidRPr="007F1283" w14:paraId="43854808" w14:textId="77777777" w:rsidTr="001508DA">
        <w:trPr>
          <w:trHeight w:val="63"/>
        </w:trPr>
        <w:tc>
          <w:tcPr>
            <w:tcW w:w="4678" w:type="dxa"/>
            <w:tcMar>
              <w:top w:w="15" w:type="dxa"/>
              <w:left w:w="15" w:type="dxa"/>
              <w:right w:w="15" w:type="dxa"/>
            </w:tcMar>
            <w:vAlign w:val="bottom"/>
          </w:tcPr>
          <w:p w14:paraId="5603BD1B" w14:textId="77777777" w:rsidR="00333A87" w:rsidRPr="007F1283" w:rsidRDefault="00333A87">
            <w:pPr>
              <w:spacing w:before="20" w:after="20" w:line="240" w:lineRule="auto"/>
              <w:ind w:left="0"/>
              <w:rPr>
                <w:sz w:val="16"/>
                <w:szCs w:val="16"/>
              </w:rPr>
            </w:pPr>
            <w:r w:rsidRPr="007F1283">
              <w:rPr>
                <w:sz w:val="16"/>
                <w:szCs w:val="16"/>
              </w:rPr>
              <w:t>Energy efficiency</w:t>
            </w:r>
          </w:p>
        </w:tc>
        <w:tc>
          <w:tcPr>
            <w:tcW w:w="3850" w:type="dxa"/>
            <w:tcMar>
              <w:top w:w="15" w:type="dxa"/>
              <w:left w:w="15" w:type="dxa"/>
              <w:right w:w="15" w:type="dxa"/>
            </w:tcMar>
          </w:tcPr>
          <w:p w14:paraId="687AA127" w14:textId="77777777" w:rsidR="00333A87" w:rsidRPr="007F1283" w:rsidRDefault="00333A87">
            <w:pPr>
              <w:spacing w:before="20" w:after="20" w:line="240" w:lineRule="auto"/>
              <w:ind w:left="0"/>
              <w:rPr>
                <w:sz w:val="16"/>
                <w:szCs w:val="16"/>
              </w:rPr>
            </w:pPr>
            <w:r w:rsidRPr="007F1283">
              <w:rPr>
                <w:sz w:val="16"/>
                <w:szCs w:val="16"/>
              </w:rPr>
              <w:t>Infrastructure / Energy / Buildings / Technology</w:t>
            </w:r>
          </w:p>
        </w:tc>
      </w:tr>
      <w:tr w:rsidR="00333A87" w:rsidRPr="007F1283" w14:paraId="58B75A70" w14:textId="77777777" w:rsidTr="001508DA">
        <w:trPr>
          <w:trHeight w:val="56"/>
        </w:trPr>
        <w:tc>
          <w:tcPr>
            <w:tcW w:w="4678" w:type="dxa"/>
            <w:tcMar>
              <w:top w:w="15" w:type="dxa"/>
              <w:left w:w="15" w:type="dxa"/>
              <w:right w:w="15" w:type="dxa"/>
            </w:tcMar>
            <w:vAlign w:val="bottom"/>
          </w:tcPr>
          <w:p w14:paraId="6B294634" w14:textId="77777777" w:rsidR="00333A87" w:rsidRPr="007F1283" w:rsidRDefault="00333A87">
            <w:pPr>
              <w:spacing w:before="20" w:after="20" w:line="240" w:lineRule="auto"/>
              <w:ind w:left="0"/>
              <w:rPr>
                <w:sz w:val="16"/>
                <w:szCs w:val="16"/>
              </w:rPr>
            </w:pPr>
            <w:r w:rsidRPr="007F1283">
              <w:rPr>
                <w:sz w:val="16"/>
                <w:szCs w:val="16"/>
              </w:rPr>
              <w:t>Construction of new buildings</w:t>
            </w:r>
          </w:p>
        </w:tc>
        <w:tc>
          <w:tcPr>
            <w:tcW w:w="3850" w:type="dxa"/>
            <w:tcMar>
              <w:top w:w="15" w:type="dxa"/>
              <w:left w:w="15" w:type="dxa"/>
              <w:right w:w="15" w:type="dxa"/>
            </w:tcMar>
          </w:tcPr>
          <w:p w14:paraId="297716ED" w14:textId="77777777" w:rsidR="00333A87" w:rsidRPr="007F1283" w:rsidRDefault="00333A87">
            <w:pPr>
              <w:spacing w:before="20" w:after="20" w:line="240" w:lineRule="auto"/>
              <w:ind w:left="0"/>
              <w:rPr>
                <w:sz w:val="16"/>
                <w:szCs w:val="16"/>
              </w:rPr>
            </w:pPr>
            <w:r w:rsidRPr="007F1283">
              <w:rPr>
                <w:sz w:val="16"/>
                <w:szCs w:val="16"/>
              </w:rPr>
              <w:t>Infrastructure / Buildings</w:t>
            </w:r>
          </w:p>
        </w:tc>
      </w:tr>
      <w:tr w:rsidR="00333A87" w:rsidRPr="007F1283" w14:paraId="166F433C" w14:textId="77777777" w:rsidTr="001508DA">
        <w:trPr>
          <w:trHeight w:val="56"/>
        </w:trPr>
        <w:tc>
          <w:tcPr>
            <w:tcW w:w="4678" w:type="dxa"/>
            <w:tcMar>
              <w:top w:w="15" w:type="dxa"/>
              <w:left w:w="15" w:type="dxa"/>
              <w:right w:w="15" w:type="dxa"/>
            </w:tcMar>
            <w:vAlign w:val="bottom"/>
          </w:tcPr>
          <w:p w14:paraId="0D155A73" w14:textId="77777777" w:rsidR="00333A87" w:rsidRPr="007F1283" w:rsidRDefault="00333A87">
            <w:pPr>
              <w:spacing w:before="20" w:after="20" w:line="240" w:lineRule="auto"/>
              <w:ind w:left="0"/>
              <w:rPr>
                <w:sz w:val="16"/>
                <w:szCs w:val="16"/>
              </w:rPr>
            </w:pPr>
            <w:r w:rsidRPr="007F1283">
              <w:rPr>
                <w:sz w:val="16"/>
                <w:szCs w:val="16"/>
              </w:rPr>
              <w:t>Renovation of existing buildings</w:t>
            </w:r>
          </w:p>
        </w:tc>
        <w:tc>
          <w:tcPr>
            <w:tcW w:w="3850" w:type="dxa"/>
            <w:tcMar>
              <w:top w:w="15" w:type="dxa"/>
              <w:left w:w="15" w:type="dxa"/>
              <w:right w:w="15" w:type="dxa"/>
            </w:tcMar>
          </w:tcPr>
          <w:p w14:paraId="073BA680" w14:textId="77777777" w:rsidR="00333A87" w:rsidRPr="007F1283" w:rsidRDefault="00333A87">
            <w:pPr>
              <w:spacing w:before="20" w:after="20" w:line="240" w:lineRule="auto"/>
              <w:ind w:left="0"/>
              <w:rPr>
                <w:sz w:val="16"/>
                <w:szCs w:val="16"/>
              </w:rPr>
            </w:pPr>
            <w:r w:rsidRPr="007F1283">
              <w:rPr>
                <w:sz w:val="16"/>
                <w:szCs w:val="16"/>
              </w:rPr>
              <w:t>Infrastructure / Buildings</w:t>
            </w:r>
          </w:p>
        </w:tc>
      </w:tr>
      <w:tr w:rsidR="00333A87" w:rsidRPr="007F1283" w14:paraId="367EFF98" w14:textId="77777777" w:rsidTr="001508DA">
        <w:trPr>
          <w:trHeight w:val="56"/>
        </w:trPr>
        <w:tc>
          <w:tcPr>
            <w:tcW w:w="4678" w:type="dxa"/>
            <w:tcMar>
              <w:top w:w="15" w:type="dxa"/>
              <w:left w:w="15" w:type="dxa"/>
              <w:right w:w="15" w:type="dxa"/>
            </w:tcMar>
            <w:vAlign w:val="bottom"/>
          </w:tcPr>
          <w:p w14:paraId="45731A41" w14:textId="77777777" w:rsidR="00333A87" w:rsidRPr="007F1283" w:rsidRDefault="00333A87">
            <w:pPr>
              <w:spacing w:before="20" w:after="20" w:line="240" w:lineRule="auto"/>
              <w:ind w:left="0"/>
              <w:rPr>
                <w:sz w:val="16"/>
                <w:szCs w:val="16"/>
              </w:rPr>
            </w:pPr>
            <w:r w:rsidRPr="007F1283">
              <w:rPr>
                <w:sz w:val="16"/>
                <w:szCs w:val="16"/>
              </w:rPr>
              <w:t>Water/sewage treatment &amp; management</w:t>
            </w:r>
          </w:p>
        </w:tc>
        <w:tc>
          <w:tcPr>
            <w:tcW w:w="3850" w:type="dxa"/>
            <w:tcMar>
              <w:top w:w="15" w:type="dxa"/>
              <w:left w:w="15" w:type="dxa"/>
              <w:right w:w="15" w:type="dxa"/>
            </w:tcMar>
          </w:tcPr>
          <w:p w14:paraId="6BC31810" w14:textId="77777777" w:rsidR="00333A87" w:rsidRPr="007F1283" w:rsidRDefault="00333A87">
            <w:pPr>
              <w:spacing w:before="20" w:after="20" w:line="240" w:lineRule="auto"/>
              <w:ind w:left="0"/>
              <w:rPr>
                <w:sz w:val="16"/>
                <w:szCs w:val="16"/>
              </w:rPr>
            </w:pPr>
            <w:r w:rsidRPr="007F1283">
              <w:rPr>
                <w:sz w:val="16"/>
                <w:szCs w:val="16"/>
              </w:rPr>
              <w:t>Infrastructure / Water &amp; waste management</w:t>
            </w:r>
          </w:p>
        </w:tc>
      </w:tr>
      <w:tr w:rsidR="00333A87" w:rsidRPr="007F1283" w14:paraId="56A7293F" w14:textId="77777777" w:rsidTr="001508DA">
        <w:trPr>
          <w:trHeight w:val="56"/>
        </w:trPr>
        <w:tc>
          <w:tcPr>
            <w:tcW w:w="4678" w:type="dxa"/>
            <w:tcMar>
              <w:top w:w="15" w:type="dxa"/>
              <w:left w:w="15" w:type="dxa"/>
              <w:right w:w="15" w:type="dxa"/>
            </w:tcMar>
            <w:vAlign w:val="bottom"/>
          </w:tcPr>
          <w:p w14:paraId="412045B5" w14:textId="77777777" w:rsidR="00333A87" w:rsidRPr="007F1283" w:rsidRDefault="00333A87">
            <w:pPr>
              <w:spacing w:before="20" w:after="20" w:line="240" w:lineRule="auto"/>
              <w:ind w:left="0"/>
              <w:rPr>
                <w:sz w:val="16"/>
                <w:szCs w:val="16"/>
              </w:rPr>
            </w:pPr>
            <w:r w:rsidRPr="007F1283">
              <w:rPr>
                <w:sz w:val="16"/>
                <w:szCs w:val="16"/>
              </w:rPr>
              <w:t>Waste treatment &amp; management</w:t>
            </w:r>
          </w:p>
        </w:tc>
        <w:tc>
          <w:tcPr>
            <w:tcW w:w="3850" w:type="dxa"/>
            <w:tcMar>
              <w:top w:w="15" w:type="dxa"/>
              <w:left w:w="15" w:type="dxa"/>
              <w:right w:w="15" w:type="dxa"/>
            </w:tcMar>
          </w:tcPr>
          <w:p w14:paraId="0E1F0247" w14:textId="77777777" w:rsidR="00333A87" w:rsidRPr="007F1283" w:rsidRDefault="00333A87">
            <w:pPr>
              <w:spacing w:before="20" w:after="20" w:line="240" w:lineRule="auto"/>
              <w:ind w:left="0"/>
              <w:rPr>
                <w:sz w:val="16"/>
                <w:szCs w:val="16"/>
              </w:rPr>
            </w:pPr>
            <w:r w:rsidRPr="007F1283">
              <w:rPr>
                <w:sz w:val="16"/>
                <w:szCs w:val="16"/>
              </w:rPr>
              <w:t>Infrastructure / Water &amp; waste management</w:t>
            </w:r>
          </w:p>
        </w:tc>
      </w:tr>
      <w:tr w:rsidR="00333A87" w:rsidRPr="007F1283" w14:paraId="2431BAD6" w14:textId="77777777" w:rsidTr="001508DA">
        <w:trPr>
          <w:trHeight w:val="56"/>
        </w:trPr>
        <w:tc>
          <w:tcPr>
            <w:tcW w:w="4678" w:type="dxa"/>
            <w:tcMar>
              <w:top w:w="15" w:type="dxa"/>
              <w:left w:w="15" w:type="dxa"/>
              <w:right w:w="15" w:type="dxa"/>
            </w:tcMar>
            <w:vAlign w:val="bottom"/>
          </w:tcPr>
          <w:p w14:paraId="65E62C5A" w14:textId="77777777" w:rsidR="00333A87" w:rsidRPr="007F1283" w:rsidRDefault="00333A87">
            <w:pPr>
              <w:spacing w:before="20" w:after="20" w:line="240" w:lineRule="auto"/>
              <w:ind w:left="0"/>
              <w:rPr>
                <w:sz w:val="16"/>
                <w:szCs w:val="16"/>
              </w:rPr>
            </w:pPr>
            <w:r w:rsidRPr="007F1283">
              <w:rPr>
                <w:sz w:val="16"/>
                <w:szCs w:val="16"/>
              </w:rPr>
              <w:t>R&amp;D (investments)</w:t>
            </w:r>
          </w:p>
        </w:tc>
        <w:tc>
          <w:tcPr>
            <w:tcW w:w="3850" w:type="dxa"/>
            <w:tcMar>
              <w:top w:w="15" w:type="dxa"/>
              <w:left w:w="15" w:type="dxa"/>
              <w:right w:w="15" w:type="dxa"/>
            </w:tcMar>
          </w:tcPr>
          <w:p w14:paraId="4A406A10" w14:textId="77777777" w:rsidR="00333A87" w:rsidRPr="007F1283" w:rsidRDefault="00333A87">
            <w:pPr>
              <w:spacing w:before="20" w:after="20" w:line="240" w:lineRule="auto"/>
              <w:ind w:left="0"/>
              <w:rPr>
                <w:sz w:val="16"/>
                <w:szCs w:val="16"/>
              </w:rPr>
            </w:pPr>
            <w:r w:rsidRPr="007F1283">
              <w:rPr>
                <w:sz w:val="16"/>
                <w:szCs w:val="16"/>
              </w:rPr>
              <w:t>Infrastructure / R&amp;D / Technology</w:t>
            </w:r>
          </w:p>
        </w:tc>
      </w:tr>
      <w:tr w:rsidR="00333A87" w:rsidRPr="007F1283" w14:paraId="2EF4F969" w14:textId="77777777" w:rsidTr="001508DA">
        <w:trPr>
          <w:trHeight w:val="56"/>
        </w:trPr>
        <w:tc>
          <w:tcPr>
            <w:tcW w:w="4678" w:type="dxa"/>
            <w:tcMar>
              <w:top w:w="15" w:type="dxa"/>
              <w:left w:w="15" w:type="dxa"/>
              <w:right w:w="15" w:type="dxa"/>
            </w:tcMar>
            <w:vAlign w:val="bottom"/>
          </w:tcPr>
          <w:p w14:paraId="22D9611C" w14:textId="77777777" w:rsidR="00333A87" w:rsidRPr="007F1283" w:rsidRDefault="00333A87">
            <w:pPr>
              <w:spacing w:before="20" w:after="20" w:line="240" w:lineRule="auto"/>
              <w:ind w:left="0"/>
              <w:rPr>
                <w:sz w:val="16"/>
                <w:szCs w:val="16"/>
              </w:rPr>
            </w:pPr>
            <w:r w:rsidRPr="007F1283">
              <w:rPr>
                <w:sz w:val="16"/>
                <w:szCs w:val="16"/>
              </w:rPr>
              <w:t>R&amp;D (costs)</w:t>
            </w:r>
          </w:p>
        </w:tc>
        <w:tc>
          <w:tcPr>
            <w:tcW w:w="3850" w:type="dxa"/>
            <w:tcMar>
              <w:top w:w="15" w:type="dxa"/>
              <w:left w:w="15" w:type="dxa"/>
              <w:right w:w="15" w:type="dxa"/>
            </w:tcMar>
          </w:tcPr>
          <w:p w14:paraId="086F3FF3" w14:textId="77777777" w:rsidR="00333A87" w:rsidRPr="007F1283" w:rsidRDefault="00333A87">
            <w:pPr>
              <w:spacing w:before="20" w:after="20" w:line="240" w:lineRule="auto"/>
              <w:ind w:left="0"/>
              <w:rPr>
                <w:sz w:val="16"/>
                <w:szCs w:val="16"/>
              </w:rPr>
            </w:pPr>
            <w:r w:rsidRPr="007F1283">
              <w:rPr>
                <w:sz w:val="16"/>
                <w:szCs w:val="16"/>
              </w:rPr>
              <w:t>R&amp;D</w:t>
            </w:r>
          </w:p>
        </w:tc>
      </w:tr>
      <w:tr w:rsidR="00333A87" w:rsidRPr="007F1283" w14:paraId="11695380" w14:textId="77777777" w:rsidTr="001508DA">
        <w:trPr>
          <w:trHeight w:val="56"/>
        </w:trPr>
        <w:tc>
          <w:tcPr>
            <w:tcW w:w="4678" w:type="dxa"/>
            <w:tcMar>
              <w:top w:w="15" w:type="dxa"/>
              <w:left w:w="15" w:type="dxa"/>
              <w:right w:w="15" w:type="dxa"/>
            </w:tcMar>
            <w:vAlign w:val="bottom"/>
          </w:tcPr>
          <w:p w14:paraId="07110A76" w14:textId="77777777" w:rsidR="00333A87" w:rsidRPr="007F1283" w:rsidRDefault="00333A87">
            <w:pPr>
              <w:spacing w:before="20" w:after="20" w:line="240" w:lineRule="auto"/>
              <w:ind w:left="0"/>
              <w:rPr>
                <w:sz w:val="16"/>
                <w:szCs w:val="16"/>
              </w:rPr>
            </w:pPr>
            <w:r w:rsidRPr="007F1283">
              <w:rPr>
                <w:sz w:val="16"/>
                <w:szCs w:val="16"/>
              </w:rPr>
              <w:t>Innovation of services and products</w:t>
            </w:r>
          </w:p>
        </w:tc>
        <w:tc>
          <w:tcPr>
            <w:tcW w:w="3850" w:type="dxa"/>
            <w:tcMar>
              <w:top w:w="15" w:type="dxa"/>
              <w:left w:w="15" w:type="dxa"/>
              <w:right w:w="15" w:type="dxa"/>
            </w:tcMar>
          </w:tcPr>
          <w:p w14:paraId="33CB1820" w14:textId="77777777" w:rsidR="00333A87" w:rsidRPr="007F1283" w:rsidRDefault="00333A87">
            <w:pPr>
              <w:spacing w:before="20" w:after="20" w:line="240" w:lineRule="auto"/>
              <w:ind w:left="0"/>
              <w:rPr>
                <w:sz w:val="16"/>
                <w:szCs w:val="16"/>
              </w:rPr>
            </w:pPr>
            <w:r w:rsidRPr="007F1283">
              <w:rPr>
                <w:sz w:val="16"/>
                <w:szCs w:val="16"/>
              </w:rPr>
              <w:t>Innovation</w:t>
            </w:r>
          </w:p>
        </w:tc>
      </w:tr>
      <w:tr w:rsidR="00333A87" w:rsidRPr="007F1283" w14:paraId="64B05BF4" w14:textId="77777777" w:rsidTr="001508DA">
        <w:trPr>
          <w:trHeight w:val="56"/>
        </w:trPr>
        <w:tc>
          <w:tcPr>
            <w:tcW w:w="4678" w:type="dxa"/>
            <w:tcMar>
              <w:top w:w="15" w:type="dxa"/>
              <w:left w:w="15" w:type="dxa"/>
              <w:right w:w="15" w:type="dxa"/>
            </w:tcMar>
            <w:vAlign w:val="bottom"/>
          </w:tcPr>
          <w:p w14:paraId="10B5211B" w14:textId="77777777" w:rsidR="00333A87" w:rsidRPr="007F1283" w:rsidRDefault="00333A87">
            <w:pPr>
              <w:spacing w:before="20" w:after="20" w:line="240" w:lineRule="auto"/>
              <w:ind w:left="0"/>
              <w:rPr>
                <w:sz w:val="16"/>
                <w:szCs w:val="16"/>
              </w:rPr>
            </w:pPr>
            <w:r w:rsidRPr="007F1283">
              <w:rPr>
                <w:sz w:val="16"/>
                <w:szCs w:val="16"/>
              </w:rPr>
              <w:t>Innovation capacity</w:t>
            </w:r>
          </w:p>
        </w:tc>
        <w:tc>
          <w:tcPr>
            <w:tcW w:w="3850" w:type="dxa"/>
            <w:tcMar>
              <w:top w:w="15" w:type="dxa"/>
              <w:left w:w="15" w:type="dxa"/>
              <w:right w:w="15" w:type="dxa"/>
            </w:tcMar>
          </w:tcPr>
          <w:p w14:paraId="0FC3C6DA" w14:textId="77777777" w:rsidR="00333A87" w:rsidRPr="007F1283" w:rsidRDefault="00333A87">
            <w:pPr>
              <w:spacing w:before="20" w:after="20" w:line="240" w:lineRule="auto"/>
              <w:ind w:left="0"/>
              <w:rPr>
                <w:sz w:val="16"/>
                <w:szCs w:val="16"/>
              </w:rPr>
            </w:pPr>
            <w:r w:rsidRPr="007F1283">
              <w:rPr>
                <w:sz w:val="16"/>
                <w:szCs w:val="16"/>
              </w:rPr>
              <w:t>Innovation</w:t>
            </w:r>
          </w:p>
        </w:tc>
      </w:tr>
      <w:tr w:rsidR="00333A87" w:rsidRPr="007F1283" w14:paraId="6C190452" w14:textId="77777777" w:rsidTr="001508DA">
        <w:trPr>
          <w:trHeight w:val="102"/>
        </w:trPr>
        <w:tc>
          <w:tcPr>
            <w:tcW w:w="4678" w:type="dxa"/>
            <w:tcMar>
              <w:top w:w="15" w:type="dxa"/>
              <w:left w:w="15" w:type="dxa"/>
              <w:right w:w="15" w:type="dxa"/>
            </w:tcMar>
            <w:vAlign w:val="bottom"/>
          </w:tcPr>
          <w:p w14:paraId="5CC499C6" w14:textId="77777777" w:rsidR="00333A87" w:rsidRPr="007F1283" w:rsidRDefault="00333A87">
            <w:pPr>
              <w:spacing w:before="20" w:after="20" w:line="240" w:lineRule="auto"/>
              <w:ind w:left="0"/>
              <w:rPr>
                <w:sz w:val="16"/>
                <w:szCs w:val="16"/>
              </w:rPr>
            </w:pPr>
            <w:r w:rsidRPr="007F1283">
              <w:rPr>
                <w:sz w:val="16"/>
                <w:szCs w:val="16"/>
              </w:rPr>
              <w:t>Purchasing of vehicles</w:t>
            </w:r>
          </w:p>
        </w:tc>
        <w:tc>
          <w:tcPr>
            <w:tcW w:w="3850" w:type="dxa"/>
            <w:tcMar>
              <w:top w:w="15" w:type="dxa"/>
              <w:left w:w="15" w:type="dxa"/>
              <w:right w:w="15" w:type="dxa"/>
            </w:tcMar>
          </w:tcPr>
          <w:p w14:paraId="7D4C1D9D" w14:textId="77777777" w:rsidR="00333A87" w:rsidRPr="007F1283" w:rsidRDefault="00333A87">
            <w:pPr>
              <w:spacing w:before="20" w:after="20" w:line="240" w:lineRule="auto"/>
              <w:ind w:left="0"/>
              <w:rPr>
                <w:sz w:val="16"/>
                <w:szCs w:val="16"/>
              </w:rPr>
            </w:pPr>
            <w:r w:rsidRPr="007F1283">
              <w:rPr>
                <w:sz w:val="16"/>
                <w:szCs w:val="16"/>
              </w:rPr>
              <w:t>Infrastructure / Transport / Asset acquisitions</w:t>
            </w:r>
          </w:p>
        </w:tc>
      </w:tr>
      <w:tr w:rsidR="00333A87" w:rsidRPr="007F1283" w14:paraId="393E446C" w14:textId="77777777" w:rsidTr="001508DA">
        <w:trPr>
          <w:trHeight w:val="56"/>
        </w:trPr>
        <w:tc>
          <w:tcPr>
            <w:tcW w:w="4678" w:type="dxa"/>
            <w:tcMar>
              <w:top w:w="15" w:type="dxa"/>
              <w:left w:w="15" w:type="dxa"/>
              <w:right w:w="15" w:type="dxa"/>
            </w:tcMar>
            <w:vAlign w:val="bottom"/>
          </w:tcPr>
          <w:p w14:paraId="16C7BA66" w14:textId="77777777" w:rsidR="00333A87" w:rsidRPr="007F1283" w:rsidRDefault="00333A87">
            <w:pPr>
              <w:spacing w:before="20" w:after="20" w:line="240" w:lineRule="auto"/>
              <w:ind w:left="0"/>
              <w:rPr>
                <w:sz w:val="16"/>
                <w:szCs w:val="16"/>
              </w:rPr>
            </w:pPr>
            <w:r w:rsidRPr="007F1283">
              <w:rPr>
                <w:sz w:val="16"/>
                <w:szCs w:val="16"/>
              </w:rPr>
              <w:t>Acquisitions of land</w:t>
            </w:r>
          </w:p>
        </w:tc>
        <w:tc>
          <w:tcPr>
            <w:tcW w:w="3850" w:type="dxa"/>
            <w:tcMar>
              <w:top w:w="15" w:type="dxa"/>
              <w:left w:w="15" w:type="dxa"/>
              <w:right w:w="15" w:type="dxa"/>
            </w:tcMar>
          </w:tcPr>
          <w:p w14:paraId="0746913B" w14:textId="77777777" w:rsidR="00333A87" w:rsidRPr="007F1283" w:rsidRDefault="00333A87">
            <w:pPr>
              <w:spacing w:before="20" w:after="20" w:line="240" w:lineRule="auto"/>
              <w:ind w:left="0"/>
              <w:rPr>
                <w:sz w:val="16"/>
                <w:szCs w:val="16"/>
              </w:rPr>
            </w:pPr>
            <w:r w:rsidRPr="007F1283">
              <w:rPr>
                <w:sz w:val="16"/>
                <w:szCs w:val="16"/>
              </w:rPr>
              <w:t>Asset acquisitions</w:t>
            </w:r>
          </w:p>
        </w:tc>
      </w:tr>
      <w:tr w:rsidR="00333A87" w:rsidRPr="007F1283" w14:paraId="37E5AD04" w14:textId="77777777" w:rsidTr="001508DA">
        <w:trPr>
          <w:trHeight w:val="56"/>
        </w:trPr>
        <w:tc>
          <w:tcPr>
            <w:tcW w:w="4678" w:type="dxa"/>
            <w:tcMar>
              <w:top w:w="15" w:type="dxa"/>
              <w:left w:w="15" w:type="dxa"/>
              <w:right w:w="15" w:type="dxa"/>
            </w:tcMar>
            <w:vAlign w:val="bottom"/>
          </w:tcPr>
          <w:p w14:paraId="24D3C1B9" w14:textId="77777777" w:rsidR="00333A87" w:rsidRPr="007F1283" w:rsidRDefault="00333A87">
            <w:pPr>
              <w:spacing w:before="20" w:after="20" w:line="240" w:lineRule="auto"/>
              <w:ind w:left="0"/>
              <w:rPr>
                <w:sz w:val="16"/>
                <w:szCs w:val="16"/>
              </w:rPr>
            </w:pPr>
            <w:r w:rsidRPr="007F1283">
              <w:rPr>
                <w:sz w:val="16"/>
                <w:szCs w:val="16"/>
              </w:rPr>
              <w:t>Acquisitions of assets (except land, vehicles)</w:t>
            </w:r>
          </w:p>
        </w:tc>
        <w:tc>
          <w:tcPr>
            <w:tcW w:w="3850" w:type="dxa"/>
            <w:tcMar>
              <w:top w:w="15" w:type="dxa"/>
              <w:left w:w="15" w:type="dxa"/>
              <w:right w:w="15" w:type="dxa"/>
            </w:tcMar>
          </w:tcPr>
          <w:p w14:paraId="6ABB8B8E" w14:textId="77777777" w:rsidR="00333A87" w:rsidRPr="007F1283" w:rsidRDefault="00333A87">
            <w:pPr>
              <w:spacing w:before="20" w:after="20" w:line="240" w:lineRule="auto"/>
              <w:ind w:left="0"/>
              <w:rPr>
                <w:sz w:val="16"/>
                <w:szCs w:val="16"/>
              </w:rPr>
            </w:pPr>
            <w:r w:rsidRPr="007F1283">
              <w:rPr>
                <w:sz w:val="16"/>
                <w:szCs w:val="16"/>
              </w:rPr>
              <w:t>Asset acquisitions</w:t>
            </w:r>
          </w:p>
        </w:tc>
      </w:tr>
      <w:tr w:rsidR="00333A87" w:rsidRPr="007F1283" w14:paraId="52EA27CB" w14:textId="77777777" w:rsidTr="001508DA">
        <w:trPr>
          <w:trHeight w:val="56"/>
        </w:trPr>
        <w:tc>
          <w:tcPr>
            <w:tcW w:w="4678" w:type="dxa"/>
            <w:tcMar>
              <w:top w:w="15" w:type="dxa"/>
              <w:left w:w="15" w:type="dxa"/>
              <w:right w:w="15" w:type="dxa"/>
            </w:tcMar>
            <w:vAlign w:val="bottom"/>
          </w:tcPr>
          <w:p w14:paraId="012B318C" w14:textId="77777777" w:rsidR="00333A87" w:rsidRPr="007F1283" w:rsidRDefault="00333A87">
            <w:pPr>
              <w:spacing w:before="20" w:after="20" w:line="240" w:lineRule="auto"/>
              <w:ind w:left="0"/>
              <w:rPr>
                <w:sz w:val="16"/>
                <w:szCs w:val="16"/>
              </w:rPr>
            </w:pPr>
            <w:r w:rsidRPr="007F1283">
              <w:rPr>
                <w:sz w:val="16"/>
                <w:szCs w:val="16"/>
              </w:rPr>
              <w:t>Financial instruments or products (e.g. SMEs, start-ups)</w:t>
            </w:r>
          </w:p>
        </w:tc>
        <w:tc>
          <w:tcPr>
            <w:tcW w:w="3850" w:type="dxa"/>
            <w:tcMar>
              <w:top w:w="15" w:type="dxa"/>
              <w:left w:w="15" w:type="dxa"/>
              <w:right w:w="15" w:type="dxa"/>
            </w:tcMar>
          </w:tcPr>
          <w:p w14:paraId="71187916" w14:textId="77777777" w:rsidR="00333A87" w:rsidRPr="007F1283" w:rsidRDefault="00333A87">
            <w:pPr>
              <w:spacing w:before="20" w:after="20" w:line="240" w:lineRule="auto"/>
              <w:ind w:left="0"/>
              <w:rPr>
                <w:sz w:val="16"/>
                <w:szCs w:val="16"/>
              </w:rPr>
            </w:pPr>
            <w:r w:rsidRPr="007F1283">
              <w:rPr>
                <w:sz w:val="16"/>
                <w:szCs w:val="16"/>
              </w:rPr>
              <w:t>Financial instruments</w:t>
            </w:r>
          </w:p>
        </w:tc>
      </w:tr>
    </w:tbl>
    <w:p w14:paraId="31EB92E6" w14:textId="77777777" w:rsidR="00090515" w:rsidRPr="007F1283" w:rsidRDefault="00090515" w:rsidP="005F498A">
      <w:pPr>
        <w:spacing w:line="240" w:lineRule="auto"/>
        <w:ind w:left="0"/>
        <w:rPr>
          <w:rFonts w:eastAsia="Arial" w:cs="Arial"/>
          <w:sz w:val="20"/>
          <w:szCs w:val="20"/>
        </w:rPr>
      </w:pPr>
    </w:p>
    <w:p w14:paraId="0D23D2AD" w14:textId="37AF4BFF" w:rsidR="00151272" w:rsidRPr="007F1283" w:rsidRDefault="009A186E" w:rsidP="00151272">
      <w:pPr>
        <w:pStyle w:val="Nadpis2"/>
        <w:ind w:firstLine="0"/>
      </w:pPr>
      <w:bookmarkStart w:id="26" w:name="_Toc133944259"/>
      <w:r w:rsidRPr="007F1283">
        <w:t>Investment categorisation</w:t>
      </w:r>
      <w:bookmarkEnd w:id="26"/>
    </w:p>
    <w:p w14:paraId="520185F3" w14:textId="4827E2A1" w:rsidR="00F30E9F" w:rsidRPr="007F1283" w:rsidRDefault="39E7A3E0" w:rsidP="64ABC293">
      <w:r w:rsidRPr="007F1283">
        <w:t>The</w:t>
      </w:r>
      <w:r w:rsidR="00F30E9F" w:rsidRPr="007F1283" w:rsidDel="39E7A3E0">
        <w:t xml:space="preserve"> </w:t>
      </w:r>
      <w:r w:rsidRPr="007F1283">
        <w:t xml:space="preserve">investment categories </w:t>
      </w:r>
      <w:r w:rsidR="474703E8" w:rsidRPr="007F1283">
        <w:t xml:space="preserve">created </w:t>
      </w:r>
      <w:r w:rsidR="00C7315F" w:rsidRPr="007F1283">
        <w:t>based on</w:t>
      </w:r>
      <w:r w:rsidRPr="007F1283">
        <w:t xml:space="preserve"> investment types identified are analysed below (in alphabetical order):</w:t>
      </w:r>
    </w:p>
    <w:p w14:paraId="1F7CAE98" w14:textId="77777777" w:rsidR="00F30E9F" w:rsidRPr="007F1283" w:rsidRDefault="00F30E9F" w:rsidP="00F30E9F"/>
    <w:p w14:paraId="0D42C59A" w14:textId="343CF310" w:rsidR="00F30E9F" w:rsidRPr="007F1283" w:rsidRDefault="00F30E9F" w:rsidP="006920E6">
      <w:pPr>
        <w:pStyle w:val="Odstavecseseznamem"/>
        <w:numPr>
          <w:ilvl w:val="0"/>
          <w:numId w:val="10"/>
        </w:numPr>
        <w:rPr>
          <w:b/>
          <w:bCs/>
          <w:szCs w:val="18"/>
        </w:rPr>
      </w:pPr>
      <w:r w:rsidRPr="007F1283">
        <w:rPr>
          <w:b/>
          <w:bCs/>
          <w:szCs w:val="18"/>
        </w:rPr>
        <w:t>Administrative, process &amp; project capacity</w:t>
      </w:r>
    </w:p>
    <w:p w14:paraId="55A36A41" w14:textId="321ED9F7" w:rsidR="00F30E9F" w:rsidRPr="007F1283" w:rsidRDefault="00F30E9F" w:rsidP="002B3D9A">
      <w:pPr>
        <w:ind w:left="1211"/>
        <w:rPr>
          <w:szCs w:val="18"/>
        </w:rPr>
      </w:pPr>
      <w:r w:rsidRPr="007F1283">
        <w:rPr>
          <w:szCs w:val="18"/>
        </w:rPr>
        <w:t>This investment category consists of a combination of investment types, which include non-tangible interventions without infrastructure elements and are focused on administrative types of activities</w:t>
      </w:r>
      <w:r w:rsidR="00030BCF" w:rsidRPr="007F1283">
        <w:rPr>
          <w:szCs w:val="18"/>
        </w:rPr>
        <w:t xml:space="preserve">, </w:t>
      </w:r>
      <w:r w:rsidR="00BF414B" w:rsidRPr="007F1283">
        <w:rPr>
          <w:szCs w:val="18"/>
        </w:rPr>
        <w:t xml:space="preserve">process improvements, project </w:t>
      </w:r>
      <w:r w:rsidR="00A827C1" w:rsidRPr="007F1283">
        <w:rPr>
          <w:szCs w:val="18"/>
        </w:rPr>
        <w:t>preparation in the private sector, a</w:t>
      </w:r>
      <w:r w:rsidRPr="007F1283">
        <w:rPr>
          <w:szCs w:val="18"/>
        </w:rPr>
        <w:t xml:space="preserve">nd obtaining expert and/or legal advice. This category also includes actions under the Technical Assistance budget in the Programme JAC, IROP and Transport, which are specifically focused on ensuring quality management and successful implementation of these programmes, for instance by improving the administrative capacity of the relevant managing authority, management of the programme or technical support and communication. Similarly, such as for example under Programme Just Transition under the specific objective of Restoration of the area and action of </w:t>
      </w:r>
      <w:r w:rsidRPr="007F1283">
        <w:rPr>
          <w:i/>
          <w:iCs/>
          <w:szCs w:val="18"/>
        </w:rPr>
        <w:t>Reuse of brown coal mining sites and related industries</w:t>
      </w:r>
      <w:r w:rsidRPr="007F1283">
        <w:rPr>
          <w:szCs w:val="18"/>
        </w:rPr>
        <w:t xml:space="preserve">, potential investment also includes project preparation and planning support. </w:t>
      </w:r>
    </w:p>
    <w:p w14:paraId="79301A20" w14:textId="77777777" w:rsidR="00F30E9F" w:rsidRPr="007F1283" w:rsidRDefault="00F30E9F" w:rsidP="00962C80">
      <w:pPr>
        <w:ind w:left="0"/>
        <w:rPr>
          <w:szCs w:val="18"/>
        </w:rPr>
      </w:pPr>
    </w:p>
    <w:p w14:paraId="456727A6" w14:textId="124B76ED" w:rsidR="00F30E9F" w:rsidRPr="007F1283" w:rsidRDefault="00F30E9F" w:rsidP="006920E6">
      <w:pPr>
        <w:pStyle w:val="Odstavecseseznamem"/>
        <w:numPr>
          <w:ilvl w:val="0"/>
          <w:numId w:val="10"/>
        </w:numPr>
        <w:rPr>
          <w:b/>
          <w:bCs/>
          <w:szCs w:val="18"/>
        </w:rPr>
      </w:pPr>
      <w:r w:rsidRPr="007F1283">
        <w:rPr>
          <w:b/>
          <w:bCs/>
          <w:szCs w:val="18"/>
        </w:rPr>
        <w:t>Asset acquisitions</w:t>
      </w:r>
    </w:p>
    <w:p w14:paraId="504E0C90" w14:textId="3DE3FE68" w:rsidR="00F30E9F" w:rsidRPr="007F1283" w:rsidRDefault="00631C9D" w:rsidP="00962C80">
      <w:pPr>
        <w:ind w:left="1211"/>
        <w:rPr>
          <w:szCs w:val="18"/>
        </w:rPr>
      </w:pPr>
      <w:r w:rsidRPr="007F1283">
        <w:rPr>
          <w:szCs w:val="18"/>
        </w:rPr>
        <w:t>The a</w:t>
      </w:r>
      <w:r w:rsidR="007E479A" w:rsidRPr="007F1283">
        <w:rPr>
          <w:szCs w:val="18"/>
        </w:rPr>
        <w:t xml:space="preserve">sset acquisition category stands for investment in the form of direct purchase or acquisition of assets such vehicles, land or other. For instance, an action/activity purchasing vehicles has specific DNSH criteria included in the delegated act regulation and thus present certain limitations as to what type of vehicles maty and may not be purchased. In particular, the Czech NRP includes multiple measures focused on investments support direct purchase of vehicles (either electric or hydrogen powered) for private companies, municipalities and public </w:t>
      </w:r>
      <w:r w:rsidR="007E479A" w:rsidRPr="007F1283">
        <w:rPr>
          <w:szCs w:val="18"/>
        </w:rPr>
        <w:lastRenderedPageBreak/>
        <w:t xml:space="preserve">entities, or public transport in Prague. </w:t>
      </w:r>
      <w:r w:rsidR="00586881" w:rsidRPr="007F1283">
        <w:rPr>
          <w:szCs w:val="18"/>
        </w:rPr>
        <w:br/>
      </w:r>
    </w:p>
    <w:p w14:paraId="02BA08EB" w14:textId="26EF74E5" w:rsidR="00C339AB" w:rsidRPr="007F1283" w:rsidRDefault="00C339AB" w:rsidP="006920E6">
      <w:pPr>
        <w:pStyle w:val="Odstavecseseznamem"/>
        <w:numPr>
          <w:ilvl w:val="0"/>
          <w:numId w:val="10"/>
        </w:numPr>
        <w:rPr>
          <w:b/>
          <w:bCs/>
          <w:szCs w:val="18"/>
        </w:rPr>
      </w:pPr>
      <w:r w:rsidRPr="007F1283">
        <w:rPr>
          <w:b/>
          <w:bCs/>
          <w:szCs w:val="18"/>
        </w:rPr>
        <w:t>Buildings</w:t>
      </w:r>
    </w:p>
    <w:p w14:paraId="31515FC2" w14:textId="5D951685" w:rsidR="00F30E9F" w:rsidRPr="007F1283" w:rsidRDefault="00F30E9F" w:rsidP="00962C80">
      <w:pPr>
        <w:ind w:left="1211"/>
      </w:pPr>
      <w:r w:rsidRPr="007F1283">
        <w:t>The investment category of buildings mainly includes investment types with focused on construction of new buildings and/or renovation and modernisation of existing buildings. These types of actions are cross-sectoral and are included in a variety of programmes and funds in scope. Given the general and cross-cutting nature of these activities, they will inherently fall under several of the proposed investment categories, such as for instance Energy (when it comes to Energy Efficiency investments) or Infrastructure (as buildings and new objects also encompass investments into infrastructure</w:t>
      </w:r>
      <w:r w:rsidR="008637C9" w:rsidRPr="007F1283">
        <w:t xml:space="preserve">). </w:t>
      </w:r>
      <w:r w:rsidRPr="007F1283">
        <w:t>Similarly, projects and actions in other investment categories may include construction aspects, such as for example investment into renewable energy generation (e.g</w:t>
      </w:r>
      <w:r w:rsidR="34A449AC" w:rsidRPr="007F1283">
        <w:t>.,</w:t>
      </w:r>
      <w:r w:rsidRPr="007F1283">
        <w:t xml:space="preserve"> construction of new </w:t>
      </w:r>
      <w:r w:rsidR="005F0AA4" w:rsidRPr="007F1283">
        <w:t>plants</w:t>
      </w:r>
      <w:r w:rsidRPr="007F1283">
        <w:t>). For instance, Programme Environment investments into constructions under its specific objectives of Promoting access to water and sustainable water management (e.g.) Construction of wastewater treatment plant) or Promoting energy efficiency and reducing greenhouse gas emissions (e.g</w:t>
      </w:r>
      <w:r w:rsidR="32349480" w:rsidRPr="007F1283">
        <w:t>.,</w:t>
      </w:r>
      <w:r w:rsidRPr="007F1283">
        <w:t xml:space="preserve"> Construction and reconstruction of renewable energy sources for public buildings). </w:t>
      </w:r>
    </w:p>
    <w:p w14:paraId="19D35D56" w14:textId="77777777" w:rsidR="00F30E9F" w:rsidRPr="007F1283" w:rsidRDefault="00F30E9F" w:rsidP="00962C80">
      <w:pPr>
        <w:ind w:left="1211"/>
        <w:rPr>
          <w:szCs w:val="18"/>
        </w:rPr>
      </w:pPr>
    </w:p>
    <w:p w14:paraId="5CB06722" w14:textId="49FC696A" w:rsidR="00F30E9F" w:rsidRPr="007F1283" w:rsidRDefault="00F30E9F" w:rsidP="006920E6">
      <w:pPr>
        <w:pStyle w:val="Odstavecseseznamem"/>
        <w:numPr>
          <w:ilvl w:val="0"/>
          <w:numId w:val="10"/>
        </w:numPr>
        <w:rPr>
          <w:b/>
          <w:bCs/>
          <w:szCs w:val="18"/>
        </w:rPr>
      </w:pPr>
      <w:r w:rsidRPr="007F1283">
        <w:rPr>
          <w:b/>
          <w:bCs/>
          <w:szCs w:val="18"/>
        </w:rPr>
        <w:t>Culture &amp; tourism</w:t>
      </w:r>
    </w:p>
    <w:p w14:paraId="76717AB6" w14:textId="31E09AF6" w:rsidR="00F30E9F" w:rsidRPr="007F1283" w:rsidRDefault="00F30E9F" w:rsidP="00962C80">
      <w:pPr>
        <w:ind w:left="1211"/>
        <w:rPr>
          <w:szCs w:val="18"/>
        </w:rPr>
      </w:pPr>
      <w:r w:rsidRPr="007F1283">
        <w:rPr>
          <w:szCs w:val="18"/>
        </w:rPr>
        <w:t xml:space="preserve">This category includes investment types focusing on the tourism management and conservation of cultural heritage. </w:t>
      </w:r>
      <w:r w:rsidR="00791EB3" w:rsidRPr="007F1283">
        <w:rPr>
          <w:szCs w:val="18"/>
        </w:rPr>
        <w:t xml:space="preserve">Certain </w:t>
      </w:r>
      <w:r w:rsidRPr="007F1283">
        <w:rPr>
          <w:szCs w:val="18"/>
        </w:rPr>
        <w:t>types of actions included in the category involve construction or development of infrastructure to support tourism or enable better access to cultural sites. For instance, in the Just Transition Programme, under the specific objective focused on Restoration of the area, certain investments aim to provide support for culture and preservation of cultural heritage, building public spaces, sports and multifunctional infrastructure focused on culture and recreation. Similarly, under Programme IROP, certain investments target improvement of the quality and educational infrastructure and development of cultural heritage.</w:t>
      </w:r>
    </w:p>
    <w:p w14:paraId="7A7D7F84" w14:textId="77777777" w:rsidR="00F30E9F" w:rsidRPr="007F1283" w:rsidRDefault="00F30E9F" w:rsidP="00962C80">
      <w:pPr>
        <w:ind w:left="1211"/>
        <w:rPr>
          <w:szCs w:val="18"/>
        </w:rPr>
      </w:pPr>
    </w:p>
    <w:p w14:paraId="3B91DE45" w14:textId="63452680" w:rsidR="00F30E9F" w:rsidRPr="007F1283" w:rsidRDefault="00F30E9F" w:rsidP="006920E6">
      <w:pPr>
        <w:pStyle w:val="Odstavecseseznamem"/>
        <w:numPr>
          <w:ilvl w:val="0"/>
          <w:numId w:val="10"/>
        </w:numPr>
        <w:rPr>
          <w:b/>
          <w:bCs/>
          <w:szCs w:val="18"/>
        </w:rPr>
      </w:pPr>
      <w:r w:rsidRPr="007F1283">
        <w:rPr>
          <w:b/>
          <w:bCs/>
          <w:szCs w:val="18"/>
        </w:rPr>
        <w:t>Education</w:t>
      </w:r>
    </w:p>
    <w:p w14:paraId="6608C585" w14:textId="77777777" w:rsidR="00F30E9F" w:rsidRPr="007F1283" w:rsidRDefault="00F30E9F" w:rsidP="00962C80">
      <w:pPr>
        <w:ind w:left="1211"/>
        <w:rPr>
          <w:szCs w:val="18"/>
        </w:rPr>
      </w:pPr>
      <w:r w:rsidRPr="007F1283">
        <w:rPr>
          <w:szCs w:val="18"/>
        </w:rPr>
        <w:t>The investment category of Education groups together three investment types. These are as follows:</w:t>
      </w:r>
    </w:p>
    <w:p w14:paraId="4929F0AA" w14:textId="7F642B2D" w:rsidR="001508DA" w:rsidRPr="007F1283" w:rsidRDefault="00F30E9F" w:rsidP="001508DA">
      <w:pPr>
        <w:pStyle w:val="Odstavecseseznamem"/>
        <w:numPr>
          <w:ilvl w:val="1"/>
          <w:numId w:val="10"/>
        </w:numPr>
        <w:rPr>
          <w:szCs w:val="18"/>
        </w:rPr>
      </w:pPr>
      <w:r w:rsidRPr="007F1283">
        <w:rPr>
          <w:szCs w:val="18"/>
        </w:rPr>
        <w:t>Education-related actions/activities, which represent certain investment with a physical or tangible (e.g., infrastructure) element or intervention. For instance, this may be focused on modernisation and equipment of classrooms in schools (e.g., Programme Just Transition) or reconstruction of teaching facilities and laboratories (e.g., Programme JAC)</w:t>
      </w:r>
      <w:r w:rsidR="001508DA" w:rsidRPr="007F1283">
        <w:rPr>
          <w:szCs w:val="18"/>
        </w:rPr>
        <w:t>;</w:t>
      </w:r>
    </w:p>
    <w:p w14:paraId="26CEA932" w14:textId="392262A7" w:rsidR="001508DA" w:rsidRPr="007F1283" w:rsidRDefault="00F30E9F" w:rsidP="001508DA">
      <w:pPr>
        <w:pStyle w:val="Odstavecseseznamem"/>
        <w:numPr>
          <w:ilvl w:val="1"/>
          <w:numId w:val="10"/>
        </w:numPr>
        <w:rPr>
          <w:szCs w:val="18"/>
        </w:rPr>
      </w:pPr>
      <w:r w:rsidRPr="007F1283">
        <w:rPr>
          <w:szCs w:val="18"/>
        </w:rPr>
        <w:t>Education-related actions/activities without a physical or tangible element focused on knowledge generation, knowledge sharing, and/or operations in education sector (e.g. schools, universities, etc.)  For instance, cooperation between schools and support for experience sharing (e.g., Programme JAC)</w:t>
      </w:r>
      <w:r w:rsidR="001508DA" w:rsidRPr="007F1283">
        <w:rPr>
          <w:szCs w:val="18"/>
        </w:rPr>
        <w:t xml:space="preserve">; </w:t>
      </w:r>
      <w:r w:rsidRPr="007F1283">
        <w:rPr>
          <w:szCs w:val="18"/>
        </w:rPr>
        <w:t xml:space="preserve">and </w:t>
      </w:r>
    </w:p>
    <w:p w14:paraId="798E71F4" w14:textId="23E1846A" w:rsidR="00F30E9F" w:rsidRPr="007F1283" w:rsidRDefault="00F30E9F" w:rsidP="001508DA">
      <w:pPr>
        <w:pStyle w:val="Odstavecseseznamem"/>
        <w:numPr>
          <w:ilvl w:val="1"/>
          <w:numId w:val="10"/>
        </w:numPr>
        <w:rPr>
          <w:szCs w:val="18"/>
        </w:rPr>
      </w:pPr>
      <w:r w:rsidRPr="007F1283">
        <w:rPr>
          <w:szCs w:val="18"/>
        </w:rPr>
        <w:t>Training &amp; Capacity building, which includes training and capacity building activities for stakeholders outside the education sector, mainly staff training focused on improved employability, such as, for instance, support for education to strengthen the position of people on the labour market (Programme Employment), or training and retraining in enterprises affected by the transformation (Programme Just Transition).</w:t>
      </w:r>
    </w:p>
    <w:p w14:paraId="68B69A65" w14:textId="77777777" w:rsidR="00F30E9F" w:rsidRPr="007F1283" w:rsidRDefault="00F30E9F" w:rsidP="00962C80">
      <w:pPr>
        <w:ind w:left="1211"/>
        <w:rPr>
          <w:szCs w:val="18"/>
        </w:rPr>
      </w:pPr>
    </w:p>
    <w:p w14:paraId="0B42CC5F" w14:textId="65ADA25E" w:rsidR="00F30E9F" w:rsidRPr="007F1283" w:rsidRDefault="00F30E9F" w:rsidP="006920E6">
      <w:pPr>
        <w:pStyle w:val="Odstavecseseznamem"/>
        <w:numPr>
          <w:ilvl w:val="0"/>
          <w:numId w:val="10"/>
        </w:numPr>
        <w:rPr>
          <w:b/>
          <w:bCs/>
          <w:szCs w:val="18"/>
        </w:rPr>
      </w:pPr>
      <w:r w:rsidRPr="007F1283">
        <w:rPr>
          <w:b/>
          <w:bCs/>
          <w:szCs w:val="18"/>
        </w:rPr>
        <w:t>Energy</w:t>
      </w:r>
    </w:p>
    <w:p w14:paraId="3EC6ED3A" w14:textId="77777777" w:rsidR="001508DA" w:rsidRPr="007F1283" w:rsidRDefault="0036768C" w:rsidP="0036768C">
      <w:pPr>
        <w:ind w:left="1211"/>
        <w:rPr>
          <w:szCs w:val="18"/>
        </w:rPr>
      </w:pPr>
      <w:r w:rsidRPr="007F1283">
        <w:rPr>
          <w:szCs w:val="18"/>
        </w:rPr>
        <w:lastRenderedPageBreak/>
        <w:t xml:space="preserve">Investment and interventions falling into Energy investment category include the highest number of investment types. The activities identified across programmes and funds in scope have been divided into the following investment types: </w:t>
      </w:r>
    </w:p>
    <w:p w14:paraId="1B6658D3" w14:textId="4A505EBB" w:rsidR="001508DA" w:rsidRPr="007F1283" w:rsidRDefault="0036768C" w:rsidP="001508DA">
      <w:pPr>
        <w:pStyle w:val="Odstavecseseznamem"/>
        <w:numPr>
          <w:ilvl w:val="1"/>
          <w:numId w:val="10"/>
        </w:numPr>
        <w:rPr>
          <w:szCs w:val="18"/>
        </w:rPr>
      </w:pPr>
      <w:r w:rsidRPr="007F1283">
        <w:rPr>
          <w:szCs w:val="18"/>
        </w:rPr>
        <w:t xml:space="preserve">Energy generated using low-carbon or renewable sources, </w:t>
      </w:r>
    </w:p>
    <w:p w14:paraId="49799C59" w14:textId="5DFA05FD" w:rsidR="001508DA" w:rsidRPr="007F1283" w:rsidRDefault="0036768C" w:rsidP="001508DA">
      <w:pPr>
        <w:pStyle w:val="Odstavecseseznamem"/>
        <w:numPr>
          <w:ilvl w:val="1"/>
          <w:numId w:val="10"/>
        </w:numPr>
        <w:rPr>
          <w:szCs w:val="18"/>
        </w:rPr>
      </w:pPr>
      <w:r w:rsidRPr="007F1283">
        <w:rPr>
          <w:szCs w:val="18"/>
        </w:rPr>
        <w:t xml:space="preserve">Energy generated by gaseous fossil fuels, </w:t>
      </w:r>
    </w:p>
    <w:p w14:paraId="34D404D8" w14:textId="052A416D" w:rsidR="001508DA" w:rsidRPr="007F1283" w:rsidRDefault="0036768C" w:rsidP="001508DA">
      <w:pPr>
        <w:pStyle w:val="Odstavecseseznamem"/>
        <w:numPr>
          <w:ilvl w:val="1"/>
          <w:numId w:val="10"/>
        </w:numPr>
        <w:rPr>
          <w:szCs w:val="18"/>
        </w:rPr>
      </w:pPr>
      <w:r w:rsidRPr="007F1283">
        <w:rPr>
          <w:szCs w:val="18"/>
        </w:rPr>
        <w:t xml:space="preserve">Energy generated by other sources, </w:t>
      </w:r>
    </w:p>
    <w:p w14:paraId="2E63A2D2" w14:textId="54498CB9" w:rsidR="001508DA" w:rsidRPr="007F1283" w:rsidRDefault="0036768C" w:rsidP="001508DA">
      <w:pPr>
        <w:pStyle w:val="Odstavecseseznamem"/>
        <w:numPr>
          <w:ilvl w:val="1"/>
          <w:numId w:val="10"/>
        </w:numPr>
        <w:rPr>
          <w:szCs w:val="18"/>
        </w:rPr>
      </w:pPr>
      <w:r w:rsidRPr="007F1283">
        <w:rPr>
          <w:szCs w:val="18"/>
        </w:rPr>
        <w:t xml:space="preserve">Transmission &amp; distribution of energy </w:t>
      </w:r>
    </w:p>
    <w:p w14:paraId="65711393" w14:textId="0E37E794" w:rsidR="001508DA" w:rsidRPr="007F1283" w:rsidRDefault="0036768C" w:rsidP="001508DA">
      <w:pPr>
        <w:pStyle w:val="Odstavecseseznamem"/>
        <w:numPr>
          <w:ilvl w:val="1"/>
          <w:numId w:val="10"/>
        </w:numPr>
        <w:rPr>
          <w:szCs w:val="18"/>
        </w:rPr>
      </w:pPr>
      <w:r w:rsidRPr="007F1283">
        <w:rPr>
          <w:szCs w:val="18"/>
        </w:rPr>
        <w:t xml:space="preserve">Energy storage &amp; transformation, </w:t>
      </w:r>
    </w:p>
    <w:p w14:paraId="745C0786" w14:textId="33FED721" w:rsidR="001508DA" w:rsidRPr="007F1283" w:rsidRDefault="0036768C" w:rsidP="001508DA">
      <w:pPr>
        <w:pStyle w:val="Odstavecseseznamem"/>
        <w:numPr>
          <w:ilvl w:val="1"/>
          <w:numId w:val="10"/>
        </w:numPr>
        <w:rPr>
          <w:szCs w:val="18"/>
        </w:rPr>
      </w:pPr>
      <w:r w:rsidRPr="007F1283">
        <w:rPr>
          <w:szCs w:val="18"/>
        </w:rPr>
        <w:t>Manufacture of biogas and biofuels</w:t>
      </w:r>
      <w:r w:rsidR="001508DA" w:rsidRPr="007F1283">
        <w:rPr>
          <w:szCs w:val="18"/>
        </w:rPr>
        <w:t>; and</w:t>
      </w:r>
    </w:p>
    <w:p w14:paraId="4FB86F8D" w14:textId="0DB86484" w:rsidR="001508DA" w:rsidRPr="007F1283" w:rsidRDefault="0036768C" w:rsidP="001508DA">
      <w:pPr>
        <w:pStyle w:val="Odstavecseseznamem"/>
        <w:numPr>
          <w:ilvl w:val="1"/>
          <w:numId w:val="10"/>
        </w:numPr>
        <w:rPr>
          <w:szCs w:val="18"/>
        </w:rPr>
      </w:pPr>
      <w:r w:rsidRPr="007F1283">
        <w:rPr>
          <w:szCs w:val="18"/>
        </w:rPr>
        <w:t>energy efficiency</w:t>
      </w:r>
      <w:r w:rsidR="00C67F2B" w:rsidRPr="007F1283">
        <w:rPr>
          <w:szCs w:val="18"/>
        </w:rPr>
        <w:t>.</w:t>
      </w:r>
    </w:p>
    <w:p w14:paraId="16EF7085" w14:textId="77777777" w:rsidR="001508DA" w:rsidRPr="007F1283" w:rsidRDefault="001508DA" w:rsidP="0036768C">
      <w:pPr>
        <w:ind w:left="1211"/>
        <w:rPr>
          <w:szCs w:val="18"/>
        </w:rPr>
      </w:pPr>
    </w:p>
    <w:p w14:paraId="232D4C93" w14:textId="20A400C3" w:rsidR="0036768C" w:rsidRPr="007F1283" w:rsidRDefault="0036768C" w:rsidP="0036768C">
      <w:pPr>
        <w:ind w:left="1211"/>
        <w:rPr>
          <w:szCs w:val="18"/>
        </w:rPr>
      </w:pPr>
      <w:r w:rsidRPr="007F1283">
        <w:rPr>
          <w:szCs w:val="18"/>
        </w:rPr>
        <w:t xml:space="preserve">It has been noted that majority of energy-related investment and interventions also include an infrastructure element and/or new technology being deployed, and therefore this investment may also fall into the infrastructure, and/or Technology investment category. Investments into energy-related activities or assets can be found across specific objectives in a variety of programmes and funds, such as for instance, construction and modernisation of small hydropower plants (Programme TAC), </w:t>
      </w:r>
      <w:r w:rsidR="00B34D49" w:rsidRPr="007F1283">
        <w:rPr>
          <w:szCs w:val="18"/>
        </w:rPr>
        <w:t>construction and reconstruction of renewable energy sources for public buildings</w:t>
      </w:r>
      <w:r w:rsidRPr="007F1283">
        <w:rPr>
          <w:szCs w:val="18"/>
        </w:rPr>
        <w:t xml:space="preserve"> (Programme Environment) or improving the energy performance of state buildings (NRP/RRF).</w:t>
      </w:r>
    </w:p>
    <w:p w14:paraId="0F6787A6" w14:textId="77777777" w:rsidR="00F30E9F" w:rsidRPr="007F1283" w:rsidRDefault="00F30E9F" w:rsidP="0036768C">
      <w:pPr>
        <w:ind w:left="0"/>
        <w:rPr>
          <w:szCs w:val="18"/>
        </w:rPr>
      </w:pPr>
    </w:p>
    <w:p w14:paraId="11CBAE25" w14:textId="4813A724" w:rsidR="00F30E9F" w:rsidRPr="007F1283" w:rsidRDefault="00F30E9F" w:rsidP="006920E6">
      <w:pPr>
        <w:pStyle w:val="Odstavecseseznamem"/>
        <w:numPr>
          <w:ilvl w:val="0"/>
          <w:numId w:val="10"/>
        </w:numPr>
        <w:rPr>
          <w:b/>
          <w:bCs/>
          <w:szCs w:val="18"/>
        </w:rPr>
      </w:pPr>
      <w:r w:rsidRPr="007F1283">
        <w:rPr>
          <w:b/>
          <w:bCs/>
          <w:szCs w:val="18"/>
        </w:rPr>
        <w:t>Financial instruments</w:t>
      </w:r>
    </w:p>
    <w:p w14:paraId="4DE475D1" w14:textId="76576413" w:rsidR="00F30E9F" w:rsidRPr="007F1283" w:rsidRDefault="00F30E9F" w:rsidP="00962C80">
      <w:pPr>
        <w:ind w:left="1211"/>
        <w:rPr>
          <w:szCs w:val="18"/>
        </w:rPr>
      </w:pPr>
      <w:r w:rsidRPr="007F1283">
        <w:rPr>
          <w:szCs w:val="18"/>
        </w:rPr>
        <w:t>This category represents</w:t>
      </w:r>
      <w:r w:rsidR="00F12716" w:rsidRPr="007F1283">
        <w:rPr>
          <w:szCs w:val="18"/>
        </w:rPr>
        <w:t xml:space="preserve"> investment </w:t>
      </w:r>
      <w:r w:rsidRPr="007F1283">
        <w:rPr>
          <w:szCs w:val="18"/>
        </w:rPr>
        <w:t>type</w:t>
      </w:r>
      <w:r w:rsidR="00F12716" w:rsidRPr="007F1283">
        <w:rPr>
          <w:szCs w:val="18"/>
        </w:rPr>
        <w:t>s</w:t>
      </w:r>
      <w:r w:rsidRPr="007F1283">
        <w:rPr>
          <w:szCs w:val="18"/>
        </w:rPr>
        <w:t>, which includes direct support to companies through financial instruments focused on providing financing to SMEs and start-ups</w:t>
      </w:r>
      <w:r w:rsidR="00BE31CF" w:rsidRPr="007F1283">
        <w:rPr>
          <w:szCs w:val="18"/>
        </w:rPr>
        <w:t xml:space="preserve"> (for instance included in the Programme TAC and InvestEU)</w:t>
      </w:r>
      <w:r w:rsidRPr="007F1283">
        <w:rPr>
          <w:szCs w:val="18"/>
        </w:rPr>
        <w:t>. The category does not involve an investment activity as such, but rather is based the format and the structure of investment. The investment into financing through financial instruments can be found in Programme Just Transition, which offers a Loan facility for SMEs for investments into both tangible and intangible assets, and Programme TAC focused on financing for companies for improved competitiveness and direct job creation.</w:t>
      </w:r>
    </w:p>
    <w:p w14:paraId="2627CF13" w14:textId="77777777" w:rsidR="00F30E9F" w:rsidRPr="007F1283" w:rsidRDefault="00F30E9F" w:rsidP="0036768C">
      <w:pPr>
        <w:ind w:left="0"/>
        <w:rPr>
          <w:szCs w:val="18"/>
        </w:rPr>
      </w:pPr>
    </w:p>
    <w:p w14:paraId="603FDE9F" w14:textId="352AC800" w:rsidR="00F30E9F" w:rsidRPr="007F1283" w:rsidRDefault="00F30E9F" w:rsidP="006920E6">
      <w:pPr>
        <w:pStyle w:val="Odstavecseseznamem"/>
        <w:numPr>
          <w:ilvl w:val="0"/>
          <w:numId w:val="10"/>
        </w:numPr>
        <w:rPr>
          <w:b/>
          <w:bCs/>
          <w:szCs w:val="18"/>
        </w:rPr>
      </w:pPr>
      <w:r w:rsidRPr="007F1283">
        <w:rPr>
          <w:b/>
          <w:bCs/>
          <w:szCs w:val="18"/>
        </w:rPr>
        <w:t>Infrastructure</w:t>
      </w:r>
    </w:p>
    <w:p w14:paraId="0D4C67FC" w14:textId="619FE8F8" w:rsidR="00F30E9F" w:rsidRPr="007F1283" w:rsidRDefault="00F30E9F" w:rsidP="00962C80">
      <w:pPr>
        <w:ind w:left="1211"/>
      </w:pPr>
      <w:r w:rsidRPr="007F1283">
        <w:t xml:space="preserve">The infrastructure investment category is the largest group of investment types. This is due to the fact that </w:t>
      </w:r>
      <w:r w:rsidR="098D9646" w:rsidRPr="007F1283">
        <w:t xml:space="preserve">the </w:t>
      </w:r>
      <w:r w:rsidRPr="007F1283">
        <w:t xml:space="preserve">majority of investments and interventions across programmes and funds involves certain element of infrastructure and therefore can fall into this category. For instance, energy-related investments, especially into generation of power or energy efficiency require construction or modernisation of </w:t>
      </w:r>
      <w:r w:rsidR="5BD22F1D" w:rsidRPr="007F1283">
        <w:t>facilities or infrastructure objects</w:t>
      </w:r>
      <w:r w:rsidR="620CC8AA" w:rsidRPr="007F1283">
        <w:t xml:space="preserve">. </w:t>
      </w:r>
      <w:r w:rsidR="30C63073" w:rsidRPr="007F1283">
        <w:t>Yet</w:t>
      </w:r>
      <w:r w:rsidRPr="007F1283">
        <w:t xml:space="preserve"> predominantly, the category is specifically focused on investments and interventions related to construction &amp; development of infrastructure, such as green infrastructure, transport infrastructure, IT and telecommunications infrastructure, which are included in Programme Transport, Programme IROP, and the second pillar of the NRP</w:t>
      </w:r>
      <w:r w:rsidR="606D4AE5" w:rsidRPr="007F1283">
        <w:t>:</w:t>
      </w:r>
      <w:r w:rsidRPr="007F1283">
        <w:t xml:space="preserve"> physical infrastructure and green transition. </w:t>
      </w:r>
    </w:p>
    <w:p w14:paraId="473DE971" w14:textId="77777777" w:rsidR="00F30E9F" w:rsidRPr="007F1283" w:rsidRDefault="00F30E9F" w:rsidP="00962C80">
      <w:pPr>
        <w:ind w:left="1211"/>
        <w:rPr>
          <w:szCs w:val="18"/>
        </w:rPr>
      </w:pPr>
    </w:p>
    <w:p w14:paraId="1568AE97" w14:textId="77777777" w:rsidR="00FC6662" w:rsidRPr="007F1283" w:rsidRDefault="00FC6662" w:rsidP="006920E6">
      <w:pPr>
        <w:pStyle w:val="Odstavecseseznamem"/>
        <w:numPr>
          <w:ilvl w:val="0"/>
          <w:numId w:val="10"/>
        </w:numPr>
        <w:rPr>
          <w:b/>
          <w:bCs/>
          <w:szCs w:val="18"/>
        </w:rPr>
      </w:pPr>
      <w:r w:rsidRPr="007F1283">
        <w:rPr>
          <w:b/>
          <w:bCs/>
          <w:szCs w:val="18"/>
        </w:rPr>
        <w:t>Innovation</w:t>
      </w:r>
    </w:p>
    <w:p w14:paraId="69427C72" w14:textId="27FABD82" w:rsidR="00F30E9F" w:rsidRPr="007F1283" w:rsidRDefault="00F30E9F" w:rsidP="00794EB7">
      <w:pPr>
        <w:ind w:left="1211"/>
      </w:pPr>
      <w:r w:rsidRPr="007F1283">
        <w:t xml:space="preserve">The innovation investment category includes investments into innovation of services and products, as well as </w:t>
      </w:r>
      <w:r w:rsidR="0EF2F8C4" w:rsidRPr="007F1283">
        <w:t>into</w:t>
      </w:r>
      <w:r w:rsidR="620CC8AA" w:rsidRPr="007F1283">
        <w:t xml:space="preserve"> </w:t>
      </w:r>
      <w:r w:rsidRPr="007F1283">
        <w:t xml:space="preserve">improving innovation capacity. While innovation interventions can also be included in a variety of programmes and funds, a separate category has been created as there currently exist several innovation-focused investments, where innovation of services </w:t>
      </w:r>
      <w:r w:rsidRPr="007F1283">
        <w:lastRenderedPageBreak/>
        <w:t>and/or products or development of innovation capacities is at the core. These are, for instance, investments into innovation in education in the context of digitalisation or support for introduction of innovation into business practice (the NRP), or development of innovation capacities and deploying (Programme JAC).</w:t>
      </w:r>
      <w:r w:rsidR="00D37E78" w:rsidRPr="007F1283">
        <w:t xml:space="preserve"> </w:t>
      </w:r>
      <w:r w:rsidR="003845FD" w:rsidRPr="007F1283">
        <w:t xml:space="preserve">In addition, Programme TAC has a wide range of support focused on investments in innovation, such as for example </w:t>
      </w:r>
      <w:r w:rsidR="001B6761" w:rsidRPr="007F1283">
        <w:t>product and process innovation, industrial modernisation and the application of advanced technologies.</w:t>
      </w:r>
    </w:p>
    <w:p w14:paraId="36AD09DD" w14:textId="77777777" w:rsidR="00F30E9F" w:rsidRPr="007F1283" w:rsidRDefault="00F30E9F" w:rsidP="0014021F">
      <w:pPr>
        <w:ind w:left="0"/>
        <w:rPr>
          <w:szCs w:val="18"/>
        </w:rPr>
      </w:pPr>
    </w:p>
    <w:p w14:paraId="27604512" w14:textId="0B469B95" w:rsidR="00F30E9F" w:rsidRPr="007F1283" w:rsidRDefault="00F30E9F" w:rsidP="006920E6">
      <w:pPr>
        <w:pStyle w:val="Odstavecseseznamem"/>
        <w:numPr>
          <w:ilvl w:val="0"/>
          <w:numId w:val="10"/>
        </w:numPr>
        <w:rPr>
          <w:b/>
          <w:bCs/>
          <w:szCs w:val="18"/>
        </w:rPr>
      </w:pPr>
      <w:r w:rsidRPr="007F1283">
        <w:rPr>
          <w:b/>
          <w:bCs/>
          <w:szCs w:val="18"/>
        </w:rPr>
        <w:t>Landscape</w:t>
      </w:r>
    </w:p>
    <w:p w14:paraId="33467897" w14:textId="53BF02C4" w:rsidR="00F30E9F" w:rsidRPr="007F1283" w:rsidRDefault="00F30E9F" w:rsidP="00962C80">
      <w:pPr>
        <w:ind w:left="1211"/>
      </w:pPr>
      <w:r w:rsidRPr="007F1283">
        <w:t xml:space="preserve">This investment category includes investments and interventions into revitalisation of landscapes, especially brownfields revitalisation, land consolidation or land-related measures for improved climate adaptation. A large portion of relevant investments is funded from the NRP, specifically from the component 2.8 Brownfields revitalisation under the pillar of Physical infrastructure and green transition, providing support for revitalisation of specific areas and activities focusing on improving the quality of land. </w:t>
      </w:r>
      <w:r w:rsidR="620CC8AA" w:rsidRPr="007F1283">
        <w:t>Similar</w:t>
      </w:r>
      <w:r w:rsidR="2972C034" w:rsidRPr="007F1283">
        <w:t>ly</w:t>
      </w:r>
      <w:r w:rsidRPr="007F1283">
        <w:t xml:space="preserve"> to other investment types, investments into landscape revitalisation may also be fall into more categories. For instance, regeneration of brownfields for business use may involve demolition of existing objects, construction of new infrastructure, and activities focused on energy efficiency. </w:t>
      </w:r>
      <w:r w:rsidR="00C17337" w:rsidRPr="007F1283">
        <w:t>T</w:t>
      </w:r>
      <w:r w:rsidRPr="007F1283">
        <w:t>he Programme Environment focuses on measures in landscaping work for climate adaptation, such as for example, restoration of slope stability, stabilisation and rehabilitation of extreme slope instabilities as part of the disaster risk prevention.</w:t>
      </w:r>
    </w:p>
    <w:p w14:paraId="318D0369" w14:textId="77777777" w:rsidR="00F30E9F" w:rsidRPr="007F1283" w:rsidRDefault="00F30E9F" w:rsidP="00962C80">
      <w:pPr>
        <w:ind w:left="1211"/>
        <w:rPr>
          <w:szCs w:val="18"/>
        </w:rPr>
      </w:pPr>
    </w:p>
    <w:p w14:paraId="09C8A2B9" w14:textId="1EABFEB5" w:rsidR="00F30E9F" w:rsidRPr="007F1283" w:rsidRDefault="00F30E9F" w:rsidP="006920E6">
      <w:pPr>
        <w:pStyle w:val="Odstavecseseznamem"/>
        <w:numPr>
          <w:ilvl w:val="0"/>
          <w:numId w:val="10"/>
        </w:numPr>
        <w:rPr>
          <w:b/>
          <w:bCs/>
          <w:szCs w:val="18"/>
        </w:rPr>
      </w:pPr>
      <w:r w:rsidRPr="007F1283">
        <w:rPr>
          <w:b/>
          <w:bCs/>
          <w:szCs w:val="18"/>
        </w:rPr>
        <w:t>Nature protection</w:t>
      </w:r>
    </w:p>
    <w:p w14:paraId="711742EF" w14:textId="2B71BB6E" w:rsidR="00F30E9F" w:rsidRPr="007F1283" w:rsidRDefault="00F30E9F" w:rsidP="00962C80">
      <w:pPr>
        <w:ind w:left="1211"/>
      </w:pPr>
      <w:r w:rsidRPr="007F1283">
        <w:t xml:space="preserve">The Nature protection category encompasses investment types focused on </w:t>
      </w:r>
      <w:r w:rsidR="37BB7218" w:rsidRPr="007F1283">
        <w:t>the</w:t>
      </w:r>
      <w:r w:rsidR="620CC8AA" w:rsidRPr="007F1283">
        <w:t xml:space="preserve"> </w:t>
      </w:r>
      <w:r w:rsidRPr="007F1283">
        <w:t xml:space="preserve">improvement of habitats and wildlife and protection of biodiversity. Such investments are one of the main priorities of the Programme Environment, </w:t>
      </w:r>
      <w:r w:rsidR="0C3B5DA3" w:rsidRPr="007F1283">
        <w:t>and</w:t>
      </w:r>
      <w:r w:rsidR="620CC8AA" w:rsidRPr="007F1283">
        <w:t xml:space="preserve"> </w:t>
      </w:r>
      <w:r w:rsidRPr="007F1283">
        <w:t>specifically</w:t>
      </w:r>
      <w:r w:rsidR="30B472FB" w:rsidRPr="007F1283">
        <w:t xml:space="preserve"> the</w:t>
      </w:r>
      <w:r w:rsidRPr="007F1283">
        <w:t xml:space="preserve"> focus on Nature and pollution and strengthening the protection and conservation of nature, biodiversity and promoting habitats and species and caring for the most valuable parts of nature and the landscape. Nature protection activities may be included in other groups and across investment types, as certain elements are involved in </w:t>
      </w:r>
      <w:r w:rsidR="4A092888" w:rsidRPr="007F1283">
        <w:t xml:space="preserve">the </w:t>
      </w:r>
      <w:r w:rsidRPr="007F1283">
        <w:t>construction and development of green infrastructure or water management solutions in green areas.</w:t>
      </w:r>
    </w:p>
    <w:p w14:paraId="246FBFB7" w14:textId="77777777" w:rsidR="00F30E9F" w:rsidRPr="007F1283" w:rsidRDefault="00F30E9F" w:rsidP="00962C80">
      <w:pPr>
        <w:ind w:left="1211"/>
        <w:rPr>
          <w:szCs w:val="18"/>
        </w:rPr>
      </w:pPr>
    </w:p>
    <w:p w14:paraId="6E1A90BE" w14:textId="29BA12C7" w:rsidR="00F30E9F" w:rsidRPr="007F1283" w:rsidRDefault="00F30E9F" w:rsidP="006920E6">
      <w:pPr>
        <w:pStyle w:val="Odstavecseseznamem"/>
        <w:numPr>
          <w:ilvl w:val="0"/>
          <w:numId w:val="10"/>
        </w:numPr>
        <w:rPr>
          <w:b/>
          <w:bCs/>
          <w:szCs w:val="18"/>
        </w:rPr>
      </w:pPr>
      <w:r w:rsidRPr="007F1283">
        <w:rPr>
          <w:b/>
          <w:bCs/>
          <w:szCs w:val="18"/>
        </w:rPr>
        <w:t>R&amp;D</w:t>
      </w:r>
    </w:p>
    <w:p w14:paraId="0C2FAAE2" w14:textId="77777777" w:rsidR="00F30E9F" w:rsidRPr="007F1283" w:rsidRDefault="00F30E9F" w:rsidP="00962C80">
      <w:pPr>
        <w:ind w:left="1211"/>
        <w:rPr>
          <w:szCs w:val="18"/>
        </w:rPr>
      </w:pPr>
      <w:r w:rsidRPr="007F1283">
        <w:rPr>
          <w:szCs w:val="18"/>
        </w:rPr>
        <w:t>The R&amp;D category includes investment types focused on research and development activities, divided into investments and cost sub-groups. The interventions in the investment sub-group include investments into tangible elements such as technology or equipment acquired to support the research activities. On the other hand, cost sub-group include investments into non-tangible intellectual aspects of R&amp;D, such as expert advice, staff, or knowledge sharing activities. Research focused on product development and digitalisation is one of the components in the NRP. Similarly, Programme TAC includes investments into activities aimed at verifying the application potential of new R&amp;D results before their possible application in practice, as well as development of industrial research. In addition, Programme Environment includes investments into research and surveying for investigation of pollution and associated risks, and Programme JAC promotes cooperation between research organisations and development of joint research projects.</w:t>
      </w:r>
    </w:p>
    <w:p w14:paraId="1FF16B65" w14:textId="77777777" w:rsidR="00F30E9F" w:rsidRPr="007F1283" w:rsidRDefault="00F30E9F" w:rsidP="00794EB7">
      <w:pPr>
        <w:ind w:left="0"/>
        <w:rPr>
          <w:szCs w:val="18"/>
        </w:rPr>
      </w:pPr>
    </w:p>
    <w:p w14:paraId="0BB1D517" w14:textId="24256E5C" w:rsidR="00F30E9F" w:rsidRPr="007F1283" w:rsidRDefault="00F30E9F" w:rsidP="006920E6">
      <w:pPr>
        <w:pStyle w:val="Odstavecseseznamem"/>
        <w:numPr>
          <w:ilvl w:val="0"/>
          <w:numId w:val="10"/>
        </w:numPr>
        <w:rPr>
          <w:b/>
          <w:bCs/>
          <w:szCs w:val="18"/>
        </w:rPr>
      </w:pPr>
      <w:r w:rsidRPr="007F1283">
        <w:rPr>
          <w:b/>
          <w:bCs/>
          <w:szCs w:val="18"/>
        </w:rPr>
        <w:t>Social &amp; health support</w:t>
      </w:r>
    </w:p>
    <w:p w14:paraId="3A5DC00F" w14:textId="50E4B8B8" w:rsidR="00F30E9F" w:rsidRPr="007F1283" w:rsidRDefault="00F30E9F" w:rsidP="00C51FE6">
      <w:pPr>
        <w:ind w:left="1211"/>
      </w:pPr>
      <w:r w:rsidRPr="007F1283">
        <w:lastRenderedPageBreak/>
        <w:t xml:space="preserve">This category includes a variety of investment types focusing on improvement of socio-economic conditions, employment, and provision and modernisation of healthcare services. These investments are dominant in the Programme Employment, which specifically focuses on social topics such as material assistance to people affected by poverty, social inclusion and equality as well as social innovation. In addition, the programme includes multiple investments and interventions on modernisation of employment services and labour competitiveness, and training and qualification of workers. On the other hand, health support and modernisation of healthcare is included in the NRP, specifically focusing on population health and resilience of the health </w:t>
      </w:r>
      <w:r w:rsidR="0095281E" w:rsidRPr="007F1283">
        <w:t>system</w:t>
      </w:r>
      <w:r w:rsidRPr="007F1283">
        <w:t xml:space="preserve"> and strengthening of the oncological prevention and care. Certain investments in this category may also involve infrastructure elements, for instance</w:t>
      </w:r>
      <w:r w:rsidR="20CF1B82" w:rsidRPr="007F1283">
        <w:t>,</w:t>
      </w:r>
      <w:r w:rsidRPr="007F1283">
        <w:t xml:space="preserve"> under the pillar six in NRP, which includes investments into construction of a centre for cardiovascular and transplantation medicine.</w:t>
      </w:r>
    </w:p>
    <w:p w14:paraId="399DD3D2" w14:textId="77777777" w:rsidR="00F30E9F" w:rsidRPr="007F1283" w:rsidRDefault="00F30E9F" w:rsidP="00962C80">
      <w:pPr>
        <w:ind w:left="1211"/>
        <w:rPr>
          <w:szCs w:val="18"/>
        </w:rPr>
      </w:pPr>
    </w:p>
    <w:p w14:paraId="76D3E6FE" w14:textId="7B7441BE" w:rsidR="00F30E9F" w:rsidRPr="007F1283" w:rsidRDefault="00F30E9F" w:rsidP="006920E6">
      <w:pPr>
        <w:pStyle w:val="Odstavecseseznamem"/>
        <w:numPr>
          <w:ilvl w:val="0"/>
          <w:numId w:val="10"/>
        </w:numPr>
        <w:rPr>
          <w:b/>
          <w:bCs/>
          <w:szCs w:val="18"/>
        </w:rPr>
      </w:pPr>
      <w:r w:rsidRPr="007F1283">
        <w:rPr>
          <w:b/>
          <w:bCs/>
          <w:szCs w:val="18"/>
        </w:rPr>
        <w:t>Technology</w:t>
      </w:r>
    </w:p>
    <w:p w14:paraId="673F6B3E" w14:textId="4DE237D0" w:rsidR="00F30E9F" w:rsidRPr="007F1283" w:rsidRDefault="00F30E9F" w:rsidP="00C51FE6">
      <w:pPr>
        <w:ind w:left="1211"/>
      </w:pPr>
      <w:r w:rsidRPr="007F1283">
        <w:t xml:space="preserve">Technology is one of the largest investment categories. Similar to infrastructure, this is due to the cross-sectoral and cross-thematic nature of technology, which is included and involved in a variety of investment types such as R&amp;D, education, innovation, energy or infrastructure. When it comes to investments and interventions which </w:t>
      </w:r>
      <w:r w:rsidR="002D1945" w:rsidRPr="007F1283">
        <w:t>exclusive</w:t>
      </w:r>
      <w:r w:rsidRPr="007F1283">
        <w:t xml:space="preserve">ly </w:t>
      </w:r>
      <w:r w:rsidR="620CC8AA" w:rsidRPr="007F1283">
        <w:t>target</w:t>
      </w:r>
      <w:r w:rsidRPr="007F1283">
        <w:t xml:space="preserve"> technology, two investment types have been </w:t>
      </w:r>
      <w:r w:rsidR="00D61D4E" w:rsidRPr="007F1283">
        <w:t>grouped</w:t>
      </w:r>
      <w:r w:rsidR="5080EAB0" w:rsidRPr="007F1283">
        <w:t xml:space="preserve"> together</w:t>
      </w:r>
      <w:r w:rsidR="00F117C4" w:rsidRPr="007F1283">
        <w:t>:</w:t>
      </w:r>
      <w:r w:rsidRPr="007F1283">
        <w:t xml:space="preserve"> 1) Digitalisation and information systems (non-infrastructure), and 2) Other new technology and equipment. The investments from the first group are included in several programmes and funds. For instance, Programme IROP focuses on digitalisation, centralisation and standardisation of selected public administration services (e.g., eHealth), and the NRP provides investments focused on provision of digital services to citizens and businesses. The second group invests into technologies and equipment used in production and manufacturing, for example</w:t>
      </w:r>
      <w:r w:rsidR="4DF090F9" w:rsidRPr="007F1283">
        <w:t>, into</w:t>
      </w:r>
      <w:r w:rsidRPr="007F1283">
        <w:t xml:space="preserve"> technologies to produce a secondary raw material and/or increase the recyclability of products under Programme TAC or investments into high-capacity digital networks under the NRP. </w:t>
      </w:r>
    </w:p>
    <w:p w14:paraId="0702102E" w14:textId="77777777" w:rsidR="00F30E9F" w:rsidRPr="007F1283" w:rsidRDefault="00F30E9F" w:rsidP="00962C80">
      <w:pPr>
        <w:ind w:left="1211"/>
        <w:rPr>
          <w:szCs w:val="18"/>
        </w:rPr>
      </w:pPr>
    </w:p>
    <w:p w14:paraId="75336257" w14:textId="724C981E" w:rsidR="00F30E9F" w:rsidRPr="007F1283" w:rsidRDefault="00F30E9F" w:rsidP="006920E6">
      <w:pPr>
        <w:pStyle w:val="Odstavecseseznamem"/>
        <w:numPr>
          <w:ilvl w:val="0"/>
          <w:numId w:val="10"/>
        </w:numPr>
        <w:rPr>
          <w:b/>
          <w:bCs/>
          <w:szCs w:val="18"/>
        </w:rPr>
      </w:pPr>
      <w:r w:rsidRPr="007F1283">
        <w:rPr>
          <w:b/>
          <w:bCs/>
          <w:szCs w:val="18"/>
        </w:rPr>
        <w:t>Transport</w:t>
      </w:r>
    </w:p>
    <w:p w14:paraId="7B17978C" w14:textId="27ADF1B9" w:rsidR="00261EB1" w:rsidRPr="007F1283" w:rsidRDefault="00CE33C8" w:rsidP="00261EB1">
      <w:pPr>
        <w:ind w:left="1211"/>
      </w:pPr>
      <w:r w:rsidRPr="007F1283">
        <w:t>Investment types in the Transport investment category are closely linked to the infrastructure category. However, this group only includes investments which are allocated to construction &amp; development of transport infrastructure. In particular, the investment types in this category include 1) Construction &amp; development of low-carbon transport infrastructure (e.g</w:t>
      </w:r>
      <w:r w:rsidR="7831878E" w:rsidRPr="007F1283">
        <w:t>.,</w:t>
      </w:r>
      <w:r w:rsidRPr="007F1283">
        <w:t xml:space="preserve"> rail, </w:t>
      </w:r>
      <w:r w:rsidR="26E721EA" w:rsidRPr="007F1283">
        <w:t>electric vehicles (</w:t>
      </w:r>
      <w:r w:rsidRPr="007F1283">
        <w:t>EVs</w:t>
      </w:r>
      <w:r w:rsidR="26E721EA" w:rsidRPr="007F1283">
        <w:t>)</w:t>
      </w:r>
      <w:r w:rsidR="67AA423F" w:rsidRPr="007F1283">
        <w:t>,</w:t>
      </w:r>
      <w:r w:rsidRPr="007F1283">
        <w:t xml:space="preserve"> multimodal), and 2) Construction &amp; development of other transport infrastructure. The Programme Transport and Programme IROP focus on investments in the first category especially under the main Priorities of European, national and regional mobility and sustainable urban mobility. The investments in this programme specifically target development of safe, sustainable and intermodal transport network and low carbon, such as rail transport. Similarly, the NRP provides investments into sustainable transport and clean urban mobility, for instance, building infrastructure for public transport in the city of Prague. The second group represents infrastructure for </w:t>
      </w:r>
      <w:r w:rsidR="0081189C" w:rsidRPr="007F1283">
        <w:t xml:space="preserve">road transport, also included in Programme IROP, focused on </w:t>
      </w:r>
      <w:r w:rsidR="00261EB1" w:rsidRPr="007F1283">
        <w:t xml:space="preserve">investments </w:t>
      </w:r>
      <w:r w:rsidR="00CC2A13" w:rsidRPr="007F1283">
        <w:t xml:space="preserve">into </w:t>
      </w:r>
      <w:r w:rsidR="00804BCA" w:rsidRPr="007F1283">
        <w:t>cons</w:t>
      </w:r>
      <w:r w:rsidR="00DC15B5" w:rsidRPr="007F1283">
        <w:t xml:space="preserve">truction and modernisation of the </w:t>
      </w:r>
      <w:r w:rsidR="00261EB1" w:rsidRPr="007F1283">
        <w:t xml:space="preserve">Class II </w:t>
      </w:r>
      <w:r w:rsidR="00804BCA" w:rsidRPr="007F1283">
        <w:t xml:space="preserve">roads, </w:t>
      </w:r>
      <w:r w:rsidR="00261EB1" w:rsidRPr="007F1283">
        <w:t>improving accessibility to the TEN-T</w:t>
      </w:r>
      <w:r w:rsidR="00804BCA" w:rsidRPr="007F1283">
        <w:t>.</w:t>
      </w:r>
    </w:p>
    <w:p w14:paraId="386DEF39" w14:textId="77777777" w:rsidR="00261EB1" w:rsidRPr="007F1283" w:rsidRDefault="00261EB1" w:rsidP="00962C80">
      <w:pPr>
        <w:ind w:left="1211"/>
        <w:rPr>
          <w:szCs w:val="18"/>
        </w:rPr>
      </w:pPr>
    </w:p>
    <w:p w14:paraId="4F2C6708" w14:textId="331E53BF" w:rsidR="00F30E9F" w:rsidRPr="007F1283" w:rsidRDefault="00F30E9F" w:rsidP="006920E6">
      <w:pPr>
        <w:pStyle w:val="Odstavecseseznamem"/>
        <w:numPr>
          <w:ilvl w:val="0"/>
          <w:numId w:val="10"/>
        </w:numPr>
        <w:rPr>
          <w:b/>
          <w:bCs/>
          <w:szCs w:val="18"/>
        </w:rPr>
      </w:pPr>
      <w:r w:rsidRPr="007F1283">
        <w:rPr>
          <w:b/>
          <w:bCs/>
          <w:szCs w:val="18"/>
        </w:rPr>
        <w:t>Water &amp; waste management</w:t>
      </w:r>
    </w:p>
    <w:p w14:paraId="25BD7BCF" w14:textId="6EAD43DA" w:rsidR="00151272" w:rsidRPr="007F1283" w:rsidRDefault="00F30E9F" w:rsidP="00962C80">
      <w:pPr>
        <w:ind w:left="1211"/>
        <w:rPr>
          <w:szCs w:val="18"/>
        </w:rPr>
      </w:pPr>
      <w:r w:rsidRPr="007F1283">
        <w:rPr>
          <w:szCs w:val="18"/>
        </w:rPr>
        <w:lastRenderedPageBreak/>
        <w:t>This category includes investments type focused on water and sewage treatment and management, and treatment and management of waste. Both types of investments may include infrastructure element and thus will fall into one or more categories. Certain aspects of water and waste management are included in most programmes and funds, specifically in activities and interventions focusing circular economy and efficient resources management. For instance, investments in the Programme TAC target promotion of sustainable water management as part of the transition to a resource-efficient circular economy, among others. Similarly, Programme Environment provides investments into modernisation of water supply and sewerage, and the NRP’s pillar on Physical infrastructure and green transition includes component focused on circular economy, recycling and savings in water used in industry.</w:t>
      </w:r>
    </w:p>
    <w:p w14:paraId="346E5031" w14:textId="77777777" w:rsidR="00F43086" w:rsidRPr="007F1283" w:rsidRDefault="00F43086" w:rsidP="00151272"/>
    <w:p w14:paraId="387D0FA5" w14:textId="0E078B88" w:rsidR="00F43086" w:rsidRPr="007F1283" w:rsidRDefault="00F43086" w:rsidP="00F43086">
      <w:pPr>
        <w:pStyle w:val="Nadpis2"/>
      </w:pPr>
      <w:bookmarkStart w:id="27" w:name="_Toc133944260"/>
      <w:r w:rsidRPr="007F1283">
        <w:t xml:space="preserve">Interlinkages between the categories and </w:t>
      </w:r>
      <w:r w:rsidR="002B5E38" w:rsidRPr="007F1283">
        <w:t>the DNSH assessment in Czechia</w:t>
      </w:r>
      <w:bookmarkEnd w:id="27"/>
    </w:p>
    <w:p w14:paraId="252AAFEB" w14:textId="5FFFC7AC" w:rsidR="00F43086" w:rsidRPr="007F1283" w:rsidRDefault="00F43086" w:rsidP="00E4308E">
      <w:pPr>
        <w:rPr>
          <w:rFonts w:eastAsia="Times New Roman" w:cs="Times New Roman"/>
          <w:color w:val="000000" w:themeColor="text1"/>
          <w:lang w:eastAsia="en-GB"/>
        </w:rPr>
      </w:pPr>
      <w:r w:rsidRPr="007F1283">
        <w:rPr>
          <w:rFonts w:eastAsia="Times New Roman" w:cs="Times New Roman"/>
          <w:color w:val="000000" w:themeColor="text1"/>
          <w:lang w:eastAsia="en-GB"/>
        </w:rPr>
        <w:t xml:space="preserve">The below section provides an overview of the interlinkages and overlaps between the identified investment types, investment categories and </w:t>
      </w:r>
      <w:r w:rsidR="006F7C38" w:rsidRPr="007F1283">
        <w:rPr>
          <w:rFonts w:eastAsia="Times New Roman" w:cs="Times New Roman"/>
          <w:color w:val="000000" w:themeColor="text1"/>
          <w:lang w:eastAsia="en-GB"/>
        </w:rPr>
        <w:t xml:space="preserve">the DNSH </w:t>
      </w:r>
      <w:r w:rsidR="002B5E38" w:rsidRPr="007F1283">
        <w:rPr>
          <w:rFonts w:eastAsia="Times New Roman" w:cs="Times New Roman"/>
          <w:color w:val="000000" w:themeColor="text1"/>
          <w:lang w:eastAsia="en-GB"/>
        </w:rPr>
        <w:t>assessment</w:t>
      </w:r>
      <w:r w:rsidR="00E4308E" w:rsidRPr="007F1283">
        <w:rPr>
          <w:rFonts w:eastAsia="Times New Roman" w:cs="Times New Roman"/>
          <w:color w:val="000000" w:themeColor="text1"/>
          <w:lang w:eastAsia="en-GB"/>
        </w:rPr>
        <w:t xml:space="preserve"> </w:t>
      </w:r>
      <w:r w:rsidR="006F7C38" w:rsidRPr="007F1283">
        <w:rPr>
          <w:rFonts w:eastAsia="Times New Roman" w:cs="Times New Roman"/>
          <w:color w:val="000000" w:themeColor="text1"/>
          <w:lang w:eastAsia="en-GB"/>
        </w:rPr>
        <w:t xml:space="preserve">in Czechia. </w:t>
      </w:r>
      <w:r w:rsidRPr="007F1283">
        <w:rPr>
          <w:rFonts w:eastAsia="Times New Roman" w:cs="Times New Roman"/>
          <w:color w:val="000000" w:themeColor="text1"/>
          <w:lang w:eastAsia="en-GB"/>
        </w:rPr>
        <w:t xml:space="preserve"> </w:t>
      </w:r>
    </w:p>
    <w:p w14:paraId="71AB8F3A" w14:textId="77777777" w:rsidR="00F43086" w:rsidRPr="007F1283" w:rsidRDefault="00F43086" w:rsidP="00F43086">
      <w:pPr>
        <w:rPr>
          <w:rFonts w:eastAsia="Times New Roman" w:cs="Times New Roman"/>
          <w:color w:val="000000" w:themeColor="text1"/>
          <w:lang w:eastAsia="en-GB"/>
        </w:rPr>
      </w:pPr>
    </w:p>
    <w:p w14:paraId="5DA2A180" w14:textId="77777777" w:rsidR="00F43086" w:rsidRPr="007F1283" w:rsidRDefault="00F43086" w:rsidP="00F43086">
      <w:pPr>
        <w:rPr>
          <w:rFonts w:eastAsia="Times New Roman" w:cs="Times New Roman"/>
          <w:b/>
          <w:bCs/>
          <w:color w:val="000000" w:themeColor="text1"/>
          <w:lang w:eastAsia="en-GB"/>
        </w:rPr>
      </w:pPr>
      <w:r w:rsidRPr="007F1283">
        <w:rPr>
          <w:rFonts w:eastAsia="Times New Roman" w:cs="Times New Roman"/>
          <w:b/>
          <w:bCs/>
          <w:color w:val="000000" w:themeColor="text1"/>
          <w:lang w:eastAsia="en-GB"/>
        </w:rPr>
        <w:t>Assessment steps and investment categories</w:t>
      </w:r>
    </w:p>
    <w:p w14:paraId="431A8809" w14:textId="77777777" w:rsidR="00F43086" w:rsidRPr="007F1283" w:rsidRDefault="00F43086" w:rsidP="00F43086">
      <w:pPr>
        <w:rPr>
          <w:rFonts w:eastAsia="Times New Roman" w:cs="Times New Roman"/>
          <w:color w:val="000000" w:themeColor="text1"/>
          <w:lang w:eastAsia="en-GB"/>
        </w:rPr>
      </w:pPr>
      <w:r w:rsidRPr="007F1283">
        <w:rPr>
          <w:rFonts w:eastAsia="Times New Roman" w:cs="Times New Roman"/>
          <w:color w:val="000000" w:themeColor="text1"/>
          <w:lang w:eastAsia="en-GB"/>
        </w:rPr>
        <w:t xml:space="preserve">While there is a number of investments under the NRP which focus directly on physical infrastructure and green transition, five of out six main pillars target predominantly non-tangible, know-how based or administration investment categories (e.g., employment, administrative and project capacity, social support &amp; healthcare), in which a simplified DNSH assessment may be sufficient. In comparison, out of eight cohesion policy funds in scope, six include investments specifically targeting construction and/or modernisation of buildings and infrastructure. The remaining two, such as Programme Employment and Programme JAC, still may include interventions with minor infrastructure and construction element. </w:t>
      </w:r>
    </w:p>
    <w:p w14:paraId="6BE1A79F" w14:textId="77777777" w:rsidR="00F43086" w:rsidRPr="007F1283" w:rsidRDefault="00F43086" w:rsidP="00F43086">
      <w:pPr>
        <w:rPr>
          <w:rFonts w:eastAsia="Times New Roman" w:cs="Times New Roman"/>
          <w:color w:val="000000" w:themeColor="text1"/>
          <w:lang w:eastAsia="en-GB"/>
        </w:rPr>
      </w:pPr>
    </w:p>
    <w:p w14:paraId="4AE85D3F" w14:textId="77777777" w:rsidR="00F43086" w:rsidRPr="007F1283" w:rsidRDefault="00F43086" w:rsidP="00F43086">
      <w:pPr>
        <w:rPr>
          <w:rFonts w:eastAsia="Times New Roman" w:cs="Times New Roman"/>
          <w:color w:val="000000" w:themeColor="text1"/>
          <w:lang w:eastAsia="en-GB"/>
        </w:rPr>
      </w:pPr>
      <w:r w:rsidRPr="007F1283">
        <w:rPr>
          <w:rFonts w:eastAsia="Times New Roman" w:cs="Times New Roman"/>
          <w:color w:val="000000" w:themeColor="text1"/>
          <w:lang w:eastAsia="en-GB"/>
        </w:rPr>
        <w:t>Given the number, focus and scope of the cohesion policy funds in Czechia, they are represented across all investment categories identified, with their interventions at the type of actions level often falling into multiple categories. While there are certain investment categories where a simplified DNSH assessment should be sufficient for most investments (e.g., administrative, process &amp; project capacity, education, R&amp;D), for majority of categories (e.g., energy, buildings, infrastructure, water &amp; waste management, technology) more environmental impact is foreseeable and thus a substantive DNSH assessment will be required. Given the dominance of these investments and the combination of investment categories at the type of actions level, it adds to the complexity of the DNSH assessment process for the programme authorities. Therefore, a clearly structured step-by-step guidance is key to ensure sufficient compliance with the principle.</w:t>
      </w:r>
      <w:r w:rsidRPr="007F1283">
        <w:br/>
      </w:r>
      <w:r w:rsidRPr="007F1283">
        <w:rPr>
          <w:rFonts w:eastAsia="Times New Roman" w:cs="Times New Roman"/>
          <w:color w:val="000000" w:themeColor="text1"/>
          <w:lang w:eastAsia="en-GB"/>
        </w:rPr>
        <w:t xml:space="preserve">In addition, based on the cohesion policy fund regulation, a mandatory CP assessment applies for projects with infrastructure, regardless the size or the cost. This finding is in line with the insights collected as part of the Ad hoc support in the DLV2, where the majority of requests for support were focused on the CP assessment for infrastructure. This justifies the need for increased support and resources, as well as more elaborated instructions for the Climate Proofing assessment process in the methodological guidance developed as part DLV5. </w:t>
      </w:r>
    </w:p>
    <w:p w14:paraId="4F4E15AC" w14:textId="77777777" w:rsidR="00F43086" w:rsidRPr="007F1283" w:rsidRDefault="00F43086" w:rsidP="00F43086">
      <w:pPr>
        <w:rPr>
          <w:rFonts w:eastAsia="Times New Roman" w:cs="Times New Roman"/>
          <w:color w:val="000000" w:themeColor="text1"/>
          <w:lang w:eastAsia="en-GB"/>
        </w:rPr>
      </w:pPr>
    </w:p>
    <w:p w14:paraId="01A254E2" w14:textId="77777777" w:rsidR="00F43086" w:rsidRPr="007F1283" w:rsidRDefault="00F43086" w:rsidP="00F43086">
      <w:pPr>
        <w:spacing w:line="360" w:lineRule="auto"/>
        <w:rPr>
          <w:rFonts w:eastAsia="Times New Roman" w:cs="Times New Roman"/>
          <w:b/>
          <w:bCs/>
          <w:color w:val="000000" w:themeColor="text1"/>
          <w:lang w:eastAsia="en-GB"/>
        </w:rPr>
      </w:pPr>
      <w:r w:rsidRPr="007F1283">
        <w:rPr>
          <w:rFonts w:eastAsia="Times New Roman" w:cs="Times New Roman"/>
          <w:b/>
          <w:bCs/>
          <w:color w:val="000000" w:themeColor="text1"/>
          <w:lang w:eastAsia="en-GB"/>
        </w:rPr>
        <w:t>Exclusions and investment categories</w:t>
      </w:r>
    </w:p>
    <w:p w14:paraId="0AD19CED" w14:textId="77777777" w:rsidR="002022F4" w:rsidRPr="007F1283" w:rsidRDefault="00F43086" w:rsidP="001508DA">
      <w:pPr>
        <w:spacing w:line="360" w:lineRule="auto"/>
      </w:pPr>
      <w:r w:rsidRPr="007F1283">
        <w:rPr>
          <w:rFonts w:eastAsia="Times New Roman" w:cs="Times New Roman"/>
          <w:color w:val="000000" w:themeColor="text1"/>
          <w:lang w:eastAsia="en-GB"/>
        </w:rPr>
        <w:t xml:space="preserve">The nature of some of the most represented categories across the funds and programmes in scope also feature certain exclusions, restrictions and/or conditions that need to be taken into account in the </w:t>
      </w:r>
      <w:r w:rsidRPr="007F1283">
        <w:rPr>
          <w:rFonts w:eastAsia="Times New Roman" w:cs="Times New Roman"/>
          <w:color w:val="000000" w:themeColor="text1"/>
          <w:lang w:eastAsia="en-GB"/>
        </w:rPr>
        <w:lastRenderedPageBreak/>
        <w:t>DNSH assessment process (especially in the call design stage). In particular, as also outlined in Annex B, investment in housing is permitted unless related to the promotion of energy efficiency or renewable energy use (investment category: Buildings, Energy). Similarly, investments into airport infrastructure (investment category: Infrastructure) investment type and disposal of waste in landfill (investment category: Waste treatment &amp; management) are excluded from the scope. In addition, according to the sectoral specifics under the CP Technical Guidance, Article 3.2 (2021/C 373/01), infrastructure projects fuelled by or carrying fossil fuels, where specific assessment is required (investment category: infrastructure, Asset Acquisition (purchasing of vehicles)).</w:t>
      </w:r>
      <w:r w:rsidRPr="007F1283">
        <w:t xml:space="preserve"> </w:t>
      </w:r>
    </w:p>
    <w:p w14:paraId="561FE78F" w14:textId="4E77D08D" w:rsidR="001508DA" w:rsidRPr="007F1283" w:rsidRDefault="001508DA">
      <w:pPr>
        <w:spacing w:after="200" w:line="276" w:lineRule="auto"/>
        <w:ind w:left="0"/>
      </w:pPr>
      <w:r w:rsidRPr="007F1283">
        <w:br w:type="page"/>
      </w:r>
    </w:p>
    <w:p w14:paraId="47059805" w14:textId="2BD2B98B" w:rsidR="00FA291A" w:rsidRPr="007F1283" w:rsidRDefault="009B1D82" w:rsidP="00FA291A">
      <w:pPr>
        <w:pStyle w:val="Nadpis1"/>
      </w:pPr>
      <w:bookmarkStart w:id="28" w:name="_Toc133944261"/>
      <w:r w:rsidRPr="007F1283">
        <w:lastRenderedPageBreak/>
        <w:t>Fit-for-purpose recommendations</w:t>
      </w:r>
      <w:bookmarkEnd w:id="28"/>
    </w:p>
    <w:p w14:paraId="13D6489F" w14:textId="706B394F" w:rsidR="00EB0046" w:rsidRPr="007F1283" w:rsidRDefault="00C147E4" w:rsidP="00B6521E">
      <w:r w:rsidRPr="007F1283">
        <w:t xml:space="preserve">Based on the above findings and the investment </w:t>
      </w:r>
      <w:r w:rsidR="0EAD0BD2" w:rsidRPr="007F1283">
        <w:t>type</w:t>
      </w:r>
      <w:r w:rsidR="3ADA0B19" w:rsidRPr="007F1283">
        <w:t>s</w:t>
      </w:r>
      <w:r w:rsidRPr="007F1283">
        <w:t xml:space="preserve"> and investment categories identified</w:t>
      </w:r>
      <w:r w:rsidR="00F707DF" w:rsidRPr="007F1283">
        <w:t xml:space="preserve"> in the previous sections</w:t>
      </w:r>
      <w:r w:rsidRPr="007F1283">
        <w:t xml:space="preserve">, as well as insights acquired </w:t>
      </w:r>
      <w:r w:rsidR="00F707DF" w:rsidRPr="007F1283">
        <w:t xml:space="preserve">as part of the </w:t>
      </w:r>
      <w:r w:rsidRPr="007F1283">
        <w:t xml:space="preserve">previous deliverables, the project team compiled a set of fit-for-purpose recommendations. These recommendations specifically focus on the approach to and structure of the methodological guidance that will be developed as part of the DLV5 and/or can be considered for potential </w:t>
      </w:r>
      <w:r w:rsidR="00513705" w:rsidRPr="007F1283">
        <w:t>linkages and revisions</w:t>
      </w:r>
      <w:r w:rsidRPr="007F1283">
        <w:t xml:space="preserve"> to the existing national level guidance on the application of the DNSH principle and CP assessment. </w:t>
      </w:r>
      <w:r w:rsidR="001A348C" w:rsidRPr="007F1283">
        <w:t xml:space="preserve">In addition, where applicable, the recommendations </w:t>
      </w:r>
      <w:r w:rsidR="00B025F4" w:rsidRPr="007F1283">
        <w:t>refer to</w:t>
      </w:r>
      <w:r w:rsidR="001A348C" w:rsidRPr="007F1283">
        <w:t xml:space="preserve"> specific sections of the </w:t>
      </w:r>
      <w:r w:rsidR="008D63C2" w:rsidRPr="007F1283">
        <w:t>already existing DNSH guidance documents in Czechia, predominantly focusing on the framework guidance for the application of DNSH and CP assessment developed by the MoE</w:t>
      </w:r>
      <w:r w:rsidR="00B025F4" w:rsidRPr="007F1283">
        <w:t>. Th</w:t>
      </w:r>
      <w:r w:rsidR="006B4D9F" w:rsidRPr="007F1283">
        <w:t>is is because</w:t>
      </w:r>
      <w:r w:rsidR="008D63C2" w:rsidRPr="007F1283">
        <w:t xml:space="preserve"> the </w:t>
      </w:r>
      <w:r w:rsidR="006B4D9F" w:rsidRPr="007F1283">
        <w:t xml:space="preserve">methodological guidance for the application of the DNSH principle developed by </w:t>
      </w:r>
      <w:r w:rsidR="008D63C2" w:rsidRPr="007F1283">
        <w:t xml:space="preserve">MIT only </w:t>
      </w:r>
      <w:r w:rsidR="006B4D9F" w:rsidRPr="007F1283">
        <w:t>provides</w:t>
      </w:r>
      <w:r w:rsidR="00B025F4" w:rsidRPr="007F1283">
        <w:t xml:space="preserve"> guidance on the RRF and </w:t>
      </w:r>
      <w:r w:rsidR="006B4D9F" w:rsidRPr="007F1283">
        <w:t>does not include the Cohesion policy funds or the InvestEU.</w:t>
      </w:r>
      <w:r w:rsidR="00924685" w:rsidRPr="007F1283">
        <w:t xml:space="preserve"> </w:t>
      </w:r>
      <w:r w:rsidR="3C56B582" w:rsidRPr="007F1283">
        <w:t>A set of</w:t>
      </w:r>
      <w:r w:rsidR="00862277" w:rsidRPr="007F1283">
        <w:t xml:space="preserve"> main recommendations will be presented in the below sections. </w:t>
      </w:r>
    </w:p>
    <w:p w14:paraId="13AA7FB2" w14:textId="77777777" w:rsidR="00EB0046" w:rsidRPr="007F1283" w:rsidRDefault="00EB0046" w:rsidP="00B6521E"/>
    <w:p w14:paraId="0D99DB73" w14:textId="026D7BD7" w:rsidR="00862277" w:rsidRPr="007F1283" w:rsidRDefault="00862277" w:rsidP="00B6521E">
      <w:r w:rsidRPr="007F1283">
        <w:t xml:space="preserve">These </w:t>
      </w:r>
      <w:r w:rsidR="11EF77BF" w:rsidRPr="007F1283">
        <w:t>can be categorised</w:t>
      </w:r>
      <w:r w:rsidRPr="007F1283">
        <w:t xml:space="preserve"> as follows:</w:t>
      </w:r>
    </w:p>
    <w:p w14:paraId="02D1B461" w14:textId="38800896" w:rsidR="00446E33" w:rsidRPr="007F1283" w:rsidRDefault="00257714" w:rsidP="00862277">
      <w:pPr>
        <w:pStyle w:val="Odstavecseseznamem"/>
        <w:numPr>
          <w:ilvl w:val="0"/>
          <w:numId w:val="14"/>
        </w:numPr>
      </w:pPr>
      <w:r w:rsidRPr="007F1283">
        <w:t>Basis for recommendations on the structure and approach to guidance</w:t>
      </w:r>
    </w:p>
    <w:p w14:paraId="656EA14F" w14:textId="3751BDA8" w:rsidR="00C147E4" w:rsidRPr="007F1283" w:rsidRDefault="00CC2DFF" w:rsidP="00701F22">
      <w:pPr>
        <w:pStyle w:val="Odstavecseseznamem"/>
        <w:numPr>
          <w:ilvl w:val="0"/>
          <w:numId w:val="14"/>
        </w:numPr>
      </w:pPr>
      <w:r w:rsidRPr="007F1283">
        <w:t>Recommendations for guidelines contents and clarity</w:t>
      </w:r>
      <w:r w:rsidR="00D80820" w:rsidRPr="007F1283">
        <w:br/>
      </w:r>
    </w:p>
    <w:p w14:paraId="4DD9C666" w14:textId="1E40A755" w:rsidR="001F5968" w:rsidRPr="007F1283" w:rsidRDefault="4CC03F1D" w:rsidP="232E7DD7">
      <w:r w:rsidRPr="007F1283">
        <w:t>The s</w:t>
      </w:r>
      <w:r w:rsidR="0EAD0BD2" w:rsidRPr="007F1283">
        <w:t>ections below outline the recommendation</w:t>
      </w:r>
      <w:r w:rsidR="7347C7BA" w:rsidRPr="007F1283">
        <w:t>s</w:t>
      </w:r>
      <w:r w:rsidR="0EAD0BD2" w:rsidRPr="007F1283">
        <w:t xml:space="preserve"> </w:t>
      </w:r>
      <w:r w:rsidR="45BA4F6D" w:rsidRPr="007F1283">
        <w:t>in more detail.</w:t>
      </w:r>
    </w:p>
    <w:p w14:paraId="31601D87" w14:textId="77777777" w:rsidR="00EB0046" w:rsidRPr="007F1283" w:rsidRDefault="00EB0046" w:rsidP="232E7DD7"/>
    <w:p w14:paraId="3CA5C5AB" w14:textId="6373F03E" w:rsidR="339A4F79" w:rsidRPr="007F1283" w:rsidRDefault="0FA592A3" w:rsidP="00B236D3">
      <w:pPr>
        <w:pStyle w:val="Nadpis2"/>
        <w:ind w:left="567" w:firstLine="0"/>
      </w:pPr>
      <w:bookmarkStart w:id="29" w:name="_Toc133944262"/>
      <w:r w:rsidRPr="007F1283">
        <w:t xml:space="preserve">Basis for </w:t>
      </w:r>
      <w:r w:rsidR="657B5DE7" w:rsidRPr="007F1283">
        <w:t>r</w:t>
      </w:r>
      <w:r w:rsidR="61D17941" w:rsidRPr="007F1283">
        <w:t>ecommendation</w:t>
      </w:r>
      <w:r w:rsidR="3952D83D" w:rsidRPr="007F1283">
        <w:t>s</w:t>
      </w:r>
      <w:r w:rsidR="61D17941" w:rsidRPr="007F1283">
        <w:t xml:space="preserve"> on the structure and approach to guidance</w:t>
      </w:r>
      <w:bookmarkEnd w:id="29"/>
    </w:p>
    <w:p w14:paraId="370E2DC0" w14:textId="33592E77" w:rsidR="00E76FB6" w:rsidRPr="007F1283" w:rsidRDefault="3BF1040E" w:rsidP="00C147E4">
      <w:r w:rsidRPr="007F1283">
        <w:t xml:space="preserve">The project team </w:t>
      </w:r>
      <w:r w:rsidR="688A0F84" w:rsidRPr="007F1283">
        <w:t>recommends</w:t>
      </w:r>
      <w:r w:rsidR="668FFC75" w:rsidRPr="007F1283">
        <w:t xml:space="preserve"> </w:t>
      </w:r>
      <w:r w:rsidR="005F7469" w:rsidRPr="007F1283">
        <w:t>following</w:t>
      </w:r>
      <w:r w:rsidR="3A0253EC" w:rsidRPr="007F1283">
        <w:t xml:space="preserve"> </w:t>
      </w:r>
      <w:r w:rsidR="6C22649C" w:rsidRPr="007F1283">
        <w:t>and incorporat</w:t>
      </w:r>
      <w:r w:rsidR="005F7469" w:rsidRPr="007F1283">
        <w:t>ing</w:t>
      </w:r>
      <w:r w:rsidR="6C22649C" w:rsidRPr="007F1283">
        <w:t xml:space="preserve"> </w:t>
      </w:r>
      <w:r w:rsidR="3A0253EC" w:rsidRPr="007F1283">
        <w:t>the</w:t>
      </w:r>
      <w:r w:rsidR="40A3017A" w:rsidRPr="007F1283">
        <w:t xml:space="preserve"> below presented</w:t>
      </w:r>
      <w:r w:rsidR="3A0253EC" w:rsidRPr="007F1283">
        <w:t xml:space="preserve"> format and approach t</w:t>
      </w:r>
      <w:r w:rsidR="2CD1F32A" w:rsidRPr="007F1283">
        <w:t xml:space="preserve">o structuring the steps </w:t>
      </w:r>
      <w:r w:rsidR="40A3017A" w:rsidRPr="007F1283">
        <w:t xml:space="preserve">for the application of the DNSH principle </w:t>
      </w:r>
      <w:r w:rsidR="2CD1F32A" w:rsidRPr="007F1283">
        <w:t>in the methodological guidance</w:t>
      </w:r>
      <w:r w:rsidR="40A3017A" w:rsidRPr="007F1283">
        <w:t>.</w:t>
      </w:r>
    </w:p>
    <w:p w14:paraId="337CF48D" w14:textId="5FDCEB82" w:rsidR="006920E6" w:rsidRPr="007F1283" w:rsidRDefault="006920E6" w:rsidP="00147417">
      <w:pPr>
        <w:ind w:left="0"/>
      </w:pPr>
    </w:p>
    <w:p w14:paraId="1FC5C926" w14:textId="026FCB19" w:rsidR="00E76FB6" w:rsidRPr="007F1283" w:rsidRDefault="006F6959" w:rsidP="00E76FB6">
      <w:r w:rsidRPr="007F1283">
        <w:t>More detailed</w:t>
      </w:r>
      <w:r w:rsidR="00E76FB6" w:rsidRPr="007F1283">
        <w:t xml:space="preserve"> rationale behind the recommendation</w:t>
      </w:r>
      <w:r w:rsidR="009D6848" w:rsidRPr="007F1283">
        <w:t>s provided</w:t>
      </w:r>
      <w:r w:rsidR="00E76FB6" w:rsidRPr="007F1283">
        <w:t xml:space="preserve"> to use this approach is as follows:</w:t>
      </w:r>
    </w:p>
    <w:p w14:paraId="01C28D0D" w14:textId="77777777" w:rsidR="00E76FB6" w:rsidRPr="007F1283" w:rsidRDefault="00E76FB6" w:rsidP="00E76FB6"/>
    <w:p w14:paraId="1FA9E1D3" w14:textId="37873FB5" w:rsidR="00E76FB6" w:rsidRPr="007F1283" w:rsidRDefault="00E76FB6" w:rsidP="006920E6">
      <w:pPr>
        <w:pStyle w:val="Odstavecseseznamem"/>
        <w:numPr>
          <w:ilvl w:val="0"/>
          <w:numId w:val="9"/>
        </w:numPr>
      </w:pPr>
      <w:r w:rsidRPr="007F1283">
        <w:rPr>
          <w:b/>
          <w:bCs/>
        </w:rPr>
        <w:t>Findings from Ad Hoc Support</w:t>
      </w:r>
      <w:r w:rsidRPr="007F1283">
        <w:t xml:space="preserve"> – </w:t>
      </w:r>
      <w:r w:rsidR="006F6959" w:rsidRPr="007F1283">
        <w:t xml:space="preserve">Based on the analysis in the DLV2 and the specific requests </w:t>
      </w:r>
      <w:r w:rsidR="00017020" w:rsidRPr="007F1283">
        <w:t>received as part of the</w:t>
      </w:r>
      <w:r w:rsidR="006F6959" w:rsidRPr="007F1283">
        <w:t xml:space="preserve"> Ad </w:t>
      </w:r>
      <w:r w:rsidR="00017020" w:rsidRPr="007F1283">
        <w:t>h</w:t>
      </w:r>
      <w:r w:rsidR="006F6959" w:rsidRPr="007F1283">
        <w:t xml:space="preserve">oc </w:t>
      </w:r>
      <w:r w:rsidR="00017020" w:rsidRPr="007F1283">
        <w:t>c</w:t>
      </w:r>
      <w:r w:rsidR="006F6959" w:rsidRPr="007F1283">
        <w:t xml:space="preserve">onsulting </w:t>
      </w:r>
      <w:r w:rsidR="00017020" w:rsidRPr="007F1283">
        <w:t>s</w:t>
      </w:r>
      <w:r w:rsidR="006F6959" w:rsidRPr="007F1283">
        <w:t>upport</w:t>
      </w:r>
      <w:r w:rsidR="009D6848" w:rsidRPr="007F1283">
        <w:t xml:space="preserve"> in particular</w:t>
      </w:r>
      <w:r w:rsidR="006F6959" w:rsidRPr="007F1283">
        <w:t>, i</w:t>
      </w:r>
      <w:r w:rsidRPr="007F1283">
        <w:t xml:space="preserve">t has </w:t>
      </w:r>
      <w:r w:rsidR="00DB136E" w:rsidRPr="007F1283">
        <w:t>become</w:t>
      </w:r>
      <w:r w:rsidRPr="007F1283">
        <w:t xml:space="preserve"> evident that the main issues and challenges</w:t>
      </w:r>
      <w:r w:rsidR="009D6848" w:rsidRPr="007F1283">
        <w:t xml:space="preserve"> around the</w:t>
      </w:r>
      <w:r w:rsidRPr="007F1283">
        <w:t xml:space="preserve"> do</w:t>
      </w:r>
      <w:r w:rsidR="009F5586" w:rsidRPr="007F1283">
        <w:t xml:space="preserve"> not</w:t>
      </w:r>
      <w:r w:rsidRPr="007F1283">
        <w:t xml:space="preserve"> stem from specific investment types and sectoral investment categories</w:t>
      </w:r>
      <w:r w:rsidR="2DCEC4BE" w:rsidRPr="007F1283">
        <w:t>,</w:t>
      </w:r>
      <w:r w:rsidRPr="007F1283">
        <w:t xml:space="preserve"> but rather come from misunderstanding and incomplete interpretation of the process and requirements set in the EU level guidance and regulations.</w:t>
      </w:r>
      <w:r w:rsidR="00915A51" w:rsidRPr="007F1283">
        <w:t xml:space="preserve"> In addition, as stated by some of the programme authorities, this is also due to a certain level of ambiguity and inconsistency in the explanation of the practical application of the EU regulations in question. </w:t>
      </w:r>
      <w:r w:rsidRPr="007F1283">
        <w:t xml:space="preserve">Based on this finding, the project team </w:t>
      </w:r>
      <w:r w:rsidR="00F03E63" w:rsidRPr="007F1283">
        <w:t>recommends</w:t>
      </w:r>
      <w:r w:rsidRPr="007F1283">
        <w:t xml:space="preserve"> </w:t>
      </w:r>
      <w:r w:rsidR="00774CB3" w:rsidRPr="007F1283">
        <w:t xml:space="preserve">either </w:t>
      </w:r>
      <w:r w:rsidR="007F5BA6" w:rsidRPr="007F1283">
        <w:t>developing</w:t>
      </w:r>
      <w:r w:rsidR="00505794" w:rsidRPr="007F1283">
        <w:t>, or amending the existing</w:t>
      </w:r>
      <w:r w:rsidR="00ED5804" w:rsidRPr="007F1283">
        <w:t xml:space="preserve"> guideline</w:t>
      </w:r>
      <w:r w:rsidR="00505794" w:rsidRPr="007F1283">
        <w:t>s</w:t>
      </w:r>
      <w:r w:rsidRPr="007F1283">
        <w:t xml:space="preserve"> </w:t>
      </w:r>
      <w:r w:rsidR="00505794" w:rsidRPr="007F1283">
        <w:t xml:space="preserve">in a way, </w:t>
      </w:r>
      <w:r w:rsidRPr="007F1283">
        <w:t xml:space="preserve">which would address </w:t>
      </w:r>
      <w:r w:rsidR="081D6B41" w:rsidRPr="007F1283">
        <w:t xml:space="preserve">the </w:t>
      </w:r>
      <w:r w:rsidRPr="007F1283">
        <w:t>entire spectrum of potential situations across different programmes and/or components</w:t>
      </w:r>
      <w:r w:rsidR="4F383CB2" w:rsidRPr="007F1283">
        <w:t>,</w:t>
      </w:r>
      <w:r w:rsidRPr="007F1283">
        <w:t xml:space="preserve"> thus bring the most value to the user. </w:t>
      </w:r>
    </w:p>
    <w:p w14:paraId="534914AD" w14:textId="77777777" w:rsidR="00E76FB6" w:rsidRPr="007F1283" w:rsidRDefault="00E76FB6" w:rsidP="00E76FB6"/>
    <w:p w14:paraId="35AB0418" w14:textId="7A15ADB6" w:rsidR="00E76FB6" w:rsidRPr="007F1283" w:rsidRDefault="00E76FB6" w:rsidP="006920E6">
      <w:pPr>
        <w:pStyle w:val="Odstavecseseznamem"/>
        <w:numPr>
          <w:ilvl w:val="0"/>
          <w:numId w:val="9"/>
        </w:numPr>
      </w:pPr>
      <w:r w:rsidRPr="007F1283">
        <w:rPr>
          <w:b/>
          <w:bCs/>
        </w:rPr>
        <w:t>Practicality</w:t>
      </w:r>
      <w:r w:rsidRPr="007F1283">
        <w:t xml:space="preserve"> – The recommended approach represents possible </w:t>
      </w:r>
      <w:r w:rsidR="007C7CE9" w:rsidRPr="007F1283">
        <w:t>options</w:t>
      </w:r>
      <w:r w:rsidRPr="007F1283">
        <w:t xml:space="preserve"> for different </w:t>
      </w:r>
      <w:r w:rsidR="00EF6EB6" w:rsidRPr="007F1283">
        <w:t xml:space="preserve">stages </w:t>
      </w:r>
      <w:r w:rsidRPr="007F1283">
        <w:t xml:space="preserve">of the DNSH application and can already create a strong basis for the structure and format of the methodological guidance (DLV5), which will </w:t>
      </w:r>
      <w:r w:rsidR="00BF1743" w:rsidRPr="007F1283">
        <w:t xml:space="preserve">be further complemented </w:t>
      </w:r>
      <w:r w:rsidR="002D023B" w:rsidRPr="007F1283">
        <w:t>by</w:t>
      </w:r>
      <w:r w:rsidRPr="007F1283">
        <w:t xml:space="preserve"> visual elements such as decision trees</w:t>
      </w:r>
      <w:r w:rsidR="002D023B" w:rsidRPr="007F1283">
        <w:t xml:space="preserve"> and diagrams to ensure </w:t>
      </w:r>
      <w:r w:rsidR="002B74F3" w:rsidRPr="007F1283">
        <w:t>improved usability</w:t>
      </w:r>
      <w:r w:rsidRPr="007F1283">
        <w:t>.</w:t>
      </w:r>
      <w:r w:rsidR="00C67748" w:rsidRPr="007F1283">
        <w:t xml:space="preserve"> Similarly, this </w:t>
      </w:r>
      <w:r w:rsidR="00331D8C" w:rsidRPr="007F1283">
        <w:t>approach</w:t>
      </w:r>
      <w:r w:rsidRPr="007F1283">
        <w:t xml:space="preserve"> </w:t>
      </w:r>
      <w:r w:rsidR="00606174" w:rsidRPr="007F1283">
        <w:t xml:space="preserve">will be used in the </w:t>
      </w:r>
      <w:r w:rsidR="00CC3289" w:rsidRPr="007F1283">
        <w:t xml:space="preserve">pilot </w:t>
      </w:r>
      <w:r w:rsidR="28B35067" w:rsidRPr="007F1283">
        <w:t xml:space="preserve">the </w:t>
      </w:r>
      <w:r w:rsidR="00CC3289" w:rsidRPr="007F1283">
        <w:t xml:space="preserve">testing stage, which is currently being conducted as part of the TSI project </w:t>
      </w:r>
      <w:r w:rsidR="00B16EBF" w:rsidRPr="007F1283">
        <w:lastRenderedPageBreak/>
        <w:t xml:space="preserve">and </w:t>
      </w:r>
      <w:r w:rsidR="346D7065" w:rsidRPr="007F1283">
        <w:t>can</w:t>
      </w:r>
      <w:r w:rsidR="3644D00B" w:rsidRPr="007F1283">
        <w:t xml:space="preserve"> </w:t>
      </w:r>
      <w:r w:rsidR="00B16EBF" w:rsidRPr="007F1283">
        <w:t>thus</w:t>
      </w:r>
      <w:r w:rsidR="00E35169" w:rsidRPr="007F1283">
        <w:t xml:space="preserve"> be validated from the perspective of </w:t>
      </w:r>
      <w:r w:rsidRPr="007F1283">
        <w:t xml:space="preserve">usability and practicality </w:t>
      </w:r>
      <w:r w:rsidR="146C30C1" w:rsidRPr="007F1283">
        <w:t>-</w:t>
      </w:r>
      <w:r w:rsidR="5BD31015" w:rsidRPr="007F1283">
        <w:t xml:space="preserve"> </w:t>
      </w:r>
      <w:r w:rsidR="00E35169" w:rsidRPr="007F1283">
        <w:t xml:space="preserve">before it is </w:t>
      </w:r>
      <w:r w:rsidR="008C5A64" w:rsidRPr="007F1283">
        <w:t xml:space="preserve">applied to the development of the methodological </w:t>
      </w:r>
      <w:r w:rsidR="00273105" w:rsidRPr="007F1283">
        <w:t xml:space="preserve">or </w:t>
      </w:r>
      <w:r w:rsidR="00721179" w:rsidRPr="007F1283">
        <w:t xml:space="preserve">used as the basis for revisions to complement the existing </w:t>
      </w:r>
      <w:r w:rsidR="008C5A64" w:rsidRPr="007F1283">
        <w:t>guidance</w:t>
      </w:r>
      <w:r w:rsidR="00DE5FDA" w:rsidRPr="007F1283">
        <w:t>, to enhance the clarity and usability of the existing guidance document currently in use.</w:t>
      </w:r>
    </w:p>
    <w:p w14:paraId="7CC8DEFD" w14:textId="77777777" w:rsidR="00E76FB6" w:rsidRPr="007F1283" w:rsidRDefault="00E76FB6" w:rsidP="00E76FB6"/>
    <w:p w14:paraId="411F7AAF" w14:textId="6CFA67BD" w:rsidR="00E76FB6" w:rsidRPr="007F1283" w:rsidRDefault="00E76FB6" w:rsidP="006920E6">
      <w:pPr>
        <w:pStyle w:val="Odstavecseseznamem"/>
        <w:numPr>
          <w:ilvl w:val="0"/>
          <w:numId w:val="9"/>
        </w:numPr>
      </w:pPr>
      <w:r w:rsidRPr="007F1283">
        <w:rPr>
          <w:b/>
          <w:bCs/>
        </w:rPr>
        <w:t xml:space="preserve">Inclusion of different </w:t>
      </w:r>
      <w:r w:rsidR="004F679E" w:rsidRPr="007F1283">
        <w:rPr>
          <w:b/>
          <w:bCs/>
        </w:rPr>
        <w:t xml:space="preserve">stages of the </w:t>
      </w:r>
      <w:r w:rsidR="005E7D9E" w:rsidRPr="007F1283">
        <w:rPr>
          <w:b/>
          <w:bCs/>
        </w:rPr>
        <w:t>DNSH application</w:t>
      </w:r>
      <w:r w:rsidR="004F679E" w:rsidRPr="007F1283">
        <w:t xml:space="preserve"> </w:t>
      </w:r>
      <w:r w:rsidRPr="007F1283">
        <w:t xml:space="preserve">– The recommended </w:t>
      </w:r>
      <w:r w:rsidR="005E7D9E" w:rsidRPr="007F1283">
        <w:t xml:space="preserve">stage-based </w:t>
      </w:r>
      <w:r w:rsidRPr="007F1283">
        <w:t xml:space="preserve">approach </w:t>
      </w:r>
      <w:r w:rsidR="008E38C7" w:rsidRPr="007F1283">
        <w:t xml:space="preserve">to structuring the DNSH guidelines </w:t>
      </w:r>
      <w:r w:rsidRPr="007F1283">
        <w:t xml:space="preserve">includes different considerations (i.e., parameters), which may directly influence the requirements and the assessment process for the DNSH and </w:t>
      </w:r>
      <w:r w:rsidR="28ECA402" w:rsidRPr="007F1283">
        <w:t xml:space="preserve">can </w:t>
      </w:r>
      <w:r w:rsidRPr="007F1283">
        <w:t xml:space="preserve">therefore be followed as a step-by-step procedure for </w:t>
      </w:r>
      <w:r w:rsidR="007D29C8" w:rsidRPr="007F1283">
        <w:t>assessing different types of investments and interventions</w:t>
      </w:r>
      <w:r w:rsidRPr="007F1283">
        <w:t xml:space="preserve">. </w:t>
      </w:r>
      <w:r w:rsidR="00282493" w:rsidRPr="007F1283">
        <w:t>This allows to more effectively reach the objectives of DLV4, by leading to a concrete analysis of what it takes to overcome the investment specific challenges. We thus propose to consider when (i.e., in which stage) the investments specific challenges should be addressed.</w:t>
      </w:r>
    </w:p>
    <w:p w14:paraId="6FB25F44" w14:textId="77777777" w:rsidR="00E76FB6" w:rsidRPr="007F1283" w:rsidRDefault="00E76FB6" w:rsidP="001508DA"/>
    <w:p w14:paraId="404EFCF1" w14:textId="20EE2043" w:rsidR="00BC0586" w:rsidRPr="007F1283" w:rsidRDefault="11A6594E" w:rsidP="00D22761">
      <w:pPr>
        <w:pStyle w:val="Nadpis2"/>
        <w:ind w:left="567"/>
      </w:pPr>
      <w:bookmarkStart w:id="30" w:name="_Toc133944263"/>
      <w:r w:rsidRPr="007F1283">
        <w:t xml:space="preserve">Recommended </w:t>
      </w:r>
      <w:r w:rsidR="13F65C23" w:rsidRPr="007F1283">
        <w:t xml:space="preserve">DNSH </w:t>
      </w:r>
      <w:r w:rsidR="7D3B4D1A" w:rsidRPr="007F1283">
        <w:t>assessment</w:t>
      </w:r>
      <w:r w:rsidR="13F65C23" w:rsidRPr="007F1283">
        <w:t xml:space="preserve"> </w:t>
      </w:r>
      <w:r w:rsidR="1678269D" w:rsidRPr="007F1283">
        <w:t>steps</w:t>
      </w:r>
      <w:bookmarkEnd w:id="30"/>
    </w:p>
    <w:p w14:paraId="36F91C75" w14:textId="3CB48B94" w:rsidR="00BC0586" w:rsidRPr="007F1283" w:rsidRDefault="1678269D" w:rsidP="00B6521E">
      <w:r w:rsidRPr="007F1283">
        <w:t xml:space="preserve">While the above analysis of the investment types and investment categories provides a comprehensive overview of the main areas and planned investments and interventions in the financing period of 2021 – 2027, it is not the type of the investment/intervention or the investment category that explicitly sets the requirements and the process for the DNSH assessment. In other words, while the funded area, sector, and respective types of actions may influence the complexity of the assessment and the DNSH requirements, it does not represent a common denominator that directly changes the approach to the DNSH application or alters the steps in the assessment. Instead, the exact process for the application of DNSH principle will depend on the combination of </w:t>
      </w:r>
      <w:r w:rsidR="00C936F4" w:rsidRPr="007F1283">
        <w:t xml:space="preserve">different </w:t>
      </w:r>
      <w:r w:rsidRPr="007F1283">
        <w:t>parameters (e.g., source of funds, availability of the TSC, etc.) that have direct impact on both the steps of the assessment process and the DNSH requirements. For this reason, in order to ensure coherence and applicability of the methodological guidance across all programmes and funds, we recommend using an approach structured around main stages of the assessment process with a clear indication of how</w:t>
      </w:r>
      <w:r w:rsidR="00841824" w:rsidRPr="007F1283">
        <w:t xml:space="preserve"> </w:t>
      </w:r>
      <w:r w:rsidR="00FD2558" w:rsidRPr="007F1283">
        <w:t xml:space="preserve">specific </w:t>
      </w:r>
      <w:r w:rsidR="00027612" w:rsidRPr="007F1283">
        <w:t xml:space="preserve">parameters </w:t>
      </w:r>
      <w:r w:rsidRPr="007F1283">
        <w:t>in each stage influence the assessment. This approach</w:t>
      </w:r>
      <w:r w:rsidR="00027612" w:rsidRPr="007F1283">
        <w:t xml:space="preserve"> </w:t>
      </w:r>
      <w:r w:rsidRPr="007F1283">
        <w:t xml:space="preserve">is explained in more detail below. </w:t>
      </w:r>
    </w:p>
    <w:p w14:paraId="3D112464" w14:textId="773DBE62" w:rsidR="00BC0586" w:rsidRPr="007F1283" w:rsidRDefault="00BC0586" w:rsidP="001508DA"/>
    <w:p w14:paraId="5CE89957" w14:textId="39CC2D75" w:rsidR="00BC0586" w:rsidRPr="007F1283" w:rsidRDefault="6C8E136A" w:rsidP="005D5776">
      <w:pPr>
        <w:pStyle w:val="Nadpis3"/>
      </w:pPr>
      <w:bookmarkStart w:id="31" w:name="_Toc133944264"/>
      <w:r w:rsidRPr="007F1283">
        <w:t>St</w:t>
      </w:r>
      <w:r w:rsidR="003A0FE3" w:rsidRPr="007F1283">
        <w:t>ages</w:t>
      </w:r>
      <w:r w:rsidRPr="007F1283">
        <w:t xml:space="preserve"> of the DNSH assessment and key parameters</w:t>
      </w:r>
      <w:bookmarkEnd w:id="31"/>
    </w:p>
    <w:p w14:paraId="278E6D55" w14:textId="60D10B36" w:rsidR="00F84845" w:rsidRPr="007F1283" w:rsidRDefault="00BC0586" w:rsidP="00B6521E">
      <w:r w:rsidRPr="007F1283">
        <w:t xml:space="preserve">The </w:t>
      </w:r>
      <w:r w:rsidR="00E77367" w:rsidRPr="007F1283">
        <w:t>section below outlines</w:t>
      </w:r>
      <w:r w:rsidRPr="007F1283">
        <w:t xml:space="preserve"> </w:t>
      </w:r>
      <w:r w:rsidR="003B50E3" w:rsidRPr="007F1283">
        <w:t xml:space="preserve">the </w:t>
      </w:r>
      <w:r w:rsidRPr="007F1283">
        <w:t>considerations (parameters)</w:t>
      </w:r>
      <w:r w:rsidR="009957B4" w:rsidRPr="007F1283">
        <w:t xml:space="preserve"> included in the proposed approach. T</w:t>
      </w:r>
      <w:r w:rsidR="002E1560" w:rsidRPr="007F1283">
        <w:t>he con</w:t>
      </w:r>
      <w:r w:rsidR="000C6B67" w:rsidRPr="007F1283">
        <w:t xml:space="preserve">siderations have been selected </w:t>
      </w:r>
      <w:r w:rsidR="00DF7515" w:rsidRPr="007F1283">
        <w:t xml:space="preserve">on whether and how they </w:t>
      </w:r>
      <w:r w:rsidRPr="007F1283">
        <w:t xml:space="preserve">directly impact the </w:t>
      </w:r>
      <w:r w:rsidR="00764F22" w:rsidRPr="007F1283">
        <w:t>application of the DNSH</w:t>
      </w:r>
      <w:r w:rsidRPr="007F1283">
        <w:t xml:space="preserve">, </w:t>
      </w:r>
      <w:r w:rsidR="00764F22" w:rsidRPr="007F1283">
        <w:t xml:space="preserve">the </w:t>
      </w:r>
      <w:r w:rsidRPr="007F1283">
        <w:t xml:space="preserve">complexity of the assessment, </w:t>
      </w:r>
      <w:r w:rsidR="00764F22" w:rsidRPr="007F1283">
        <w:t>the set of</w:t>
      </w:r>
      <w:r w:rsidRPr="007F1283">
        <w:t xml:space="preserve"> requirements, and additional methodologies that need to be involved in certain cases (e.g., Climate proofing for infrastructure). Each </w:t>
      </w:r>
      <w:r w:rsidR="00BF3A6C" w:rsidRPr="007F1283">
        <w:t xml:space="preserve">of the five </w:t>
      </w:r>
      <w:r w:rsidR="002B4D0E" w:rsidRPr="007F1283">
        <w:t xml:space="preserve">stages </w:t>
      </w:r>
      <w:r w:rsidRPr="007F1283">
        <w:t xml:space="preserve">has been based on the EU level regulation and/or technical guidance documents and provides </w:t>
      </w:r>
      <w:r w:rsidR="00B32029" w:rsidRPr="007F1283">
        <w:t>brief justification on why it has been selected and how it impacts the DNSH assessment process.</w:t>
      </w:r>
      <w:r w:rsidR="00282493" w:rsidRPr="007F1283">
        <w:t xml:space="preserve"> </w:t>
      </w:r>
      <w:r w:rsidR="00282493" w:rsidRPr="007F1283">
        <w:rPr>
          <w:rStyle w:val="cf01"/>
          <w:rFonts w:ascii="Trebuchet MS" w:hAnsi="Trebuchet MS"/>
        </w:rPr>
        <w:t>Guidelines will at the programming stage drive the focus on investments without potential harm, while at the implementation stage should also aim to design some mitigation measures.</w:t>
      </w:r>
      <w:r w:rsidR="00B32029" w:rsidRPr="007F1283">
        <w:t xml:space="preserve"> </w:t>
      </w:r>
      <w:r w:rsidR="00A73A8A" w:rsidRPr="007F1283">
        <w:t xml:space="preserve">For more detailed information and description of </w:t>
      </w:r>
      <w:r w:rsidR="001028FA" w:rsidRPr="007F1283">
        <w:t xml:space="preserve">each stage and parameters </w:t>
      </w:r>
      <w:r w:rsidR="009C1134" w:rsidRPr="007F1283">
        <w:t>it includes, please see Annex B.</w:t>
      </w:r>
    </w:p>
    <w:p w14:paraId="332DD619" w14:textId="77777777" w:rsidR="00BF3A6C" w:rsidRPr="007F1283" w:rsidRDefault="00BF3A6C" w:rsidP="00BF3A6C"/>
    <w:p w14:paraId="011AD28D" w14:textId="6E9F0099" w:rsidR="00BF3A6C" w:rsidRPr="007F1283" w:rsidRDefault="00BF3A6C" w:rsidP="00BF3A6C">
      <w:pPr>
        <w:pStyle w:val="Odstavecseseznamem"/>
        <w:numPr>
          <w:ilvl w:val="0"/>
          <w:numId w:val="15"/>
        </w:numPr>
        <w:rPr>
          <w:rStyle w:val="normaltextrun"/>
          <w:rFonts w:cs="Arial"/>
          <w:b/>
          <w:bCs/>
          <w:color w:val="000000"/>
          <w:shd w:val="clear" w:color="auto" w:fill="FFFFFF"/>
        </w:rPr>
      </w:pPr>
      <w:r w:rsidRPr="007F1283">
        <w:rPr>
          <w:rStyle w:val="normaltextrun"/>
          <w:rFonts w:cs="Arial"/>
          <w:b/>
          <w:bCs/>
          <w:color w:val="000000"/>
          <w:shd w:val="clear" w:color="auto" w:fill="FFFFFF"/>
        </w:rPr>
        <w:t xml:space="preserve">EU </w:t>
      </w:r>
      <w:r w:rsidR="008A7ABD" w:rsidRPr="007F1283">
        <w:rPr>
          <w:rStyle w:val="normaltextrun"/>
          <w:rFonts w:cs="Arial"/>
          <w:b/>
          <w:bCs/>
          <w:color w:val="000000"/>
          <w:shd w:val="clear" w:color="auto" w:fill="FFFFFF"/>
        </w:rPr>
        <w:t>f</w:t>
      </w:r>
      <w:r w:rsidRPr="007F1283">
        <w:rPr>
          <w:rStyle w:val="normaltextrun"/>
          <w:rFonts w:cs="Arial"/>
          <w:b/>
          <w:bCs/>
          <w:color w:val="000000"/>
          <w:shd w:val="clear" w:color="auto" w:fill="FFFFFF"/>
        </w:rPr>
        <w:t>und</w:t>
      </w:r>
    </w:p>
    <w:p w14:paraId="09C9DE70" w14:textId="5998793A" w:rsidR="00BF3A6C" w:rsidRPr="007F1283" w:rsidRDefault="001609F4" w:rsidP="001609F4">
      <w:pPr>
        <w:ind w:left="1287"/>
      </w:pPr>
      <w:r w:rsidRPr="007F1283">
        <w:t>The EU fund (i.e</w:t>
      </w:r>
      <w:r w:rsidR="224CFF2C" w:rsidRPr="007F1283">
        <w:t>.,</w:t>
      </w:r>
      <w:r w:rsidRPr="007F1283">
        <w:t xml:space="preserve"> the source of funds </w:t>
      </w:r>
      <w:r w:rsidR="005E5B9A" w:rsidRPr="007F1283">
        <w:t>for</w:t>
      </w:r>
      <w:r w:rsidRPr="007F1283">
        <w:t xml:space="preserve"> the programme</w:t>
      </w:r>
      <w:r w:rsidR="005E5B9A" w:rsidRPr="007F1283">
        <w:t xml:space="preserve">s and investments at the national level) represents </w:t>
      </w:r>
      <w:r w:rsidR="00514B18" w:rsidRPr="007F1283">
        <w:t>the first and the most</w:t>
      </w:r>
      <w:r w:rsidR="005E5B9A" w:rsidRPr="007F1283">
        <w:t xml:space="preserve"> crucial </w:t>
      </w:r>
      <w:r w:rsidR="00CA52CB" w:rsidRPr="007F1283">
        <w:t>consideration</w:t>
      </w:r>
      <w:r w:rsidR="00222995" w:rsidRPr="007F1283">
        <w:t xml:space="preserve">, that </w:t>
      </w:r>
      <w:r w:rsidR="00807A70" w:rsidRPr="007F1283">
        <w:t xml:space="preserve">influences </w:t>
      </w:r>
      <w:r w:rsidR="007B7668" w:rsidRPr="007F1283">
        <w:t>all</w:t>
      </w:r>
      <w:r w:rsidR="00152F7C" w:rsidRPr="007F1283">
        <w:t xml:space="preserve"> steps</w:t>
      </w:r>
      <w:r w:rsidR="00807A70" w:rsidRPr="007F1283">
        <w:t xml:space="preserve"> throughout the DNSH assessment. </w:t>
      </w:r>
      <w:r w:rsidR="00682A2D" w:rsidRPr="007F1283">
        <w:t xml:space="preserve">Depending on whether the funds are from the </w:t>
      </w:r>
      <w:r w:rsidR="009C2FDF" w:rsidRPr="007F1283">
        <w:t>Recovery and Resilience Facility (RRF), InvestEU, or Cohesion policy funds (CPF))</w:t>
      </w:r>
      <w:r w:rsidR="00682A2D" w:rsidRPr="007F1283">
        <w:t xml:space="preserve">, this will directly impact </w:t>
      </w:r>
      <w:r w:rsidR="00682A2D" w:rsidRPr="007F1283">
        <w:lastRenderedPageBreak/>
        <w:t xml:space="preserve">the </w:t>
      </w:r>
      <w:r w:rsidR="00F5072B" w:rsidRPr="007F1283">
        <w:t xml:space="preserve">different </w:t>
      </w:r>
      <w:r w:rsidR="00E10D23" w:rsidRPr="007F1283">
        <w:t xml:space="preserve">stages </w:t>
      </w:r>
      <w:r w:rsidR="003E2791" w:rsidRPr="007F1283">
        <w:t xml:space="preserve">of the DNSH application </w:t>
      </w:r>
      <w:r w:rsidR="00A32F84" w:rsidRPr="007F1283">
        <w:t xml:space="preserve">from the ex-ante assessment to </w:t>
      </w:r>
      <w:r w:rsidR="000C69CF" w:rsidRPr="007F1283">
        <w:t>decommissioning</w:t>
      </w:r>
      <w:r w:rsidR="00A32F84" w:rsidRPr="007F1283">
        <w:t xml:space="preserve"> phases</w:t>
      </w:r>
      <w:r w:rsidR="3684F878" w:rsidRPr="007F1283">
        <w:t>,</w:t>
      </w:r>
      <w:r w:rsidR="00913BB1" w:rsidRPr="007F1283">
        <w:t xml:space="preserve"> as well as the requirement</w:t>
      </w:r>
      <w:r w:rsidR="00433DEB" w:rsidRPr="007F1283">
        <w:t xml:space="preserve"> for</w:t>
      </w:r>
      <w:r w:rsidR="00913BB1" w:rsidRPr="007F1283">
        <w:t xml:space="preserve"> and interlinkage to </w:t>
      </w:r>
      <w:r w:rsidR="00D60B2F" w:rsidRPr="007F1283">
        <w:t xml:space="preserve">other </w:t>
      </w:r>
      <w:r w:rsidR="00433DEB" w:rsidRPr="007F1283">
        <w:t xml:space="preserve">environmental methodologies such as climate and sustainability proofing. In addition, </w:t>
      </w:r>
      <w:r w:rsidR="00AC522C" w:rsidRPr="007F1283">
        <w:t xml:space="preserve">based on the </w:t>
      </w:r>
      <w:r w:rsidR="006E6452" w:rsidRPr="007F1283">
        <w:t>fund</w:t>
      </w:r>
      <w:r w:rsidR="5BC0CE11" w:rsidRPr="007F1283">
        <w:t>-</w:t>
      </w:r>
      <w:r w:rsidR="006E6452" w:rsidRPr="007F1283">
        <w:t>specific regulation documents</w:t>
      </w:r>
      <w:r w:rsidR="000B2E4E" w:rsidRPr="007F1283">
        <w:t xml:space="preserve">, the source of funding will dictate the sectoral specificities and </w:t>
      </w:r>
      <w:r w:rsidR="00E108CB" w:rsidRPr="007F1283">
        <w:t>potential exclusions.</w:t>
      </w:r>
      <w:r w:rsidR="00BB5011" w:rsidRPr="007F1283">
        <w:br/>
      </w:r>
    </w:p>
    <w:p w14:paraId="15BA7618" w14:textId="06643A47" w:rsidR="00BF3A6C" w:rsidRPr="007F1283" w:rsidRDefault="00BF3A6C" w:rsidP="006A7ED8">
      <w:pPr>
        <w:pStyle w:val="Odstavecseseznamem"/>
        <w:numPr>
          <w:ilvl w:val="0"/>
          <w:numId w:val="15"/>
        </w:numPr>
        <w:rPr>
          <w:b/>
          <w:bCs/>
        </w:rPr>
      </w:pPr>
      <w:r w:rsidRPr="007F1283">
        <w:rPr>
          <w:b/>
          <w:bCs/>
        </w:rPr>
        <w:t xml:space="preserve">Sectoral and </w:t>
      </w:r>
      <w:r w:rsidR="008A7ABD" w:rsidRPr="007F1283">
        <w:rPr>
          <w:b/>
          <w:bCs/>
        </w:rPr>
        <w:t>n</w:t>
      </w:r>
      <w:r w:rsidRPr="007F1283">
        <w:rPr>
          <w:b/>
          <w:bCs/>
        </w:rPr>
        <w:t>ational specificities</w:t>
      </w:r>
      <w:r w:rsidR="00E108CB" w:rsidRPr="007F1283">
        <w:br/>
      </w:r>
      <w:r w:rsidR="001C6357" w:rsidRPr="007F1283">
        <w:t xml:space="preserve">Each fund </w:t>
      </w:r>
      <w:r w:rsidR="00DC3B25" w:rsidRPr="007F1283">
        <w:t xml:space="preserve">may involve </w:t>
      </w:r>
      <w:r w:rsidR="00547781" w:rsidRPr="007F1283">
        <w:t xml:space="preserve">specific sectors and/or activities </w:t>
      </w:r>
      <w:r w:rsidR="00DF5AF0" w:rsidRPr="007F1283">
        <w:t xml:space="preserve">that </w:t>
      </w:r>
      <w:r w:rsidR="00D7756D" w:rsidRPr="007F1283">
        <w:t xml:space="preserve">are excluded </w:t>
      </w:r>
      <w:r w:rsidR="006E7FAD" w:rsidRPr="007F1283">
        <w:t>from the eligible investments</w:t>
      </w:r>
      <w:r w:rsidR="00B561E8" w:rsidRPr="007F1283">
        <w:t xml:space="preserve"> </w:t>
      </w:r>
      <w:r w:rsidR="00A7532B" w:rsidRPr="007F1283">
        <w:t>(e.g</w:t>
      </w:r>
      <w:r w:rsidR="1EBDFA6C" w:rsidRPr="007F1283">
        <w:t>.,</w:t>
      </w:r>
      <w:r w:rsidR="00A7532B" w:rsidRPr="007F1283">
        <w:t xml:space="preserve"> </w:t>
      </w:r>
      <w:r w:rsidR="0054525E" w:rsidRPr="007F1283">
        <w:t>production of fossil fuels</w:t>
      </w:r>
      <w:r w:rsidR="00976F1D" w:rsidRPr="007F1283">
        <w:t>,</w:t>
      </w:r>
      <w:r w:rsidR="00355FC1" w:rsidRPr="007F1283">
        <w:t xml:space="preserve"> waste incinerators)</w:t>
      </w:r>
      <w:r w:rsidR="00251948" w:rsidRPr="007F1283">
        <w:t xml:space="preserve"> or involve additional conditions that must be met in order for the activities to be included in the programme</w:t>
      </w:r>
      <w:r w:rsidR="006E7FAD" w:rsidRPr="007F1283">
        <w:t xml:space="preserve">. </w:t>
      </w:r>
      <w:r w:rsidR="00AA53F0" w:rsidRPr="007F1283">
        <w:t xml:space="preserve">The exclusions </w:t>
      </w:r>
      <w:r w:rsidR="3DA4A9CE" w:rsidRPr="007F1283">
        <w:t>and</w:t>
      </w:r>
      <w:r w:rsidR="00AA53F0" w:rsidRPr="007F1283">
        <w:t xml:space="preserve"> restrictions are </w:t>
      </w:r>
      <w:r w:rsidR="00743CB9" w:rsidRPr="007F1283">
        <w:t xml:space="preserve">provided </w:t>
      </w:r>
      <w:r w:rsidR="00062B75" w:rsidRPr="007F1283">
        <w:t xml:space="preserve">in the fund-related EU level regulation or technical guidance </w:t>
      </w:r>
      <w:r w:rsidR="005853C5" w:rsidRPr="007F1283">
        <w:t xml:space="preserve">documentation, </w:t>
      </w:r>
      <w:r w:rsidR="774EB777" w:rsidRPr="007F1283">
        <w:t>a</w:t>
      </w:r>
      <w:r w:rsidR="6BCC0175" w:rsidRPr="007F1283">
        <w:t xml:space="preserve"> list </w:t>
      </w:r>
      <w:r w:rsidR="005853C5" w:rsidRPr="007F1283">
        <w:t xml:space="preserve">of which can be found in the Annex B. </w:t>
      </w:r>
      <w:r w:rsidR="00AC78A0" w:rsidRPr="007F1283">
        <w:t xml:space="preserve">The sectoral specificities need to be </w:t>
      </w:r>
      <w:r w:rsidR="00641E62" w:rsidRPr="007F1283">
        <w:t xml:space="preserve">considered </w:t>
      </w:r>
      <w:r w:rsidR="002B125A" w:rsidRPr="007F1283">
        <w:t>prior to the following stages of the DNS</w:t>
      </w:r>
      <w:r w:rsidR="00033E38" w:rsidRPr="007F1283">
        <w:t xml:space="preserve">H </w:t>
      </w:r>
      <w:r w:rsidR="002B125A" w:rsidRPr="007F1283">
        <w:t xml:space="preserve">application </w:t>
      </w:r>
      <w:r w:rsidR="00155DDA" w:rsidRPr="007F1283">
        <w:t>to ensure compliance with the respective regulation and</w:t>
      </w:r>
      <w:r w:rsidR="00AA272D" w:rsidRPr="007F1283">
        <w:t xml:space="preserve">/or </w:t>
      </w:r>
      <w:r w:rsidR="00304B02" w:rsidRPr="007F1283">
        <w:t xml:space="preserve">proper </w:t>
      </w:r>
      <w:r w:rsidR="00440C1A" w:rsidRPr="007F1283">
        <w:t xml:space="preserve">interpretation </w:t>
      </w:r>
      <w:r w:rsidR="00967E03" w:rsidRPr="007F1283">
        <w:t xml:space="preserve">and </w:t>
      </w:r>
      <w:r w:rsidR="002B4574" w:rsidRPr="007F1283">
        <w:t>inclusion</w:t>
      </w:r>
      <w:r w:rsidR="00967E03" w:rsidRPr="007F1283">
        <w:t xml:space="preserve"> </w:t>
      </w:r>
      <w:r w:rsidR="00440C1A" w:rsidRPr="007F1283">
        <w:t>of the additional</w:t>
      </w:r>
      <w:r w:rsidR="00490EB2" w:rsidRPr="007F1283">
        <w:t xml:space="preserve"> conditions </w:t>
      </w:r>
      <w:r w:rsidR="00967E03" w:rsidRPr="007F1283">
        <w:t xml:space="preserve">in the programme documents. </w:t>
      </w:r>
      <w:r w:rsidR="00521587" w:rsidRPr="007F1283">
        <w:t xml:space="preserve">Similarly, additional national </w:t>
      </w:r>
      <w:r w:rsidR="006A7ED8" w:rsidRPr="007F1283">
        <w:t>restrictions should be considered at this stage to ensure compliance with national legislation.</w:t>
      </w:r>
    </w:p>
    <w:p w14:paraId="1A3DD245" w14:textId="77777777" w:rsidR="006A7ED8" w:rsidRPr="007F1283" w:rsidRDefault="006A7ED8" w:rsidP="006A7ED8">
      <w:pPr>
        <w:pStyle w:val="Odstavecseseznamem"/>
        <w:ind w:left="1287"/>
        <w:rPr>
          <w:b/>
          <w:bCs/>
        </w:rPr>
      </w:pPr>
    </w:p>
    <w:p w14:paraId="51E92E65" w14:textId="77777777" w:rsidR="00BF3A6C" w:rsidRPr="007F1283" w:rsidRDefault="00BF3A6C" w:rsidP="00BF3A6C">
      <w:pPr>
        <w:pStyle w:val="Odstavecseseznamem"/>
        <w:numPr>
          <w:ilvl w:val="0"/>
          <w:numId w:val="15"/>
        </w:numPr>
        <w:rPr>
          <w:rStyle w:val="normaltextrun"/>
          <w:rFonts w:cs="Arial"/>
          <w:b/>
          <w:bCs/>
          <w:color w:val="000000"/>
          <w:szCs w:val="18"/>
          <w:shd w:val="clear" w:color="auto" w:fill="FFFFFF"/>
        </w:rPr>
      </w:pPr>
      <w:r w:rsidRPr="007F1283">
        <w:rPr>
          <w:rStyle w:val="normaltextrun"/>
          <w:rFonts w:cs="Arial"/>
          <w:b/>
          <w:bCs/>
          <w:color w:val="000000"/>
          <w:shd w:val="clear" w:color="auto" w:fill="FFFFFF"/>
        </w:rPr>
        <w:t xml:space="preserve">Assessment level </w:t>
      </w:r>
    </w:p>
    <w:p w14:paraId="5865380E" w14:textId="324A359E" w:rsidR="00BF3A6C" w:rsidRPr="007F1283" w:rsidRDefault="00F50AF6" w:rsidP="00BF3A6C">
      <w:pPr>
        <w:pStyle w:val="Odstavecseseznamem"/>
        <w:ind w:left="1287"/>
        <w:rPr>
          <w:rStyle w:val="normaltextrun"/>
          <w:rFonts w:cs="Arial"/>
          <w:color w:val="000000"/>
          <w:shd w:val="clear" w:color="auto" w:fill="FFFFFF"/>
        </w:rPr>
      </w:pPr>
      <w:r w:rsidRPr="007F1283">
        <w:rPr>
          <w:rStyle w:val="normaltextrun"/>
          <w:rFonts w:cs="Arial"/>
          <w:color w:val="000000"/>
          <w:shd w:val="clear" w:color="auto" w:fill="FFFFFF"/>
        </w:rPr>
        <w:t xml:space="preserve">The source of funds </w:t>
      </w:r>
      <w:r w:rsidR="00E45CBE" w:rsidRPr="007F1283">
        <w:rPr>
          <w:rStyle w:val="normaltextrun"/>
          <w:rFonts w:cs="Arial"/>
          <w:color w:val="000000"/>
          <w:shd w:val="clear" w:color="auto" w:fill="FFFFFF"/>
        </w:rPr>
        <w:t xml:space="preserve">feeding into the programmes at the national level also </w:t>
      </w:r>
      <w:r w:rsidR="00CD477E" w:rsidRPr="007F1283">
        <w:rPr>
          <w:rStyle w:val="normaltextrun"/>
          <w:rFonts w:cs="Arial"/>
          <w:color w:val="000000"/>
          <w:shd w:val="clear" w:color="auto" w:fill="FFFFFF"/>
        </w:rPr>
        <w:t>dictates the level at which the DNSH assessment should be carried out.</w:t>
      </w:r>
      <w:r w:rsidR="00FC5834" w:rsidRPr="007F1283">
        <w:rPr>
          <w:rStyle w:val="normaltextrun"/>
          <w:rFonts w:cs="Arial"/>
          <w:color w:val="000000"/>
          <w:shd w:val="clear" w:color="auto" w:fill="FFFFFF"/>
        </w:rPr>
        <w:t xml:space="preserve"> </w:t>
      </w:r>
      <w:r w:rsidR="00997BDC" w:rsidRPr="007F1283">
        <w:rPr>
          <w:rStyle w:val="normaltextrun"/>
          <w:rFonts w:cs="Arial"/>
          <w:color w:val="000000"/>
          <w:shd w:val="clear" w:color="auto" w:fill="FFFFFF"/>
        </w:rPr>
        <w:t xml:space="preserve">Depending on the fund, </w:t>
      </w:r>
      <w:r w:rsidR="006761CB" w:rsidRPr="007F1283">
        <w:rPr>
          <w:rStyle w:val="normaltextrun"/>
          <w:rFonts w:cs="Arial"/>
          <w:color w:val="000000"/>
          <w:shd w:val="clear" w:color="auto" w:fill="FFFFFF"/>
        </w:rPr>
        <w:t>the</w:t>
      </w:r>
      <w:r w:rsidR="00444AE7" w:rsidRPr="007F1283">
        <w:rPr>
          <w:rStyle w:val="normaltextrun"/>
          <w:rFonts w:cs="Arial"/>
          <w:color w:val="000000"/>
          <w:shd w:val="clear" w:color="auto" w:fill="FFFFFF"/>
        </w:rPr>
        <w:t xml:space="preserve"> level </w:t>
      </w:r>
      <w:r w:rsidR="00F41644" w:rsidRPr="007F1283">
        <w:rPr>
          <w:rStyle w:val="normaltextrun"/>
          <w:rFonts w:cs="Arial"/>
          <w:color w:val="000000"/>
          <w:shd w:val="clear" w:color="auto" w:fill="FFFFFF"/>
        </w:rPr>
        <w:t xml:space="preserve">for the </w:t>
      </w:r>
      <w:r w:rsidR="006761CB" w:rsidRPr="007F1283">
        <w:rPr>
          <w:rStyle w:val="normaltextrun"/>
          <w:rFonts w:cs="Arial"/>
          <w:color w:val="000000"/>
          <w:shd w:val="clear" w:color="auto" w:fill="FFFFFF"/>
        </w:rPr>
        <w:t xml:space="preserve">ex-ante assessment </w:t>
      </w:r>
      <w:r w:rsidR="00F41644" w:rsidRPr="007F1283">
        <w:rPr>
          <w:rStyle w:val="normaltextrun"/>
          <w:rFonts w:cs="Arial"/>
          <w:color w:val="000000"/>
          <w:shd w:val="clear" w:color="auto" w:fill="FFFFFF"/>
        </w:rPr>
        <w:t xml:space="preserve">will vary </w:t>
      </w:r>
      <w:r w:rsidR="00731853" w:rsidRPr="007F1283">
        <w:rPr>
          <w:rStyle w:val="normaltextrun"/>
          <w:rFonts w:cs="Arial"/>
          <w:color w:val="000000"/>
          <w:shd w:val="clear" w:color="auto" w:fill="FFFFFF"/>
        </w:rPr>
        <w:t xml:space="preserve">between </w:t>
      </w:r>
      <w:r w:rsidR="00A11006" w:rsidRPr="007F1283">
        <w:rPr>
          <w:rStyle w:val="normaltextrun"/>
          <w:rFonts w:cs="Arial"/>
          <w:color w:val="000000"/>
          <w:shd w:val="clear" w:color="auto" w:fill="FFFFFF"/>
        </w:rPr>
        <w:t xml:space="preserve">the </w:t>
      </w:r>
      <w:r w:rsidR="00ED7474" w:rsidRPr="007F1283">
        <w:rPr>
          <w:rStyle w:val="normaltextrun"/>
          <w:rFonts w:cs="Arial"/>
          <w:color w:val="000000"/>
          <w:shd w:val="clear" w:color="auto" w:fill="FFFFFF"/>
        </w:rPr>
        <w:t>measure/</w:t>
      </w:r>
      <w:r w:rsidR="0016301B" w:rsidRPr="007F1283">
        <w:rPr>
          <w:rStyle w:val="normaltextrun"/>
          <w:rFonts w:cs="Arial"/>
          <w:color w:val="000000"/>
          <w:shd w:val="clear" w:color="auto" w:fill="FFFFFF"/>
        </w:rPr>
        <w:t xml:space="preserve">investment level (RRF), </w:t>
      </w:r>
      <w:r w:rsidR="00FF026C" w:rsidRPr="007F1283">
        <w:rPr>
          <w:rStyle w:val="normaltextrun"/>
          <w:rFonts w:cs="Arial"/>
          <w:color w:val="000000"/>
          <w:shd w:val="clear" w:color="auto" w:fill="FFFFFF"/>
        </w:rPr>
        <w:t xml:space="preserve">level of the </w:t>
      </w:r>
      <w:r w:rsidR="004C7D2F" w:rsidRPr="007F1283">
        <w:rPr>
          <w:rStyle w:val="normaltextrun"/>
          <w:rFonts w:cs="Arial"/>
          <w:color w:val="000000"/>
          <w:shd w:val="clear" w:color="auto" w:fill="FFFFFF"/>
        </w:rPr>
        <w:t xml:space="preserve">types of actions </w:t>
      </w:r>
      <w:r w:rsidR="00FF026C" w:rsidRPr="007F1283">
        <w:rPr>
          <w:rStyle w:val="normaltextrun"/>
          <w:rFonts w:cs="Arial"/>
          <w:color w:val="000000"/>
          <w:shd w:val="clear" w:color="auto" w:fill="FFFFFF"/>
        </w:rPr>
        <w:t>defined in the programme (CPF</w:t>
      </w:r>
      <w:r w:rsidR="0223CCC0" w:rsidRPr="007F1283">
        <w:rPr>
          <w:rStyle w:val="normaltextrun"/>
          <w:rFonts w:cs="Arial"/>
          <w:color w:val="000000"/>
          <w:shd w:val="clear" w:color="auto" w:fill="FFFFFF"/>
        </w:rPr>
        <w:t>)</w:t>
      </w:r>
      <w:r w:rsidR="44417831" w:rsidRPr="007F1283">
        <w:rPr>
          <w:rStyle w:val="normaltextrun"/>
          <w:rFonts w:cs="Arial"/>
          <w:color w:val="000000"/>
          <w:shd w:val="clear" w:color="auto" w:fill="FFFFFF"/>
        </w:rPr>
        <w:t>,</w:t>
      </w:r>
      <w:r w:rsidR="00FF026C" w:rsidRPr="007F1283">
        <w:rPr>
          <w:rStyle w:val="normaltextrun"/>
          <w:rFonts w:cs="Arial"/>
          <w:color w:val="000000"/>
          <w:shd w:val="clear" w:color="auto" w:fill="FFFFFF"/>
        </w:rPr>
        <w:t xml:space="preserve"> or project level (InvestEU). </w:t>
      </w:r>
      <w:r w:rsidR="000C07BC" w:rsidRPr="007F1283">
        <w:rPr>
          <w:rStyle w:val="normaltextrun"/>
          <w:rFonts w:cs="Arial"/>
          <w:color w:val="000000"/>
          <w:shd w:val="clear" w:color="auto" w:fill="FFFFFF"/>
        </w:rPr>
        <w:t xml:space="preserve">The level of the assessment will </w:t>
      </w:r>
      <w:r w:rsidR="00F1179F" w:rsidRPr="007F1283">
        <w:rPr>
          <w:rStyle w:val="normaltextrun"/>
          <w:rFonts w:cs="Arial"/>
          <w:color w:val="000000"/>
          <w:shd w:val="clear" w:color="auto" w:fill="FFFFFF"/>
        </w:rPr>
        <w:t xml:space="preserve">further specify the activities for which DNSH requirements need to be identified and complied with, </w:t>
      </w:r>
      <w:r w:rsidR="0031629A" w:rsidRPr="007F1283">
        <w:rPr>
          <w:rStyle w:val="normaltextrun"/>
          <w:rFonts w:cs="Arial"/>
          <w:color w:val="000000"/>
          <w:shd w:val="clear" w:color="auto" w:fill="FFFFFF"/>
        </w:rPr>
        <w:t>as part of the subsequent step.</w:t>
      </w:r>
      <w:r w:rsidR="00F1179F" w:rsidRPr="007F1283">
        <w:rPr>
          <w:rStyle w:val="normaltextrun"/>
          <w:rFonts w:cs="Arial"/>
          <w:color w:val="000000"/>
          <w:shd w:val="clear" w:color="auto" w:fill="FFFFFF"/>
        </w:rPr>
        <w:t xml:space="preserve"> </w:t>
      </w:r>
      <w:r w:rsidR="00BF3A6C" w:rsidRPr="007F1283">
        <w:rPr>
          <w:rStyle w:val="normaltextrun"/>
          <w:rFonts w:cs="Arial"/>
          <w:color w:val="000000"/>
          <w:shd w:val="clear" w:color="auto" w:fill="FFFFFF"/>
        </w:rPr>
        <w:br/>
      </w:r>
    </w:p>
    <w:p w14:paraId="79A5B021" w14:textId="77777777" w:rsidR="00BF3A6C" w:rsidRPr="007F1283" w:rsidRDefault="00BF3A6C" w:rsidP="00BF3A6C">
      <w:pPr>
        <w:pStyle w:val="Odstavecseseznamem"/>
        <w:numPr>
          <w:ilvl w:val="0"/>
          <w:numId w:val="15"/>
        </w:numPr>
        <w:rPr>
          <w:rStyle w:val="eop"/>
          <w:rFonts w:cs="Arial"/>
          <w:b/>
          <w:bCs/>
          <w:color w:val="000000"/>
          <w:szCs w:val="18"/>
          <w:shd w:val="clear" w:color="auto" w:fill="FFFFFF"/>
        </w:rPr>
      </w:pPr>
      <w:r w:rsidRPr="007F1283">
        <w:rPr>
          <w:rStyle w:val="normaltextrun"/>
          <w:rFonts w:cs="Arial"/>
          <w:b/>
          <w:bCs/>
          <w:color w:val="000000"/>
          <w:szCs w:val="18"/>
          <w:shd w:val="clear" w:color="auto" w:fill="FFFFFF"/>
        </w:rPr>
        <w:t>Assessment type</w:t>
      </w:r>
      <w:r w:rsidRPr="007F1283">
        <w:rPr>
          <w:rStyle w:val="eop"/>
          <w:rFonts w:cs="Arial"/>
          <w:b/>
          <w:bCs/>
          <w:color w:val="000000"/>
          <w:szCs w:val="18"/>
          <w:shd w:val="clear" w:color="auto" w:fill="FFFFFF"/>
        </w:rPr>
        <w:t> </w:t>
      </w:r>
    </w:p>
    <w:p w14:paraId="63F4AC83" w14:textId="6D2BBE86" w:rsidR="00BF3A6C" w:rsidRPr="007F1283" w:rsidRDefault="00ED4B63" w:rsidP="00BF3A6C">
      <w:pPr>
        <w:pStyle w:val="Odstavecseseznamem"/>
        <w:ind w:left="1287"/>
        <w:rPr>
          <w:rStyle w:val="eop"/>
          <w:rFonts w:cs="Arial"/>
          <w:color w:val="000000"/>
          <w:shd w:val="clear" w:color="auto" w:fill="FFFFFF"/>
        </w:rPr>
      </w:pPr>
      <w:r w:rsidRPr="007F1283">
        <w:rPr>
          <w:rStyle w:val="eop"/>
          <w:rFonts w:cs="Arial"/>
          <w:color w:val="000000"/>
          <w:shd w:val="clear" w:color="auto" w:fill="FFFFFF"/>
        </w:rPr>
        <w:t xml:space="preserve">Based on the </w:t>
      </w:r>
      <w:r w:rsidR="006738AC" w:rsidRPr="007F1283">
        <w:rPr>
          <w:rStyle w:val="eop"/>
          <w:rFonts w:cs="Arial"/>
          <w:color w:val="000000"/>
          <w:shd w:val="clear" w:color="auto" w:fill="FFFFFF"/>
        </w:rPr>
        <w:t>activities</w:t>
      </w:r>
      <w:r w:rsidR="003C6DE8" w:rsidRPr="007F1283">
        <w:rPr>
          <w:rStyle w:val="eop"/>
          <w:rFonts w:cs="Arial"/>
          <w:color w:val="000000"/>
          <w:shd w:val="clear" w:color="auto" w:fill="FFFFFF"/>
        </w:rPr>
        <w:t>/investments identified</w:t>
      </w:r>
      <w:r w:rsidR="00697918" w:rsidRPr="007F1283">
        <w:rPr>
          <w:rStyle w:val="eop"/>
          <w:rFonts w:cs="Arial"/>
          <w:color w:val="000000"/>
          <w:shd w:val="clear" w:color="auto" w:fill="FFFFFF"/>
        </w:rPr>
        <w:t xml:space="preserve"> at the respective levels, </w:t>
      </w:r>
      <w:r w:rsidR="00D71576" w:rsidRPr="007F1283">
        <w:rPr>
          <w:rStyle w:val="eop"/>
          <w:rFonts w:cs="Arial"/>
          <w:color w:val="000000"/>
          <w:shd w:val="clear" w:color="auto" w:fill="FFFFFF"/>
        </w:rPr>
        <w:t>different types of assess</w:t>
      </w:r>
      <w:r w:rsidR="00027BC2" w:rsidRPr="007F1283">
        <w:rPr>
          <w:rStyle w:val="eop"/>
          <w:rFonts w:cs="Arial"/>
          <w:color w:val="000000"/>
          <w:shd w:val="clear" w:color="auto" w:fill="FFFFFF"/>
        </w:rPr>
        <w:t xml:space="preserve">ment may be required. </w:t>
      </w:r>
      <w:r w:rsidR="00FC7728" w:rsidRPr="007F1283">
        <w:rPr>
          <w:rStyle w:val="eop"/>
          <w:rFonts w:cs="Arial"/>
          <w:color w:val="000000"/>
          <w:shd w:val="clear" w:color="auto" w:fill="FFFFFF"/>
        </w:rPr>
        <w:t xml:space="preserve">This step serves to </w:t>
      </w:r>
      <w:r w:rsidR="00541764" w:rsidRPr="007F1283">
        <w:rPr>
          <w:rStyle w:val="eop"/>
          <w:rFonts w:cs="Arial"/>
          <w:color w:val="000000"/>
          <w:shd w:val="clear" w:color="auto" w:fill="FFFFFF"/>
        </w:rPr>
        <w:t>consider and confirm</w:t>
      </w:r>
      <w:r w:rsidR="005E1E93" w:rsidRPr="007F1283">
        <w:rPr>
          <w:rStyle w:val="eop"/>
          <w:rFonts w:cs="Arial"/>
          <w:color w:val="000000"/>
          <w:shd w:val="clear" w:color="auto" w:fill="FFFFFF"/>
        </w:rPr>
        <w:t xml:space="preserve"> whether </w:t>
      </w:r>
      <w:r w:rsidR="004301DF" w:rsidRPr="007F1283">
        <w:rPr>
          <w:rStyle w:val="eop"/>
          <w:rFonts w:cs="Arial"/>
          <w:color w:val="000000"/>
          <w:shd w:val="clear" w:color="auto" w:fill="FFFFFF"/>
        </w:rPr>
        <w:t xml:space="preserve">simplified </w:t>
      </w:r>
      <w:r w:rsidR="00717770" w:rsidRPr="007F1283">
        <w:rPr>
          <w:rStyle w:val="eop"/>
          <w:rFonts w:cs="Arial"/>
          <w:color w:val="000000"/>
          <w:shd w:val="clear" w:color="auto" w:fill="FFFFFF"/>
        </w:rPr>
        <w:t xml:space="preserve">assessment will be sufficient, or </w:t>
      </w:r>
      <w:r w:rsidR="00C219D4" w:rsidRPr="007F1283">
        <w:rPr>
          <w:rStyle w:val="eop"/>
          <w:rFonts w:cs="Arial"/>
          <w:color w:val="000000"/>
          <w:shd w:val="clear" w:color="auto" w:fill="FFFFFF"/>
        </w:rPr>
        <w:t xml:space="preserve">more substantive assessment is required. For simplified </w:t>
      </w:r>
      <w:r w:rsidR="00075FF1" w:rsidRPr="007F1283">
        <w:rPr>
          <w:rStyle w:val="eop"/>
          <w:rFonts w:cs="Arial"/>
          <w:color w:val="000000"/>
          <w:shd w:val="clear" w:color="auto" w:fill="FFFFFF"/>
        </w:rPr>
        <w:t>assessment</w:t>
      </w:r>
      <w:r w:rsidR="6BF80B92" w:rsidRPr="007F1283">
        <w:rPr>
          <w:rStyle w:val="eop"/>
          <w:rFonts w:cs="Arial"/>
          <w:color w:val="000000"/>
          <w:shd w:val="clear" w:color="auto" w:fill="FFFFFF"/>
        </w:rPr>
        <w:t>,</w:t>
      </w:r>
      <w:r w:rsidR="00075FF1" w:rsidRPr="007F1283">
        <w:rPr>
          <w:rStyle w:val="eop"/>
          <w:rFonts w:cs="Arial"/>
          <w:color w:val="000000"/>
          <w:shd w:val="clear" w:color="auto" w:fill="FFFFFF"/>
        </w:rPr>
        <w:t xml:space="preserve"> </w:t>
      </w:r>
      <w:r w:rsidR="000A0706" w:rsidRPr="007F1283">
        <w:rPr>
          <w:rStyle w:val="normaltextrun"/>
          <w:rFonts w:cs="Arial"/>
          <w:color w:val="000000"/>
          <w:bdr w:val="none" w:sz="0" w:space="0" w:color="auto" w:frame="1"/>
        </w:rPr>
        <w:t xml:space="preserve">a brief justification can be provided with respect to those environmental objectives for which no or an insignificant impact is foreseeable. For </w:t>
      </w:r>
      <w:r w:rsidR="00B10388" w:rsidRPr="007F1283">
        <w:rPr>
          <w:rStyle w:val="normaltextrun"/>
          <w:rFonts w:cs="Arial"/>
          <w:color w:val="000000"/>
          <w:bdr w:val="none" w:sz="0" w:space="0" w:color="auto" w:frame="1"/>
        </w:rPr>
        <w:t xml:space="preserve">activities and investments, which require a substantive assessment, </w:t>
      </w:r>
      <w:r w:rsidR="00CD0012" w:rsidRPr="007F1283">
        <w:rPr>
          <w:rStyle w:val="normaltextrun"/>
          <w:rFonts w:cs="Arial"/>
          <w:color w:val="000000"/>
          <w:bdr w:val="none" w:sz="0" w:space="0" w:color="auto" w:frame="1"/>
        </w:rPr>
        <w:t>the technical</w:t>
      </w:r>
      <w:r w:rsidR="007C7F07" w:rsidRPr="007F1283">
        <w:rPr>
          <w:rStyle w:val="normaltextrun"/>
          <w:rFonts w:cs="Arial"/>
          <w:color w:val="000000"/>
          <w:bdr w:val="none" w:sz="0" w:space="0" w:color="auto" w:frame="1"/>
        </w:rPr>
        <w:t xml:space="preserve"> screening criteria for DNSH – either generic of specific – should be used to perform in-depth assessment and/or develop </w:t>
      </w:r>
      <w:r w:rsidR="00744436" w:rsidRPr="007F1283">
        <w:rPr>
          <w:rStyle w:val="normaltextrun"/>
          <w:rFonts w:cs="Arial"/>
          <w:color w:val="000000"/>
          <w:bdr w:val="none" w:sz="0" w:space="0" w:color="auto" w:frame="1"/>
        </w:rPr>
        <w:t xml:space="preserve">DNSH </w:t>
      </w:r>
      <w:r w:rsidR="007C7F07" w:rsidRPr="007F1283">
        <w:rPr>
          <w:rStyle w:val="normaltextrun"/>
          <w:rFonts w:cs="Arial"/>
          <w:color w:val="000000"/>
          <w:bdr w:val="none" w:sz="0" w:space="0" w:color="auto" w:frame="1"/>
        </w:rPr>
        <w:t>requirements</w:t>
      </w:r>
      <w:r w:rsidR="007C5EF1" w:rsidRPr="007F1283">
        <w:rPr>
          <w:rStyle w:val="normaltextrun"/>
          <w:rFonts w:cs="Arial"/>
          <w:color w:val="000000"/>
          <w:bdr w:val="none" w:sz="0" w:space="0" w:color="auto" w:frame="1"/>
        </w:rPr>
        <w:t xml:space="preserve">. </w:t>
      </w:r>
      <w:r w:rsidR="00BF3A6C" w:rsidRPr="007F1283">
        <w:rPr>
          <w:rStyle w:val="normaltextrun"/>
          <w:bdr w:val="none" w:sz="0" w:space="0" w:color="auto" w:frame="1"/>
        </w:rPr>
        <w:br/>
      </w:r>
    </w:p>
    <w:p w14:paraId="6462E137" w14:textId="102BE640" w:rsidR="00BF3A6C" w:rsidRPr="007F1283" w:rsidRDefault="00BF3A6C" w:rsidP="00BF3A6C">
      <w:pPr>
        <w:pStyle w:val="Odstavecseseznamem"/>
        <w:numPr>
          <w:ilvl w:val="0"/>
          <w:numId w:val="15"/>
        </w:numPr>
        <w:rPr>
          <w:rStyle w:val="normaltextrun"/>
          <w:rFonts w:cs="Arial"/>
          <w:b/>
          <w:bCs/>
          <w:color w:val="000000"/>
          <w:szCs w:val="18"/>
          <w:shd w:val="clear" w:color="auto" w:fill="FFFFFF"/>
        </w:rPr>
      </w:pPr>
      <w:r w:rsidRPr="007F1283">
        <w:rPr>
          <w:rStyle w:val="normaltextrun"/>
          <w:rFonts w:cs="Arial"/>
          <w:b/>
          <w:bCs/>
          <w:color w:val="000000"/>
          <w:szCs w:val="18"/>
          <w:bdr w:val="none" w:sz="0" w:space="0" w:color="auto" w:frame="1"/>
        </w:rPr>
        <w:t xml:space="preserve">Interlinkages with </w:t>
      </w:r>
      <w:r w:rsidR="00F80486" w:rsidRPr="007F1283">
        <w:rPr>
          <w:rStyle w:val="normaltextrun"/>
          <w:rFonts w:cs="Arial"/>
          <w:b/>
          <w:bCs/>
          <w:color w:val="000000"/>
          <w:szCs w:val="18"/>
          <w:bdr w:val="none" w:sz="0" w:space="0" w:color="auto" w:frame="1"/>
        </w:rPr>
        <w:t>climate proofing (CP) or sustainability proofing (SP)</w:t>
      </w:r>
    </w:p>
    <w:p w14:paraId="4DD88D3B" w14:textId="7361BC42" w:rsidR="0060395F" w:rsidRPr="007F1283" w:rsidRDefault="00A630ED" w:rsidP="00B87DF4">
      <w:pPr>
        <w:pStyle w:val="Odstavecseseznamem"/>
        <w:ind w:left="1287"/>
        <w:rPr>
          <w:rStyle w:val="normaltextrun"/>
          <w:rFonts w:cs="Arial"/>
          <w:color w:val="000000"/>
          <w:bdr w:val="none" w:sz="0" w:space="0" w:color="auto" w:frame="1"/>
        </w:rPr>
      </w:pPr>
      <w:r w:rsidRPr="007F1283">
        <w:rPr>
          <w:rStyle w:val="normaltextrun"/>
          <w:rFonts w:cs="Arial"/>
          <w:color w:val="000000"/>
          <w:bdr w:val="none" w:sz="0" w:space="0" w:color="auto" w:frame="1"/>
        </w:rPr>
        <w:t xml:space="preserve">The source of funds will </w:t>
      </w:r>
      <w:r w:rsidR="00BD0659" w:rsidRPr="007F1283">
        <w:rPr>
          <w:rStyle w:val="normaltextrun"/>
          <w:rFonts w:cs="Arial"/>
          <w:color w:val="000000"/>
          <w:bdr w:val="none" w:sz="0" w:space="0" w:color="auto" w:frame="1"/>
        </w:rPr>
        <w:t xml:space="preserve">dictate the </w:t>
      </w:r>
      <w:r w:rsidR="003C67EA" w:rsidRPr="007F1283">
        <w:rPr>
          <w:rStyle w:val="normaltextrun"/>
          <w:rFonts w:cs="Arial"/>
          <w:color w:val="000000"/>
          <w:bdr w:val="none" w:sz="0" w:space="0" w:color="auto" w:frame="1"/>
        </w:rPr>
        <w:t>requirement (i.e</w:t>
      </w:r>
      <w:r w:rsidR="4E182ECF" w:rsidRPr="007F1283">
        <w:rPr>
          <w:rStyle w:val="normaltextrun"/>
          <w:rFonts w:cs="Arial"/>
          <w:color w:val="000000"/>
          <w:bdr w:val="none" w:sz="0" w:space="0" w:color="auto" w:frame="1"/>
        </w:rPr>
        <w:t>.,</w:t>
      </w:r>
      <w:r w:rsidR="003C67EA" w:rsidRPr="007F1283">
        <w:rPr>
          <w:rStyle w:val="normaltextrun"/>
          <w:rFonts w:cs="Arial"/>
          <w:color w:val="000000"/>
          <w:bdr w:val="none" w:sz="0" w:space="0" w:color="auto" w:frame="1"/>
        </w:rPr>
        <w:t xml:space="preserve"> recommended or mandatory)</w:t>
      </w:r>
      <w:r w:rsidR="00B41630" w:rsidRPr="007F1283">
        <w:rPr>
          <w:rStyle w:val="normaltextrun"/>
          <w:rFonts w:cs="Arial"/>
          <w:color w:val="000000"/>
          <w:bdr w:val="none" w:sz="0" w:space="0" w:color="auto" w:frame="1"/>
        </w:rPr>
        <w:t xml:space="preserve"> </w:t>
      </w:r>
      <w:r w:rsidR="003D1515" w:rsidRPr="007F1283">
        <w:rPr>
          <w:rStyle w:val="normaltextrun"/>
          <w:rFonts w:cs="Arial"/>
          <w:color w:val="000000"/>
          <w:bdr w:val="none" w:sz="0" w:space="0" w:color="auto" w:frame="1"/>
        </w:rPr>
        <w:t>for the</w:t>
      </w:r>
      <w:r w:rsidR="00B41630" w:rsidRPr="007F1283">
        <w:rPr>
          <w:rStyle w:val="normaltextrun"/>
          <w:rFonts w:cs="Arial"/>
          <w:color w:val="000000"/>
          <w:bdr w:val="none" w:sz="0" w:space="0" w:color="auto" w:frame="1"/>
        </w:rPr>
        <w:t xml:space="preserve"> </w:t>
      </w:r>
      <w:r w:rsidR="00CB28C7" w:rsidRPr="007F1283">
        <w:rPr>
          <w:rStyle w:val="normaltextrun"/>
          <w:rFonts w:cs="Arial"/>
          <w:color w:val="000000"/>
          <w:bdr w:val="none" w:sz="0" w:space="0" w:color="auto" w:frame="1"/>
        </w:rPr>
        <w:t>specific</w:t>
      </w:r>
      <w:r w:rsidR="00497AA3" w:rsidRPr="007F1283">
        <w:rPr>
          <w:rStyle w:val="normaltextrun"/>
          <w:rFonts w:cs="Arial"/>
          <w:color w:val="000000"/>
          <w:bdr w:val="none" w:sz="0" w:space="0" w:color="auto" w:frame="1"/>
        </w:rPr>
        <w:t xml:space="preserve"> environmental</w:t>
      </w:r>
      <w:r w:rsidR="00CB28C7" w:rsidRPr="007F1283">
        <w:rPr>
          <w:rStyle w:val="normaltextrun"/>
          <w:rFonts w:cs="Arial"/>
          <w:color w:val="000000"/>
          <w:bdr w:val="none" w:sz="0" w:space="0" w:color="auto" w:frame="1"/>
        </w:rPr>
        <w:t xml:space="preserve"> methodology</w:t>
      </w:r>
      <w:r w:rsidR="00821FD5" w:rsidRPr="007F1283">
        <w:rPr>
          <w:rStyle w:val="normaltextrun"/>
          <w:rFonts w:cs="Arial"/>
          <w:color w:val="000000"/>
          <w:bdr w:val="none" w:sz="0" w:space="0" w:color="auto" w:frame="1"/>
        </w:rPr>
        <w:t xml:space="preserve"> (e.g</w:t>
      </w:r>
      <w:r w:rsidR="1A942787" w:rsidRPr="007F1283">
        <w:rPr>
          <w:rStyle w:val="normaltextrun"/>
          <w:rFonts w:cs="Arial"/>
          <w:color w:val="000000"/>
          <w:bdr w:val="none" w:sz="0" w:space="0" w:color="auto" w:frame="1"/>
        </w:rPr>
        <w:t>.,</w:t>
      </w:r>
      <w:r w:rsidR="00821FD5" w:rsidRPr="007F1283">
        <w:rPr>
          <w:rStyle w:val="normaltextrun"/>
          <w:rFonts w:cs="Arial"/>
          <w:color w:val="000000"/>
          <w:bdr w:val="none" w:sz="0" w:space="0" w:color="auto" w:frame="1"/>
        </w:rPr>
        <w:t xml:space="preserve"> Climate Proofing or Sustainability Proofing)</w:t>
      </w:r>
      <w:r w:rsidR="00497AA3" w:rsidRPr="007F1283">
        <w:rPr>
          <w:rStyle w:val="normaltextrun"/>
          <w:rFonts w:cs="Arial"/>
          <w:color w:val="000000"/>
          <w:bdr w:val="none" w:sz="0" w:space="0" w:color="auto" w:frame="1"/>
        </w:rPr>
        <w:t xml:space="preserve"> </w:t>
      </w:r>
      <w:r w:rsidR="005E1517" w:rsidRPr="007F1283">
        <w:rPr>
          <w:rStyle w:val="normaltextrun"/>
          <w:rFonts w:cs="Arial"/>
          <w:color w:val="000000"/>
          <w:bdr w:val="none" w:sz="0" w:space="0" w:color="auto" w:frame="1"/>
        </w:rPr>
        <w:t>that needs to be foll</w:t>
      </w:r>
      <w:r w:rsidR="009D2F7B" w:rsidRPr="007F1283">
        <w:rPr>
          <w:rStyle w:val="normaltextrun"/>
          <w:rFonts w:cs="Arial"/>
          <w:color w:val="000000"/>
          <w:bdr w:val="none" w:sz="0" w:space="0" w:color="auto" w:frame="1"/>
        </w:rPr>
        <w:t>owe</w:t>
      </w:r>
      <w:r w:rsidR="003C03F3" w:rsidRPr="007F1283">
        <w:rPr>
          <w:rStyle w:val="normaltextrun"/>
          <w:rFonts w:cs="Arial"/>
          <w:color w:val="000000"/>
          <w:bdr w:val="none" w:sz="0" w:space="0" w:color="auto" w:frame="1"/>
        </w:rPr>
        <w:t>d and completed</w:t>
      </w:r>
      <w:r w:rsidR="00D40A02" w:rsidRPr="007F1283">
        <w:rPr>
          <w:rStyle w:val="normaltextrun"/>
          <w:rFonts w:cs="Arial"/>
          <w:color w:val="000000"/>
          <w:bdr w:val="none" w:sz="0" w:space="0" w:color="auto" w:frame="1"/>
        </w:rPr>
        <w:t>, should the investment</w:t>
      </w:r>
      <w:r w:rsidR="00BE0A68" w:rsidRPr="007F1283">
        <w:rPr>
          <w:rStyle w:val="normaltextrun"/>
          <w:rFonts w:cs="Arial"/>
          <w:color w:val="000000"/>
          <w:bdr w:val="none" w:sz="0" w:space="0" w:color="auto" w:frame="1"/>
        </w:rPr>
        <w:t xml:space="preserve"> or project</w:t>
      </w:r>
      <w:r w:rsidR="00D40A02" w:rsidRPr="007F1283">
        <w:rPr>
          <w:rStyle w:val="normaltextrun"/>
          <w:rFonts w:cs="Arial"/>
          <w:color w:val="000000"/>
          <w:bdr w:val="none" w:sz="0" w:space="0" w:color="auto" w:frame="1"/>
        </w:rPr>
        <w:t xml:space="preserve"> meet certain conditions</w:t>
      </w:r>
      <w:r w:rsidR="00821FD5" w:rsidRPr="007F1283">
        <w:rPr>
          <w:rStyle w:val="normaltextrun"/>
          <w:rFonts w:cs="Arial"/>
          <w:color w:val="000000"/>
          <w:bdr w:val="none" w:sz="0" w:space="0" w:color="auto" w:frame="1"/>
        </w:rPr>
        <w:t xml:space="preserve"> </w:t>
      </w:r>
      <w:r w:rsidR="00574336" w:rsidRPr="007F1283">
        <w:rPr>
          <w:rStyle w:val="normaltextrun"/>
          <w:rFonts w:cs="Arial"/>
          <w:color w:val="000000"/>
          <w:bdr w:val="none" w:sz="0" w:space="0" w:color="auto" w:frame="1"/>
        </w:rPr>
        <w:t>outlined in the</w:t>
      </w:r>
      <w:r w:rsidR="00671D45" w:rsidRPr="007F1283">
        <w:rPr>
          <w:rStyle w:val="normaltextrun"/>
          <w:rFonts w:cs="Arial"/>
          <w:color w:val="000000"/>
          <w:bdr w:val="none" w:sz="0" w:space="0" w:color="auto" w:frame="1"/>
        </w:rPr>
        <w:t xml:space="preserve"> EU level</w:t>
      </w:r>
      <w:r w:rsidR="00574336" w:rsidRPr="007F1283">
        <w:rPr>
          <w:rStyle w:val="normaltextrun"/>
          <w:rFonts w:cs="Arial"/>
          <w:color w:val="000000"/>
          <w:bdr w:val="none" w:sz="0" w:space="0" w:color="auto" w:frame="1"/>
        </w:rPr>
        <w:t xml:space="preserve"> technical guid</w:t>
      </w:r>
      <w:r w:rsidR="00AC56CF" w:rsidRPr="007F1283">
        <w:rPr>
          <w:rStyle w:val="normaltextrun"/>
          <w:rFonts w:cs="Arial"/>
          <w:color w:val="000000"/>
          <w:bdr w:val="none" w:sz="0" w:space="0" w:color="auto" w:frame="1"/>
        </w:rPr>
        <w:t>ance</w:t>
      </w:r>
      <w:r w:rsidR="00574336" w:rsidRPr="007F1283">
        <w:rPr>
          <w:rStyle w:val="normaltextrun"/>
          <w:rFonts w:cs="Arial"/>
          <w:color w:val="000000"/>
          <w:bdr w:val="none" w:sz="0" w:space="0" w:color="auto" w:frame="1"/>
        </w:rPr>
        <w:t xml:space="preserve"> </w:t>
      </w:r>
      <w:r w:rsidR="00956240" w:rsidRPr="007F1283">
        <w:rPr>
          <w:rStyle w:val="normaltextrun"/>
          <w:rFonts w:cs="Arial"/>
          <w:color w:val="000000"/>
          <w:bdr w:val="none" w:sz="0" w:space="0" w:color="auto" w:frame="1"/>
        </w:rPr>
        <w:t>(e.g</w:t>
      </w:r>
      <w:r w:rsidR="32B9E1F4" w:rsidRPr="007F1283">
        <w:rPr>
          <w:rStyle w:val="normaltextrun"/>
          <w:rFonts w:cs="Arial"/>
          <w:color w:val="000000"/>
          <w:bdr w:val="none" w:sz="0" w:space="0" w:color="auto" w:frame="1"/>
        </w:rPr>
        <w:t>.</w:t>
      </w:r>
      <w:r w:rsidR="15EC1B33" w:rsidRPr="007F1283">
        <w:rPr>
          <w:rStyle w:val="normaltextrun"/>
          <w:rFonts w:cs="Arial"/>
          <w:color w:val="000000"/>
          <w:bdr w:val="none" w:sz="0" w:space="0" w:color="auto" w:frame="1"/>
        </w:rPr>
        <w:t>,</w:t>
      </w:r>
      <w:r w:rsidR="00956240" w:rsidRPr="007F1283">
        <w:rPr>
          <w:rStyle w:val="normaltextrun"/>
          <w:rFonts w:cs="Arial"/>
          <w:color w:val="000000"/>
          <w:bdr w:val="none" w:sz="0" w:space="0" w:color="auto" w:frame="1"/>
        </w:rPr>
        <w:t xml:space="preserve"> expected life span of infrastructure in CP</w:t>
      </w:r>
      <w:r w:rsidR="00AC56CF" w:rsidRPr="007F1283">
        <w:rPr>
          <w:rStyle w:val="normaltextrun"/>
          <w:rFonts w:cs="Arial"/>
          <w:color w:val="000000"/>
          <w:bdr w:val="none" w:sz="0" w:space="0" w:color="auto" w:frame="1"/>
        </w:rPr>
        <w:t>)</w:t>
      </w:r>
      <w:r w:rsidR="003C03F3" w:rsidRPr="007F1283">
        <w:rPr>
          <w:rStyle w:val="normaltextrun"/>
          <w:rFonts w:cs="Arial"/>
          <w:color w:val="000000"/>
          <w:bdr w:val="none" w:sz="0" w:space="0" w:color="auto" w:frame="1"/>
        </w:rPr>
        <w:t xml:space="preserve">. </w:t>
      </w:r>
      <w:r w:rsidR="00574336" w:rsidRPr="007F1283">
        <w:rPr>
          <w:rStyle w:val="normaltextrun"/>
          <w:rFonts w:cs="Arial"/>
          <w:color w:val="000000"/>
          <w:bdr w:val="none" w:sz="0" w:space="0" w:color="auto" w:frame="1"/>
        </w:rPr>
        <w:t>Th</w:t>
      </w:r>
      <w:r w:rsidR="00A87226" w:rsidRPr="007F1283">
        <w:rPr>
          <w:rStyle w:val="normaltextrun"/>
          <w:rFonts w:cs="Arial"/>
          <w:color w:val="000000"/>
          <w:bdr w:val="none" w:sz="0" w:space="0" w:color="auto" w:frame="1"/>
        </w:rPr>
        <w:t xml:space="preserve">is step represents a crucial </w:t>
      </w:r>
      <w:r w:rsidR="00860282" w:rsidRPr="007F1283">
        <w:rPr>
          <w:rStyle w:val="normaltextrun"/>
          <w:rFonts w:cs="Arial"/>
          <w:color w:val="000000"/>
          <w:bdr w:val="none" w:sz="0" w:space="0" w:color="auto" w:frame="1"/>
        </w:rPr>
        <w:t>consideration</w:t>
      </w:r>
      <w:r w:rsidR="3C862FE4" w:rsidRPr="007F1283">
        <w:rPr>
          <w:rStyle w:val="normaltextrun"/>
          <w:rFonts w:cs="Arial"/>
          <w:color w:val="000000"/>
          <w:bdr w:val="none" w:sz="0" w:space="0" w:color="auto" w:frame="1"/>
        </w:rPr>
        <w:t>,</w:t>
      </w:r>
      <w:r w:rsidR="00860282" w:rsidRPr="007F1283">
        <w:rPr>
          <w:rStyle w:val="normaltextrun"/>
          <w:rFonts w:cs="Arial"/>
          <w:color w:val="000000"/>
          <w:bdr w:val="none" w:sz="0" w:space="0" w:color="auto" w:frame="1"/>
        </w:rPr>
        <w:t xml:space="preserve"> </w:t>
      </w:r>
      <w:r w:rsidR="00A87226" w:rsidRPr="007F1283">
        <w:rPr>
          <w:rStyle w:val="normaltextrun"/>
          <w:rFonts w:cs="Arial"/>
          <w:color w:val="000000"/>
          <w:bdr w:val="none" w:sz="0" w:space="0" w:color="auto" w:frame="1"/>
        </w:rPr>
        <w:t>a</w:t>
      </w:r>
      <w:r w:rsidR="008B069A" w:rsidRPr="007F1283">
        <w:rPr>
          <w:rStyle w:val="normaltextrun"/>
          <w:rFonts w:cs="Arial"/>
          <w:color w:val="000000"/>
          <w:bdr w:val="none" w:sz="0" w:space="0" w:color="auto" w:frame="1"/>
        </w:rPr>
        <w:t>s</w:t>
      </w:r>
      <w:r w:rsidR="00D03650" w:rsidRPr="007F1283">
        <w:rPr>
          <w:rStyle w:val="normaltextrun"/>
          <w:rFonts w:cs="Arial"/>
          <w:color w:val="000000"/>
          <w:bdr w:val="none" w:sz="0" w:space="0" w:color="auto" w:frame="1"/>
        </w:rPr>
        <w:t xml:space="preserve"> </w:t>
      </w:r>
      <w:r w:rsidR="00D03650" w:rsidRPr="007F1283">
        <w:rPr>
          <w:rFonts w:eastAsia="Times New Roman" w:cs="Arial"/>
          <w:color w:val="000000"/>
          <w:bdr w:val="none" w:sz="0" w:space="0" w:color="auto" w:frame="1"/>
          <w:lang w:eastAsia="en-GB"/>
        </w:rPr>
        <w:t>the application of the DNSH principle and CP are separate</w:t>
      </w:r>
      <w:r w:rsidR="00B87DF4" w:rsidRPr="007F1283">
        <w:rPr>
          <w:rFonts w:eastAsia="Times New Roman" w:cs="Arial"/>
          <w:color w:val="000000"/>
          <w:bdr w:val="none" w:sz="0" w:space="0" w:color="auto" w:frame="1"/>
          <w:lang w:eastAsia="en-GB"/>
        </w:rPr>
        <w:t xml:space="preserve"> and </w:t>
      </w:r>
      <w:r w:rsidR="00D03650" w:rsidRPr="007F1283">
        <w:rPr>
          <w:rFonts w:eastAsia="Times New Roman" w:cs="Arial"/>
          <w:color w:val="000000"/>
          <w:bdr w:val="none" w:sz="0" w:space="0" w:color="auto" w:frame="1"/>
          <w:lang w:eastAsia="en-GB"/>
        </w:rPr>
        <w:t xml:space="preserve">done at </w:t>
      </w:r>
      <w:r w:rsidR="00B87DF4" w:rsidRPr="007F1283">
        <w:rPr>
          <w:rFonts w:eastAsia="Times New Roman" w:cs="Arial"/>
          <w:color w:val="000000"/>
          <w:bdr w:val="none" w:sz="0" w:space="0" w:color="auto" w:frame="1"/>
          <w:lang w:eastAsia="en-GB"/>
        </w:rPr>
        <w:t xml:space="preserve">different </w:t>
      </w:r>
      <w:r w:rsidR="717CA83E" w:rsidRPr="007F1283">
        <w:rPr>
          <w:rFonts w:eastAsia="Times New Roman" w:cs="Arial"/>
          <w:color w:val="000000"/>
          <w:bdr w:val="none" w:sz="0" w:space="0" w:color="auto" w:frame="1"/>
          <w:lang w:eastAsia="en-GB"/>
        </w:rPr>
        <w:t>level</w:t>
      </w:r>
      <w:r w:rsidR="2878C301" w:rsidRPr="007F1283">
        <w:rPr>
          <w:rFonts w:eastAsia="Times New Roman" w:cs="Arial"/>
          <w:color w:val="000000"/>
          <w:bdr w:val="none" w:sz="0" w:space="0" w:color="auto" w:frame="1"/>
          <w:lang w:eastAsia="en-GB"/>
        </w:rPr>
        <w:t>s</w:t>
      </w:r>
      <w:r w:rsidR="00B87DF4" w:rsidRPr="007F1283">
        <w:rPr>
          <w:rFonts w:eastAsia="Times New Roman" w:cs="Arial"/>
          <w:color w:val="000000"/>
          <w:bdr w:val="none" w:sz="0" w:space="0" w:color="auto" w:frame="1"/>
          <w:lang w:eastAsia="en-GB"/>
        </w:rPr>
        <w:t xml:space="preserve"> (e.g</w:t>
      </w:r>
      <w:r w:rsidR="70B49DC7" w:rsidRPr="007F1283">
        <w:rPr>
          <w:rFonts w:eastAsia="Times New Roman" w:cs="Arial"/>
          <w:color w:val="000000"/>
          <w:bdr w:val="none" w:sz="0" w:space="0" w:color="auto" w:frame="1"/>
          <w:lang w:eastAsia="en-GB"/>
        </w:rPr>
        <w:t>.,</w:t>
      </w:r>
      <w:r w:rsidR="00B87DF4" w:rsidRPr="007F1283">
        <w:rPr>
          <w:rFonts w:eastAsia="Times New Roman" w:cs="Arial"/>
          <w:color w:val="000000"/>
          <w:bdr w:val="none" w:sz="0" w:space="0" w:color="auto" w:frame="1"/>
          <w:lang w:eastAsia="en-GB"/>
        </w:rPr>
        <w:t xml:space="preserve"> DNSH in CPF at the</w:t>
      </w:r>
      <w:r w:rsidR="00D03650" w:rsidRPr="007F1283">
        <w:rPr>
          <w:rFonts w:eastAsia="Times New Roman" w:cs="Arial"/>
          <w:color w:val="000000"/>
          <w:bdr w:val="none" w:sz="0" w:space="0" w:color="auto" w:frame="1"/>
          <w:lang w:eastAsia="en-GB"/>
        </w:rPr>
        <w:t xml:space="preserve"> level of types of actions, while CP is applicable principally at the investment level</w:t>
      </w:r>
      <w:r w:rsidR="717CA83E" w:rsidRPr="007F1283">
        <w:rPr>
          <w:rFonts w:eastAsia="Times New Roman" w:cs="Arial"/>
          <w:color w:val="000000"/>
          <w:bdr w:val="none" w:sz="0" w:space="0" w:color="auto" w:frame="1"/>
          <w:lang w:eastAsia="en-GB"/>
        </w:rPr>
        <w:t>)</w:t>
      </w:r>
      <w:r w:rsidR="21681E95" w:rsidRPr="007F1283">
        <w:rPr>
          <w:rFonts w:eastAsia="Times New Roman" w:cs="Arial"/>
          <w:color w:val="000000"/>
          <w:bdr w:val="none" w:sz="0" w:space="0" w:color="auto" w:frame="1"/>
          <w:lang w:eastAsia="en-GB"/>
        </w:rPr>
        <w:t>. Therefore,</w:t>
      </w:r>
      <w:r w:rsidR="00C96673" w:rsidRPr="007F1283">
        <w:rPr>
          <w:rFonts w:eastAsia="Times New Roman" w:cs="Arial"/>
          <w:color w:val="000000"/>
          <w:bdr w:val="none" w:sz="0" w:space="0" w:color="auto" w:frame="1"/>
          <w:lang w:eastAsia="en-GB"/>
        </w:rPr>
        <w:t xml:space="preserve"> the</w:t>
      </w:r>
      <w:r w:rsidR="008B069A" w:rsidRPr="007F1283">
        <w:rPr>
          <w:rStyle w:val="normaltextrun"/>
          <w:rFonts w:cs="Arial"/>
          <w:color w:val="000000"/>
          <w:bdr w:val="none" w:sz="0" w:space="0" w:color="auto" w:frame="1"/>
        </w:rPr>
        <w:t xml:space="preserve"> requirement for additional </w:t>
      </w:r>
      <w:r w:rsidR="00574336" w:rsidRPr="007F1283">
        <w:rPr>
          <w:rStyle w:val="normaltextrun"/>
          <w:rFonts w:cs="Arial"/>
          <w:color w:val="000000"/>
          <w:bdr w:val="none" w:sz="0" w:space="0" w:color="auto" w:frame="1"/>
        </w:rPr>
        <w:t>methodology may add complexity to the overall assessment</w:t>
      </w:r>
      <w:r w:rsidR="000A344F" w:rsidRPr="007F1283">
        <w:rPr>
          <w:rStyle w:val="normaltextrun"/>
          <w:rFonts w:cs="Arial"/>
          <w:color w:val="000000"/>
          <w:bdr w:val="none" w:sz="0" w:space="0" w:color="auto" w:frame="1"/>
        </w:rPr>
        <w:t xml:space="preserve">. </w:t>
      </w:r>
    </w:p>
    <w:p w14:paraId="7C23F897" w14:textId="2E31A1A5" w:rsidR="00ED2691" w:rsidRPr="007F1283" w:rsidRDefault="00ED2691" w:rsidP="00940E94">
      <w:pPr>
        <w:spacing w:line="360" w:lineRule="auto"/>
        <w:ind w:left="0"/>
        <w:rPr>
          <w:rStyle w:val="normaltextrun"/>
          <w:rFonts w:cs="Arial"/>
          <w:szCs w:val="18"/>
          <w:bdr w:val="none" w:sz="0" w:space="0" w:color="auto" w:frame="1"/>
        </w:rPr>
      </w:pPr>
    </w:p>
    <w:p w14:paraId="78F1722E" w14:textId="550C41AF" w:rsidR="007F0483" w:rsidRPr="007F1283" w:rsidRDefault="007F0483" w:rsidP="00B6521E">
      <w:r w:rsidRPr="007F1283">
        <w:lastRenderedPageBreak/>
        <w:t>Annex C provides an illustrative example of how this ex-ante approach would work</w:t>
      </w:r>
      <w:r w:rsidR="00FF4C48" w:rsidRPr="007F1283">
        <w:t xml:space="preserve"> in practice for </w:t>
      </w:r>
      <w:r w:rsidR="00766A01" w:rsidRPr="007F1283">
        <w:t>a selected investment type</w:t>
      </w:r>
      <w:r w:rsidRPr="007F1283">
        <w:t xml:space="preserve">, </w:t>
      </w:r>
      <w:r w:rsidR="007E1ABD" w:rsidRPr="007F1283">
        <w:t xml:space="preserve">following </w:t>
      </w:r>
      <w:r w:rsidRPr="007F1283">
        <w:t>through each step and considering each parameter influencing the assessment.</w:t>
      </w:r>
      <w:r w:rsidRPr="007F1283">
        <w:rPr>
          <w:rFonts w:cs="Arial"/>
          <w:color w:val="000000"/>
          <w:szCs w:val="18"/>
          <w:bdr w:val="none" w:sz="0" w:space="0" w:color="auto" w:frame="1"/>
        </w:rPr>
        <w:t xml:space="preserve"> </w:t>
      </w:r>
      <w:r w:rsidR="00185DCA" w:rsidRPr="007F1283">
        <w:t xml:space="preserve">The </w:t>
      </w:r>
      <w:r w:rsidRPr="007F1283">
        <w:t>included</w:t>
      </w:r>
      <w:r w:rsidR="00185DCA" w:rsidRPr="007F1283">
        <w:t xml:space="preserve"> steps predominantly focus on the ex-ante DNSH assessment and do not include the steps for appraisal, </w:t>
      </w:r>
      <w:r w:rsidR="0088690E" w:rsidRPr="007F1283">
        <w:t>implementation,</w:t>
      </w:r>
      <w:r w:rsidR="00185DCA" w:rsidRPr="007F1283">
        <w:t xml:space="preserve"> and decommissioning process, which will be elaborated on in detail in the DLV5.</w:t>
      </w:r>
      <w:r w:rsidR="006A218F" w:rsidRPr="007F1283">
        <w:t xml:space="preserve"> </w:t>
      </w:r>
    </w:p>
    <w:p w14:paraId="3AE0EB87" w14:textId="2FAFA739" w:rsidR="00941456" w:rsidRPr="007F1283" w:rsidRDefault="00941456" w:rsidP="00B81F12">
      <w:pPr>
        <w:spacing w:line="360" w:lineRule="auto"/>
        <w:rPr>
          <w:b/>
          <w:bCs/>
        </w:rPr>
      </w:pPr>
      <w:r w:rsidRPr="007F1283">
        <w:br/>
      </w:r>
      <w:r w:rsidR="00D00150" w:rsidRPr="007F1283">
        <w:rPr>
          <w:b/>
          <w:bCs/>
        </w:rPr>
        <w:t>L</w:t>
      </w:r>
      <w:r w:rsidR="00240213" w:rsidRPr="007F1283">
        <w:rPr>
          <w:b/>
          <w:bCs/>
        </w:rPr>
        <w:t>ink to</w:t>
      </w:r>
      <w:r w:rsidRPr="007F1283">
        <w:rPr>
          <w:b/>
          <w:bCs/>
        </w:rPr>
        <w:t xml:space="preserve"> the existing </w:t>
      </w:r>
      <w:r w:rsidR="00D00150" w:rsidRPr="007F1283">
        <w:rPr>
          <w:b/>
          <w:bCs/>
        </w:rPr>
        <w:t xml:space="preserve">guidance documents </w:t>
      </w:r>
    </w:p>
    <w:p w14:paraId="2D56F96D" w14:textId="633F17A8" w:rsidR="00692E4E" w:rsidRPr="007F1283" w:rsidRDefault="00692E4E" w:rsidP="00692E4E">
      <w:pPr>
        <w:spacing w:line="360" w:lineRule="auto"/>
      </w:pPr>
      <w:r w:rsidRPr="007F1283">
        <w:t xml:space="preserve">The previous sections of the report provided the list of key stages and aspects to take into account and evaluate when applying the DNSH principle to the funds and programmes. The guidelines that will be developed as part of the next deliverable (DLV5) will aim to provide clear instructions with key information on how to sufficiently complete each of the stages </w:t>
      </w:r>
      <w:r w:rsidR="00436779" w:rsidRPr="007F1283">
        <w:t>considering different</w:t>
      </w:r>
      <w:r w:rsidRPr="007F1283">
        <w:t xml:space="preserve"> parameters and/or scenarios. However, instead of duplicating and re-creating the detailed content already included in the existing DNSH guidelines documents in Czechia or the technical guidance documents at the EU level,</w:t>
      </w:r>
      <w:r w:rsidR="00C138DE" w:rsidRPr="007F1283">
        <w:t xml:space="preserve"> </w:t>
      </w:r>
      <w:r w:rsidRPr="007F1283">
        <w:t>the document developed in the DLV5 will</w:t>
      </w:r>
      <w:r w:rsidR="00C138DE" w:rsidRPr="007F1283">
        <w:t xml:space="preserve"> </w:t>
      </w:r>
      <w:r w:rsidR="0006325C" w:rsidRPr="007F1283">
        <w:t>aim</w:t>
      </w:r>
      <w:r w:rsidRPr="007F1283">
        <w:t xml:space="preserve"> to directly refer to specific sections of the existing guidance as much as possible. In other words, the document created under the DLV5 will serve as</w:t>
      </w:r>
      <w:r w:rsidR="004D1CB5" w:rsidRPr="007F1283">
        <w:t xml:space="preserve"> a</w:t>
      </w:r>
      <w:r w:rsidRPr="007F1283">
        <w:t xml:space="preserve"> “skeleton”, providing methodological guidance on the steps to follow for the DNSH assessmen</w:t>
      </w:r>
      <w:r w:rsidR="00FF0310" w:rsidRPr="007F1283">
        <w:t>t (incl.</w:t>
      </w:r>
      <w:r w:rsidRPr="007F1283">
        <w:t xml:space="preserve"> visual elements and decision diagram to guide the user</w:t>
      </w:r>
      <w:r w:rsidR="00606FF5" w:rsidRPr="007F1283">
        <w:t>s</w:t>
      </w:r>
      <w:r w:rsidR="00FF0310" w:rsidRPr="007F1283">
        <w:t>),</w:t>
      </w:r>
      <w:r w:rsidRPr="007F1283">
        <w:t xml:space="preserve"> however, </w:t>
      </w:r>
      <w:r w:rsidR="00AF3CE2" w:rsidRPr="007F1283">
        <w:t>directly linking</w:t>
      </w:r>
      <w:r w:rsidRPr="007F1283">
        <w:t xml:space="preserve"> them to already developed sections in the existing guidance </w:t>
      </w:r>
      <w:r w:rsidR="00AF3CE2" w:rsidRPr="007F1283">
        <w:t>for the content on the</w:t>
      </w:r>
      <w:r w:rsidRPr="007F1283">
        <w:t xml:space="preserve"> specific concepts and topics (e.g. list of the relevant Czech legislation for different environmental objectives, background information on the legislative framework, technical guidance on the CP assessment, etc.) This approach will allow the project team to leverage specific useful sections, while still focusing on improving the clarity, usability and navigation for the steps, needs, and requirements throughout the DNSH application process. The usefulness and clarity of different sections of the existing guidance document will be based on feedback from stakeholders as part of additional consultations in the DLV5</w:t>
      </w:r>
      <w:r w:rsidR="002B1BB9" w:rsidRPr="007F1283">
        <w:t>.</w:t>
      </w:r>
    </w:p>
    <w:p w14:paraId="7CAB850A" w14:textId="77777777" w:rsidR="00692E4E" w:rsidRPr="007F1283" w:rsidRDefault="00692E4E" w:rsidP="00692E4E">
      <w:pPr>
        <w:spacing w:line="360" w:lineRule="auto"/>
      </w:pPr>
    </w:p>
    <w:p w14:paraId="5B1BC48C" w14:textId="77777777" w:rsidR="00692E4E" w:rsidRPr="007F1283" w:rsidRDefault="00692E4E" w:rsidP="00692E4E">
      <w:pPr>
        <w:spacing w:line="360" w:lineRule="auto"/>
      </w:pPr>
      <w:r w:rsidRPr="007F1283">
        <w:t>For instance, the chapter 3 of the framework guidance developed by the MoE provides an overview of </w:t>
      </w:r>
    </w:p>
    <w:p w14:paraId="72186488" w14:textId="742EAAFC" w:rsidR="00ED608C" w:rsidRPr="007F1283" w:rsidRDefault="00692E4E" w:rsidP="003940AB">
      <w:pPr>
        <w:spacing w:line="360" w:lineRule="auto"/>
        <w:rPr>
          <w:rFonts w:eastAsia="Times New Roman" w:cs="Times New Roman"/>
          <w:sz w:val="24"/>
          <w:szCs w:val="24"/>
          <w:lang w:val="en-US" w:eastAsia="en-GB"/>
        </w:rPr>
      </w:pPr>
      <w:r w:rsidRPr="007F1283">
        <w:t xml:space="preserve">the approach to the identification of the DNSH requirements for both the RRF and CPR funds, along with detailed contextual information and main considerations for the DNSH assessment process at both the programme and component level. This section also already outlines </w:t>
      </w:r>
      <w:r w:rsidR="00EE1F8D" w:rsidRPr="007F1283">
        <w:t xml:space="preserve">the </w:t>
      </w:r>
      <w:r w:rsidRPr="007F1283">
        <w:t xml:space="preserve">steps of the application of the DNSH, however, due to the lack of visual elements the content may seem text-heavy and thus difficult to follow. Combining the existing content with the methodological step-by-step map developed under the DLV5 would improve the overall clarity of the process. Similarly, the MoE’s document provides detailed and coherent guidance for the CP assessment process. The </w:t>
      </w:r>
      <w:r w:rsidR="00AE3712" w:rsidRPr="007F1283">
        <w:t xml:space="preserve">content on the CP </w:t>
      </w:r>
      <w:r w:rsidR="00C24C67" w:rsidRPr="007F1283">
        <w:t xml:space="preserve">is </w:t>
      </w:r>
      <w:r w:rsidR="00397B71" w:rsidRPr="007F1283">
        <w:t xml:space="preserve">based directly </w:t>
      </w:r>
      <w:r w:rsidR="00C24C67" w:rsidRPr="007F1283">
        <w:t xml:space="preserve">on the </w:t>
      </w:r>
      <w:r w:rsidR="00452C35" w:rsidRPr="007F1283">
        <w:t xml:space="preserve">Technical guidance on the climate proofing of infrastructure in the period 2021-2027 </w:t>
      </w:r>
      <w:r w:rsidR="007E75D0" w:rsidRPr="007F1283">
        <w:t xml:space="preserve">(2021/C 373/01) </w:t>
      </w:r>
      <w:r w:rsidR="00C24C67" w:rsidRPr="007F1283">
        <w:t>provid</w:t>
      </w:r>
      <w:r w:rsidR="00397B71" w:rsidRPr="007F1283">
        <w:t>ing</w:t>
      </w:r>
      <w:r w:rsidR="00C24C67" w:rsidRPr="007F1283">
        <w:t xml:space="preserve"> </w:t>
      </w:r>
      <w:r w:rsidR="00A729B4" w:rsidRPr="007F1283">
        <w:t xml:space="preserve">step-by-step instructions </w:t>
      </w:r>
      <w:r w:rsidR="003871F5" w:rsidRPr="007F1283">
        <w:t xml:space="preserve">for key stages </w:t>
      </w:r>
      <w:r w:rsidR="00A2182D" w:rsidRPr="007F1283">
        <w:t>in the CP for both climate mitigation and climate adaptation objective,</w:t>
      </w:r>
      <w:r w:rsidR="00A729B4" w:rsidRPr="007F1283">
        <w:t xml:space="preserve"> along with </w:t>
      </w:r>
      <w:r w:rsidR="007536D0" w:rsidRPr="007F1283">
        <w:t xml:space="preserve">visual </w:t>
      </w:r>
      <w:r w:rsidR="00B816F7" w:rsidRPr="007F1283">
        <w:t>diagrams</w:t>
      </w:r>
      <w:r w:rsidR="00031BF3" w:rsidRPr="007F1283">
        <w:t>, tables and</w:t>
      </w:r>
      <w:r w:rsidR="001B26D6" w:rsidRPr="007F1283">
        <w:t>, where applicable,</w:t>
      </w:r>
      <w:r w:rsidR="00031BF3" w:rsidRPr="007F1283">
        <w:t xml:space="preserve"> references for </w:t>
      </w:r>
      <w:r w:rsidR="004714DA" w:rsidRPr="007F1283">
        <w:t>relevant r</w:t>
      </w:r>
      <w:r w:rsidR="00031BF3" w:rsidRPr="007F1283">
        <w:t>esources</w:t>
      </w:r>
      <w:r w:rsidR="004714DA" w:rsidRPr="007F1283">
        <w:t xml:space="preserve"> (e.g. </w:t>
      </w:r>
      <w:r w:rsidR="00C73146" w:rsidRPr="007F1283">
        <w:t xml:space="preserve">sources </w:t>
      </w:r>
      <w:r w:rsidR="001B26D6" w:rsidRPr="007F1283">
        <w:t xml:space="preserve">with </w:t>
      </w:r>
      <w:r w:rsidR="00C73146" w:rsidRPr="007F1283">
        <w:t xml:space="preserve">data needed for the </w:t>
      </w:r>
      <w:r w:rsidR="00374325" w:rsidRPr="007F1283">
        <w:t xml:space="preserve">analysis of the </w:t>
      </w:r>
      <w:r w:rsidR="00DE61F3" w:rsidRPr="007F1283">
        <w:t>sensitivity, exposure and vulnerability).</w:t>
      </w:r>
      <w:r w:rsidR="00676317" w:rsidRPr="007F1283">
        <w:t xml:space="preserve"> The guidance document developed as part of the DLV5 would therefore directly refer to the </w:t>
      </w:r>
      <w:r w:rsidR="003E422C" w:rsidRPr="007F1283">
        <w:t xml:space="preserve">detailed instructions in the </w:t>
      </w:r>
      <w:r w:rsidR="00676317" w:rsidRPr="007F1283">
        <w:t xml:space="preserve">CP section in the MoE’s framework guidance </w:t>
      </w:r>
      <w:r w:rsidR="00B35B40" w:rsidRPr="007F1283">
        <w:t xml:space="preserve">at the Stage 5 (i.e. </w:t>
      </w:r>
      <w:r w:rsidR="00ED608C" w:rsidRPr="007F1283">
        <w:t>Interlinkages with CP and SP).</w:t>
      </w:r>
    </w:p>
    <w:p w14:paraId="3A64E265" w14:textId="77777777" w:rsidR="00A73478" w:rsidRPr="007F1283" w:rsidRDefault="00A73478" w:rsidP="00185DCA">
      <w:pPr>
        <w:ind w:left="0"/>
      </w:pPr>
    </w:p>
    <w:p w14:paraId="7F8875D0" w14:textId="17C736FE" w:rsidR="00FA291A" w:rsidRPr="007F1283" w:rsidRDefault="322ADC88" w:rsidP="00D73D2F">
      <w:pPr>
        <w:pStyle w:val="Nadpis2"/>
        <w:ind w:left="567" w:firstLine="0"/>
      </w:pPr>
      <w:bookmarkStart w:id="32" w:name="_Toc133944265"/>
      <w:r w:rsidRPr="007F1283">
        <w:t>Recommendations for g</w:t>
      </w:r>
      <w:r w:rsidR="3A84E848" w:rsidRPr="007F1283">
        <w:t>uidelines content</w:t>
      </w:r>
      <w:r w:rsidR="0C2D040B" w:rsidRPr="007F1283">
        <w:t>s</w:t>
      </w:r>
      <w:r w:rsidR="3A84E848" w:rsidRPr="007F1283">
        <w:t xml:space="preserve"> and </w:t>
      </w:r>
      <w:r w:rsidR="05377D57" w:rsidRPr="007F1283">
        <w:t>c</w:t>
      </w:r>
      <w:r w:rsidR="3D5C5D74" w:rsidRPr="007F1283">
        <w:t>larity</w:t>
      </w:r>
      <w:bookmarkEnd w:id="32"/>
      <w:r w:rsidR="4CFAD52E" w:rsidRPr="007F1283">
        <w:t xml:space="preserve"> </w:t>
      </w:r>
    </w:p>
    <w:p w14:paraId="44263CAD" w14:textId="72C04019" w:rsidR="2D419403" w:rsidRPr="007F1283" w:rsidRDefault="2D419403" w:rsidP="08ABA0B0">
      <w:r w:rsidRPr="007F1283">
        <w:t>The purpose of the methodological guidance should be to provide clear information on the different stages and steps of the application of the DNSH principle</w:t>
      </w:r>
      <w:r w:rsidR="00B804D9" w:rsidRPr="007F1283">
        <w:t>,</w:t>
      </w:r>
      <w:r w:rsidRPr="007F1283">
        <w:t xml:space="preserve"> </w:t>
      </w:r>
      <w:r w:rsidR="00531842" w:rsidRPr="007F1283">
        <w:t>predominantly focusing on the</w:t>
      </w:r>
      <w:r w:rsidR="002E2624" w:rsidRPr="007F1283">
        <w:t xml:space="preserve"> assessment </w:t>
      </w:r>
      <w:r w:rsidR="002E2624" w:rsidRPr="007F1283">
        <w:lastRenderedPageBreak/>
        <w:t xml:space="preserve">and appraisal stage, and providing additional advice on other </w:t>
      </w:r>
      <w:r w:rsidR="00157FF9" w:rsidRPr="007F1283">
        <w:t xml:space="preserve">stages of the </w:t>
      </w:r>
      <w:r w:rsidR="00B804D9" w:rsidRPr="007F1283">
        <w:t>project</w:t>
      </w:r>
      <w:r w:rsidRPr="007F1283">
        <w:t xml:space="preserve"> lifecycle process. In order to ensure clarity and ease of use of the guidance document and support the user in the navigation of the process, the structuring of the sections across the document needs to follow pre-set format and be consistent across the document. We recommend following the below approach to structuring </w:t>
      </w:r>
      <w:r w:rsidR="00FA58CD" w:rsidRPr="007F1283">
        <w:t xml:space="preserve">and linking </w:t>
      </w:r>
      <w:r w:rsidRPr="007F1283">
        <w:t xml:space="preserve">the chapters </w:t>
      </w:r>
      <w:r w:rsidR="00441E23" w:rsidRPr="007F1283">
        <w:t>between</w:t>
      </w:r>
      <w:r w:rsidRPr="007F1283">
        <w:t xml:space="preserve"> the</w:t>
      </w:r>
      <w:r w:rsidR="00441E23" w:rsidRPr="007F1283">
        <w:t xml:space="preserve"> existing and newly developed</w:t>
      </w:r>
      <w:r w:rsidRPr="007F1283">
        <w:t xml:space="preserve"> guidance document</w:t>
      </w:r>
      <w:r w:rsidR="00441E23" w:rsidRPr="007F1283">
        <w:t xml:space="preserve"> (DLV5)</w:t>
      </w:r>
      <w:r w:rsidR="009E3E42" w:rsidRPr="007F1283">
        <w:t>.</w:t>
      </w:r>
    </w:p>
    <w:p w14:paraId="01D38B50" w14:textId="715BD9B8" w:rsidR="00960C07" w:rsidRPr="007F1283" w:rsidRDefault="00960C07" w:rsidP="001508DA"/>
    <w:p w14:paraId="511DB89A" w14:textId="3DD41232" w:rsidR="00265561" w:rsidRPr="007F1283" w:rsidRDefault="7B213093" w:rsidP="00604F05">
      <w:pPr>
        <w:ind w:firstLine="142"/>
        <w:rPr>
          <w:b/>
          <w:bCs/>
          <w:color w:val="F04E30" w:themeColor="accent2"/>
        </w:rPr>
      </w:pPr>
      <w:r w:rsidRPr="007F1283">
        <w:rPr>
          <w:b/>
          <w:bCs/>
          <w:color w:val="F04E30" w:themeColor="accent2"/>
        </w:rPr>
        <w:t>Background</w:t>
      </w:r>
      <w:r w:rsidR="5A9486F9" w:rsidRPr="007F1283">
        <w:rPr>
          <w:b/>
          <w:bCs/>
          <w:color w:val="F04E30" w:themeColor="accent2"/>
        </w:rPr>
        <w:t xml:space="preserve"> and</w:t>
      </w:r>
      <w:r w:rsidR="000F0072" w:rsidRPr="007F1283">
        <w:rPr>
          <w:b/>
          <w:bCs/>
          <w:color w:val="F04E30" w:themeColor="accent2"/>
        </w:rPr>
        <w:t xml:space="preserve"> ex</w:t>
      </w:r>
      <w:r w:rsidR="00303B25" w:rsidRPr="007F1283">
        <w:rPr>
          <w:b/>
          <w:bCs/>
          <w:color w:val="F04E30" w:themeColor="accent2"/>
        </w:rPr>
        <w:t>planatory</w:t>
      </w:r>
      <w:r w:rsidR="6BE67934" w:rsidRPr="007F1283">
        <w:rPr>
          <w:b/>
          <w:bCs/>
          <w:color w:val="F04E30" w:themeColor="accent2"/>
        </w:rPr>
        <w:t xml:space="preserve"> </w:t>
      </w:r>
      <w:r w:rsidR="420D4A4F" w:rsidRPr="007F1283">
        <w:rPr>
          <w:b/>
          <w:bCs/>
          <w:color w:val="F04E30" w:themeColor="accent2"/>
        </w:rPr>
        <w:t>contextual</w:t>
      </w:r>
      <w:r w:rsidRPr="007F1283">
        <w:rPr>
          <w:b/>
          <w:bCs/>
          <w:color w:val="F04E30" w:themeColor="accent2"/>
        </w:rPr>
        <w:t xml:space="preserve"> information</w:t>
      </w:r>
      <w:r w:rsidR="4B38EBCD" w:rsidRPr="007F1283">
        <w:rPr>
          <w:b/>
          <w:bCs/>
          <w:color w:val="F04E30" w:themeColor="accent2"/>
        </w:rPr>
        <w:t xml:space="preserve"> (e.g. Q&amp;A)</w:t>
      </w:r>
    </w:p>
    <w:p w14:paraId="772F886D" w14:textId="4E209034" w:rsidR="00242D09" w:rsidRPr="007F1283" w:rsidRDefault="2ADA4B4C" w:rsidP="00D615E8">
      <w:pPr>
        <w:pStyle w:val="Odstavecseseznamem"/>
        <w:numPr>
          <w:ilvl w:val="0"/>
          <w:numId w:val="17"/>
        </w:numPr>
        <w:ind w:left="720"/>
      </w:pPr>
      <w:r w:rsidRPr="007F1283">
        <w:rPr>
          <w:b/>
        </w:rPr>
        <w:t>A clear table with an overview of all relevant EU regulations,</w:t>
      </w:r>
      <w:r w:rsidR="7ECA1806" w:rsidRPr="007F1283">
        <w:rPr>
          <w:b/>
        </w:rPr>
        <w:t xml:space="preserve"> </w:t>
      </w:r>
      <w:r w:rsidR="052E3B41" w:rsidRPr="007F1283">
        <w:rPr>
          <w:b/>
        </w:rPr>
        <w:t>technical guidance documents,</w:t>
      </w:r>
      <w:r w:rsidR="2CD0537C" w:rsidRPr="007F1283">
        <w:rPr>
          <w:b/>
        </w:rPr>
        <w:t xml:space="preserve"> </w:t>
      </w:r>
      <w:r w:rsidR="052E3B41" w:rsidRPr="007F1283">
        <w:rPr>
          <w:b/>
        </w:rPr>
        <w:t xml:space="preserve">additional </w:t>
      </w:r>
      <w:r w:rsidR="2189F023" w:rsidRPr="007F1283">
        <w:rPr>
          <w:b/>
        </w:rPr>
        <w:t>complementary</w:t>
      </w:r>
      <w:r w:rsidR="69077649" w:rsidRPr="007F1283">
        <w:rPr>
          <w:b/>
        </w:rPr>
        <w:t xml:space="preserve"> </w:t>
      </w:r>
      <w:r w:rsidR="00252BA5" w:rsidRPr="007F1283">
        <w:rPr>
          <w:b/>
        </w:rPr>
        <w:t xml:space="preserve">working </w:t>
      </w:r>
      <w:r w:rsidR="69077649" w:rsidRPr="007F1283">
        <w:rPr>
          <w:b/>
        </w:rPr>
        <w:t xml:space="preserve">documents </w:t>
      </w:r>
      <w:r w:rsidR="69077649" w:rsidRPr="007F1283">
        <w:t xml:space="preserve">(e.g. </w:t>
      </w:r>
      <w:r w:rsidR="2189F023" w:rsidRPr="007F1283">
        <w:t>Commission explanatory note),</w:t>
      </w:r>
      <w:r w:rsidR="60D9BC7C" w:rsidRPr="007F1283">
        <w:t xml:space="preserve"> along with a brief description</w:t>
      </w:r>
      <w:r w:rsidR="6C96DD45" w:rsidRPr="007F1283">
        <w:t xml:space="preserve"> of the content</w:t>
      </w:r>
      <w:r w:rsidR="60D9BC7C" w:rsidRPr="007F1283">
        <w:t xml:space="preserve">, purpose and </w:t>
      </w:r>
      <w:r w:rsidR="170793B5" w:rsidRPr="007F1283">
        <w:t xml:space="preserve">role of the </w:t>
      </w:r>
      <w:r w:rsidR="7D98B263" w:rsidRPr="007F1283">
        <w:t>legislation/</w:t>
      </w:r>
      <w:r w:rsidR="30B5BB6D" w:rsidRPr="007F1283">
        <w:t>documentation,</w:t>
      </w:r>
      <w:r w:rsidR="0A16BEBF" w:rsidRPr="007F1283">
        <w:t xml:space="preserve"> and a direct link to the Czech </w:t>
      </w:r>
      <w:r w:rsidR="1367DF41" w:rsidRPr="007F1283">
        <w:t xml:space="preserve">online </w:t>
      </w:r>
      <w:r w:rsidR="0A16BEBF" w:rsidRPr="007F1283">
        <w:t xml:space="preserve">version </w:t>
      </w:r>
      <w:r w:rsidR="1367DF41" w:rsidRPr="007F1283">
        <w:t xml:space="preserve">on the websites of the European Commission </w:t>
      </w:r>
      <w:r w:rsidR="2B3863E7" w:rsidRPr="007F1283">
        <w:t xml:space="preserve">(or other relevant source) </w:t>
      </w:r>
      <w:r w:rsidR="05300C1D" w:rsidRPr="007F1283">
        <w:t xml:space="preserve">should be provided. </w:t>
      </w:r>
      <w:r w:rsidR="6C96DD45" w:rsidRPr="007F1283">
        <w:t xml:space="preserve">This will ensure that the user has all the relevant resources at hand for the remainder of the guidance and </w:t>
      </w:r>
      <w:r w:rsidR="32776B52" w:rsidRPr="007F1283">
        <w:t xml:space="preserve">has </w:t>
      </w:r>
      <w:r w:rsidR="219DBC7E" w:rsidRPr="007F1283">
        <w:t>a clearer understanding of</w:t>
      </w:r>
      <w:r w:rsidR="04A89876" w:rsidRPr="007F1283">
        <w:t xml:space="preserve"> the</w:t>
      </w:r>
      <w:r w:rsidR="219DBC7E" w:rsidRPr="007F1283">
        <w:t xml:space="preserve"> </w:t>
      </w:r>
      <w:r w:rsidR="7E263081" w:rsidRPr="007F1283">
        <w:t xml:space="preserve">background </w:t>
      </w:r>
      <w:r w:rsidR="219DBC7E" w:rsidRPr="007F1283">
        <w:t xml:space="preserve">and legislative context for the application of the DNSH and additional environmental methodologies. </w:t>
      </w:r>
      <w:r w:rsidR="005338C2" w:rsidRPr="007F1283">
        <w:t>The section 2.3 of the framework guidance developed by the MoE</w:t>
      </w:r>
      <w:r w:rsidR="005D2CC3" w:rsidRPr="007F1283">
        <w:t xml:space="preserve"> already provides a detailed </w:t>
      </w:r>
      <w:r w:rsidR="00187479" w:rsidRPr="007F1283">
        <w:t xml:space="preserve">background information for each legislation relevant to the DNSH </w:t>
      </w:r>
      <w:r w:rsidR="00A13AFA" w:rsidRPr="007F1283">
        <w:t>principle and the CP assessment</w:t>
      </w:r>
      <w:r w:rsidR="00242D09" w:rsidRPr="007F1283">
        <w:t xml:space="preserve"> and thus users would be</w:t>
      </w:r>
      <w:r w:rsidR="00D33CBF" w:rsidRPr="007F1283">
        <w:t xml:space="preserve"> linked </w:t>
      </w:r>
      <w:r w:rsidR="0098376C" w:rsidRPr="007F1283">
        <w:t xml:space="preserve">to this section for additional </w:t>
      </w:r>
      <w:r w:rsidR="00912347" w:rsidRPr="007F1283">
        <w:t>information</w:t>
      </w:r>
      <w:r w:rsidR="00EE4BC1" w:rsidRPr="007F1283">
        <w:t xml:space="preserve"> </w:t>
      </w:r>
      <w:r w:rsidR="00613A37" w:rsidRPr="007F1283">
        <w:t>(in case this is not fully covered in the DLV5 guidance document).</w:t>
      </w:r>
    </w:p>
    <w:p w14:paraId="178F06D9" w14:textId="77777777" w:rsidR="0054193F" w:rsidRPr="007F1283" w:rsidRDefault="0054193F" w:rsidP="00551FC9">
      <w:pPr>
        <w:pStyle w:val="Odstavecseseznamem"/>
        <w:ind w:left="720"/>
      </w:pPr>
    </w:p>
    <w:p w14:paraId="5AB152F3" w14:textId="06A410E7" w:rsidR="64ABC293" w:rsidRPr="007F1283" w:rsidRDefault="423D3F4D" w:rsidP="00D615E8">
      <w:pPr>
        <w:pStyle w:val="Odstavecseseznamem"/>
        <w:numPr>
          <w:ilvl w:val="0"/>
          <w:numId w:val="17"/>
        </w:numPr>
        <w:ind w:left="720"/>
      </w:pPr>
      <w:r w:rsidRPr="007F1283">
        <w:rPr>
          <w:b/>
          <w:bCs/>
        </w:rPr>
        <w:t>A</w:t>
      </w:r>
      <w:r w:rsidR="051EABFF" w:rsidRPr="007F1283">
        <w:rPr>
          <w:b/>
        </w:rPr>
        <w:t xml:space="preserve"> table </w:t>
      </w:r>
      <w:r w:rsidR="1CB426C7" w:rsidRPr="007F1283">
        <w:rPr>
          <w:b/>
        </w:rPr>
        <w:t xml:space="preserve">with </w:t>
      </w:r>
      <w:r w:rsidR="11026096" w:rsidRPr="007F1283">
        <w:rPr>
          <w:b/>
        </w:rPr>
        <w:t>key terminology</w:t>
      </w:r>
      <w:r w:rsidR="11026096" w:rsidRPr="007F1283">
        <w:t xml:space="preserve"> should be included in the first chapter of the guidance document</w:t>
      </w:r>
      <w:r w:rsidR="10A64F89" w:rsidRPr="007F1283">
        <w:t xml:space="preserve"> to mitigate any confusion stemming from the introduction of a variety of new terms</w:t>
      </w:r>
      <w:r w:rsidR="7673BF7B" w:rsidRPr="007F1283">
        <w:t>.</w:t>
      </w:r>
      <w:r w:rsidR="11026096" w:rsidRPr="007F1283">
        <w:t xml:space="preserve"> The table should also include</w:t>
      </w:r>
      <w:r w:rsidR="12228EC7" w:rsidRPr="007F1283">
        <w:t xml:space="preserve"> all the terms that will be used </w:t>
      </w:r>
      <w:r w:rsidR="5D133C0F" w:rsidRPr="007F1283">
        <w:t>throughout</w:t>
      </w:r>
      <w:r w:rsidR="12228EC7" w:rsidRPr="007F1283">
        <w:t xml:space="preserve"> the document and </w:t>
      </w:r>
      <w:r w:rsidR="0D9C3BD2" w:rsidRPr="007F1283">
        <w:t>provide</w:t>
      </w:r>
      <w:r w:rsidR="11026096" w:rsidRPr="007F1283">
        <w:t xml:space="preserve"> </w:t>
      </w:r>
      <w:r w:rsidR="0D9C3BD2" w:rsidRPr="007F1283">
        <w:t>a brief description</w:t>
      </w:r>
      <w:r w:rsidR="11026096" w:rsidRPr="007F1283">
        <w:t xml:space="preserve"> and </w:t>
      </w:r>
      <w:r w:rsidR="5D133C0F" w:rsidRPr="007F1283">
        <w:t xml:space="preserve">the definition </w:t>
      </w:r>
      <w:r w:rsidR="42DE5457" w:rsidRPr="007F1283">
        <w:t>for each term</w:t>
      </w:r>
      <w:r w:rsidR="66FEEC45" w:rsidRPr="007F1283">
        <w:t xml:space="preserve">, especially when it comes to </w:t>
      </w:r>
      <w:r w:rsidR="002C35F8" w:rsidRPr="007F1283">
        <w:t>the DNSH</w:t>
      </w:r>
      <w:r w:rsidR="09770B1E" w:rsidRPr="007F1283">
        <w:t xml:space="preserve">-related terminology, or the </w:t>
      </w:r>
      <w:r w:rsidR="723E4FDB" w:rsidRPr="007F1283">
        <w:t>roles of entitie</w:t>
      </w:r>
      <w:r w:rsidR="03049CD8" w:rsidRPr="007F1283">
        <w:t>s</w:t>
      </w:r>
      <w:r w:rsidR="09770B1E" w:rsidRPr="007F1283">
        <w:t>/</w:t>
      </w:r>
      <w:r w:rsidR="03049CD8" w:rsidRPr="007F1283">
        <w:t>individual</w:t>
      </w:r>
      <w:r w:rsidR="09770B1E" w:rsidRPr="007F1283">
        <w:t>s and</w:t>
      </w:r>
      <w:r w:rsidR="03049CD8" w:rsidRPr="007F1283">
        <w:t xml:space="preserve"> types of documents</w:t>
      </w:r>
      <w:r w:rsidR="0E5A6784" w:rsidRPr="007F1283">
        <w:t xml:space="preserve"> </w:t>
      </w:r>
      <w:r w:rsidR="09770B1E" w:rsidRPr="007F1283">
        <w:t>(i.e</w:t>
      </w:r>
      <w:r w:rsidR="69C46B21" w:rsidRPr="007F1283">
        <w:t>.,</w:t>
      </w:r>
      <w:r w:rsidR="09770B1E" w:rsidRPr="007F1283">
        <w:t xml:space="preserve"> project applicant, project beneficiary programme authority, declaration form etc.).</w:t>
      </w:r>
      <w:r w:rsidR="00464EB3" w:rsidRPr="007F1283">
        <w:t xml:space="preserve"> The framework guidance currently includes a short terminology list in the beginning of the document, however, additional information</w:t>
      </w:r>
      <w:r w:rsidR="00BF5C95" w:rsidRPr="007F1283">
        <w:t xml:space="preserve"> (e.g. brief description) of the concept could be beneficial for the users. </w:t>
      </w:r>
    </w:p>
    <w:p w14:paraId="4B6EFC8E" w14:textId="75D3BFEA" w:rsidR="64ABC293" w:rsidRPr="007F1283" w:rsidRDefault="64ABC293" w:rsidP="08ABA0B0">
      <w:pPr>
        <w:ind w:left="207"/>
      </w:pPr>
    </w:p>
    <w:p w14:paraId="56633ECD" w14:textId="7F0B5DAA" w:rsidR="1B827680" w:rsidRPr="007F1283" w:rsidRDefault="1B827680" w:rsidP="00B3545A">
      <w:pPr>
        <w:spacing w:line="360" w:lineRule="auto"/>
        <w:ind w:firstLine="142"/>
        <w:rPr>
          <w:b/>
          <w:color w:val="F04E30" w:themeColor="accent2"/>
        </w:rPr>
      </w:pPr>
      <w:r w:rsidRPr="007F1283">
        <w:rPr>
          <w:b/>
          <w:color w:val="F04E30" w:themeColor="accent2"/>
        </w:rPr>
        <w:t xml:space="preserve">Process guidance </w:t>
      </w:r>
    </w:p>
    <w:p w14:paraId="33F2AD4B" w14:textId="1AA7462A" w:rsidR="005A35B5" w:rsidRPr="007F1283" w:rsidRDefault="704D29E5" w:rsidP="00B3545A">
      <w:pPr>
        <w:spacing w:line="360" w:lineRule="auto"/>
        <w:ind w:left="709"/>
      </w:pPr>
      <w:r w:rsidRPr="007F1283">
        <w:t>It is key to maintain the consistency in the format and structure across the document to ensure the logical flow and ease of following. A clear structure providing information for each stage of the lifecycle, in the same format and providing the same style of visual elements should be used throughout the document.</w:t>
      </w:r>
      <w:r w:rsidR="005A35B5" w:rsidRPr="007F1283">
        <w:t xml:space="preserve"> The section 4 </w:t>
      </w:r>
      <w:r w:rsidR="00C16931" w:rsidRPr="007F1283">
        <w:t xml:space="preserve">of the framework guidance </w:t>
      </w:r>
      <w:r w:rsidR="00167682" w:rsidRPr="007F1283">
        <w:t>f</w:t>
      </w:r>
      <w:r w:rsidR="005A35B5" w:rsidRPr="007F1283">
        <w:t xml:space="preserve">ollows a set structure consisting of the background to each environmental objective, how the alignment is ensured at the national level, DNSH requirements not covered by the national legislation, and a list of the relevant national legislation. </w:t>
      </w:r>
      <w:r w:rsidR="00705B78" w:rsidRPr="007F1283">
        <w:t xml:space="preserve">The section </w:t>
      </w:r>
      <w:r w:rsidR="00024652" w:rsidRPr="007F1283">
        <w:t xml:space="preserve">already </w:t>
      </w:r>
      <w:r w:rsidR="00705B78" w:rsidRPr="007F1283">
        <w:t xml:space="preserve">provides </w:t>
      </w:r>
      <w:r w:rsidR="007D6B27" w:rsidRPr="007F1283">
        <w:t>relevant content, however</w:t>
      </w:r>
      <w:r w:rsidR="003546AC" w:rsidRPr="007F1283">
        <w:t>,</w:t>
      </w:r>
      <w:r w:rsidR="007D6B27" w:rsidRPr="007F1283">
        <w:t xml:space="preserve"> could be </w:t>
      </w:r>
      <w:r w:rsidR="003546AC" w:rsidRPr="007F1283">
        <w:t xml:space="preserve">expanded with visual </w:t>
      </w:r>
      <w:r w:rsidR="005A35B5" w:rsidRPr="007F1283">
        <w:t>elements or decision trees/diagrams to outline the process steps and the interlinkages between the different stages</w:t>
      </w:r>
      <w:r w:rsidR="00F80F10" w:rsidRPr="007F1283">
        <w:t>. Th</w:t>
      </w:r>
      <w:r w:rsidR="00B44613" w:rsidRPr="007F1283">
        <w:t xml:space="preserve">ese </w:t>
      </w:r>
      <w:r w:rsidR="00F80F10" w:rsidRPr="007F1283">
        <w:t xml:space="preserve">aspects would be </w:t>
      </w:r>
      <w:r w:rsidR="00B44613" w:rsidRPr="007F1283">
        <w:t xml:space="preserve">instead </w:t>
      </w:r>
      <w:r w:rsidR="00F80F10" w:rsidRPr="007F1283">
        <w:t xml:space="preserve">covered in the DLV5 guidance document, </w:t>
      </w:r>
      <w:r w:rsidR="00B44613" w:rsidRPr="007F1283">
        <w:t xml:space="preserve">directly referring to the section 4 of the framework guidance for more information on the </w:t>
      </w:r>
      <w:r w:rsidR="00E13D14" w:rsidRPr="007F1283">
        <w:t xml:space="preserve">already included information listed above. </w:t>
      </w:r>
    </w:p>
    <w:p w14:paraId="353475C7" w14:textId="77777777" w:rsidR="0054193F" w:rsidRPr="007F1283" w:rsidRDefault="0054193F" w:rsidP="00B74E8D">
      <w:pPr>
        <w:pStyle w:val="Odstavecseseznamem"/>
        <w:spacing w:line="360" w:lineRule="auto"/>
        <w:ind w:left="720"/>
      </w:pPr>
    </w:p>
    <w:p w14:paraId="0136AC7A" w14:textId="3EBEFCE7" w:rsidR="3BD3A58A" w:rsidRPr="007F1283" w:rsidRDefault="3BD3A58A" w:rsidP="08ABA0B0">
      <w:pPr>
        <w:pStyle w:val="Odstavecseseznamem"/>
        <w:numPr>
          <w:ilvl w:val="0"/>
          <w:numId w:val="1"/>
        </w:numPr>
      </w:pPr>
      <w:r w:rsidRPr="007F1283">
        <w:rPr>
          <w:b/>
        </w:rPr>
        <w:t xml:space="preserve">A </w:t>
      </w:r>
      <w:r w:rsidR="75B35620" w:rsidRPr="007F1283">
        <w:rPr>
          <w:b/>
        </w:rPr>
        <w:t xml:space="preserve">visual </w:t>
      </w:r>
      <w:r w:rsidRPr="007F1283">
        <w:rPr>
          <w:b/>
        </w:rPr>
        <w:t xml:space="preserve">process map </w:t>
      </w:r>
      <w:r w:rsidR="1C722499" w:rsidRPr="007F1283">
        <w:t>for the DNSH compliance assessment throughout the project cycle should be included</w:t>
      </w:r>
      <w:r w:rsidR="7C347A6B" w:rsidRPr="007F1283">
        <w:t xml:space="preserve"> </w:t>
      </w:r>
      <w:r w:rsidR="09ECA27F" w:rsidRPr="007F1283">
        <w:t xml:space="preserve">for each fund in scope (RRF, CPF, InvestEU) </w:t>
      </w:r>
      <w:r w:rsidR="1C722499" w:rsidRPr="007F1283">
        <w:t>from the perspective of both the funding authority and beneficiary/project proponent.</w:t>
      </w:r>
      <w:r w:rsidR="4EBAB8FD" w:rsidRPr="007F1283">
        <w:t xml:space="preserve"> This map should </w:t>
      </w:r>
      <w:r w:rsidR="3AF0FFCD" w:rsidRPr="007F1283">
        <w:t xml:space="preserve">provide a brief overview of the role, </w:t>
      </w:r>
      <w:r w:rsidR="0341EAFD" w:rsidRPr="007F1283">
        <w:t>responsibilities</w:t>
      </w:r>
      <w:r w:rsidR="0A49E617" w:rsidRPr="007F1283">
        <w:t xml:space="preserve"> (e.g</w:t>
      </w:r>
      <w:r w:rsidR="1AC4B5AD" w:rsidRPr="007F1283">
        <w:t>.,</w:t>
      </w:r>
      <w:r w:rsidR="0A49E617" w:rsidRPr="007F1283">
        <w:t xml:space="preserve"> required actions) and key outputs for both types of stakeholders and indicate </w:t>
      </w:r>
      <w:r w:rsidR="0A49E617" w:rsidRPr="007F1283">
        <w:lastRenderedPageBreak/>
        <w:t xml:space="preserve">the links between them. </w:t>
      </w:r>
      <w:r w:rsidR="2E3AB3B4" w:rsidRPr="007F1283">
        <w:t>The sections of this map (i.e</w:t>
      </w:r>
      <w:r w:rsidR="2DC70F7B" w:rsidRPr="007F1283">
        <w:t>.,</w:t>
      </w:r>
      <w:r w:rsidR="3BD79B6E" w:rsidRPr="007F1283">
        <w:t xml:space="preserve"> </w:t>
      </w:r>
      <w:r w:rsidR="10B81D27" w:rsidRPr="007F1283">
        <w:t>the</w:t>
      </w:r>
      <w:r w:rsidR="2E3AB3B4" w:rsidRPr="007F1283">
        <w:t xml:space="preserve"> different stages of the DNSH application process) would then be </w:t>
      </w:r>
      <w:r w:rsidR="36C5D6C8" w:rsidRPr="007F1283">
        <w:t>elaborated on in detail in the following chapters/se</w:t>
      </w:r>
      <w:r w:rsidR="397C78E1" w:rsidRPr="007F1283">
        <w:t>ctions of the guidance document.</w:t>
      </w:r>
      <w:r w:rsidR="16A55900" w:rsidRPr="007F1283">
        <w:t xml:space="preserve"> </w:t>
      </w:r>
      <w:r w:rsidR="004D2210" w:rsidRPr="007F1283">
        <w:t xml:space="preserve">A schematic representation of the DNSH </w:t>
      </w:r>
      <w:r w:rsidR="00CE24BB" w:rsidRPr="007F1283">
        <w:t xml:space="preserve">application </w:t>
      </w:r>
      <w:r w:rsidR="004D2210" w:rsidRPr="007F1283">
        <w:t xml:space="preserve">process is currently not included in the existing </w:t>
      </w:r>
      <w:r w:rsidR="002920F1" w:rsidRPr="007F1283">
        <w:t xml:space="preserve">Czech </w:t>
      </w:r>
      <w:r w:rsidR="004D2210" w:rsidRPr="007F1283">
        <w:t>guidance document</w:t>
      </w:r>
      <w:r w:rsidR="002920F1" w:rsidRPr="007F1283">
        <w:t>s</w:t>
      </w:r>
      <w:r w:rsidR="001D58D1" w:rsidRPr="007F1283">
        <w:t>. Add</w:t>
      </w:r>
      <w:r w:rsidR="00093AAB" w:rsidRPr="007F1283">
        <w:t xml:space="preserve">ing </w:t>
      </w:r>
      <w:r w:rsidR="000F2F31" w:rsidRPr="007F1283">
        <w:t>the process map</w:t>
      </w:r>
      <w:r w:rsidR="006549A0" w:rsidRPr="007F1283">
        <w:t xml:space="preserve"> in the first chapters of the document</w:t>
      </w:r>
      <w:r w:rsidR="00E85284" w:rsidRPr="007F1283">
        <w:t xml:space="preserve">, </w:t>
      </w:r>
      <w:r w:rsidR="005112E9" w:rsidRPr="007F1283">
        <w:t>even in a sim</w:t>
      </w:r>
      <w:r w:rsidR="006549A0" w:rsidRPr="007F1283">
        <w:t xml:space="preserve">plified form, </w:t>
      </w:r>
      <w:r w:rsidR="004A6F5B" w:rsidRPr="007F1283">
        <w:t xml:space="preserve">may </w:t>
      </w:r>
      <w:r w:rsidR="00140F20" w:rsidRPr="007F1283">
        <w:t xml:space="preserve">improve the </w:t>
      </w:r>
      <w:r w:rsidR="00357ED0" w:rsidRPr="007F1283">
        <w:t>users’ understanding of the different steps of the assessment, their purpose and the position</w:t>
      </w:r>
      <w:r w:rsidR="00F07EDB" w:rsidRPr="007F1283">
        <w:t>/order</w:t>
      </w:r>
      <w:r w:rsidR="00357ED0" w:rsidRPr="007F1283">
        <w:t xml:space="preserve"> </w:t>
      </w:r>
      <w:r w:rsidR="00F07EDB" w:rsidRPr="007F1283">
        <w:t xml:space="preserve">throughout </w:t>
      </w:r>
      <w:r w:rsidR="00357ED0" w:rsidRPr="007F1283">
        <w:t>the overall process</w:t>
      </w:r>
      <w:r w:rsidR="00F07EDB" w:rsidRPr="007F1283">
        <w:t>.</w:t>
      </w:r>
    </w:p>
    <w:p w14:paraId="726975AC" w14:textId="77777777" w:rsidR="00515106" w:rsidRPr="007F1283" w:rsidRDefault="00515106" w:rsidP="00B74E8D">
      <w:pPr>
        <w:pStyle w:val="Odstavecseseznamem"/>
        <w:ind w:left="720"/>
      </w:pPr>
    </w:p>
    <w:p w14:paraId="2B23CA89" w14:textId="4A6B032F" w:rsidR="00366AA6" w:rsidRPr="007F1283" w:rsidRDefault="00366AA6" w:rsidP="00366AA6">
      <w:pPr>
        <w:pStyle w:val="Odstavecseseznamem"/>
        <w:numPr>
          <w:ilvl w:val="0"/>
          <w:numId w:val="1"/>
        </w:numPr>
        <w:rPr>
          <w:rFonts w:eastAsia="Times New Roman" w:cs="Times New Roman"/>
          <w:color w:val="000000" w:themeColor="text1"/>
          <w:lang w:eastAsia="en-GB"/>
        </w:rPr>
      </w:pPr>
      <w:r w:rsidRPr="007F1283">
        <w:rPr>
          <w:rFonts w:eastAsia="Times New Roman" w:cs="Times New Roman"/>
          <w:b/>
          <w:bCs/>
          <w:color w:val="000000" w:themeColor="text1"/>
          <w:lang w:eastAsia="en-GB"/>
        </w:rPr>
        <w:t>Stages of the project lifecycle</w:t>
      </w:r>
      <w:r w:rsidRPr="007F1283">
        <w:rPr>
          <w:rFonts w:eastAsia="Times New Roman" w:cs="Times New Roman"/>
          <w:color w:val="000000" w:themeColor="text1"/>
          <w:lang w:eastAsia="en-GB"/>
        </w:rPr>
        <w:t xml:space="preserve"> (i.e. programme/call design, appraisal/DNSH assessment, procurement process, implementation etc.) – the first part of the section should provide key information about the stage in question, along with clear visual representation of the roles (i.e. governance) of different stakeholders, the linkages between them and the outputs they need to provide and/or produce. The key information should include the purpose, objectives, and position in the timeline. If required, the section may also provide additional information on the definitions and role of each stakeholder (in addition to the terminology table mentioned above), along with an overview of key concept specific for the stage. The focus and detail of the information listed may vary based on the target user of the guidance (i.e</w:t>
      </w:r>
      <w:r w:rsidR="05490FA9" w:rsidRPr="007F1283">
        <w:rPr>
          <w:rFonts w:eastAsia="Times New Roman" w:cs="Times New Roman"/>
          <w:color w:val="000000" w:themeColor="text1"/>
          <w:lang w:eastAsia="en-GB"/>
        </w:rPr>
        <w:t>.,</w:t>
      </w:r>
      <w:r w:rsidRPr="007F1283">
        <w:rPr>
          <w:rFonts w:eastAsia="Times New Roman" w:cs="Times New Roman"/>
          <w:color w:val="000000" w:themeColor="text1"/>
          <w:lang w:eastAsia="en-GB"/>
        </w:rPr>
        <w:t xml:space="preserve"> both programme authority and project proponents), however, we recommend including roles and responsibilities of all stakeholders for each target audience to ensure that the users have access to information about the entire context and the process flow of the DNSH application.</w:t>
      </w:r>
    </w:p>
    <w:p w14:paraId="7D546E98" w14:textId="77777777" w:rsidR="00366AA6" w:rsidRPr="007F1283" w:rsidRDefault="00366AA6" w:rsidP="00366AA6">
      <w:pPr>
        <w:ind w:left="0"/>
        <w:rPr>
          <w:rFonts w:eastAsia="Times New Roman" w:cs="Times New Roman"/>
          <w:color w:val="000000" w:themeColor="text1"/>
          <w:lang w:val="en-IN" w:eastAsia="en-GB"/>
        </w:rPr>
      </w:pPr>
    </w:p>
    <w:p w14:paraId="45D6E519" w14:textId="217B0B4A" w:rsidR="0054193F" w:rsidRPr="007F1283" w:rsidRDefault="684A0AC8" w:rsidP="0054193F">
      <w:pPr>
        <w:pStyle w:val="Odstavecseseznamem"/>
        <w:numPr>
          <w:ilvl w:val="0"/>
          <w:numId w:val="1"/>
        </w:numPr>
        <w:rPr>
          <w:b/>
          <w:bCs/>
          <w:i/>
          <w:iCs/>
        </w:rPr>
      </w:pPr>
      <w:r w:rsidRPr="007F1283">
        <w:rPr>
          <w:b/>
          <w:bCs/>
        </w:rPr>
        <w:t xml:space="preserve">Specific steps </w:t>
      </w:r>
      <w:r w:rsidR="00556A27" w:rsidRPr="007F1283">
        <w:rPr>
          <w:b/>
          <w:bCs/>
        </w:rPr>
        <w:t>outlined in each</w:t>
      </w:r>
      <w:r w:rsidRPr="007F1283">
        <w:rPr>
          <w:b/>
          <w:bCs/>
        </w:rPr>
        <w:t xml:space="preserve"> the stage</w:t>
      </w:r>
      <w:r w:rsidRPr="007F1283">
        <w:t xml:space="preserve"> </w:t>
      </w:r>
      <w:r w:rsidRPr="007F1283">
        <w:rPr>
          <w:i/>
          <w:iCs/>
        </w:rPr>
        <w:t>(i.e</w:t>
      </w:r>
      <w:r w:rsidR="2E26F9B9" w:rsidRPr="007F1283">
        <w:rPr>
          <w:i/>
          <w:iCs/>
        </w:rPr>
        <w:t>.,</w:t>
      </w:r>
      <w:r w:rsidRPr="007F1283">
        <w:rPr>
          <w:i/>
          <w:iCs/>
        </w:rPr>
        <w:t xml:space="preserve"> confirmation of fulfilment of DNSH prerequisites, identification of the type of DNSH </w:t>
      </w:r>
      <w:r w:rsidRPr="007F1283">
        <w:rPr>
          <w:rFonts w:eastAsia="Times New Roman" w:cs="Times New Roman"/>
          <w:color w:val="000000" w:themeColor="text1"/>
          <w:lang w:eastAsia="en-GB"/>
        </w:rPr>
        <w:t>assessment</w:t>
      </w:r>
      <w:r w:rsidRPr="007F1283">
        <w:rPr>
          <w:i/>
          <w:iCs/>
        </w:rPr>
        <w:t xml:space="preserve"> required for each environmental objective, identification of the specific DNSH requirements) </w:t>
      </w:r>
      <w:r w:rsidRPr="007F1283">
        <w:t xml:space="preserve">– Each stage </w:t>
      </w:r>
      <w:r w:rsidR="00556A27" w:rsidRPr="007F1283">
        <w:t xml:space="preserve">of the DNSH application </w:t>
      </w:r>
      <w:r w:rsidRPr="007F1283">
        <w:t xml:space="preserve">should be divided into particular steps that need to be followed and completed, along with clear instructions on how to complete it sufficiently. </w:t>
      </w:r>
      <w:r w:rsidR="00266CAC" w:rsidRPr="007F1283">
        <w:t xml:space="preserve">The </w:t>
      </w:r>
      <w:r w:rsidRPr="007F1283">
        <w:t>step</w:t>
      </w:r>
      <w:r w:rsidR="00266CAC" w:rsidRPr="007F1283">
        <w:t>s</w:t>
      </w:r>
      <w:r w:rsidRPr="007F1283">
        <w:t xml:space="preserve"> should be elaborated on in detail, clearly indicating the role and the responsibilities of different stakeholders. For each step, where applicable, a decision tree diagram should be included, providing user with a clear path through YES/NO questions and answers and leading them through the process (e.g</w:t>
      </w:r>
      <w:r w:rsidR="2E24CBC7" w:rsidRPr="007F1283">
        <w:t>.,</w:t>
      </w:r>
      <w:r w:rsidRPr="007F1283">
        <w:t xml:space="preserve"> similar process to Recommendation 1, leading the user through different parameters that will impact the level and type of the DNSH assessment.)</w:t>
      </w:r>
      <w:r w:rsidR="00F45C35" w:rsidRPr="007F1283">
        <w:t xml:space="preserve"> The </w:t>
      </w:r>
      <w:r w:rsidR="00BB5569" w:rsidRPr="007F1283">
        <w:t xml:space="preserve">existing </w:t>
      </w:r>
      <w:r w:rsidR="00F45C35" w:rsidRPr="007F1283">
        <w:t>guidance document</w:t>
      </w:r>
      <w:r w:rsidR="00BB5569" w:rsidRPr="007F1283">
        <w:t xml:space="preserve"> </w:t>
      </w:r>
      <w:r w:rsidR="00167682" w:rsidRPr="007F1283">
        <w:t>currently provides</w:t>
      </w:r>
      <w:r w:rsidR="00F45C35" w:rsidRPr="007F1283">
        <w:t xml:space="preserve"> process diagrams and </w:t>
      </w:r>
      <w:r w:rsidR="00F44E6B" w:rsidRPr="007F1283">
        <w:t>decision trees for the CP assessment</w:t>
      </w:r>
      <w:r w:rsidR="00305C44" w:rsidRPr="007F1283">
        <w:t xml:space="preserve">, however, </w:t>
      </w:r>
      <w:r w:rsidR="007E5BD9" w:rsidRPr="007F1283">
        <w:t>it needs to be added for the application process for the DNSH. Th</w:t>
      </w:r>
      <w:r w:rsidR="00791EB0" w:rsidRPr="007F1283">
        <w:t>ese visual elements</w:t>
      </w:r>
      <w:r w:rsidR="007E5BD9" w:rsidRPr="007F1283">
        <w:t xml:space="preserve"> would be covered as part of the DLV5 guidance</w:t>
      </w:r>
      <w:r w:rsidR="00791EB0" w:rsidRPr="007F1283">
        <w:t>.</w:t>
      </w:r>
      <w:r w:rsidR="0054193F" w:rsidRPr="007F1283">
        <w:br/>
      </w:r>
      <w:r w:rsidR="00551FC9" w:rsidRPr="007F1283">
        <w:br/>
      </w:r>
      <w:r w:rsidR="00551FC9" w:rsidRPr="007F1283">
        <w:rPr>
          <w:b/>
          <w:bCs/>
          <w:color w:val="F04E30" w:themeColor="accent2"/>
        </w:rPr>
        <w:t>Content guidance</w:t>
      </w:r>
    </w:p>
    <w:p w14:paraId="3177E8D1" w14:textId="1D300EFB" w:rsidR="0091320C" w:rsidRPr="007F1283" w:rsidRDefault="0091320C" w:rsidP="0091320C">
      <w:pPr>
        <w:pStyle w:val="Odstavecseseznamem"/>
        <w:numPr>
          <w:ilvl w:val="0"/>
          <w:numId w:val="1"/>
        </w:numPr>
        <w:rPr>
          <w:rFonts w:eastAsia="Times New Roman" w:cs="Times New Roman"/>
          <w:color w:val="000000" w:themeColor="text1"/>
          <w:lang w:val="en-IN" w:eastAsia="en-GB"/>
        </w:rPr>
      </w:pPr>
      <w:r w:rsidRPr="007F1283">
        <w:rPr>
          <w:b/>
          <w:bCs/>
        </w:rPr>
        <w:t xml:space="preserve">Requirements and a </w:t>
      </w:r>
      <w:r w:rsidR="2D363651" w:rsidRPr="007F1283">
        <w:rPr>
          <w:b/>
          <w:bCs/>
        </w:rPr>
        <w:t>checklist.</w:t>
      </w:r>
      <w:r w:rsidR="2D363651" w:rsidRPr="007F1283">
        <w:t xml:space="preserve"> A</w:t>
      </w:r>
      <w:r w:rsidR="07AA86D6" w:rsidRPr="007F1283">
        <w:t>t</w:t>
      </w:r>
      <w:r w:rsidR="0088706C" w:rsidRPr="007F1283">
        <w:t xml:space="preserve"> the end of </w:t>
      </w:r>
      <w:r w:rsidRPr="007F1283">
        <w:t xml:space="preserve">each section a </w:t>
      </w:r>
      <w:r w:rsidR="4B5E1EBD" w:rsidRPr="007F1283">
        <w:t>checklist</w:t>
      </w:r>
      <w:r w:rsidR="0033554D" w:rsidRPr="007F1283">
        <w:t xml:space="preserve"> should be provided as a helpful tool</w:t>
      </w:r>
      <w:r w:rsidRPr="007F1283">
        <w:t xml:space="preserve"> outlining actions and checks that need to be sufficiently completed in order to move to the following step (e.g</w:t>
      </w:r>
      <w:r w:rsidR="38C1D851" w:rsidRPr="007F1283">
        <w:t>.,</w:t>
      </w:r>
      <w:r w:rsidRPr="007F1283">
        <w:t xml:space="preserve"> </w:t>
      </w:r>
      <w:r w:rsidRPr="007F1283">
        <w:rPr>
          <w:rFonts w:eastAsia="Times New Roman" w:cs="Times New Roman"/>
          <w:color w:val="000000" w:themeColor="text1"/>
          <w:lang w:eastAsia="en-GB"/>
        </w:rPr>
        <w:t>For the environmental objectives for which</w:t>
      </w:r>
      <w:r w:rsidRPr="007F1283">
        <w:rPr>
          <w:rFonts w:eastAsia="Times New Roman" w:cs="Times New Roman"/>
          <w:color w:val="000000" w:themeColor="text1"/>
          <w:lang w:val="en-IN" w:eastAsia="en-GB"/>
        </w:rPr>
        <w:t xml:space="preserve"> a DNSH simplified assessment is not sufficient, evidence supporting a DNSH substantive assessment must be requested from applicants). In addition, selected tips on dealing with </w:t>
      </w:r>
      <w:r w:rsidRPr="007F1283">
        <w:rPr>
          <w:lang w:val="en-IN"/>
        </w:rPr>
        <w:t>foreseeable</w:t>
      </w:r>
      <w:r w:rsidRPr="007F1283">
        <w:rPr>
          <w:rFonts w:eastAsia="Times New Roman" w:cs="Times New Roman"/>
          <w:color w:val="000000" w:themeColor="text1"/>
          <w:lang w:val="en-IN" w:eastAsia="en-GB"/>
        </w:rPr>
        <w:t xml:space="preserve"> challenges should be included – for instance, the findings identified as part of the DLV2 and the Ad hoc support can be leveraged for the development of the methodological guidance to ensure inclusion of real-life challenges.</w:t>
      </w:r>
      <w:r w:rsidR="0054193F" w:rsidRPr="007F1283">
        <w:br/>
      </w:r>
    </w:p>
    <w:p w14:paraId="1D863230" w14:textId="54B2CD4D" w:rsidR="64ABC293" w:rsidRPr="007F1283" w:rsidRDefault="001762B6" w:rsidP="00364FD3">
      <w:pPr>
        <w:pStyle w:val="Odstavecseseznamem"/>
        <w:numPr>
          <w:ilvl w:val="0"/>
          <w:numId w:val="1"/>
        </w:numPr>
      </w:pPr>
      <w:r w:rsidRPr="007F1283">
        <w:rPr>
          <w:b/>
          <w:bCs/>
        </w:rPr>
        <w:t>Evidence documentation list</w:t>
      </w:r>
      <w:r w:rsidR="274A2CC0" w:rsidRPr="007F1283">
        <w:rPr>
          <w:b/>
          <w:bCs/>
        </w:rPr>
        <w:t>.</w:t>
      </w:r>
      <w:r w:rsidR="00AA61C6" w:rsidRPr="007F1283">
        <w:rPr>
          <w:b/>
        </w:rPr>
        <w:t xml:space="preserve"> </w:t>
      </w:r>
      <w:r w:rsidR="549124CE" w:rsidRPr="007F1283">
        <w:t xml:space="preserve">The guidance document should include instruction on the development of preliminary evidence list required for demonstration of the DNSH compliance. The list should include the documentation that applicants will need to provide to be eligible for funding during the application process, along with information of when and what documentation/evidence to provide </w:t>
      </w:r>
      <w:r w:rsidR="549124CE" w:rsidRPr="007F1283">
        <w:lastRenderedPageBreak/>
        <w:t>during the entire life</w:t>
      </w:r>
      <w:r w:rsidR="6E5D0107" w:rsidRPr="007F1283">
        <w:t xml:space="preserve"> </w:t>
      </w:r>
      <w:r w:rsidR="549124CE" w:rsidRPr="007F1283">
        <w:t>cycle of the project. The purpose of such a list is twofold: 1) it will inform the process internally to understand what type of information funding authorities must collect at what point of the funding cycle to ensure the project complies with DNSH requirements, and 2) it allows applicants to assess whether they comply (and can demonstrate compliance) with the DNSH criteria.</w:t>
      </w:r>
      <w:r w:rsidRPr="007F1283">
        <w:br/>
      </w:r>
    </w:p>
    <w:p w14:paraId="466B9A3C" w14:textId="2908C059" w:rsidR="00565685" w:rsidRPr="007F1283" w:rsidRDefault="00F55225" w:rsidP="00565685">
      <w:pPr>
        <w:pStyle w:val="Odstavecseseznamem"/>
        <w:numPr>
          <w:ilvl w:val="0"/>
          <w:numId w:val="1"/>
        </w:numPr>
      </w:pPr>
      <w:r w:rsidRPr="007F1283">
        <w:rPr>
          <w:b/>
          <w:bCs/>
        </w:rPr>
        <w:t>Templates</w:t>
      </w:r>
      <w:r w:rsidR="1B5ECF00" w:rsidRPr="007F1283">
        <w:rPr>
          <w:b/>
          <w:bCs/>
        </w:rPr>
        <w:t>.</w:t>
      </w:r>
      <w:r w:rsidRPr="007F1283">
        <w:rPr>
          <w:b/>
        </w:rPr>
        <w:t xml:space="preserve"> </w:t>
      </w:r>
      <w:r w:rsidR="00364FD3" w:rsidRPr="007F1283">
        <w:t>An easy-to-use template should be provided in the annex for any document or form recommended to include or use in the guidance document. This can be utilised by the programme authorities in the call design and procurement documentations preparation.</w:t>
      </w:r>
      <w:r w:rsidR="00592302" w:rsidRPr="007F1283">
        <w:t xml:space="preserve"> </w:t>
      </w:r>
      <w:r w:rsidR="002920F1" w:rsidRPr="007F1283">
        <w:t>T</w:t>
      </w:r>
      <w:r w:rsidR="00592302" w:rsidRPr="007F1283">
        <w:t>he current guidance provides a</w:t>
      </w:r>
      <w:r w:rsidR="007F4B1E" w:rsidRPr="007F1283">
        <w:t xml:space="preserve">n elaborated example </w:t>
      </w:r>
      <w:r w:rsidR="00B8668A" w:rsidRPr="007F1283">
        <w:t xml:space="preserve">for the identification </w:t>
      </w:r>
      <w:r w:rsidR="00F72880" w:rsidRPr="007F1283">
        <w:t>of the DNSH requirements for different activities</w:t>
      </w:r>
      <w:r w:rsidR="002A240D" w:rsidRPr="007F1283">
        <w:t xml:space="preserve"> (e.g.</w:t>
      </w:r>
      <w:r w:rsidR="00F72880" w:rsidRPr="007F1283">
        <w:t xml:space="preserve"> construction of </w:t>
      </w:r>
      <w:r w:rsidR="00243653" w:rsidRPr="007F1283">
        <w:t>buildings</w:t>
      </w:r>
      <w:r w:rsidR="00F72880" w:rsidRPr="007F1283">
        <w:t xml:space="preserve"> or </w:t>
      </w:r>
      <w:r w:rsidR="00243653" w:rsidRPr="007F1283">
        <w:t>renovation of existing buildings</w:t>
      </w:r>
      <w:r w:rsidR="002A240D" w:rsidRPr="007F1283">
        <w:t>) at the end of the document</w:t>
      </w:r>
      <w:r w:rsidR="002920F1" w:rsidRPr="007F1283">
        <w:t>.</w:t>
      </w:r>
      <w:r w:rsidR="002A240D" w:rsidRPr="007F1283">
        <w:t xml:space="preserve"> </w:t>
      </w:r>
      <w:r w:rsidR="002920F1" w:rsidRPr="007F1283">
        <w:t>I</w:t>
      </w:r>
      <w:r w:rsidR="002A240D" w:rsidRPr="007F1283">
        <w:t xml:space="preserve">t does not provide templates </w:t>
      </w:r>
      <w:r w:rsidR="00427CDF" w:rsidRPr="007F1283">
        <w:t>to use</w:t>
      </w:r>
      <w:r w:rsidR="00B86326" w:rsidRPr="007F1283">
        <w:t xml:space="preserve"> for the </w:t>
      </w:r>
      <w:r w:rsidR="003B3DCC" w:rsidRPr="007F1283">
        <w:t>developed of the programme specific DNSH-related documentation by</w:t>
      </w:r>
      <w:r w:rsidR="00427CDF" w:rsidRPr="007F1283">
        <w:t xml:space="preserve"> the </w:t>
      </w:r>
      <w:r w:rsidR="00B86326" w:rsidRPr="007F1283">
        <w:t>programme authorities.</w:t>
      </w:r>
      <w:r w:rsidR="003B3DCC" w:rsidRPr="007F1283">
        <w:t xml:space="preserve"> </w:t>
      </w:r>
      <w:r w:rsidR="00707910" w:rsidRPr="007F1283">
        <w:t>It is important to note</w:t>
      </w:r>
      <w:r w:rsidR="00777CAB" w:rsidRPr="007F1283">
        <w:t xml:space="preserve"> that at the time of  publishing of this guidance</w:t>
      </w:r>
      <w:r w:rsidR="00214EB4" w:rsidRPr="007F1283">
        <w:t xml:space="preserve"> (January 2023)</w:t>
      </w:r>
      <w:r w:rsidR="00777CAB" w:rsidRPr="007F1283">
        <w:t>, the programme authorities had already created their own documents</w:t>
      </w:r>
      <w:r w:rsidR="000B3774" w:rsidRPr="007F1283">
        <w:t xml:space="preserve">. </w:t>
      </w:r>
      <w:r w:rsidR="002920F1" w:rsidRPr="007F1283">
        <w:t>I</w:t>
      </w:r>
      <w:r w:rsidR="000B3774" w:rsidRPr="007F1283">
        <w:t xml:space="preserve">ncluding a set of templates </w:t>
      </w:r>
      <w:r w:rsidR="00F60DEB" w:rsidRPr="007F1283">
        <w:t xml:space="preserve">at the end of the document </w:t>
      </w:r>
      <w:r w:rsidR="000B3774" w:rsidRPr="007F1283">
        <w:t xml:space="preserve">could </w:t>
      </w:r>
      <w:r w:rsidR="003B2F2F" w:rsidRPr="007F1283">
        <w:t xml:space="preserve">serve as a useful resource for the programme authorities </w:t>
      </w:r>
      <w:r w:rsidR="00EC5DE1" w:rsidRPr="007F1283">
        <w:t xml:space="preserve">to </w:t>
      </w:r>
      <w:r w:rsidR="00B567BC" w:rsidRPr="007F1283">
        <w:t>adapt their existing templates</w:t>
      </w:r>
      <w:r w:rsidR="00694279" w:rsidRPr="007F1283">
        <w:t xml:space="preserve"> against, </w:t>
      </w:r>
      <w:r w:rsidR="00F60DEB" w:rsidRPr="007F1283">
        <w:t xml:space="preserve">streamline the document (where applicable) and ensure consistency of the documents across the programmes and funds. </w:t>
      </w:r>
      <w:r w:rsidR="00B567BC" w:rsidRPr="007F1283">
        <w:t xml:space="preserve"> </w:t>
      </w:r>
      <w:r w:rsidR="00565685" w:rsidRPr="007F1283">
        <w:br/>
      </w:r>
    </w:p>
    <w:p w14:paraId="3D48B139" w14:textId="57B7220A" w:rsidR="00D43BCF" w:rsidRPr="007F1283" w:rsidRDefault="00596CD7" w:rsidP="00565685">
      <w:pPr>
        <w:pStyle w:val="Odstavecseseznamem"/>
        <w:numPr>
          <w:ilvl w:val="0"/>
          <w:numId w:val="1"/>
        </w:numPr>
      </w:pPr>
      <w:r w:rsidRPr="007F1283">
        <w:rPr>
          <w:b/>
          <w:bCs/>
        </w:rPr>
        <w:t>Communication</w:t>
      </w:r>
      <w:r w:rsidR="2514B14D" w:rsidRPr="007F1283">
        <w:rPr>
          <w:b/>
          <w:bCs/>
        </w:rPr>
        <w:t>.</w:t>
      </w:r>
      <w:r w:rsidR="00565685" w:rsidRPr="007F1283">
        <w:t xml:space="preserve"> I</w:t>
      </w:r>
      <w:r w:rsidR="0B1696FC" w:rsidRPr="007F1283">
        <w:t>t</w:t>
      </w:r>
      <w:r w:rsidR="0D561FF7" w:rsidRPr="007F1283">
        <w:t xml:space="preserve"> is necessary to provide clear instructions on how the programme authority should communicate the </w:t>
      </w:r>
      <w:r w:rsidR="686D3077" w:rsidRPr="007F1283">
        <w:t xml:space="preserve">application of the </w:t>
      </w:r>
      <w:r w:rsidR="0D561FF7" w:rsidRPr="007F1283">
        <w:t>DNSH principle and DNSH requirements in the call documentation to ensure consistency across the programmes/funds. This should entail the format, detail, language and (where possible) position in the specific programme document (e.g</w:t>
      </w:r>
      <w:r w:rsidR="433D3981" w:rsidRPr="007F1283">
        <w:t>.,</w:t>
      </w:r>
      <w:r w:rsidR="0D561FF7" w:rsidRPr="007F1283">
        <w:t xml:space="preserve"> Rules for applicants and beneficiaries – CZ: “Pravidla pro žadatele a příjemce podpory”)</w:t>
      </w:r>
      <w:r w:rsidR="00B6521E" w:rsidRPr="007F1283">
        <w:t>.</w:t>
      </w:r>
      <w:r w:rsidR="00C85E10" w:rsidRPr="007F1283">
        <w:t xml:space="preserve"> </w:t>
      </w:r>
      <w:r w:rsidR="00D43BCF" w:rsidRPr="007F1283">
        <w:t xml:space="preserve">The current guidance states the obligation of the programme authorities to include a clear list with the specific DNSH requirements in the programme documentation (e.g. (calls, public procurement, legal acts, rules for applicants, etc.), instead of transferring the responsibility to identify the DNSH requirements to the applicants. However, the guidance document does not provide further information on the format, language and position of the DNSH requirements in this documentation. </w:t>
      </w:r>
    </w:p>
    <w:p w14:paraId="27A1C18F" w14:textId="038B6252" w:rsidR="001508DA" w:rsidRPr="007F1283" w:rsidRDefault="001508DA">
      <w:pPr>
        <w:spacing w:after="200" w:line="276" w:lineRule="auto"/>
        <w:ind w:left="0"/>
        <w:rPr>
          <w:b/>
          <w:bCs/>
        </w:rPr>
      </w:pPr>
      <w:r w:rsidRPr="007F1283">
        <w:rPr>
          <w:b/>
          <w:bCs/>
        </w:rPr>
        <w:br w:type="page"/>
      </w:r>
    </w:p>
    <w:p w14:paraId="036CC99F" w14:textId="6C4BACDA" w:rsidR="00C9137C" w:rsidRPr="007F1283" w:rsidRDefault="00373133" w:rsidP="00503EBF">
      <w:pPr>
        <w:pStyle w:val="Nadpis1"/>
        <w:numPr>
          <w:ilvl w:val="0"/>
          <w:numId w:val="0"/>
        </w:numPr>
      </w:pPr>
      <w:bookmarkStart w:id="33" w:name="_Toc133944266"/>
      <w:r w:rsidRPr="007F1283">
        <w:lastRenderedPageBreak/>
        <w:t xml:space="preserve">4 </w:t>
      </w:r>
      <w:r w:rsidR="00C9137C" w:rsidRPr="007F1283">
        <w:t xml:space="preserve">Conclusion and implications for </w:t>
      </w:r>
      <w:r w:rsidR="00E031FA" w:rsidRPr="007F1283">
        <w:t>DLV</w:t>
      </w:r>
      <w:r w:rsidR="00C9137C" w:rsidRPr="007F1283">
        <w:t xml:space="preserve"> 5</w:t>
      </w:r>
      <w:bookmarkEnd w:id="33"/>
    </w:p>
    <w:p w14:paraId="70BF0C54" w14:textId="75BA60B7" w:rsidR="00172762" w:rsidRPr="007F1283" w:rsidRDefault="00656EF8" w:rsidP="00B75357">
      <w:pPr>
        <w:pStyle w:val="paragraph"/>
        <w:spacing w:before="0" w:beforeAutospacing="0" w:after="0" w:afterAutospacing="0" w:line="360" w:lineRule="auto"/>
        <w:ind w:left="555"/>
        <w:textAlignment w:val="baseline"/>
        <w:rPr>
          <w:rStyle w:val="normaltextrun"/>
          <w:rFonts w:ascii="Trebuchet MS" w:hAnsi="Trebuchet MS" w:cs="Segoe UI"/>
          <w:sz w:val="18"/>
          <w:szCs w:val="18"/>
        </w:rPr>
      </w:pPr>
      <w:r w:rsidRPr="007F1283">
        <w:rPr>
          <w:rStyle w:val="normaltextrun"/>
          <w:rFonts w:ascii="Trebuchet MS" w:hAnsi="Trebuchet MS" w:cs="Segoe UI"/>
          <w:sz w:val="18"/>
          <w:szCs w:val="18"/>
        </w:rPr>
        <w:t>Th</w:t>
      </w:r>
      <w:r w:rsidR="009A3E3A" w:rsidRPr="007F1283">
        <w:rPr>
          <w:rStyle w:val="normaltextrun"/>
          <w:rFonts w:ascii="Trebuchet MS" w:hAnsi="Trebuchet MS" w:cs="Segoe UI"/>
          <w:sz w:val="18"/>
          <w:szCs w:val="18"/>
        </w:rPr>
        <w:t xml:space="preserve">is deliverable focused on identification of the </w:t>
      </w:r>
      <w:r w:rsidR="00F26AEF" w:rsidRPr="007F1283">
        <w:rPr>
          <w:rStyle w:val="normaltextrun"/>
          <w:rFonts w:ascii="Trebuchet MS" w:hAnsi="Trebuchet MS" w:cs="Segoe UI"/>
          <w:sz w:val="18"/>
          <w:szCs w:val="18"/>
        </w:rPr>
        <w:t xml:space="preserve">investment types and investment categories for </w:t>
      </w:r>
      <w:r w:rsidR="00FE73D7" w:rsidRPr="007F1283">
        <w:rPr>
          <w:rStyle w:val="normaltextrun"/>
          <w:rFonts w:ascii="Trebuchet MS" w:hAnsi="Trebuchet MS" w:cs="Segoe UI"/>
          <w:sz w:val="18"/>
          <w:szCs w:val="18"/>
        </w:rPr>
        <w:t xml:space="preserve">the </w:t>
      </w:r>
      <w:r w:rsidR="00D61D9A" w:rsidRPr="007F1283">
        <w:rPr>
          <w:rStyle w:val="normaltextrun"/>
          <w:rFonts w:ascii="Trebuchet MS" w:hAnsi="Trebuchet MS" w:cs="Segoe UI"/>
          <w:sz w:val="18"/>
          <w:szCs w:val="18"/>
        </w:rPr>
        <w:t xml:space="preserve">funds and programmes in Czechia, </w:t>
      </w:r>
      <w:r w:rsidR="002E5433" w:rsidRPr="007F1283">
        <w:rPr>
          <w:rStyle w:val="normaltextrun"/>
          <w:rFonts w:ascii="Trebuchet MS" w:hAnsi="Trebuchet MS" w:cs="Segoe UI"/>
          <w:sz w:val="18"/>
          <w:szCs w:val="18"/>
        </w:rPr>
        <w:t xml:space="preserve">in </w:t>
      </w:r>
      <w:r w:rsidR="00D61D9A" w:rsidRPr="007F1283">
        <w:rPr>
          <w:rStyle w:val="normaltextrun"/>
          <w:rFonts w:ascii="Trebuchet MS" w:hAnsi="Trebuchet MS" w:cs="Segoe UI"/>
          <w:sz w:val="18"/>
          <w:szCs w:val="18"/>
        </w:rPr>
        <w:t xml:space="preserve">which compliance </w:t>
      </w:r>
      <w:r w:rsidR="002E5433" w:rsidRPr="007F1283">
        <w:rPr>
          <w:rStyle w:val="normaltextrun"/>
          <w:rFonts w:ascii="Trebuchet MS" w:hAnsi="Trebuchet MS" w:cs="Segoe UI"/>
          <w:sz w:val="18"/>
          <w:szCs w:val="18"/>
        </w:rPr>
        <w:t xml:space="preserve">with the DNSH principle is required. </w:t>
      </w:r>
      <w:r w:rsidR="007E270B" w:rsidRPr="007F1283">
        <w:rPr>
          <w:rStyle w:val="normaltextrun"/>
          <w:rFonts w:ascii="Trebuchet MS" w:hAnsi="Trebuchet MS" w:cs="Segoe UI"/>
          <w:sz w:val="18"/>
          <w:szCs w:val="18"/>
        </w:rPr>
        <w:t xml:space="preserve">The analysis </w:t>
      </w:r>
      <w:r w:rsidR="00530519" w:rsidRPr="007F1283">
        <w:rPr>
          <w:rStyle w:val="normaltextrun"/>
          <w:rFonts w:ascii="Trebuchet MS" w:hAnsi="Trebuchet MS" w:cs="Segoe UI"/>
          <w:sz w:val="18"/>
          <w:szCs w:val="18"/>
        </w:rPr>
        <w:t>in the chapter 2 of the report provided an overview of</w:t>
      </w:r>
      <w:r w:rsidR="007E270B" w:rsidRPr="007F1283">
        <w:rPr>
          <w:rStyle w:val="normaltextrun"/>
          <w:rFonts w:ascii="Trebuchet MS" w:hAnsi="Trebuchet MS" w:cs="Segoe UI"/>
          <w:sz w:val="18"/>
          <w:szCs w:val="18"/>
        </w:rPr>
        <w:t xml:space="preserve"> </w:t>
      </w:r>
      <w:r w:rsidR="004A6E77" w:rsidRPr="007F1283">
        <w:rPr>
          <w:rStyle w:val="normaltextrun"/>
          <w:rFonts w:ascii="Trebuchet MS" w:hAnsi="Trebuchet MS" w:cs="Segoe UI"/>
          <w:sz w:val="18"/>
          <w:szCs w:val="18"/>
        </w:rPr>
        <w:t xml:space="preserve">both open and </w:t>
      </w:r>
      <w:r w:rsidR="001E659C" w:rsidRPr="007F1283">
        <w:rPr>
          <w:rStyle w:val="normaltextrun"/>
          <w:rFonts w:ascii="Trebuchet MS" w:hAnsi="Trebuchet MS" w:cs="Segoe UI"/>
          <w:sz w:val="18"/>
          <w:szCs w:val="18"/>
        </w:rPr>
        <w:t>planned investments and intervention</w:t>
      </w:r>
      <w:r w:rsidR="005C4630" w:rsidRPr="007F1283">
        <w:rPr>
          <w:rStyle w:val="normaltextrun"/>
          <w:rFonts w:ascii="Trebuchet MS" w:hAnsi="Trebuchet MS" w:cs="Segoe UI"/>
          <w:sz w:val="18"/>
          <w:szCs w:val="18"/>
        </w:rPr>
        <w:t>s</w:t>
      </w:r>
      <w:r w:rsidR="001E659C" w:rsidRPr="007F1283">
        <w:rPr>
          <w:rStyle w:val="normaltextrun"/>
          <w:rFonts w:ascii="Trebuchet MS" w:hAnsi="Trebuchet MS" w:cs="Segoe UI"/>
          <w:sz w:val="18"/>
          <w:szCs w:val="18"/>
        </w:rPr>
        <w:t xml:space="preserve"> at the national level</w:t>
      </w:r>
      <w:r w:rsidR="00F01C5A" w:rsidRPr="007F1283">
        <w:rPr>
          <w:rStyle w:val="normaltextrun"/>
          <w:rFonts w:ascii="Trebuchet MS" w:hAnsi="Trebuchet MS" w:cs="Segoe UI"/>
          <w:sz w:val="18"/>
          <w:szCs w:val="18"/>
        </w:rPr>
        <w:t xml:space="preserve">. </w:t>
      </w:r>
      <w:r w:rsidR="00483690" w:rsidRPr="007F1283">
        <w:rPr>
          <w:rStyle w:val="normaltextrun"/>
          <w:rFonts w:ascii="Trebuchet MS" w:hAnsi="Trebuchet MS" w:cs="Segoe UI"/>
          <w:sz w:val="18"/>
          <w:szCs w:val="18"/>
        </w:rPr>
        <w:t>Based on the findings</w:t>
      </w:r>
      <w:r w:rsidR="009B47FD" w:rsidRPr="007F1283">
        <w:rPr>
          <w:rStyle w:val="normaltextrun"/>
          <w:rFonts w:ascii="Trebuchet MS" w:hAnsi="Trebuchet MS" w:cs="Segoe UI"/>
          <w:sz w:val="18"/>
          <w:szCs w:val="18"/>
        </w:rPr>
        <w:t>, there is an evident</w:t>
      </w:r>
      <w:r w:rsidR="00D7411D" w:rsidRPr="007F1283">
        <w:rPr>
          <w:rStyle w:val="normaltextrun"/>
          <w:rFonts w:ascii="Trebuchet MS" w:hAnsi="Trebuchet MS" w:cs="Segoe UI"/>
          <w:sz w:val="18"/>
          <w:szCs w:val="18"/>
        </w:rPr>
        <w:t xml:space="preserve"> heterogeneity in the </w:t>
      </w:r>
      <w:r w:rsidR="00F86E12" w:rsidRPr="007F1283">
        <w:rPr>
          <w:rStyle w:val="normaltextrun"/>
          <w:rFonts w:ascii="Trebuchet MS" w:hAnsi="Trebuchet MS" w:cs="Segoe UI"/>
          <w:sz w:val="18"/>
          <w:szCs w:val="18"/>
        </w:rPr>
        <w:t>sectors, areas and type of projects</w:t>
      </w:r>
      <w:r w:rsidR="00CB633D" w:rsidRPr="007F1283">
        <w:rPr>
          <w:rStyle w:val="normaltextrun"/>
          <w:rFonts w:ascii="Trebuchet MS" w:hAnsi="Trebuchet MS" w:cs="Segoe UI"/>
          <w:sz w:val="18"/>
          <w:szCs w:val="18"/>
        </w:rPr>
        <w:t>, where the EU funds in Czechia are allocated</w:t>
      </w:r>
      <w:r w:rsidR="003820A6" w:rsidRPr="007F1283">
        <w:rPr>
          <w:rStyle w:val="normaltextrun"/>
          <w:rFonts w:ascii="Trebuchet MS" w:hAnsi="Trebuchet MS" w:cs="Segoe UI"/>
          <w:sz w:val="18"/>
          <w:szCs w:val="18"/>
        </w:rPr>
        <w:t xml:space="preserve">, with a </w:t>
      </w:r>
      <w:r w:rsidR="004001F8" w:rsidRPr="007F1283">
        <w:rPr>
          <w:rStyle w:val="normaltextrun"/>
          <w:rFonts w:ascii="Trebuchet MS" w:hAnsi="Trebuchet MS" w:cs="Segoe UI"/>
          <w:sz w:val="18"/>
          <w:szCs w:val="18"/>
        </w:rPr>
        <w:t xml:space="preserve">dominance of investments, which may </w:t>
      </w:r>
      <w:r w:rsidR="005C393E" w:rsidRPr="007F1283">
        <w:rPr>
          <w:rStyle w:val="normaltextrun"/>
          <w:rFonts w:ascii="Trebuchet MS" w:hAnsi="Trebuchet MS" w:cs="Segoe UI"/>
          <w:sz w:val="18"/>
          <w:szCs w:val="18"/>
        </w:rPr>
        <w:t xml:space="preserve">include an infrastructure </w:t>
      </w:r>
      <w:r w:rsidR="00485DEE" w:rsidRPr="007F1283">
        <w:rPr>
          <w:rStyle w:val="normaltextrun"/>
          <w:rFonts w:ascii="Trebuchet MS" w:hAnsi="Trebuchet MS" w:cs="Segoe UI"/>
          <w:sz w:val="18"/>
          <w:szCs w:val="18"/>
        </w:rPr>
        <w:t xml:space="preserve">or construction </w:t>
      </w:r>
      <w:r w:rsidR="005C393E" w:rsidRPr="007F1283">
        <w:rPr>
          <w:rStyle w:val="normaltextrun"/>
          <w:rFonts w:ascii="Trebuchet MS" w:hAnsi="Trebuchet MS" w:cs="Segoe UI"/>
          <w:sz w:val="18"/>
          <w:szCs w:val="18"/>
        </w:rPr>
        <w:t>element</w:t>
      </w:r>
      <w:r w:rsidR="0041556E" w:rsidRPr="007F1283">
        <w:rPr>
          <w:rStyle w:val="normaltextrun"/>
          <w:rFonts w:ascii="Trebuchet MS" w:hAnsi="Trebuchet MS" w:cs="Segoe UI"/>
          <w:sz w:val="18"/>
          <w:szCs w:val="18"/>
        </w:rPr>
        <w:t xml:space="preserve"> and where a substantive DNSH assessment will be required</w:t>
      </w:r>
      <w:r w:rsidR="00485DEE" w:rsidRPr="007F1283">
        <w:rPr>
          <w:rStyle w:val="normaltextrun"/>
          <w:rFonts w:ascii="Trebuchet MS" w:hAnsi="Trebuchet MS" w:cs="Segoe UI"/>
          <w:sz w:val="18"/>
          <w:szCs w:val="18"/>
        </w:rPr>
        <w:t>.</w:t>
      </w:r>
      <w:r w:rsidR="00B7448B" w:rsidRPr="007F1283">
        <w:rPr>
          <w:rFonts w:ascii="Trebuchet MS" w:hAnsi="Trebuchet MS"/>
        </w:rPr>
        <w:br/>
      </w:r>
      <w:r w:rsidRPr="007F1283">
        <w:rPr>
          <w:rFonts w:ascii="Trebuchet MS" w:hAnsi="Trebuchet MS"/>
        </w:rPr>
        <w:br/>
      </w:r>
      <w:r w:rsidR="00BF7910" w:rsidRPr="007F1283">
        <w:rPr>
          <w:rStyle w:val="normaltextrun"/>
          <w:rFonts w:ascii="Trebuchet MS" w:hAnsi="Trebuchet MS" w:cs="Segoe UI"/>
          <w:sz w:val="18"/>
          <w:szCs w:val="18"/>
        </w:rPr>
        <w:t xml:space="preserve">Based on </w:t>
      </w:r>
      <w:r w:rsidR="00C05565" w:rsidRPr="007F1283">
        <w:rPr>
          <w:rStyle w:val="normaltextrun"/>
          <w:rFonts w:ascii="Trebuchet MS" w:hAnsi="Trebuchet MS" w:cs="Segoe UI"/>
          <w:sz w:val="18"/>
          <w:szCs w:val="18"/>
        </w:rPr>
        <w:t>the above</w:t>
      </w:r>
      <w:r w:rsidR="00BF7910" w:rsidRPr="007F1283">
        <w:rPr>
          <w:rStyle w:val="normaltextrun"/>
          <w:rFonts w:ascii="Trebuchet MS" w:hAnsi="Trebuchet MS" w:cs="Segoe UI"/>
          <w:sz w:val="18"/>
          <w:szCs w:val="18"/>
        </w:rPr>
        <w:t>, as outlined</w:t>
      </w:r>
      <w:r w:rsidR="00396472" w:rsidRPr="007F1283">
        <w:rPr>
          <w:rStyle w:val="normaltextrun"/>
          <w:rFonts w:ascii="Trebuchet MS" w:hAnsi="Trebuchet MS" w:cs="Segoe UI"/>
          <w:sz w:val="18"/>
          <w:szCs w:val="18"/>
        </w:rPr>
        <w:t xml:space="preserve"> in the </w:t>
      </w:r>
      <w:r w:rsidR="00C55491" w:rsidRPr="007F1283">
        <w:rPr>
          <w:rStyle w:val="normaltextrun"/>
          <w:rFonts w:ascii="Trebuchet MS" w:hAnsi="Trebuchet MS" w:cs="Segoe UI"/>
          <w:sz w:val="18"/>
          <w:szCs w:val="18"/>
        </w:rPr>
        <w:t xml:space="preserve">first recommendation in the Chapter 3, </w:t>
      </w:r>
      <w:r w:rsidR="004A662D" w:rsidRPr="007F1283">
        <w:rPr>
          <w:rStyle w:val="normaltextrun"/>
          <w:rFonts w:ascii="Trebuchet MS" w:hAnsi="Trebuchet MS" w:cs="Segoe UI"/>
          <w:sz w:val="18"/>
          <w:szCs w:val="18"/>
        </w:rPr>
        <w:t xml:space="preserve">a </w:t>
      </w:r>
      <w:r w:rsidR="00954782" w:rsidRPr="007F1283">
        <w:rPr>
          <w:rStyle w:val="normaltextrun"/>
          <w:rFonts w:ascii="Trebuchet MS" w:hAnsi="Trebuchet MS" w:cs="Segoe UI"/>
          <w:sz w:val="18"/>
          <w:szCs w:val="18"/>
        </w:rPr>
        <w:t xml:space="preserve">stage-based approached was proposed to be used as the </w:t>
      </w:r>
      <w:r w:rsidR="00FF76A7" w:rsidRPr="007F1283">
        <w:rPr>
          <w:rStyle w:val="normaltextrun"/>
          <w:rFonts w:ascii="Trebuchet MS" w:hAnsi="Trebuchet MS" w:cs="Segoe UI"/>
          <w:sz w:val="18"/>
          <w:szCs w:val="18"/>
        </w:rPr>
        <w:t>basis for the structure of the methodological guidance document, that will be created in the DLV5.</w:t>
      </w:r>
      <w:r w:rsidR="00ED5494" w:rsidRPr="007F1283">
        <w:rPr>
          <w:rStyle w:val="normaltextrun"/>
          <w:rFonts w:ascii="Trebuchet MS" w:hAnsi="Trebuchet MS" w:cs="Segoe UI"/>
          <w:sz w:val="18"/>
          <w:szCs w:val="18"/>
        </w:rPr>
        <w:t xml:space="preserve"> </w:t>
      </w:r>
      <w:r w:rsidR="000925A0" w:rsidRPr="007F1283">
        <w:rPr>
          <w:rStyle w:val="normaltextrun"/>
          <w:rFonts w:ascii="Trebuchet MS" w:hAnsi="Trebuchet MS" w:cs="Segoe UI"/>
          <w:sz w:val="18"/>
          <w:szCs w:val="18"/>
        </w:rPr>
        <w:t>This structure, which</w:t>
      </w:r>
      <w:r w:rsidR="004C0C97" w:rsidRPr="007F1283">
        <w:rPr>
          <w:rStyle w:val="normaltextrun"/>
          <w:rFonts w:ascii="Trebuchet MS" w:hAnsi="Trebuchet MS" w:cs="Segoe UI"/>
          <w:sz w:val="18"/>
          <w:szCs w:val="18"/>
        </w:rPr>
        <w:t xml:space="preserve"> provides </w:t>
      </w:r>
      <w:r w:rsidR="00EF1F8C" w:rsidRPr="007F1283">
        <w:rPr>
          <w:rStyle w:val="normaltextrun"/>
          <w:rFonts w:ascii="Trebuchet MS" w:hAnsi="Trebuchet MS" w:cs="Segoe UI"/>
          <w:sz w:val="18"/>
          <w:szCs w:val="18"/>
        </w:rPr>
        <w:t>information and guidance on each stage in a step-by-step format</w:t>
      </w:r>
      <w:r w:rsidR="00316ADA" w:rsidRPr="007F1283">
        <w:rPr>
          <w:rStyle w:val="normaltextrun"/>
          <w:rFonts w:ascii="Trebuchet MS" w:hAnsi="Trebuchet MS" w:cs="Segoe UI"/>
          <w:sz w:val="18"/>
          <w:szCs w:val="18"/>
        </w:rPr>
        <w:t xml:space="preserve"> can be readily adapted into a decision tree or other visual diagram</w:t>
      </w:r>
      <w:r w:rsidR="00BC78E3" w:rsidRPr="007F1283">
        <w:rPr>
          <w:rStyle w:val="normaltextrun"/>
          <w:rFonts w:ascii="Trebuchet MS" w:hAnsi="Trebuchet MS" w:cs="Segoe UI"/>
          <w:sz w:val="18"/>
          <w:szCs w:val="18"/>
        </w:rPr>
        <w:t xml:space="preserve">s, which is key for </w:t>
      </w:r>
      <w:r w:rsidR="00456F11" w:rsidRPr="007F1283">
        <w:rPr>
          <w:rStyle w:val="normaltextrun"/>
          <w:rFonts w:ascii="Trebuchet MS" w:hAnsi="Trebuchet MS" w:cs="Segoe UI"/>
          <w:sz w:val="18"/>
          <w:szCs w:val="18"/>
        </w:rPr>
        <w:t xml:space="preserve">improved clarity and ease of use - </w:t>
      </w:r>
      <w:r w:rsidR="00312A42" w:rsidRPr="007F1283">
        <w:rPr>
          <w:rStyle w:val="normaltextrun"/>
          <w:rFonts w:ascii="Trebuchet MS" w:hAnsi="Trebuchet MS" w:cs="Segoe UI"/>
          <w:sz w:val="18"/>
          <w:szCs w:val="18"/>
        </w:rPr>
        <w:t>as per the</w:t>
      </w:r>
      <w:r w:rsidR="00BF7A68" w:rsidRPr="007F1283">
        <w:rPr>
          <w:rStyle w:val="normaltextrun"/>
          <w:rFonts w:ascii="Trebuchet MS" w:hAnsi="Trebuchet MS" w:cs="Segoe UI"/>
          <w:sz w:val="18"/>
          <w:szCs w:val="18"/>
        </w:rPr>
        <w:t xml:space="preserve"> set of </w:t>
      </w:r>
      <w:r w:rsidR="009172D1" w:rsidRPr="007F1283">
        <w:rPr>
          <w:rStyle w:val="normaltextrun"/>
          <w:rFonts w:ascii="Trebuchet MS" w:hAnsi="Trebuchet MS" w:cs="Segoe UI"/>
          <w:sz w:val="18"/>
          <w:szCs w:val="18"/>
        </w:rPr>
        <w:t>suggestions in the second recommendation for guidelines content and clarity</w:t>
      </w:r>
      <w:r w:rsidR="00456F11" w:rsidRPr="007F1283">
        <w:rPr>
          <w:rStyle w:val="normaltextrun"/>
          <w:rFonts w:ascii="Trebuchet MS" w:hAnsi="Trebuchet MS" w:cs="Segoe UI"/>
          <w:sz w:val="18"/>
          <w:szCs w:val="18"/>
        </w:rPr>
        <w:t>.</w:t>
      </w:r>
      <w:r w:rsidR="00D265D4" w:rsidRPr="007F1283">
        <w:rPr>
          <w:rStyle w:val="normaltextrun"/>
          <w:rFonts w:ascii="Trebuchet MS" w:hAnsi="Trebuchet MS" w:cs="Segoe UI"/>
          <w:sz w:val="18"/>
          <w:szCs w:val="18"/>
        </w:rPr>
        <w:t xml:space="preserve"> </w:t>
      </w:r>
    </w:p>
    <w:p w14:paraId="44E2169C" w14:textId="77777777" w:rsidR="00172762" w:rsidRPr="007F1283" w:rsidRDefault="00172762" w:rsidP="00B75357">
      <w:pPr>
        <w:pStyle w:val="paragraph"/>
        <w:spacing w:before="0" w:beforeAutospacing="0" w:after="0" w:afterAutospacing="0" w:line="360" w:lineRule="auto"/>
        <w:ind w:left="555"/>
        <w:textAlignment w:val="baseline"/>
        <w:rPr>
          <w:rStyle w:val="normaltextrun"/>
          <w:rFonts w:ascii="Trebuchet MS" w:hAnsi="Trebuchet MS" w:cs="Segoe UI"/>
          <w:sz w:val="18"/>
          <w:szCs w:val="18"/>
        </w:rPr>
      </w:pPr>
    </w:p>
    <w:p w14:paraId="49F67849" w14:textId="22F67F99" w:rsidR="00503D9C" w:rsidRPr="007F1283" w:rsidRDefault="00ED5494" w:rsidP="00B75357">
      <w:pPr>
        <w:pStyle w:val="paragraph"/>
        <w:spacing w:before="0" w:beforeAutospacing="0" w:after="0" w:afterAutospacing="0" w:line="360" w:lineRule="auto"/>
        <w:ind w:left="555"/>
        <w:textAlignment w:val="baseline"/>
        <w:rPr>
          <w:rStyle w:val="normaltextrun"/>
          <w:rFonts w:ascii="Trebuchet MS" w:hAnsi="Trebuchet MS" w:cs="Segoe UI"/>
          <w:sz w:val="18"/>
          <w:szCs w:val="18"/>
        </w:rPr>
      </w:pPr>
      <w:r w:rsidRPr="007F1283">
        <w:rPr>
          <w:rStyle w:val="normaltextrun"/>
          <w:rFonts w:ascii="Trebuchet MS" w:hAnsi="Trebuchet MS" w:cs="Segoe UI"/>
          <w:sz w:val="18"/>
          <w:szCs w:val="18"/>
        </w:rPr>
        <w:t xml:space="preserve">As recently agreed with DG </w:t>
      </w:r>
      <w:r w:rsidR="005D5776" w:rsidRPr="007F1283">
        <w:rPr>
          <w:rStyle w:val="normaltextrun"/>
          <w:rFonts w:ascii="Trebuchet MS" w:hAnsi="Trebuchet MS" w:cs="Segoe UI"/>
          <w:sz w:val="18"/>
          <w:szCs w:val="18"/>
        </w:rPr>
        <w:t>REFORM</w:t>
      </w:r>
      <w:r w:rsidRPr="007F1283">
        <w:rPr>
          <w:rStyle w:val="normaltextrun"/>
          <w:rFonts w:ascii="Trebuchet MS" w:hAnsi="Trebuchet MS" w:cs="Segoe UI"/>
          <w:sz w:val="18"/>
          <w:szCs w:val="18"/>
        </w:rPr>
        <w:t xml:space="preserve"> and the beneficiaries of this TSI project, the proposed</w:t>
      </w:r>
      <w:r w:rsidR="00FF76A7" w:rsidRPr="007F1283">
        <w:rPr>
          <w:rStyle w:val="normaltextrun"/>
          <w:rFonts w:ascii="Trebuchet MS" w:hAnsi="Trebuchet MS" w:cs="Segoe UI"/>
          <w:sz w:val="18"/>
          <w:szCs w:val="18"/>
        </w:rPr>
        <w:t xml:space="preserve"> approach is currently being </w:t>
      </w:r>
      <w:r w:rsidR="00EC328F" w:rsidRPr="007F1283">
        <w:rPr>
          <w:rStyle w:val="normaltextrun"/>
          <w:rFonts w:ascii="Trebuchet MS" w:hAnsi="Trebuchet MS" w:cs="Segoe UI"/>
          <w:sz w:val="18"/>
          <w:szCs w:val="18"/>
        </w:rPr>
        <w:t>used</w:t>
      </w:r>
      <w:r w:rsidRPr="007F1283">
        <w:rPr>
          <w:rStyle w:val="normaltextrun"/>
          <w:rFonts w:ascii="Trebuchet MS" w:hAnsi="Trebuchet MS" w:cs="Segoe UI"/>
          <w:sz w:val="18"/>
          <w:szCs w:val="18"/>
        </w:rPr>
        <w:t xml:space="preserve"> as part of the pilot testing</w:t>
      </w:r>
      <w:r w:rsidR="009857AD" w:rsidRPr="007F1283">
        <w:rPr>
          <w:rStyle w:val="normaltextrun"/>
          <w:rFonts w:ascii="Trebuchet MS" w:hAnsi="Trebuchet MS" w:cs="Segoe UI"/>
          <w:sz w:val="18"/>
          <w:szCs w:val="18"/>
        </w:rPr>
        <w:t xml:space="preserve"> (DLV</w:t>
      </w:r>
      <w:r w:rsidR="003F5A77" w:rsidRPr="007F1283">
        <w:rPr>
          <w:rStyle w:val="normaltextrun"/>
          <w:rFonts w:ascii="Trebuchet MS" w:hAnsi="Trebuchet MS" w:cs="Segoe UI"/>
          <w:sz w:val="18"/>
          <w:szCs w:val="18"/>
        </w:rPr>
        <w:t>7</w:t>
      </w:r>
      <w:r w:rsidR="009857AD" w:rsidRPr="007F1283">
        <w:rPr>
          <w:rStyle w:val="normaltextrun"/>
          <w:rFonts w:ascii="Trebuchet MS" w:hAnsi="Trebuchet MS" w:cs="Segoe UI"/>
          <w:sz w:val="18"/>
          <w:szCs w:val="18"/>
        </w:rPr>
        <w:t>)</w:t>
      </w:r>
      <w:r w:rsidR="00A0243E" w:rsidRPr="007F1283">
        <w:rPr>
          <w:rStyle w:val="normaltextrun"/>
          <w:rFonts w:ascii="Trebuchet MS" w:hAnsi="Trebuchet MS" w:cs="Segoe UI"/>
          <w:sz w:val="18"/>
          <w:szCs w:val="18"/>
        </w:rPr>
        <w:t>,</w:t>
      </w:r>
      <w:r w:rsidR="00027DDE" w:rsidRPr="007F1283">
        <w:rPr>
          <w:rStyle w:val="normaltextrun"/>
          <w:rFonts w:ascii="Trebuchet MS" w:hAnsi="Trebuchet MS" w:cs="Segoe UI"/>
          <w:sz w:val="18"/>
          <w:szCs w:val="18"/>
        </w:rPr>
        <w:t xml:space="preserve"> in order to</w:t>
      </w:r>
      <w:r w:rsidR="00BB605B" w:rsidRPr="007F1283">
        <w:rPr>
          <w:rStyle w:val="normaltextrun"/>
          <w:rFonts w:ascii="Trebuchet MS" w:hAnsi="Trebuchet MS" w:cs="Segoe UI"/>
          <w:sz w:val="18"/>
          <w:szCs w:val="18"/>
        </w:rPr>
        <w:t xml:space="preserve"> provide the needed support for the</w:t>
      </w:r>
      <w:r w:rsidR="00A75C33" w:rsidRPr="007F1283">
        <w:rPr>
          <w:rStyle w:val="normaltextrun"/>
          <w:rFonts w:ascii="Trebuchet MS" w:hAnsi="Trebuchet MS" w:cs="Segoe UI"/>
          <w:sz w:val="18"/>
          <w:szCs w:val="18"/>
        </w:rPr>
        <w:t xml:space="preserve"> high number of the Ad Hoc consulting requests. </w:t>
      </w:r>
      <w:r w:rsidR="00EC328F" w:rsidRPr="007F1283">
        <w:rPr>
          <w:rStyle w:val="normaltextrun"/>
          <w:rFonts w:ascii="Trebuchet MS" w:hAnsi="Trebuchet MS" w:cs="Segoe UI"/>
          <w:sz w:val="18"/>
          <w:szCs w:val="18"/>
        </w:rPr>
        <w:t xml:space="preserve">This allows the project team to </w:t>
      </w:r>
      <w:r w:rsidR="00665BDE" w:rsidRPr="007F1283">
        <w:rPr>
          <w:rStyle w:val="normaltextrun"/>
          <w:rFonts w:ascii="Trebuchet MS" w:hAnsi="Trebuchet MS" w:cs="Segoe UI"/>
          <w:sz w:val="18"/>
          <w:szCs w:val="18"/>
        </w:rPr>
        <w:t xml:space="preserve">trial the usability and practicality of the approach and then subsequently adapt it </w:t>
      </w:r>
      <w:r w:rsidR="00CB5AF2" w:rsidRPr="007F1283">
        <w:rPr>
          <w:rStyle w:val="normaltextrun"/>
          <w:rFonts w:ascii="Trebuchet MS" w:hAnsi="Trebuchet MS" w:cs="Segoe UI"/>
          <w:sz w:val="18"/>
          <w:szCs w:val="18"/>
        </w:rPr>
        <w:t xml:space="preserve">for increased efference and applicability for the DLV5. </w:t>
      </w:r>
    </w:p>
    <w:p w14:paraId="3E68B707" w14:textId="2E331A83" w:rsidR="001508DA" w:rsidRPr="007F1283" w:rsidRDefault="001508DA">
      <w:pPr>
        <w:spacing w:after="200" w:line="276" w:lineRule="auto"/>
        <w:ind w:left="0"/>
        <w:rPr>
          <w:rStyle w:val="normaltextrun"/>
          <w:rFonts w:eastAsia="Times New Roman" w:cs="Segoe UI"/>
          <w:szCs w:val="18"/>
          <w:lang w:eastAsia="en-GB"/>
        </w:rPr>
      </w:pPr>
      <w:r w:rsidRPr="007F1283">
        <w:rPr>
          <w:rStyle w:val="normaltextrun"/>
          <w:rFonts w:cs="Segoe UI"/>
          <w:szCs w:val="18"/>
        </w:rPr>
        <w:br w:type="page"/>
      </w:r>
    </w:p>
    <w:p w14:paraId="4DB847EA" w14:textId="4050B99D" w:rsidR="003C0CF7" w:rsidRPr="007F1283" w:rsidRDefault="007957C4" w:rsidP="00D4662C">
      <w:pPr>
        <w:pStyle w:val="Nadpis1"/>
        <w:numPr>
          <w:ilvl w:val="0"/>
          <w:numId w:val="0"/>
        </w:numPr>
        <w:ind w:left="567" w:hanging="567"/>
      </w:pPr>
      <w:bookmarkStart w:id="34" w:name="_Toc133944267"/>
      <w:bookmarkEnd w:id="24"/>
      <w:r w:rsidRPr="007F1283">
        <w:lastRenderedPageBreak/>
        <w:t xml:space="preserve">Annex </w:t>
      </w:r>
      <w:r w:rsidR="002022F4" w:rsidRPr="007F1283">
        <w:t>A</w:t>
      </w:r>
      <w:r w:rsidR="001E3DA2" w:rsidRPr="007F1283">
        <w:t xml:space="preserve"> </w:t>
      </w:r>
      <w:r w:rsidR="00CD1220" w:rsidRPr="007F1283">
        <w:t>List</w:t>
      </w:r>
      <w:r w:rsidR="000D7839" w:rsidRPr="007F1283">
        <w:t xml:space="preserve"> of </w:t>
      </w:r>
      <w:r w:rsidR="004C5EED" w:rsidRPr="007F1283">
        <w:t xml:space="preserve">programmes’ </w:t>
      </w:r>
      <w:r w:rsidR="00534298" w:rsidRPr="007F1283">
        <w:t xml:space="preserve">priorities </w:t>
      </w:r>
      <w:r w:rsidR="002648B4" w:rsidRPr="007F1283">
        <w:t>&amp;</w:t>
      </w:r>
      <w:r w:rsidR="00D4662C" w:rsidRPr="007F1283">
        <w:t xml:space="preserve"> </w:t>
      </w:r>
      <w:r w:rsidR="000D7839" w:rsidRPr="007F1283">
        <w:t>specific objectives</w:t>
      </w:r>
      <w:bookmarkEnd w:id="34"/>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93"/>
        <w:gridCol w:w="2543"/>
        <w:gridCol w:w="5479"/>
      </w:tblGrid>
      <w:tr w:rsidR="003A61E0" w:rsidRPr="007F1283" w14:paraId="341A1ED7" w14:textId="77777777" w:rsidTr="00205D7D">
        <w:trPr>
          <w:trHeight w:val="315"/>
        </w:trPr>
        <w:tc>
          <w:tcPr>
            <w:tcW w:w="993" w:type="dxa"/>
            <w:shd w:val="clear" w:color="auto" w:fill="004242"/>
            <w:tcMar>
              <w:top w:w="15" w:type="dxa"/>
              <w:left w:w="15" w:type="dxa"/>
              <w:right w:w="15" w:type="dxa"/>
            </w:tcMar>
            <w:vAlign w:val="center"/>
          </w:tcPr>
          <w:p w14:paraId="5A7D3B0B" w14:textId="21C07B30" w:rsidR="0037702A" w:rsidRPr="007F1283" w:rsidRDefault="003D2310" w:rsidP="00FB05CA">
            <w:pPr>
              <w:spacing w:line="240" w:lineRule="auto"/>
              <w:ind w:left="0"/>
              <w:rPr>
                <w:color w:val="FFFFFF" w:themeColor="background1"/>
                <w:sz w:val="16"/>
                <w:szCs w:val="16"/>
              </w:rPr>
            </w:pPr>
            <w:r w:rsidRPr="007F1283">
              <w:rPr>
                <w:b/>
                <w:bCs/>
                <w:color w:val="FFFFFF" w:themeColor="background1"/>
                <w:sz w:val="16"/>
                <w:szCs w:val="16"/>
              </w:rPr>
              <w:t xml:space="preserve"> </w:t>
            </w:r>
            <w:r w:rsidR="00EE1A76" w:rsidRPr="007F1283">
              <w:rPr>
                <w:b/>
                <w:bCs/>
                <w:color w:val="FFFFFF" w:themeColor="background1"/>
                <w:sz w:val="16"/>
                <w:szCs w:val="16"/>
              </w:rPr>
              <w:t>Programme</w:t>
            </w:r>
          </w:p>
        </w:tc>
        <w:tc>
          <w:tcPr>
            <w:tcW w:w="2543" w:type="dxa"/>
            <w:shd w:val="clear" w:color="auto" w:fill="004242"/>
            <w:tcMar>
              <w:top w:w="15" w:type="dxa"/>
              <w:left w:w="15" w:type="dxa"/>
              <w:right w:w="15" w:type="dxa"/>
            </w:tcMar>
            <w:vAlign w:val="center"/>
          </w:tcPr>
          <w:p w14:paraId="114EF5BB" w14:textId="6FFF4DA8" w:rsidR="0037702A" w:rsidRPr="007F1283" w:rsidRDefault="003D2310" w:rsidP="00FB05CA">
            <w:pPr>
              <w:spacing w:line="240" w:lineRule="auto"/>
              <w:ind w:left="0"/>
              <w:rPr>
                <w:color w:val="FFFFFF" w:themeColor="background1"/>
                <w:sz w:val="16"/>
                <w:szCs w:val="16"/>
              </w:rPr>
            </w:pPr>
            <w:r w:rsidRPr="007F1283">
              <w:rPr>
                <w:b/>
                <w:bCs/>
                <w:color w:val="FFFFFF" w:themeColor="background1"/>
                <w:sz w:val="16"/>
                <w:szCs w:val="16"/>
              </w:rPr>
              <w:t xml:space="preserve"> </w:t>
            </w:r>
            <w:r w:rsidR="0037702A" w:rsidRPr="007F1283">
              <w:rPr>
                <w:b/>
                <w:bCs/>
                <w:color w:val="FFFFFF" w:themeColor="background1"/>
                <w:sz w:val="16"/>
                <w:szCs w:val="16"/>
              </w:rPr>
              <w:t>Priorities</w:t>
            </w:r>
          </w:p>
        </w:tc>
        <w:tc>
          <w:tcPr>
            <w:tcW w:w="5479" w:type="dxa"/>
            <w:shd w:val="clear" w:color="auto" w:fill="004242"/>
            <w:tcMar>
              <w:top w:w="15" w:type="dxa"/>
              <w:left w:w="15" w:type="dxa"/>
              <w:right w:w="15" w:type="dxa"/>
            </w:tcMar>
            <w:vAlign w:val="center"/>
          </w:tcPr>
          <w:p w14:paraId="1D35CD85" w14:textId="305329FB" w:rsidR="0037702A" w:rsidRPr="007F1283" w:rsidRDefault="003D2310" w:rsidP="00FB05CA">
            <w:pPr>
              <w:spacing w:line="240" w:lineRule="auto"/>
              <w:ind w:left="0"/>
              <w:rPr>
                <w:color w:val="FFFFFF" w:themeColor="background1"/>
                <w:sz w:val="16"/>
                <w:szCs w:val="16"/>
              </w:rPr>
            </w:pPr>
            <w:r w:rsidRPr="007F1283">
              <w:rPr>
                <w:b/>
                <w:bCs/>
                <w:color w:val="FFFFFF" w:themeColor="background1"/>
                <w:sz w:val="16"/>
                <w:szCs w:val="16"/>
              </w:rPr>
              <w:t xml:space="preserve"> </w:t>
            </w:r>
            <w:r w:rsidR="0037702A" w:rsidRPr="007F1283">
              <w:rPr>
                <w:b/>
                <w:bCs/>
                <w:color w:val="FFFFFF" w:themeColor="background1"/>
                <w:sz w:val="16"/>
                <w:szCs w:val="16"/>
              </w:rPr>
              <w:t xml:space="preserve">Specific objective </w:t>
            </w:r>
          </w:p>
        </w:tc>
      </w:tr>
      <w:tr w:rsidR="00BB3BF6" w:rsidRPr="007F1283" w14:paraId="5739495A" w14:textId="77777777" w:rsidTr="00205D7D">
        <w:trPr>
          <w:trHeight w:val="369"/>
        </w:trPr>
        <w:tc>
          <w:tcPr>
            <w:tcW w:w="993" w:type="dxa"/>
            <w:vMerge w:val="restart"/>
            <w:shd w:val="clear" w:color="auto" w:fill="EFF6F6"/>
            <w:tcMar>
              <w:top w:w="15" w:type="dxa"/>
              <w:left w:w="15" w:type="dxa"/>
              <w:right w:w="15" w:type="dxa"/>
            </w:tcMar>
            <w:vAlign w:val="center"/>
          </w:tcPr>
          <w:p w14:paraId="63950BF6" w14:textId="04D66B5F" w:rsidR="00CD4559" w:rsidRPr="007F1283" w:rsidRDefault="009E00CE" w:rsidP="0083147C">
            <w:pPr>
              <w:spacing w:line="240" w:lineRule="auto"/>
              <w:ind w:left="0"/>
              <w:rPr>
                <w:b/>
                <w:bCs/>
                <w:color w:val="000000" w:themeColor="text1"/>
                <w:sz w:val="16"/>
                <w:szCs w:val="16"/>
              </w:rPr>
            </w:pPr>
            <w:r w:rsidRPr="007F1283">
              <w:rPr>
                <w:b/>
                <w:bCs/>
                <w:color w:val="000000" w:themeColor="text1"/>
                <w:sz w:val="16"/>
                <w:szCs w:val="16"/>
              </w:rPr>
              <w:t xml:space="preserve"> </w:t>
            </w:r>
            <w:r w:rsidR="00BB3BF6" w:rsidRPr="007F1283">
              <w:rPr>
                <w:b/>
                <w:bCs/>
                <w:color w:val="000000" w:themeColor="text1"/>
                <w:sz w:val="16"/>
                <w:szCs w:val="16"/>
              </w:rPr>
              <w:t>IROP</w:t>
            </w:r>
          </w:p>
          <w:p w14:paraId="691DE86F" w14:textId="6657E602" w:rsidR="00BB3BF6" w:rsidRPr="007F1283" w:rsidRDefault="00BB3BF6" w:rsidP="0083147C">
            <w:pPr>
              <w:spacing w:line="240" w:lineRule="auto"/>
              <w:ind w:left="0"/>
              <w:rPr>
                <w:color w:val="FFFFFF" w:themeColor="background1"/>
                <w:sz w:val="16"/>
                <w:szCs w:val="16"/>
              </w:rPr>
            </w:pPr>
          </w:p>
        </w:tc>
        <w:tc>
          <w:tcPr>
            <w:tcW w:w="2543" w:type="dxa"/>
            <w:shd w:val="clear" w:color="auto" w:fill="EFF6F6"/>
            <w:tcMar>
              <w:top w:w="15" w:type="dxa"/>
              <w:left w:w="15" w:type="dxa"/>
              <w:right w:w="15" w:type="dxa"/>
            </w:tcMar>
          </w:tcPr>
          <w:p w14:paraId="3B6ACB5B" w14:textId="77777777" w:rsidR="00BB3BF6" w:rsidRPr="007F1283" w:rsidRDefault="00BB3BF6" w:rsidP="00B62454">
            <w:pPr>
              <w:spacing w:before="20" w:after="20" w:line="240" w:lineRule="auto"/>
              <w:ind w:left="0"/>
              <w:rPr>
                <w:sz w:val="16"/>
                <w:szCs w:val="16"/>
              </w:rPr>
            </w:pPr>
            <w:r w:rsidRPr="007F1283">
              <w:rPr>
                <w:sz w:val="16"/>
                <w:szCs w:val="16"/>
              </w:rPr>
              <w:t xml:space="preserve">Community-led local development SC </w:t>
            </w:r>
          </w:p>
        </w:tc>
        <w:tc>
          <w:tcPr>
            <w:tcW w:w="5479" w:type="dxa"/>
            <w:shd w:val="clear" w:color="auto" w:fill="EFF6F6"/>
            <w:tcMar>
              <w:top w:w="15" w:type="dxa"/>
              <w:left w:w="15" w:type="dxa"/>
              <w:right w:w="15" w:type="dxa"/>
            </w:tcMar>
          </w:tcPr>
          <w:p w14:paraId="0B084485" w14:textId="158E19C5" w:rsidR="00BB3BF6" w:rsidRPr="007F1283" w:rsidRDefault="00BB3BF6" w:rsidP="00B62454">
            <w:pPr>
              <w:spacing w:before="20" w:after="20" w:line="240" w:lineRule="auto"/>
              <w:ind w:left="0"/>
              <w:rPr>
                <w:sz w:val="16"/>
                <w:szCs w:val="16"/>
              </w:rPr>
            </w:pPr>
            <w:r w:rsidRPr="007F1283">
              <w:rPr>
                <w:sz w:val="16"/>
                <w:szCs w:val="16"/>
              </w:rPr>
              <w:t>Promoting integrated and inclusive social, economic</w:t>
            </w:r>
            <w:r w:rsidR="25E1608E" w:rsidRPr="007F1283">
              <w:rPr>
                <w:sz w:val="16"/>
                <w:szCs w:val="16"/>
              </w:rPr>
              <w:t>,</w:t>
            </w:r>
            <w:r w:rsidRPr="007F1283">
              <w:rPr>
                <w:sz w:val="16"/>
                <w:szCs w:val="16"/>
              </w:rPr>
              <w:t xml:space="preserve"> and environmental local development, culture, natural heritage, sustainable tourism</w:t>
            </w:r>
            <w:r w:rsidR="3601D5C3" w:rsidRPr="007F1283">
              <w:rPr>
                <w:sz w:val="16"/>
                <w:szCs w:val="16"/>
              </w:rPr>
              <w:t>,</w:t>
            </w:r>
            <w:r w:rsidRPr="007F1283">
              <w:rPr>
                <w:sz w:val="16"/>
                <w:szCs w:val="16"/>
              </w:rPr>
              <w:t xml:space="preserve"> and security in non-urban areas</w:t>
            </w:r>
          </w:p>
        </w:tc>
      </w:tr>
      <w:tr w:rsidR="00BB3BF6" w:rsidRPr="007F1283" w14:paraId="423C5F2D" w14:textId="77777777" w:rsidTr="08ABA0B0">
        <w:trPr>
          <w:trHeight w:val="50"/>
        </w:trPr>
        <w:tc>
          <w:tcPr>
            <w:tcW w:w="993" w:type="dxa"/>
            <w:vMerge/>
            <w:tcMar>
              <w:top w:w="15" w:type="dxa"/>
              <w:left w:w="15" w:type="dxa"/>
              <w:right w:w="15" w:type="dxa"/>
            </w:tcMar>
          </w:tcPr>
          <w:p w14:paraId="4BBFF3E3" w14:textId="01AA12A6" w:rsidR="00BB3BF6" w:rsidRPr="007F1283" w:rsidRDefault="00BB3BF6" w:rsidP="003A61E0">
            <w:pPr>
              <w:spacing w:line="240" w:lineRule="auto"/>
              <w:ind w:left="0"/>
              <w:rPr>
                <w:sz w:val="16"/>
                <w:szCs w:val="16"/>
              </w:rPr>
            </w:pPr>
          </w:p>
        </w:tc>
        <w:tc>
          <w:tcPr>
            <w:tcW w:w="2543" w:type="dxa"/>
            <w:shd w:val="clear" w:color="auto" w:fill="EFF6F6"/>
            <w:tcMar>
              <w:top w:w="15" w:type="dxa"/>
              <w:left w:w="15" w:type="dxa"/>
              <w:right w:w="15" w:type="dxa"/>
            </w:tcMar>
          </w:tcPr>
          <w:p w14:paraId="1DFC1E6A" w14:textId="77777777" w:rsidR="00BB3BF6" w:rsidRPr="007F1283" w:rsidRDefault="00BB3BF6" w:rsidP="00B62454">
            <w:pPr>
              <w:spacing w:before="20" w:after="20" w:line="240" w:lineRule="auto"/>
              <w:ind w:left="0"/>
              <w:rPr>
                <w:sz w:val="16"/>
                <w:szCs w:val="16"/>
              </w:rPr>
            </w:pPr>
            <w:r w:rsidRPr="007F1283">
              <w:rPr>
                <w:sz w:val="16"/>
                <w:szCs w:val="16"/>
              </w:rPr>
              <w:t xml:space="preserve">Development of transport infrastructure </w:t>
            </w:r>
          </w:p>
        </w:tc>
        <w:tc>
          <w:tcPr>
            <w:tcW w:w="5479" w:type="dxa"/>
            <w:shd w:val="clear" w:color="auto" w:fill="EFF6F6"/>
            <w:tcMar>
              <w:top w:w="15" w:type="dxa"/>
              <w:left w:w="15" w:type="dxa"/>
              <w:right w:w="15" w:type="dxa"/>
            </w:tcMar>
          </w:tcPr>
          <w:p w14:paraId="6C277EE7" w14:textId="02C418BE" w:rsidR="00BB3BF6" w:rsidRPr="007F1283" w:rsidRDefault="00BB3BF6" w:rsidP="00B62454">
            <w:pPr>
              <w:spacing w:before="20" w:after="20" w:line="240" w:lineRule="auto"/>
              <w:ind w:left="0"/>
              <w:rPr>
                <w:sz w:val="16"/>
                <w:szCs w:val="16"/>
              </w:rPr>
            </w:pPr>
            <w:r w:rsidRPr="007F1283">
              <w:rPr>
                <w:sz w:val="16"/>
                <w:szCs w:val="16"/>
              </w:rPr>
              <w:t>Developing and strengthening sustainable, smart</w:t>
            </w:r>
            <w:r w:rsidR="30F97CFB" w:rsidRPr="007F1283">
              <w:rPr>
                <w:sz w:val="16"/>
                <w:szCs w:val="16"/>
              </w:rPr>
              <w:t>,</w:t>
            </w:r>
            <w:r w:rsidRPr="007F1283">
              <w:rPr>
                <w:sz w:val="16"/>
                <w:szCs w:val="16"/>
              </w:rPr>
              <w:t xml:space="preserve"> and intermodal national, regional</w:t>
            </w:r>
            <w:r w:rsidR="3E72466D" w:rsidRPr="007F1283">
              <w:rPr>
                <w:sz w:val="16"/>
                <w:szCs w:val="16"/>
              </w:rPr>
              <w:t>,</w:t>
            </w:r>
            <w:r w:rsidRPr="007F1283">
              <w:rPr>
                <w:sz w:val="16"/>
                <w:szCs w:val="16"/>
              </w:rPr>
              <w:t xml:space="preserve"> and local mobility resilient to climate change, including better access to the TEN-T network and cross-border mobility </w:t>
            </w:r>
          </w:p>
        </w:tc>
      </w:tr>
      <w:tr w:rsidR="00BB3BF6" w:rsidRPr="007F1283" w14:paraId="491F4EDB" w14:textId="77777777" w:rsidTr="08ABA0B0">
        <w:trPr>
          <w:trHeight w:val="330"/>
        </w:trPr>
        <w:tc>
          <w:tcPr>
            <w:tcW w:w="993" w:type="dxa"/>
            <w:vMerge/>
            <w:tcMar>
              <w:top w:w="15" w:type="dxa"/>
              <w:left w:w="15" w:type="dxa"/>
              <w:right w:w="15" w:type="dxa"/>
            </w:tcMar>
          </w:tcPr>
          <w:p w14:paraId="211C138C" w14:textId="130EF9B4" w:rsidR="00BB3BF6" w:rsidRPr="007F1283" w:rsidRDefault="00BB3BF6" w:rsidP="003A61E0">
            <w:pPr>
              <w:spacing w:line="240" w:lineRule="auto"/>
              <w:ind w:left="0"/>
              <w:rPr>
                <w:sz w:val="16"/>
                <w:szCs w:val="16"/>
              </w:rPr>
            </w:pPr>
          </w:p>
        </w:tc>
        <w:tc>
          <w:tcPr>
            <w:tcW w:w="2543" w:type="dxa"/>
            <w:shd w:val="clear" w:color="auto" w:fill="EFF6F6"/>
            <w:tcMar>
              <w:top w:w="15" w:type="dxa"/>
              <w:left w:w="15" w:type="dxa"/>
              <w:right w:w="15" w:type="dxa"/>
            </w:tcMar>
          </w:tcPr>
          <w:p w14:paraId="4D269F4D" w14:textId="77777777" w:rsidR="00BB3BF6" w:rsidRPr="007F1283" w:rsidRDefault="00BB3BF6" w:rsidP="00B62454">
            <w:pPr>
              <w:spacing w:before="20" w:after="20" w:line="240" w:lineRule="auto"/>
              <w:ind w:left="0"/>
              <w:rPr>
                <w:sz w:val="16"/>
                <w:szCs w:val="16"/>
              </w:rPr>
            </w:pPr>
            <w:r w:rsidRPr="007F1283">
              <w:rPr>
                <w:sz w:val="16"/>
                <w:szCs w:val="16"/>
              </w:rPr>
              <w:t>Development of urban mobility</w:t>
            </w:r>
          </w:p>
        </w:tc>
        <w:tc>
          <w:tcPr>
            <w:tcW w:w="5479" w:type="dxa"/>
            <w:shd w:val="clear" w:color="auto" w:fill="EFF6F6"/>
            <w:tcMar>
              <w:top w:w="15" w:type="dxa"/>
              <w:left w:w="15" w:type="dxa"/>
              <w:right w:w="15" w:type="dxa"/>
            </w:tcMar>
          </w:tcPr>
          <w:p w14:paraId="5DBA24B6" w14:textId="77777777" w:rsidR="00BB3BF6" w:rsidRPr="007F1283" w:rsidRDefault="00BB3BF6" w:rsidP="00B62454">
            <w:pPr>
              <w:spacing w:before="20" w:after="20" w:line="240" w:lineRule="auto"/>
              <w:ind w:left="0"/>
              <w:rPr>
                <w:sz w:val="16"/>
                <w:szCs w:val="16"/>
              </w:rPr>
            </w:pPr>
            <w:r w:rsidRPr="007F1283">
              <w:rPr>
                <w:sz w:val="16"/>
                <w:szCs w:val="16"/>
              </w:rPr>
              <w:t xml:space="preserve">Promoting sustainable multi-modal urban mobility in the context of the transition to a carbon neutral economy </w:t>
            </w:r>
          </w:p>
        </w:tc>
      </w:tr>
      <w:tr w:rsidR="00BB3BF6" w:rsidRPr="007F1283" w14:paraId="1D635244" w14:textId="77777777" w:rsidTr="08ABA0B0">
        <w:trPr>
          <w:trHeight w:val="545"/>
        </w:trPr>
        <w:tc>
          <w:tcPr>
            <w:tcW w:w="993" w:type="dxa"/>
            <w:vMerge/>
            <w:tcMar>
              <w:top w:w="15" w:type="dxa"/>
              <w:left w:w="15" w:type="dxa"/>
              <w:right w:w="15" w:type="dxa"/>
            </w:tcMar>
          </w:tcPr>
          <w:p w14:paraId="5121013F" w14:textId="14C30D6E" w:rsidR="00BB3BF6" w:rsidRPr="007F1283" w:rsidRDefault="00BB3BF6" w:rsidP="003A61E0">
            <w:pPr>
              <w:spacing w:line="240" w:lineRule="auto"/>
              <w:ind w:left="0"/>
              <w:rPr>
                <w:sz w:val="16"/>
                <w:szCs w:val="16"/>
              </w:rPr>
            </w:pPr>
          </w:p>
        </w:tc>
        <w:tc>
          <w:tcPr>
            <w:tcW w:w="2543" w:type="dxa"/>
            <w:shd w:val="clear" w:color="auto" w:fill="EFF6F6"/>
            <w:tcMar>
              <w:top w:w="15" w:type="dxa"/>
              <w:left w:w="15" w:type="dxa"/>
              <w:right w:w="15" w:type="dxa"/>
            </w:tcMar>
          </w:tcPr>
          <w:p w14:paraId="7A39B7FB" w14:textId="77777777" w:rsidR="00BB3BF6" w:rsidRPr="007F1283" w:rsidRDefault="00BB3BF6" w:rsidP="00B62454">
            <w:pPr>
              <w:spacing w:before="20" w:after="20" w:line="240" w:lineRule="auto"/>
              <w:ind w:left="0"/>
              <w:rPr>
                <w:sz w:val="16"/>
                <w:szCs w:val="16"/>
              </w:rPr>
            </w:pPr>
            <w:r w:rsidRPr="007F1283">
              <w:rPr>
                <w:sz w:val="16"/>
                <w:szCs w:val="16"/>
              </w:rPr>
              <w:t xml:space="preserve">Green infrastructure for cities and municipalities and protection of the population </w:t>
            </w:r>
          </w:p>
        </w:tc>
        <w:tc>
          <w:tcPr>
            <w:tcW w:w="5479" w:type="dxa"/>
            <w:shd w:val="clear" w:color="auto" w:fill="EFF6F6"/>
            <w:tcMar>
              <w:top w:w="15" w:type="dxa"/>
              <w:left w:w="15" w:type="dxa"/>
              <w:right w:w="15" w:type="dxa"/>
            </w:tcMar>
          </w:tcPr>
          <w:p w14:paraId="1354202E" w14:textId="67D2993F" w:rsidR="00BB3BF6" w:rsidRPr="007F1283" w:rsidRDefault="00BB3BF6" w:rsidP="00B62454">
            <w:pPr>
              <w:spacing w:before="20" w:after="20" w:line="240" w:lineRule="auto"/>
              <w:ind w:left="0"/>
              <w:rPr>
                <w:sz w:val="16"/>
                <w:szCs w:val="16"/>
              </w:rPr>
            </w:pPr>
            <w:r w:rsidRPr="007F1283">
              <w:rPr>
                <w:sz w:val="16"/>
                <w:szCs w:val="16"/>
              </w:rPr>
              <w:t xml:space="preserve">Promoting climate change adaptation, disaster risk prevention and resilience, </w:t>
            </w:r>
            <w:r w:rsidR="18E05A63" w:rsidRPr="007F1283">
              <w:rPr>
                <w:sz w:val="16"/>
                <w:szCs w:val="16"/>
              </w:rPr>
              <w:t>considering</w:t>
            </w:r>
            <w:r w:rsidRPr="007F1283">
              <w:rPr>
                <w:sz w:val="16"/>
                <w:szCs w:val="16"/>
              </w:rPr>
              <w:t xml:space="preserve"> ecosystem approaches </w:t>
            </w:r>
            <w:r w:rsidRPr="007F1283">
              <w:br/>
            </w:r>
            <w:r w:rsidRPr="007F1283">
              <w:rPr>
                <w:sz w:val="16"/>
                <w:szCs w:val="16"/>
              </w:rPr>
              <w:t>Strengthening the protection and conservation of nature, biodiversity</w:t>
            </w:r>
            <w:r w:rsidR="387EB667" w:rsidRPr="007F1283">
              <w:rPr>
                <w:sz w:val="16"/>
                <w:szCs w:val="16"/>
              </w:rPr>
              <w:t>,</w:t>
            </w:r>
            <w:r w:rsidRPr="007F1283">
              <w:rPr>
                <w:sz w:val="16"/>
                <w:szCs w:val="16"/>
              </w:rPr>
              <w:t xml:space="preserve"> and green infrastructure, including in urban areas, and reducing all forms of pollution </w:t>
            </w:r>
          </w:p>
        </w:tc>
      </w:tr>
      <w:tr w:rsidR="00BB3BF6" w:rsidRPr="007F1283" w14:paraId="2A95424C" w14:textId="77777777" w:rsidTr="08ABA0B0">
        <w:trPr>
          <w:trHeight w:val="330"/>
        </w:trPr>
        <w:tc>
          <w:tcPr>
            <w:tcW w:w="993" w:type="dxa"/>
            <w:vMerge/>
            <w:tcMar>
              <w:top w:w="15" w:type="dxa"/>
              <w:left w:w="15" w:type="dxa"/>
              <w:right w:w="15" w:type="dxa"/>
            </w:tcMar>
          </w:tcPr>
          <w:p w14:paraId="0657AE1C" w14:textId="6091462E" w:rsidR="00BB3BF6" w:rsidRPr="007F1283" w:rsidRDefault="00BB3BF6" w:rsidP="003A61E0">
            <w:pPr>
              <w:spacing w:line="240" w:lineRule="auto"/>
              <w:ind w:left="0"/>
              <w:rPr>
                <w:sz w:val="16"/>
                <w:szCs w:val="16"/>
              </w:rPr>
            </w:pPr>
          </w:p>
        </w:tc>
        <w:tc>
          <w:tcPr>
            <w:tcW w:w="2543" w:type="dxa"/>
            <w:shd w:val="clear" w:color="auto" w:fill="EFF6F6"/>
            <w:tcMar>
              <w:top w:w="15" w:type="dxa"/>
              <w:left w:w="15" w:type="dxa"/>
              <w:right w:w="15" w:type="dxa"/>
            </w:tcMar>
          </w:tcPr>
          <w:p w14:paraId="6CBF0C82" w14:textId="77777777" w:rsidR="00BB3BF6" w:rsidRPr="007F1283" w:rsidRDefault="00BB3BF6" w:rsidP="00B62454">
            <w:pPr>
              <w:spacing w:before="20" w:after="20" w:line="240" w:lineRule="auto"/>
              <w:ind w:left="0"/>
              <w:rPr>
                <w:sz w:val="16"/>
                <w:szCs w:val="16"/>
              </w:rPr>
            </w:pPr>
            <w:r w:rsidRPr="007F1283">
              <w:rPr>
                <w:sz w:val="16"/>
                <w:szCs w:val="16"/>
              </w:rPr>
              <w:t xml:space="preserve">Improving public administration performance </w:t>
            </w:r>
          </w:p>
        </w:tc>
        <w:tc>
          <w:tcPr>
            <w:tcW w:w="5479" w:type="dxa"/>
            <w:shd w:val="clear" w:color="auto" w:fill="EFF6F6"/>
            <w:tcMar>
              <w:top w:w="15" w:type="dxa"/>
              <w:left w:w="15" w:type="dxa"/>
              <w:right w:w="15" w:type="dxa"/>
            </w:tcMar>
          </w:tcPr>
          <w:p w14:paraId="784FDB19" w14:textId="77777777" w:rsidR="00BB3BF6" w:rsidRPr="007F1283" w:rsidRDefault="00BB3BF6" w:rsidP="00B62454">
            <w:pPr>
              <w:spacing w:before="20" w:after="20" w:line="240" w:lineRule="auto"/>
              <w:ind w:left="0"/>
              <w:rPr>
                <w:sz w:val="16"/>
                <w:szCs w:val="16"/>
              </w:rPr>
            </w:pPr>
            <w:r w:rsidRPr="007F1283">
              <w:rPr>
                <w:sz w:val="16"/>
                <w:szCs w:val="16"/>
              </w:rPr>
              <w:t xml:space="preserve">Reaping the benefits of digitisation for citizens, businesses, research organisations and public authorities </w:t>
            </w:r>
          </w:p>
        </w:tc>
      </w:tr>
      <w:tr w:rsidR="00BB3BF6" w:rsidRPr="007F1283" w14:paraId="1B1E4C76" w14:textId="77777777" w:rsidTr="08ABA0B0">
        <w:trPr>
          <w:trHeight w:val="2235"/>
        </w:trPr>
        <w:tc>
          <w:tcPr>
            <w:tcW w:w="993" w:type="dxa"/>
            <w:vMerge/>
            <w:tcMar>
              <w:top w:w="15" w:type="dxa"/>
              <w:left w:w="15" w:type="dxa"/>
              <w:right w:w="15" w:type="dxa"/>
            </w:tcMar>
          </w:tcPr>
          <w:p w14:paraId="3B1D2CF6" w14:textId="7D5AB42B" w:rsidR="00BB3BF6" w:rsidRPr="007F1283" w:rsidRDefault="00BB3BF6" w:rsidP="003A61E0">
            <w:pPr>
              <w:spacing w:line="240" w:lineRule="auto"/>
              <w:ind w:left="0"/>
              <w:rPr>
                <w:sz w:val="16"/>
                <w:szCs w:val="16"/>
              </w:rPr>
            </w:pPr>
          </w:p>
        </w:tc>
        <w:tc>
          <w:tcPr>
            <w:tcW w:w="2543" w:type="dxa"/>
            <w:shd w:val="clear" w:color="auto" w:fill="EFF6F6"/>
            <w:tcMar>
              <w:top w:w="15" w:type="dxa"/>
              <w:left w:w="15" w:type="dxa"/>
              <w:right w:w="15" w:type="dxa"/>
            </w:tcMar>
          </w:tcPr>
          <w:p w14:paraId="69529A8D" w14:textId="77777777" w:rsidR="00BB3BF6" w:rsidRPr="007F1283" w:rsidRDefault="00BB3BF6" w:rsidP="00B62454">
            <w:pPr>
              <w:spacing w:before="20" w:after="20" w:line="240" w:lineRule="auto"/>
              <w:ind w:left="0"/>
              <w:rPr>
                <w:sz w:val="16"/>
                <w:szCs w:val="16"/>
              </w:rPr>
            </w:pPr>
            <w:r w:rsidRPr="007F1283">
              <w:rPr>
                <w:sz w:val="16"/>
                <w:szCs w:val="16"/>
              </w:rPr>
              <w:t xml:space="preserve">Improving the quality and accessibility of social and health services, educational infrastructure and cultural heritage development </w:t>
            </w:r>
          </w:p>
        </w:tc>
        <w:tc>
          <w:tcPr>
            <w:tcW w:w="5479" w:type="dxa"/>
            <w:shd w:val="clear" w:color="auto" w:fill="EFF6F6"/>
            <w:tcMar>
              <w:top w:w="15" w:type="dxa"/>
              <w:left w:w="15" w:type="dxa"/>
              <w:right w:w="15" w:type="dxa"/>
            </w:tcMar>
          </w:tcPr>
          <w:p w14:paraId="2100147A" w14:textId="3A901AF9" w:rsidR="00BB3BF6" w:rsidRPr="007F1283" w:rsidRDefault="00BB3BF6" w:rsidP="00B62454">
            <w:pPr>
              <w:spacing w:before="20" w:after="20" w:line="240" w:lineRule="auto"/>
              <w:ind w:left="0"/>
              <w:rPr>
                <w:sz w:val="16"/>
                <w:szCs w:val="16"/>
              </w:rPr>
            </w:pPr>
            <w:r w:rsidRPr="007F1283">
              <w:rPr>
                <w:sz w:val="16"/>
                <w:szCs w:val="16"/>
              </w:rPr>
              <w:t xml:space="preserve">Ensuring equitable access to health care and strengthening the resilience of health care systems, including primary care, and supporting the transition from institutional care to family and community-based care </w:t>
            </w:r>
            <w:r w:rsidRPr="007F1283">
              <w:rPr>
                <w:sz w:val="16"/>
                <w:szCs w:val="16"/>
              </w:rPr>
              <w:br/>
              <w:t>Strengthening the role of culture and sustainable tourism in economic development, social inclusion and social innovation</w:t>
            </w:r>
            <w:r w:rsidRPr="007F1283">
              <w:rPr>
                <w:sz w:val="16"/>
                <w:szCs w:val="16"/>
              </w:rPr>
              <w:br/>
              <w:t xml:space="preserve">Improving equitable access to inclusive and quality education, training and lifelong learning services through the development of accessible infrastructure, including by strengthening resilience for distance and online education and training </w:t>
            </w:r>
            <w:r w:rsidRPr="007F1283">
              <w:rPr>
                <w:sz w:val="16"/>
                <w:szCs w:val="16"/>
              </w:rPr>
              <w:br/>
              <w:t xml:space="preserve">Promoting the socio-economic inclusion of marginalised communities, low-income households and disadvantaged groups, including people with special needs, through integrated measures, including housing and social services </w:t>
            </w:r>
          </w:p>
        </w:tc>
      </w:tr>
      <w:tr w:rsidR="00BB3BF6" w:rsidRPr="007F1283" w14:paraId="4F656558" w14:textId="77777777" w:rsidTr="08ABA0B0">
        <w:trPr>
          <w:trHeight w:val="50"/>
        </w:trPr>
        <w:tc>
          <w:tcPr>
            <w:tcW w:w="993" w:type="dxa"/>
            <w:vMerge/>
            <w:tcMar>
              <w:top w:w="15" w:type="dxa"/>
              <w:left w:w="15" w:type="dxa"/>
              <w:right w:w="15" w:type="dxa"/>
            </w:tcMar>
          </w:tcPr>
          <w:p w14:paraId="746810EC" w14:textId="4D7F5DCD" w:rsidR="00BB3BF6" w:rsidRPr="007F1283" w:rsidRDefault="00BB3BF6" w:rsidP="003A61E0">
            <w:pPr>
              <w:spacing w:line="240" w:lineRule="auto"/>
              <w:ind w:left="0"/>
              <w:rPr>
                <w:sz w:val="16"/>
                <w:szCs w:val="16"/>
              </w:rPr>
            </w:pPr>
          </w:p>
        </w:tc>
        <w:tc>
          <w:tcPr>
            <w:tcW w:w="2543" w:type="dxa"/>
            <w:shd w:val="clear" w:color="auto" w:fill="EFF6F6"/>
            <w:tcMar>
              <w:top w:w="15" w:type="dxa"/>
              <w:left w:w="15" w:type="dxa"/>
              <w:right w:w="15" w:type="dxa"/>
            </w:tcMar>
          </w:tcPr>
          <w:p w14:paraId="575E2791" w14:textId="77777777" w:rsidR="00BB3BF6" w:rsidRPr="007F1283" w:rsidRDefault="00BB3BF6" w:rsidP="00B62454">
            <w:pPr>
              <w:spacing w:before="20" w:after="20" w:line="240" w:lineRule="auto"/>
              <w:ind w:left="0"/>
              <w:rPr>
                <w:sz w:val="16"/>
                <w:szCs w:val="16"/>
              </w:rPr>
            </w:pPr>
            <w:r w:rsidRPr="007F1283">
              <w:rPr>
                <w:sz w:val="16"/>
                <w:szCs w:val="16"/>
              </w:rPr>
              <w:t xml:space="preserve">Technical assistance </w:t>
            </w:r>
          </w:p>
        </w:tc>
        <w:tc>
          <w:tcPr>
            <w:tcW w:w="5479" w:type="dxa"/>
            <w:shd w:val="clear" w:color="auto" w:fill="EFF6F6"/>
            <w:tcMar>
              <w:top w:w="15" w:type="dxa"/>
              <w:left w:w="15" w:type="dxa"/>
              <w:right w:w="15" w:type="dxa"/>
            </w:tcMar>
          </w:tcPr>
          <w:p w14:paraId="5220CD00" w14:textId="77777777" w:rsidR="00BB3BF6" w:rsidRPr="007F1283" w:rsidRDefault="00BB3BF6" w:rsidP="00B62454">
            <w:pPr>
              <w:spacing w:before="20" w:after="20" w:line="240" w:lineRule="auto"/>
              <w:ind w:left="0"/>
              <w:rPr>
                <w:sz w:val="16"/>
                <w:szCs w:val="16"/>
              </w:rPr>
            </w:pPr>
            <w:r w:rsidRPr="007F1283">
              <w:rPr>
                <w:sz w:val="16"/>
                <w:szCs w:val="16"/>
              </w:rPr>
              <w:t>Technical assistance</w:t>
            </w:r>
          </w:p>
        </w:tc>
      </w:tr>
      <w:tr w:rsidR="005A444D" w:rsidRPr="007F1283" w14:paraId="09F13D5F" w14:textId="77777777" w:rsidTr="00205D7D">
        <w:trPr>
          <w:trHeight w:val="403"/>
        </w:trPr>
        <w:tc>
          <w:tcPr>
            <w:tcW w:w="993" w:type="dxa"/>
            <w:vMerge w:val="restart"/>
            <w:shd w:val="clear" w:color="auto" w:fill="B1CFCD"/>
            <w:tcMar>
              <w:top w:w="15" w:type="dxa"/>
              <w:left w:w="15" w:type="dxa"/>
              <w:right w:w="15" w:type="dxa"/>
            </w:tcMar>
            <w:vAlign w:val="center"/>
          </w:tcPr>
          <w:p w14:paraId="2547DEE3" w14:textId="08AE10F5" w:rsidR="005A444D" w:rsidRPr="007F1283" w:rsidRDefault="005A444D" w:rsidP="00396B4C">
            <w:pPr>
              <w:spacing w:line="240" w:lineRule="auto"/>
              <w:ind w:left="0"/>
              <w:rPr>
                <w:b/>
                <w:bCs/>
                <w:sz w:val="16"/>
                <w:szCs w:val="16"/>
              </w:rPr>
            </w:pPr>
            <w:r w:rsidRPr="007F1283">
              <w:rPr>
                <w:b/>
                <w:bCs/>
                <w:sz w:val="16"/>
                <w:szCs w:val="16"/>
              </w:rPr>
              <w:t>OP Employment</w:t>
            </w:r>
          </w:p>
          <w:p w14:paraId="61982D5C" w14:textId="08AE10F5" w:rsidR="00A20440" w:rsidRPr="007F1283" w:rsidRDefault="00A20440" w:rsidP="00396B4C">
            <w:pPr>
              <w:spacing w:line="240" w:lineRule="auto"/>
              <w:ind w:left="0"/>
              <w:rPr>
                <w:b/>
                <w:bCs/>
                <w:sz w:val="16"/>
                <w:szCs w:val="16"/>
              </w:rPr>
            </w:pPr>
          </w:p>
          <w:p w14:paraId="7FEDD3D5" w14:textId="08AE10F5" w:rsidR="00A20440" w:rsidRPr="007F1283" w:rsidRDefault="00A20440" w:rsidP="00396B4C">
            <w:pPr>
              <w:spacing w:line="240" w:lineRule="auto"/>
              <w:ind w:left="0"/>
              <w:rPr>
                <w:b/>
                <w:bCs/>
                <w:sz w:val="16"/>
                <w:szCs w:val="16"/>
              </w:rPr>
            </w:pPr>
          </w:p>
        </w:tc>
        <w:tc>
          <w:tcPr>
            <w:tcW w:w="2543" w:type="dxa"/>
            <w:shd w:val="clear" w:color="auto" w:fill="B1CFCD"/>
            <w:tcMar>
              <w:top w:w="15" w:type="dxa"/>
              <w:left w:w="15" w:type="dxa"/>
              <w:right w:w="15" w:type="dxa"/>
            </w:tcMar>
          </w:tcPr>
          <w:p w14:paraId="61E47DAD" w14:textId="77777777" w:rsidR="005A444D" w:rsidRPr="007F1283" w:rsidRDefault="005A444D" w:rsidP="00B62454">
            <w:pPr>
              <w:spacing w:before="20" w:after="20" w:line="240" w:lineRule="auto"/>
              <w:ind w:left="0"/>
              <w:rPr>
                <w:sz w:val="16"/>
                <w:szCs w:val="16"/>
              </w:rPr>
            </w:pPr>
            <w:r w:rsidRPr="007F1283">
              <w:rPr>
                <w:sz w:val="16"/>
                <w:szCs w:val="16"/>
              </w:rPr>
              <w:t>Material assistance for the poorest people</w:t>
            </w:r>
          </w:p>
        </w:tc>
        <w:tc>
          <w:tcPr>
            <w:tcW w:w="5479" w:type="dxa"/>
            <w:shd w:val="clear" w:color="auto" w:fill="B1CFCD"/>
            <w:tcMar>
              <w:top w:w="15" w:type="dxa"/>
              <w:left w:w="15" w:type="dxa"/>
              <w:right w:w="15" w:type="dxa"/>
            </w:tcMar>
          </w:tcPr>
          <w:p w14:paraId="15B633E3" w14:textId="77777777" w:rsidR="005A444D" w:rsidRPr="007F1283" w:rsidRDefault="005A444D" w:rsidP="00B62454">
            <w:pPr>
              <w:spacing w:before="20" w:after="20" w:line="240" w:lineRule="auto"/>
              <w:ind w:left="0"/>
              <w:rPr>
                <w:sz w:val="16"/>
                <w:szCs w:val="16"/>
              </w:rPr>
            </w:pPr>
            <w:r w:rsidRPr="007F1283">
              <w:rPr>
                <w:sz w:val="16"/>
                <w:szCs w:val="16"/>
              </w:rPr>
              <w:t>Address material deprivation by providing food or basic material assistance to the poorest, including children, and provide accompanying measures to promote their social inclusion</w:t>
            </w:r>
          </w:p>
        </w:tc>
      </w:tr>
      <w:tr w:rsidR="005A444D" w:rsidRPr="007F1283" w14:paraId="3209FDB4" w14:textId="77777777" w:rsidTr="08ABA0B0">
        <w:trPr>
          <w:trHeight w:val="1275"/>
        </w:trPr>
        <w:tc>
          <w:tcPr>
            <w:tcW w:w="993" w:type="dxa"/>
            <w:vMerge/>
            <w:tcMar>
              <w:top w:w="15" w:type="dxa"/>
              <w:left w:w="15" w:type="dxa"/>
              <w:right w:w="15" w:type="dxa"/>
            </w:tcMar>
          </w:tcPr>
          <w:p w14:paraId="06CC17F1" w14:textId="1D298246" w:rsidR="005A444D" w:rsidRPr="007F1283" w:rsidRDefault="005A444D" w:rsidP="003A61E0">
            <w:pPr>
              <w:spacing w:line="240" w:lineRule="auto"/>
              <w:ind w:left="0"/>
              <w:rPr>
                <w:sz w:val="16"/>
                <w:szCs w:val="16"/>
              </w:rPr>
            </w:pPr>
          </w:p>
        </w:tc>
        <w:tc>
          <w:tcPr>
            <w:tcW w:w="2543" w:type="dxa"/>
            <w:shd w:val="clear" w:color="auto" w:fill="B1CFCD"/>
            <w:tcMar>
              <w:top w:w="15" w:type="dxa"/>
              <w:left w:w="15" w:type="dxa"/>
              <w:right w:w="15" w:type="dxa"/>
            </w:tcMar>
          </w:tcPr>
          <w:p w14:paraId="5EBF3564" w14:textId="77777777" w:rsidR="005A444D" w:rsidRPr="007F1283" w:rsidRDefault="005A444D" w:rsidP="00B62454">
            <w:pPr>
              <w:spacing w:before="20" w:after="20" w:line="240" w:lineRule="auto"/>
              <w:ind w:left="0"/>
              <w:rPr>
                <w:sz w:val="16"/>
                <w:szCs w:val="16"/>
              </w:rPr>
            </w:pPr>
            <w:r w:rsidRPr="007F1283">
              <w:rPr>
                <w:sz w:val="16"/>
                <w:szCs w:val="16"/>
              </w:rPr>
              <w:t>Social inclusion</w:t>
            </w:r>
          </w:p>
        </w:tc>
        <w:tc>
          <w:tcPr>
            <w:tcW w:w="5479" w:type="dxa"/>
            <w:shd w:val="clear" w:color="auto" w:fill="B1CFCD"/>
            <w:tcMar>
              <w:top w:w="15" w:type="dxa"/>
              <w:left w:w="15" w:type="dxa"/>
              <w:right w:w="15" w:type="dxa"/>
            </w:tcMar>
          </w:tcPr>
          <w:p w14:paraId="68702A0C" w14:textId="45679567" w:rsidR="005A444D" w:rsidRPr="007F1283" w:rsidRDefault="005A444D" w:rsidP="00B62454">
            <w:pPr>
              <w:spacing w:before="20" w:after="20" w:line="240" w:lineRule="auto"/>
              <w:ind w:left="0"/>
              <w:rPr>
                <w:sz w:val="16"/>
                <w:szCs w:val="16"/>
              </w:rPr>
            </w:pPr>
            <w:r w:rsidRPr="007F1283">
              <w:rPr>
                <w:sz w:val="16"/>
                <w:szCs w:val="16"/>
              </w:rPr>
              <w:t>Strengthen active inclusion, promoting equal opportunities, improving employability (for disadvantaged groups)</w:t>
            </w:r>
            <w:r w:rsidRPr="007F1283">
              <w:rPr>
                <w:sz w:val="16"/>
                <w:szCs w:val="16"/>
              </w:rPr>
              <w:br/>
              <w:t>Increased access to quality, sustainable and affordable housing and personal care services, health care services; social protection children and disadvantaged groups; improving efficiency and resilience of health care systems and long-term care services</w:t>
            </w:r>
            <w:r w:rsidRPr="007F1283">
              <w:rPr>
                <w:sz w:val="16"/>
                <w:szCs w:val="16"/>
              </w:rPr>
              <w:br/>
              <w:t>Promote the socio-economic integration of marginalised communities (e.g. Roma)</w:t>
            </w:r>
          </w:p>
        </w:tc>
      </w:tr>
      <w:tr w:rsidR="005A444D" w:rsidRPr="007F1283" w14:paraId="4D08D83C" w14:textId="77777777" w:rsidTr="08ABA0B0">
        <w:trPr>
          <w:trHeight w:val="330"/>
        </w:trPr>
        <w:tc>
          <w:tcPr>
            <w:tcW w:w="993" w:type="dxa"/>
            <w:vMerge/>
            <w:tcMar>
              <w:top w:w="15" w:type="dxa"/>
              <w:left w:w="15" w:type="dxa"/>
              <w:right w:w="15" w:type="dxa"/>
            </w:tcMar>
          </w:tcPr>
          <w:p w14:paraId="4456B915" w14:textId="307AE8F9" w:rsidR="005A444D" w:rsidRPr="007F1283" w:rsidRDefault="005A444D" w:rsidP="003A61E0">
            <w:pPr>
              <w:spacing w:line="240" w:lineRule="auto"/>
              <w:ind w:left="0"/>
              <w:rPr>
                <w:sz w:val="16"/>
                <w:szCs w:val="16"/>
              </w:rPr>
            </w:pPr>
          </w:p>
        </w:tc>
        <w:tc>
          <w:tcPr>
            <w:tcW w:w="2543" w:type="dxa"/>
            <w:shd w:val="clear" w:color="auto" w:fill="B1CFCD"/>
            <w:tcMar>
              <w:top w:w="15" w:type="dxa"/>
              <w:left w:w="15" w:type="dxa"/>
              <w:right w:w="15" w:type="dxa"/>
            </w:tcMar>
          </w:tcPr>
          <w:p w14:paraId="4E073A89" w14:textId="77777777" w:rsidR="005A444D" w:rsidRPr="007F1283" w:rsidRDefault="005A444D" w:rsidP="00B62454">
            <w:pPr>
              <w:spacing w:before="20" w:after="20" w:line="240" w:lineRule="auto"/>
              <w:ind w:left="0"/>
              <w:rPr>
                <w:sz w:val="16"/>
                <w:szCs w:val="16"/>
              </w:rPr>
            </w:pPr>
            <w:r w:rsidRPr="007F1283">
              <w:rPr>
                <w:sz w:val="16"/>
                <w:szCs w:val="16"/>
              </w:rPr>
              <w:t>Social innovation</w:t>
            </w:r>
          </w:p>
        </w:tc>
        <w:tc>
          <w:tcPr>
            <w:tcW w:w="5479" w:type="dxa"/>
            <w:shd w:val="clear" w:color="auto" w:fill="B1CFCD"/>
            <w:tcMar>
              <w:top w:w="15" w:type="dxa"/>
              <w:left w:w="15" w:type="dxa"/>
              <w:right w:w="15" w:type="dxa"/>
            </w:tcMar>
          </w:tcPr>
          <w:p w14:paraId="065D86CB" w14:textId="77777777" w:rsidR="005A444D" w:rsidRPr="007F1283" w:rsidRDefault="005A444D" w:rsidP="00B62454">
            <w:pPr>
              <w:spacing w:before="20" w:after="20" w:line="240" w:lineRule="auto"/>
              <w:ind w:left="0"/>
              <w:rPr>
                <w:sz w:val="16"/>
                <w:szCs w:val="16"/>
              </w:rPr>
            </w:pPr>
            <w:r w:rsidRPr="007F1283">
              <w:rPr>
                <w:sz w:val="16"/>
                <w:szCs w:val="16"/>
              </w:rPr>
              <w:t>Strengthen active inclusion to promote equal opportunities and improve employability</w:t>
            </w:r>
          </w:p>
        </w:tc>
      </w:tr>
      <w:tr w:rsidR="005A444D" w:rsidRPr="007F1283" w14:paraId="79117479" w14:textId="77777777" w:rsidTr="08ABA0B0">
        <w:trPr>
          <w:trHeight w:val="1346"/>
        </w:trPr>
        <w:tc>
          <w:tcPr>
            <w:tcW w:w="993" w:type="dxa"/>
            <w:vMerge/>
            <w:tcMar>
              <w:top w:w="15" w:type="dxa"/>
              <w:left w:w="15" w:type="dxa"/>
              <w:right w:w="15" w:type="dxa"/>
            </w:tcMar>
          </w:tcPr>
          <w:p w14:paraId="675C625E" w14:textId="0C1EB745" w:rsidR="005A444D" w:rsidRPr="007F1283" w:rsidRDefault="005A444D" w:rsidP="003A61E0">
            <w:pPr>
              <w:spacing w:line="240" w:lineRule="auto"/>
              <w:ind w:left="0"/>
              <w:rPr>
                <w:sz w:val="16"/>
                <w:szCs w:val="16"/>
              </w:rPr>
            </w:pPr>
          </w:p>
        </w:tc>
        <w:tc>
          <w:tcPr>
            <w:tcW w:w="2543" w:type="dxa"/>
            <w:shd w:val="clear" w:color="auto" w:fill="B1CFCD"/>
            <w:tcMar>
              <w:top w:w="15" w:type="dxa"/>
              <w:left w:w="15" w:type="dxa"/>
              <w:right w:w="15" w:type="dxa"/>
            </w:tcMar>
          </w:tcPr>
          <w:p w14:paraId="5E36918E" w14:textId="77777777" w:rsidR="005A444D" w:rsidRPr="007F1283" w:rsidRDefault="005A444D" w:rsidP="00B62454">
            <w:pPr>
              <w:spacing w:before="20" w:after="20" w:line="240" w:lineRule="auto"/>
              <w:ind w:left="0"/>
              <w:rPr>
                <w:sz w:val="16"/>
                <w:szCs w:val="16"/>
              </w:rPr>
            </w:pPr>
            <w:r w:rsidRPr="007F1283">
              <w:rPr>
                <w:sz w:val="16"/>
                <w:szCs w:val="16"/>
              </w:rPr>
              <w:t>The future of work</w:t>
            </w:r>
          </w:p>
        </w:tc>
        <w:tc>
          <w:tcPr>
            <w:tcW w:w="5479" w:type="dxa"/>
            <w:shd w:val="clear" w:color="auto" w:fill="B1CFCD"/>
            <w:tcMar>
              <w:top w:w="15" w:type="dxa"/>
              <w:left w:w="15" w:type="dxa"/>
              <w:right w:w="15" w:type="dxa"/>
            </w:tcMar>
          </w:tcPr>
          <w:p w14:paraId="6E7AD384" w14:textId="04DF7918" w:rsidR="005A444D" w:rsidRPr="007F1283" w:rsidRDefault="005A444D" w:rsidP="00B62454">
            <w:pPr>
              <w:spacing w:before="20" w:after="20" w:line="240" w:lineRule="auto"/>
              <w:ind w:left="0"/>
              <w:rPr>
                <w:sz w:val="16"/>
                <w:szCs w:val="16"/>
              </w:rPr>
            </w:pPr>
            <w:r w:rsidRPr="007F1283">
              <w:rPr>
                <w:sz w:val="16"/>
                <w:szCs w:val="16"/>
              </w:rPr>
              <w:t>Improve access to employment and promote inclusion to disadvantaged groups in the labour market</w:t>
            </w:r>
            <w:r w:rsidRPr="007F1283">
              <w:br/>
            </w:r>
            <w:r w:rsidRPr="007F1283">
              <w:rPr>
                <w:sz w:val="16"/>
                <w:szCs w:val="16"/>
              </w:rPr>
              <w:t>Promote improved and equal working conditions</w:t>
            </w:r>
            <w:r w:rsidRPr="007F1283">
              <w:br/>
            </w:r>
            <w:r w:rsidRPr="007F1283">
              <w:rPr>
                <w:sz w:val="16"/>
                <w:szCs w:val="16"/>
              </w:rPr>
              <w:t>Promote the adaptation of workers, enterprises and entrepreneurs to change (focused on improving working environment taking into account health risks)</w:t>
            </w:r>
            <w:r w:rsidRPr="007F1283">
              <w:br/>
            </w:r>
            <w:r w:rsidRPr="007F1283">
              <w:rPr>
                <w:sz w:val="16"/>
                <w:szCs w:val="16"/>
              </w:rPr>
              <w:t>Modernise labour market institutions and services to assess and anticipate skills needs, provide tailored assistance and support to match labour market supply and demand</w:t>
            </w:r>
          </w:p>
        </w:tc>
      </w:tr>
      <w:tr w:rsidR="006011D4" w:rsidRPr="007F1283" w14:paraId="7FC3EBD8" w14:textId="77777777" w:rsidTr="00205D7D">
        <w:trPr>
          <w:trHeight w:val="330"/>
        </w:trPr>
        <w:tc>
          <w:tcPr>
            <w:tcW w:w="993" w:type="dxa"/>
            <w:vMerge w:val="restart"/>
            <w:shd w:val="clear" w:color="auto" w:fill="EFF6F6"/>
            <w:tcMar>
              <w:top w:w="15" w:type="dxa"/>
              <w:left w:w="15" w:type="dxa"/>
              <w:right w:w="15" w:type="dxa"/>
            </w:tcMar>
            <w:vAlign w:val="center"/>
          </w:tcPr>
          <w:p w14:paraId="2DAE3A2C" w14:textId="2C546D5A" w:rsidR="006011D4" w:rsidRPr="007F1283" w:rsidRDefault="006011D4" w:rsidP="006011D4">
            <w:pPr>
              <w:spacing w:line="240" w:lineRule="auto"/>
              <w:ind w:left="0"/>
              <w:rPr>
                <w:b/>
                <w:bCs/>
                <w:sz w:val="16"/>
                <w:szCs w:val="16"/>
              </w:rPr>
            </w:pPr>
            <w:r w:rsidRPr="007F1283">
              <w:rPr>
                <w:b/>
                <w:bCs/>
                <w:sz w:val="16"/>
                <w:szCs w:val="16"/>
              </w:rPr>
              <w:t>OP Environment</w:t>
            </w:r>
          </w:p>
        </w:tc>
        <w:tc>
          <w:tcPr>
            <w:tcW w:w="2543" w:type="dxa"/>
            <w:shd w:val="clear" w:color="auto" w:fill="EFF6F6"/>
            <w:tcMar>
              <w:top w:w="15" w:type="dxa"/>
              <w:left w:w="15" w:type="dxa"/>
              <w:right w:w="15" w:type="dxa"/>
            </w:tcMar>
          </w:tcPr>
          <w:p w14:paraId="0FFA7956" w14:textId="77777777" w:rsidR="006011D4" w:rsidRPr="007F1283" w:rsidRDefault="006011D4" w:rsidP="00B62454">
            <w:pPr>
              <w:spacing w:before="20" w:after="20" w:line="240" w:lineRule="auto"/>
              <w:ind w:left="0"/>
              <w:rPr>
                <w:sz w:val="16"/>
                <w:szCs w:val="16"/>
              </w:rPr>
            </w:pPr>
            <w:r w:rsidRPr="007F1283">
              <w:rPr>
                <w:sz w:val="16"/>
                <w:szCs w:val="16"/>
              </w:rPr>
              <w:t>Adaptation to climate change</w:t>
            </w:r>
          </w:p>
        </w:tc>
        <w:tc>
          <w:tcPr>
            <w:tcW w:w="5479" w:type="dxa"/>
            <w:shd w:val="clear" w:color="auto" w:fill="EFF6F6"/>
            <w:tcMar>
              <w:top w:w="15" w:type="dxa"/>
              <w:left w:w="15" w:type="dxa"/>
              <w:right w:w="15" w:type="dxa"/>
            </w:tcMar>
          </w:tcPr>
          <w:p w14:paraId="170D996F" w14:textId="77777777" w:rsidR="006011D4" w:rsidRPr="007F1283" w:rsidRDefault="006011D4" w:rsidP="00B62454">
            <w:pPr>
              <w:spacing w:before="20" w:after="20" w:line="240" w:lineRule="auto"/>
              <w:ind w:left="0"/>
              <w:rPr>
                <w:sz w:val="16"/>
                <w:szCs w:val="16"/>
              </w:rPr>
            </w:pPr>
            <w:r w:rsidRPr="007F1283">
              <w:rPr>
                <w:sz w:val="16"/>
                <w:szCs w:val="16"/>
              </w:rPr>
              <w:t>Promoting climate change adaptation, disaster risk prevention and resilience, taking into account ecosystem approaches</w:t>
            </w:r>
          </w:p>
        </w:tc>
      </w:tr>
      <w:tr w:rsidR="006011D4" w:rsidRPr="007F1283" w14:paraId="17AB423B" w14:textId="77777777" w:rsidTr="08ABA0B0">
        <w:trPr>
          <w:trHeight w:val="170"/>
        </w:trPr>
        <w:tc>
          <w:tcPr>
            <w:tcW w:w="993" w:type="dxa"/>
            <w:vMerge/>
            <w:tcMar>
              <w:top w:w="15" w:type="dxa"/>
              <w:left w:w="15" w:type="dxa"/>
              <w:right w:w="15" w:type="dxa"/>
            </w:tcMar>
          </w:tcPr>
          <w:p w14:paraId="1A3BCA56" w14:textId="4DA56F71" w:rsidR="006011D4" w:rsidRPr="007F1283" w:rsidRDefault="006011D4" w:rsidP="003A61E0">
            <w:pPr>
              <w:spacing w:line="240" w:lineRule="auto"/>
              <w:ind w:left="0"/>
              <w:rPr>
                <w:sz w:val="16"/>
                <w:szCs w:val="16"/>
              </w:rPr>
            </w:pPr>
          </w:p>
        </w:tc>
        <w:tc>
          <w:tcPr>
            <w:tcW w:w="2543" w:type="dxa"/>
            <w:shd w:val="clear" w:color="auto" w:fill="EFF6F6"/>
            <w:tcMar>
              <w:top w:w="15" w:type="dxa"/>
              <w:left w:w="15" w:type="dxa"/>
              <w:right w:w="15" w:type="dxa"/>
            </w:tcMar>
          </w:tcPr>
          <w:p w14:paraId="02CE0B4E" w14:textId="77777777" w:rsidR="006011D4" w:rsidRPr="007F1283" w:rsidRDefault="006011D4" w:rsidP="00B62454">
            <w:pPr>
              <w:spacing w:before="20" w:after="20" w:line="240" w:lineRule="auto"/>
              <w:ind w:left="0"/>
              <w:rPr>
                <w:sz w:val="16"/>
                <w:szCs w:val="16"/>
              </w:rPr>
            </w:pPr>
            <w:r w:rsidRPr="007F1283">
              <w:rPr>
                <w:sz w:val="16"/>
                <w:szCs w:val="16"/>
              </w:rPr>
              <w:t>Circular economy</w:t>
            </w:r>
          </w:p>
        </w:tc>
        <w:tc>
          <w:tcPr>
            <w:tcW w:w="5479" w:type="dxa"/>
            <w:shd w:val="clear" w:color="auto" w:fill="EFF6F6"/>
            <w:tcMar>
              <w:top w:w="15" w:type="dxa"/>
              <w:left w:w="15" w:type="dxa"/>
              <w:right w:w="15" w:type="dxa"/>
            </w:tcMar>
          </w:tcPr>
          <w:p w14:paraId="35945C72" w14:textId="77777777" w:rsidR="006011D4" w:rsidRPr="007F1283" w:rsidRDefault="006011D4" w:rsidP="00B62454">
            <w:pPr>
              <w:spacing w:before="20" w:after="20" w:line="240" w:lineRule="auto"/>
              <w:ind w:left="0"/>
              <w:rPr>
                <w:sz w:val="16"/>
                <w:szCs w:val="16"/>
              </w:rPr>
            </w:pPr>
            <w:r w:rsidRPr="007F1283">
              <w:rPr>
                <w:sz w:val="16"/>
                <w:szCs w:val="16"/>
              </w:rPr>
              <w:t>Promoting the transition to a resource-efficient circular economy</w:t>
            </w:r>
          </w:p>
        </w:tc>
      </w:tr>
      <w:tr w:rsidR="006011D4" w:rsidRPr="007F1283" w14:paraId="543C26D8" w14:textId="77777777" w:rsidTr="08ABA0B0">
        <w:trPr>
          <w:trHeight w:val="217"/>
        </w:trPr>
        <w:tc>
          <w:tcPr>
            <w:tcW w:w="993" w:type="dxa"/>
            <w:vMerge/>
            <w:tcMar>
              <w:top w:w="15" w:type="dxa"/>
              <w:left w:w="15" w:type="dxa"/>
              <w:right w:w="15" w:type="dxa"/>
            </w:tcMar>
          </w:tcPr>
          <w:p w14:paraId="2018A07C" w14:textId="73D43533" w:rsidR="006011D4" w:rsidRPr="007F1283" w:rsidRDefault="006011D4" w:rsidP="003A61E0">
            <w:pPr>
              <w:spacing w:line="240" w:lineRule="auto"/>
              <w:ind w:left="0"/>
              <w:rPr>
                <w:sz w:val="16"/>
                <w:szCs w:val="16"/>
              </w:rPr>
            </w:pPr>
          </w:p>
        </w:tc>
        <w:tc>
          <w:tcPr>
            <w:tcW w:w="2543" w:type="dxa"/>
            <w:shd w:val="clear" w:color="auto" w:fill="EFF6F6"/>
            <w:tcMar>
              <w:top w:w="15" w:type="dxa"/>
              <w:left w:w="15" w:type="dxa"/>
              <w:right w:w="15" w:type="dxa"/>
            </w:tcMar>
          </w:tcPr>
          <w:p w14:paraId="6BD180B9" w14:textId="77777777" w:rsidR="006011D4" w:rsidRPr="007F1283" w:rsidRDefault="006011D4" w:rsidP="00B62454">
            <w:pPr>
              <w:spacing w:before="20" w:after="20" w:line="240" w:lineRule="auto"/>
              <w:ind w:left="0"/>
              <w:rPr>
                <w:sz w:val="16"/>
                <w:szCs w:val="16"/>
              </w:rPr>
            </w:pPr>
            <w:r w:rsidRPr="007F1283">
              <w:rPr>
                <w:sz w:val="16"/>
                <w:szCs w:val="16"/>
              </w:rPr>
              <w:t>Energy efficiency</w:t>
            </w:r>
          </w:p>
        </w:tc>
        <w:tc>
          <w:tcPr>
            <w:tcW w:w="5479" w:type="dxa"/>
            <w:shd w:val="clear" w:color="auto" w:fill="EFF6F6"/>
            <w:tcMar>
              <w:top w:w="15" w:type="dxa"/>
              <w:left w:w="15" w:type="dxa"/>
              <w:right w:w="15" w:type="dxa"/>
            </w:tcMar>
          </w:tcPr>
          <w:p w14:paraId="5F442494" w14:textId="77777777" w:rsidR="006011D4" w:rsidRPr="007F1283" w:rsidRDefault="006011D4" w:rsidP="00B62454">
            <w:pPr>
              <w:spacing w:before="20" w:after="20" w:line="240" w:lineRule="auto"/>
              <w:ind w:left="0"/>
              <w:rPr>
                <w:sz w:val="16"/>
                <w:szCs w:val="16"/>
              </w:rPr>
            </w:pPr>
            <w:r w:rsidRPr="007F1283">
              <w:rPr>
                <w:sz w:val="16"/>
                <w:szCs w:val="16"/>
              </w:rPr>
              <w:t>Promoting energy efficiency and reducing greenhouse gas emissions</w:t>
            </w:r>
          </w:p>
        </w:tc>
      </w:tr>
      <w:tr w:rsidR="006011D4" w:rsidRPr="007F1283" w14:paraId="3FA06697" w14:textId="77777777" w:rsidTr="08ABA0B0">
        <w:trPr>
          <w:trHeight w:val="338"/>
        </w:trPr>
        <w:tc>
          <w:tcPr>
            <w:tcW w:w="993" w:type="dxa"/>
            <w:vMerge/>
            <w:tcMar>
              <w:top w:w="15" w:type="dxa"/>
              <w:left w:w="15" w:type="dxa"/>
              <w:right w:w="15" w:type="dxa"/>
            </w:tcMar>
          </w:tcPr>
          <w:p w14:paraId="22AB0795" w14:textId="57D6DB22" w:rsidR="006011D4" w:rsidRPr="007F1283" w:rsidRDefault="006011D4" w:rsidP="003A61E0">
            <w:pPr>
              <w:spacing w:line="240" w:lineRule="auto"/>
              <w:ind w:left="0"/>
              <w:rPr>
                <w:sz w:val="16"/>
                <w:szCs w:val="16"/>
              </w:rPr>
            </w:pPr>
          </w:p>
        </w:tc>
        <w:tc>
          <w:tcPr>
            <w:tcW w:w="2543" w:type="dxa"/>
            <w:shd w:val="clear" w:color="auto" w:fill="EFF6F6"/>
            <w:tcMar>
              <w:top w:w="15" w:type="dxa"/>
              <w:left w:w="15" w:type="dxa"/>
              <w:right w:w="15" w:type="dxa"/>
            </w:tcMar>
          </w:tcPr>
          <w:p w14:paraId="164EB42D" w14:textId="77777777" w:rsidR="006011D4" w:rsidRPr="007F1283" w:rsidRDefault="006011D4" w:rsidP="00B62454">
            <w:pPr>
              <w:spacing w:before="20" w:after="20" w:line="240" w:lineRule="auto"/>
              <w:ind w:left="0"/>
              <w:rPr>
                <w:sz w:val="16"/>
                <w:szCs w:val="16"/>
              </w:rPr>
            </w:pPr>
            <w:r w:rsidRPr="007F1283">
              <w:rPr>
                <w:sz w:val="16"/>
                <w:szCs w:val="16"/>
              </w:rPr>
              <w:t>Nature and pollution</w:t>
            </w:r>
          </w:p>
        </w:tc>
        <w:tc>
          <w:tcPr>
            <w:tcW w:w="5479" w:type="dxa"/>
            <w:shd w:val="clear" w:color="auto" w:fill="EFF6F6"/>
            <w:tcMar>
              <w:top w:w="15" w:type="dxa"/>
              <w:left w:w="15" w:type="dxa"/>
              <w:right w:w="15" w:type="dxa"/>
            </w:tcMar>
          </w:tcPr>
          <w:p w14:paraId="6462DC0A" w14:textId="77777777" w:rsidR="006011D4" w:rsidRPr="007F1283" w:rsidRDefault="006011D4" w:rsidP="00B62454">
            <w:pPr>
              <w:spacing w:before="20" w:after="20" w:line="240" w:lineRule="auto"/>
              <w:ind w:left="0"/>
              <w:rPr>
                <w:sz w:val="16"/>
                <w:szCs w:val="16"/>
              </w:rPr>
            </w:pPr>
            <w:r w:rsidRPr="007F1283">
              <w:rPr>
                <w:sz w:val="16"/>
                <w:szCs w:val="16"/>
              </w:rPr>
              <w:t>Strengthening the protection and conservation of nature, biodiversity and green infrastructure, including in urban areas, and reducing all forms of pollution</w:t>
            </w:r>
          </w:p>
        </w:tc>
      </w:tr>
      <w:tr w:rsidR="006011D4" w:rsidRPr="007F1283" w14:paraId="43748E94" w14:textId="77777777" w:rsidTr="08ABA0B0">
        <w:trPr>
          <w:trHeight w:val="50"/>
        </w:trPr>
        <w:tc>
          <w:tcPr>
            <w:tcW w:w="993" w:type="dxa"/>
            <w:vMerge/>
            <w:tcMar>
              <w:top w:w="15" w:type="dxa"/>
              <w:left w:w="15" w:type="dxa"/>
              <w:right w:w="15" w:type="dxa"/>
            </w:tcMar>
          </w:tcPr>
          <w:p w14:paraId="078C8B78" w14:textId="7D4358B3" w:rsidR="006011D4" w:rsidRPr="007F1283" w:rsidRDefault="006011D4" w:rsidP="003A61E0">
            <w:pPr>
              <w:spacing w:line="240" w:lineRule="auto"/>
              <w:ind w:left="0"/>
              <w:rPr>
                <w:sz w:val="16"/>
                <w:szCs w:val="16"/>
              </w:rPr>
            </w:pPr>
          </w:p>
        </w:tc>
        <w:tc>
          <w:tcPr>
            <w:tcW w:w="2543" w:type="dxa"/>
            <w:shd w:val="clear" w:color="auto" w:fill="EFF6F6"/>
            <w:tcMar>
              <w:top w:w="15" w:type="dxa"/>
              <w:left w:w="15" w:type="dxa"/>
              <w:right w:w="15" w:type="dxa"/>
            </w:tcMar>
          </w:tcPr>
          <w:p w14:paraId="35CF418D" w14:textId="77777777" w:rsidR="006011D4" w:rsidRPr="007F1283" w:rsidRDefault="006011D4" w:rsidP="00B62454">
            <w:pPr>
              <w:spacing w:before="20" w:after="20" w:line="240" w:lineRule="auto"/>
              <w:ind w:left="0"/>
              <w:rPr>
                <w:sz w:val="16"/>
                <w:szCs w:val="16"/>
              </w:rPr>
            </w:pPr>
            <w:r w:rsidRPr="007F1283">
              <w:rPr>
                <w:sz w:val="16"/>
                <w:szCs w:val="16"/>
              </w:rPr>
              <w:t>Renewable energy sources</w:t>
            </w:r>
          </w:p>
        </w:tc>
        <w:tc>
          <w:tcPr>
            <w:tcW w:w="5479" w:type="dxa"/>
            <w:shd w:val="clear" w:color="auto" w:fill="EFF6F6"/>
            <w:tcMar>
              <w:top w:w="15" w:type="dxa"/>
              <w:left w:w="15" w:type="dxa"/>
              <w:right w:w="15" w:type="dxa"/>
            </w:tcMar>
          </w:tcPr>
          <w:p w14:paraId="6B129895" w14:textId="77777777" w:rsidR="006011D4" w:rsidRPr="007F1283" w:rsidRDefault="006011D4" w:rsidP="00B62454">
            <w:pPr>
              <w:spacing w:before="20" w:after="20" w:line="240" w:lineRule="auto"/>
              <w:ind w:left="0"/>
              <w:rPr>
                <w:sz w:val="16"/>
                <w:szCs w:val="16"/>
              </w:rPr>
            </w:pPr>
            <w:r w:rsidRPr="007F1283">
              <w:rPr>
                <w:sz w:val="16"/>
                <w:szCs w:val="16"/>
              </w:rPr>
              <w:t>Promote renewable energy in accordance with Directive (EU) 2018/2001, including the sustainability criteria set out in that Directive</w:t>
            </w:r>
          </w:p>
        </w:tc>
      </w:tr>
      <w:tr w:rsidR="006011D4" w:rsidRPr="007F1283" w14:paraId="0E36A05E" w14:textId="77777777" w:rsidTr="08ABA0B0">
        <w:trPr>
          <w:trHeight w:val="330"/>
        </w:trPr>
        <w:tc>
          <w:tcPr>
            <w:tcW w:w="993" w:type="dxa"/>
            <w:vMerge/>
            <w:tcMar>
              <w:top w:w="15" w:type="dxa"/>
              <w:left w:w="15" w:type="dxa"/>
              <w:right w:w="15" w:type="dxa"/>
            </w:tcMar>
          </w:tcPr>
          <w:p w14:paraId="698EA6BE" w14:textId="557E931C" w:rsidR="006011D4" w:rsidRPr="007F1283" w:rsidRDefault="006011D4" w:rsidP="003A61E0">
            <w:pPr>
              <w:spacing w:line="240" w:lineRule="auto"/>
              <w:ind w:left="0"/>
              <w:rPr>
                <w:sz w:val="16"/>
                <w:szCs w:val="16"/>
              </w:rPr>
            </w:pPr>
          </w:p>
        </w:tc>
        <w:tc>
          <w:tcPr>
            <w:tcW w:w="2543" w:type="dxa"/>
            <w:shd w:val="clear" w:color="auto" w:fill="EFF6F6"/>
            <w:tcMar>
              <w:top w:w="15" w:type="dxa"/>
              <w:left w:w="15" w:type="dxa"/>
              <w:right w:w="15" w:type="dxa"/>
            </w:tcMar>
          </w:tcPr>
          <w:p w14:paraId="209FC534" w14:textId="77777777" w:rsidR="006011D4" w:rsidRPr="007F1283" w:rsidRDefault="006011D4" w:rsidP="00B62454">
            <w:pPr>
              <w:spacing w:before="20" w:after="20" w:line="240" w:lineRule="auto"/>
              <w:ind w:left="0"/>
              <w:rPr>
                <w:sz w:val="16"/>
                <w:szCs w:val="16"/>
              </w:rPr>
            </w:pPr>
            <w:r w:rsidRPr="007F1283">
              <w:rPr>
                <w:sz w:val="16"/>
                <w:szCs w:val="16"/>
              </w:rPr>
              <w:t>Water supply and sewerage</w:t>
            </w:r>
          </w:p>
        </w:tc>
        <w:tc>
          <w:tcPr>
            <w:tcW w:w="5479" w:type="dxa"/>
            <w:shd w:val="clear" w:color="auto" w:fill="EFF6F6"/>
            <w:tcMar>
              <w:top w:w="15" w:type="dxa"/>
              <w:left w:w="15" w:type="dxa"/>
              <w:right w:w="15" w:type="dxa"/>
            </w:tcMar>
          </w:tcPr>
          <w:p w14:paraId="2C5D313C" w14:textId="77777777" w:rsidR="006011D4" w:rsidRPr="007F1283" w:rsidRDefault="006011D4" w:rsidP="00B62454">
            <w:pPr>
              <w:spacing w:before="20" w:after="20" w:line="240" w:lineRule="auto"/>
              <w:ind w:left="0"/>
              <w:rPr>
                <w:sz w:val="16"/>
                <w:szCs w:val="16"/>
              </w:rPr>
            </w:pPr>
            <w:r w:rsidRPr="007F1283">
              <w:rPr>
                <w:sz w:val="16"/>
                <w:szCs w:val="16"/>
              </w:rPr>
              <w:t>Promoting access to water and sustainable water management</w:t>
            </w:r>
          </w:p>
        </w:tc>
      </w:tr>
    </w:tbl>
    <w:p w14:paraId="263F055C" w14:textId="77777777" w:rsidR="00997678" w:rsidRPr="007F1283" w:rsidRDefault="00997678"/>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93"/>
        <w:gridCol w:w="2543"/>
        <w:gridCol w:w="5479"/>
      </w:tblGrid>
      <w:tr w:rsidR="002E789F" w:rsidRPr="007F1283" w14:paraId="48B407EA" w14:textId="77777777" w:rsidTr="00631C9D">
        <w:trPr>
          <w:trHeight w:val="315"/>
        </w:trPr>
        <w:tc>
          <w:tcPr>
            <w:tcW w:w="993" w:type="dxa"/>
            <w:shd w:val="clear" w:color="auto" w:fill="004242"/>
            <w:tcMar>
              <w:top w:w="15" w:type="dxa"/>
              <w:left w:w="15" w:type="dxa"/>
              <w:right w:w="15" w:type="dxa"/>
            </w:tcMar>
            <w:vAlign w:val="center"/>
          </w:tcPr>
          <w:p w14:paraId="4C42AD6D" w14:textId="239673B7" w:rsidR="002E789F" w:rsidRPr="007F1283" w:rsidRDefault="00806FE5" w:rsidP="00631C9D">
            <w:pPr>
              <w:spacing w:line="240" w:lineRule="auto"/>
              <w:ind w:left="0"/>
              <w:rPr>
                <w:color w:val="FFFFFF" w:themeColor="background1"/>
                <w:sz w:val="16"/>
                <w:szCs w:val="16"/>
              </w:rPr>
            </w:pPr>
            <w:r w:rsidRPr="007F1283">
              <w:rPr>
                <w:b/>
                <w:bCs/>
                <w:color w:val="FFFFFF" w:themeColor="background1"/>
                <w:sz w:val="16"/>
                <w:szCs w:val="16"/>
              </w:rPr>
              <w:t xml:space="preserve"> </w:t>
            </w:r>
            <w:r w:rsidR="002E789F" w:rsidRPr="007F1283">
              <w:rPr>
                <w:b/>
                <w:bCs/>
                <w:color w:val="FFFFFF" w:themeColor="background1"/>
                <w:sz w:val="16"/>
                <w:szCs w:val="16"/>
              </w:rPr>
              <w:t>Fund</w:t>
            </w:r>
          </w:p>
        </w:tc>
        <w:tc>
          <w:tcPr>
            <w:tcW w:w="2543" w:type="dxa"/>
            <w:shd w:val="clear" w:color="auto" w:fill="004242"/>
            <w:tcMar>
              <w:top w:w="15" w:type="dxa"/>
              <w:left w:w="15" w:type="dxa"/>
              <w:right w:w="15" w:type="dxa"/>
            </w:tcMar>
            <w:vAlign w:val="center"/>
          </w:tcPr>
          <w:p w14:paraId="3503F9FA" w14:textId="77777777" w:rsidR="002E789F" w:rsidRPr="007F1283" w:rsidRDefault="002E789F" w:rsidP="00631C9D">
            <w:pPr>
              <w:spacing w:line="240" w:lineRule="auto"/>
              <w:ind w:left="0"/>
              <w:rPr>
                <w:color w:val="FFFFFF" w:themeColor="background1"/>
                <w:sz w:val="16"/>
                <w:szCs w:val="16"/>
              </w:rPr>
            </w:pPr>
            <w:r w:rsidRPr="007F1283">
              <w:rPr>
                <w:b/>
                <w:bCs/>
                <w:color w:val="FFFFFF" w:themeColor="background1"/>
                <w:sz w:val="16"/>
                <w:szCs w:val="16"/>
              </w:rPr>
              <w:t xml:space="preserve"> Priorities</w:t>
            </w:r>
          </w:p>
        </w:tc>
        <w:tc>
          <w:tcPr>
            <w:tcW w:w="5479" w:type="dxa"/>
            <w:shd w:val="clear" w:color="auto" w:fill="004242"/>
            <w:tcMar>
              <w:top w:w="15" w:type="dxa"/>
              <w:left w:w="15" w:type="dxa"/>
              <w:right w:w="15" w:type="dxa"/>
            </w:tcMar>
            <w:vAlign w:val="center"/>
          </w:tcPr>
          <w:p w14:paraId="7499BB51" w14:textId="77777777" w:rsidR="002E789F" w:rsidRPr="007F1283" w:rsidRDefault="002E789F" w:rsidP="00631C9D">
            <w:pPr>
              <w:spacing w:line="240" w:lineRule="auto"/>
              <w:ind w:left="0"/>
              <w:rPr>
                <w:color w:val="FFFFFF" w:themeColor="background1"/>
                <w:sz w:val="16"/>
                <w:szCs w:val="16"/>
              </w:rPr>
            </w:pPr>
            <w:r w:rsidRPr="007F1283">
              <w:rPr>
                <w:b/>
                <w:bCs/>
                <w:color w:val="FFFFFF" w:themeColor="background1"/>
                <w:sz w:val="16"/>
                <w:szCs w:val="16"/>
              </w:rPr>
              <w:t xml:space="preserve"> Specific objective </w:t>
            </w:r>
          </w:p>
        </w:tc>
      </w:tr>
      <w:tr w:rsidR="00205D7D" w:rsidRPr="007F1283" w14:paraId="6B3E58BD" w14:textId="77777777" w:rsidTr="00997678">
        <w:trPr>
          <w:trHeight w:val="3840"/>
        </w:trPr>
        <w:tc>
          <w:tcPr>
            <w:tcW w:w="993" w:type="dxa"/>
            <w:vMerge w:val="restart"/>
            <w:shd w:val="clear" w:color="auto" w:fill="EFF6F6"/>
            <w:tcMar>
              <w:top w:w="15" w:type="dxa"/>
              <w:left w:w="15" w:type="dxa"/>
              <w:right w:w="15" w:type="dxa"/>
            </w:tcMar>
            <w:vAlign w:val="center"/>
          </w:tcPr>
          <w:p w14:paraId="60B2FA42" w14:textId="60CCDBD7" w:rsidR="00205D7D" w:rsidRPr="007F1283" w:rsidRDefault="00FA72F0" w:rsidP="007D47CB">
            <w:pPr>
              <w:spacing w:line="240" w:lineRule="auto"/>
              <w:ind w:left="0"/>
              <w:rPr>
                <w:b/>
                <w:bCs/>
                <w:sz w:val="16"/>
                <w:szCs w:val="16"/>
              </w:rPr>
            </w:pPr>
            <w:r w:rsidRPr="007F1283">
              <w:rPr>
                <w:b/>
                <w:bCs/>
                <w:sz w:val="16"/>
                <w:szCs w:val="16"/>
              </w:rPr>
              <w:t xml:space="preserve"> </w:t>
            </w:r>
            <w:r w:rsidR="00205D7D" w:rsidRPr="007F1283">
              <w:rPr>
                <w:b/>
                <w:bCs/>
                <w:sz w:val="16"/>
                <w:szCs w:val="16"/>
              </w:rPr>
              <w:t>OP JAK</w:t>
            </w:r>
          </w:p>
        </w:tc>
        <w:tc>
          <w:tcPr>
            <w:tcW w:w="2543" w:type="dxa"/>
            <w:shd w:val="clear" w:color="auto" w:fill="EFF6F6"/>
            <w:tcMar>
              <w:top w:w="15" w:type="dxa"/>
              <w:left w:w="15" w:type="dxa"/>
              <w:right w:w="15" w:type="dxa"/>
            </w:tcMar>
          </w:tcPr>
          <w:p w14:paraId="4D379416" w14:textId="77777777" w:rsidR="00205D7D" w:rsidRPr="007F1283" w:rsidRDefault="00205D7D" w:rsidP="00B62454">
            <w:pPr>
              <w:spacing w:before="20" w:after="20" w:line="240" w:lineRule="auto"/>
              <w:ind w:left="0"/>
              <w:rPr>
                <w:sz w:val="16"/>
                <w:szCs w:val="16"/>
              </w:rPr>
            </w:pPr>
            <w:r w:rsidRPr="007F1283">
              <w:rPr>
                <w:sz w:val="16"/>
                <w:szCs w:val="16"/>
              </w:rPr>
              <w:t>Education</w:t>
            </w:r>
          </w:p>
        </w:tc>
        <w:tc>
          <w:tcPr>
            <w:tcW w:w="5479" w:type="dxa"/>
            <w:shd w:val="clear" w:color="auto" w:fill="EFF6F6"/>
            <w:tcMar>
              <w:top w:w="15" w:type="dxa"/>
              <w:left w:w="15" w:type="dxa"/>
              <w:right w:w="15" w:type="dxa"/>
            </w:tcMar>
          </w:tcPr>
          <w:p w14:paraId="0FB0CD92" w14:textId="27AD305F" w:rsidR="00D012FD" w:rsidRPr="007F1283" w:rsidRDefault="00205D7D" w:rsidP="00ED53BC">
            <w:pPr>
              <w:spacing w:before="20" w:after="20" w:line="240" w:lineRule="auto"/>
              <w:ind w:left="0"/>
              <w:rPr>
                <w:sz w:val="16"/>
                <w:szCs w:val="16"/>
              </w:rPr>
            </w:pPr>
            <w:r w:rsidRPr="007F1283">
              <w:rPr>
                <w:sz w:val="16"/>
                <w:szCs w:val="16"/>
              </w:rPr>
              <w:t>Improving the quality, inclusiveness, effectiveness and labour market relevance of education and training systems including through validation of non-formal and informal learning, to support acquisition of key competences including entrepreneurial and digital skills, and by promoting the introduction of dual-training</w:t>
            </w:r>
            <w:r w:rsidR="00D012FD" w:rsidRPr="007F1283">
              <w:rPr>
                <w:sz w:val="16"/>
                <w:szCs w:val="16"/>
              </w:rPr>
              <w:br/>
            </w:r>
            <w:r w:rsidRPr="007F1283">
              <w:rPr>
                <w:sz w:val="16"/>
                <w:szCs w:val="16"/>
              </w:rPr>
              <w:br/>
              <w:t xml:space="preserve">Promoting equal access to and completion of quality and inclusive education and training, in particular for disadvantaged groups, from early childhood education and care through general and vocational education and training, to tertiary level, as well as adult education and learning, including facilitating learning mobility for all and accessibility for persons with disabilities. </w:t>
            </w:r>
            <w:r w:rsidRPr="007F1283">
              <w:rPr>
                <w:sz w:val="16"/>
                <w:szCs w:val="16"/>
              </w:rPr>
              <w:br/>
            </w:r>
          </w:p>
          <w:p w14:paraId="42E5B196" w14:textId="77777777" w:rsidR="00D012FD" w:rsidRPr="007F1283" w:rsidRDefault="00D012FD" w:rsidP="00ED53BC">
            <w:pPr>
              <w:spacing w:before="20" w:after="20" w:line="240" w:lineRule="auto"/>
              <w:ind w:left="0"/>
              <w:rPr>
                <w:sz w:val="16"/>
                <w:szCs w:val="16"/>
              </w:rPr>
            </w:pPr>
            <w:r w:rsidRPr="007F1283">
              <w:rPr>
                <w:sz w:val="16"/>
                <w:szCs w:val="16"/>
              </w:rPr>
              <w:t>Promote lifelong learning, in particular flexible upskilling and retraining opportunities for all with regard to business and digital skills, better anticipate changes and new skill requirements based on labor market needs, facilitate transitions between jobs and support professional mobility</w:t>
            </w:r>
          </w:p>
          <w:p w14:paraId="6838EF39" w14:textId="396A6D08" w:rsidR="00205D7D" w:rsidRPr="007F1283" w:rsidRDefault="00205D7D" w:rsidP="00ED53BC">
            <w:pPr>
              <w:spacing w:before="20" w:after="20" w:line="240" w:lineRule="auto"/>
              <w:ind w:left="0"/>
              <w:rPr>
                <w:sz w:val="16"/>
                <w:szCs w:val="16"/>
              </w:rPr>
            </w:pPr>
            <w:r w:rsidRPr="007F1283">
              <w:rPr>
                <w:sz w:val="16"/>
                <w:szCs w:val="16"/>
              </w:rPr>
              <w:br/>
              <w:t xml:space="preserve">Promoting socio-economic integration of marginalised communities such as </w:t>
            </w:r>
            <w:r w:rsidR="005F0AA4" w:rsidRPr="007F1283">
              <w:rPr>
                <w:sz w:val="16"/>
                <w:szCs w:val="16"/>
              </w:rPr>
              <w:t>R</w:t>
            </w:r>
            <w:r w:rsidRPr="007F1283">
              <w:rPr>
                <w:sz w:val="16"/>
                <w:szCs w:val="16"/>
              </w:rPr>
              <w:t xml:space="preserve">oma people </w:t>
            </w:r>
            <w:r w:rsidRPr="007F1283">
              <w:rPr>
                <w:sz w:val="16"/>
                <w:szCs w:val="16"/>
              </w:rPr>
              <w:br/>
              <w:t>Improving equal access to inclusive and quality services in education, training</w:t>
            </w:r>
            <w:r w:rsidR="1C581932" w:rsidRPr="007F1283">
              <w:rPr>
                <w:sz w:val="16"/>
                <w:szCs w:val="16"/>
              </w:rPr>
              <w:t>,</w:t>
            </w:r>
            <w:r w:rsidRPr="007F1283">
              <w:rPr>
                <w:sz w:val="16"/>
                <w:szCs w:val="16"/>
              </w:rPr>
              <w:t xml:space="preserve"> and lifelong learning through developing accessible infrastructure, including by fostering resilience for distance and on-line education and training </w:t>
            </w:r>
          </w:p>
        </w:tc>
      </w:tr>
      <w:tr w:rsidR="00205D7D" w:rsidRPr="007F1283" w14:paraId="74941659" w14:textId="77777777" w:rsidTr="6B22321E">
        <w:trPr>
          <w:trHeight w:val="50"/>
        </w:trPr>
        <w:tc>
          <w:tcPr>
            <w:tcW w:w="993" w:type="dxa"/>
            <w:vMerge/>
            <w:tcMar>
              <w:top w:w="15" w:type="dxa"/>
              <w:left w:w="15" w:type="dxa"/>
              <w:right w:w="15" w:type="dxa"/>
            </w:tcMar>
          </w:tcPr>
          <w:p w14:paraId="51DF2E3D" w14:textId="1304F2E3" w:rsidR="00205D7D" w:rsidRPr="007F1283" w:rsidRDefault="00205D7D" w:rsidP="003A61E0">
            <w:pPr>
              <w:spacing w:line="240" w:lineRule="auto"/>
              <w:ind w:left="0"/>
              <w:rPr>
                <w:sz w:val="16"/>
                <w:szCs w:val="16"/>
              </w:rPr>
            </w:pPr>
          </w:p>
        </w:tc>
        <w:tc>
          <w:tcPr>
            <w:tcW w:w="2543" w:type="dxa"/>
            <w:shd w:val="clear" w:color="auto" w:fill="EFF6F6"/>
            <w:tcMar>
              <w:top w:w="15" w:type="dxa"/>
              <w:left w:w="15" w:type="dxa"/>
              <w:right w:w="15" w:type="dxa"/>
            </w:tcMar>
          </w:tcPr>
          <w:p w14:paraId="79FDC36E" w14:textId="77777777" w:rsidR="00205D7D" w:rsidRPr="007F1283" w:rsidRDefault="00205D7D" w:rsidP="00B62454">
            <w:pPr>
              <w:spacing w:before="20" w:after="20" w:line="240" w:lineRule="auto"/>
              <w:ind w:left="0"/>
              <w:rPr>
                <w:sz w:val="16"/>
                <w:szCs w:val="16"/>
              </w:rPr>
            </w:pPr>
            <w:r w:rsidRPr="007F1283">
              <w:rPr>
                <w:sz w:val="16"/>
                <w:szCs w:val="16"/>
              </w:rPr>
              <w:t>ESF+ technical assistance</w:t>
            </w:r>
          </w:p>
        </w:tc>
        <w:tc>
          <w:tcPr>
            <w:tcW w:w="5479" w:type="dxa"/>
            <w:shd w:val="clear" w:color="auto" w:fill="EFF6F6"/>
            <w:tcMar>
              <w:top w:w="15" w:type="dxa"/>
              <w:left w:w="15" w:type="dxa"/>
              <w:right w:w="15" w:type="dxa"/>
            </w:tcMar>
          </w:tcPr>
          <w:p w14:paraId="173F5B09" w14:textId="77777777" w:rsidR="00205D7D" w:rsidRPr="007F1283" w:rsidRDefault="00205D7D" w:rsidP="00B62454">
            <w:pPr>
              <w:spacing w:before="20" w:after="20" w:line="240" w:lineRule="auto"/>
              <w:ind w:left="0"/>
              <w:rPr>
                <w:sz w:val="16"/>
                <w:szCs w:val="16"/>
              </w:rPr>
            </w:pPr>
            <w:r w:rsidRPr="007F1283">
              <w:rPr>
                <w:sz w:val="16"/>
                <w:szCs w:val="16"/>
              </w:rPr>
              <w:t xml:space="preserve">Ensuring quality management and implementation of the programme </w:t>
            </w:r>
          </w:p>
        </w:tc>
      </w:tr>
      <w:tr w:rsidR="00205D7D" w:rsidRPr="007F1283" w14:paraId="231BEFB8" w14:textId="77777777" w:rsidTr="6B22321E">
        <w:trPr>
          <w:trHeight w:val="330"/>
        </w:trPr>
        <w:tc>
          <w:tcPr>
            <w:tcW w:w="993" w:type="dxa"/>
            <w:vMerge/>
            <w:tcMar>
              <w:top w:w="15" w:type="dxa"/>
              <w:left w:w="15" w:type="dxa"/>
              <w:right w:w="15" w:type="dxa"/>
            </w:tcMar>
          </w:tcPr>
          <w:p w14:paraId="702A495E" w14:textId="1BEB045A" w:rsidR="00205D7D" w:rsidRPr="007F1283" w:rsidRDefault="00205D7D" w:rsidP="003A61E0">
            <w:pPr>
              <w:spacing w:line="240" w:lineRule="auto"/>
              <w:ind w:left="0"/>
              <w:rPr>
                <w:sz w:val="16"/>
                <w:szCs w:val="16"/>
              </w:rPr>
            </w:pPr>
          </w:p>
        </w:tc>
        <w:tc>
          <w:tcPr>
            <w:tcW w:w="2543" w:type="dxa"/>
            <w:shd w:val="clear" w:color="auto" w:fill="EFF6F6"/>
            <w:tcMar>
              <w:top w:w="15" w:type="dxa"/>
              <w:left w:w="15" w:type="dxa"/>
              <w:right w:w="15" w:type="dxa"/>
            </w:tcMar>
          </w:tcPr>
          <w:p w14:paraId="214D90DD" w14:textId="77777777" w:rsidR="00205D7D" w:rsidRPr="007F1283" w:rsidRDefault="00205D7D" w:rsidP="00B62454">
            <w:pPr>
              <w:spacing w:before="20" w:after="20" w:line="240" w:lineRule="auto"/>
              <w:ind w:left="0"/>
              <w:rPr>
                <w:sz w:val="16"/>
                <w:szCs w:val="16"/>
              </w:rPr>
            </w:pPr>
            <w:r w:rsidRPr="007F1283">
              <w:rPr>
                <w:sz w:val="16"/>
                <w:szCs w:val="16"/>
              </w:rPr>
              <w:t>Research and development</w:t>
            </w:r>
          </w:p>
        </w:tc>
        <w:tc>
          <w:tcPr>
            <w:tcW w:w="5479" w:type="dxa"/>
            <w:shd w:val="clear" w:color="auto" w:fill="EFF6F6"/>
            <w:tcMar>
              <w:top w:w="15" w:type="dxa"/>
              <w:left w:w="15" w:type="dxa"/>
              <w:right w:w="15" w:type="dxa"/>
            </w:tcMar>
          </w:tcPr>
          <w:p w14:paraId="37BB2F8C" w14:textId="77777777" w:rsidR="00205D7D" w:rsidRPr="007F1283" w:rsidRDefault="00205D7D" w:rsidP="00B62454">
            <w:pPr>
              <w:spacing w:before="20" w:after="20" w:line="240" w:lineRule="auto"/>
              <w:ind w:left="0"/>
              <w:rPr>
                <w:sz w:val="16"/>
                <w:szCs w:val="16"/>
              </w:rPr>
            </w:pPr>
            <w:r w:rsidRPr="007F1283">
              <w:rPr>
                <w:sz w:val="16"/>
                <w:szCs w:val="16"/>
              </w:rPr>
              <w:t>Developing and enhancing research and innovation capacities and deploying</w:t>
            </w:r>
          </w:p>
        </w:tc>
      </w:tr>
      <w:tr w:rsidR="00205D7D" w:rsidRPr="007F1283" w14:paraId="616F9851" w14:textId="77777777" w:rsidTr="6B22321E">
        <w:trPr>
          <w:trHeight w:val="330"/>
        </w:trPr>
        <w:tc>
          <w:tcPr>
            <w:tcW w:w="993" w:type="dxa"/>
            <w:vMerge/>
            <w:tcMar>
              <w:top w:w="15" w:type="dxa"/>
              <w:left w:w="15" w:type="dxa"/>
              <w:right w:w="15" w:type="dxa"/>
            </w:tcMar>
          </w:tcPr>
          <w:p w14:paraId="01C821DE" w14:textId="2D31FBE0" w:rsidR="00205D7D" w:rsidRPr="007F1283" w:rsidRDefault="00205D7D" w:rsidP="003A61E0">
            <w:pPr>
              <w:spacing w:line="240" w:lineRule="auto"/>
              <w:ind w:left="0"/>
              <w:rPr>
                <w:sz w:val="16"/>
                <w:szCs w:val="16"/>
              </w:rPr>
            </w:pPr>
          </w:p>
        </w:tc>
        <w:tc>
          <w:tcPr>
            <w:tcW w:w="2543" w:type="dxa"/>
            <w:shd w:val="clear" w:color="auto" w:fill="EFF6F6"/>
            <w:tcMar>
              <w:top w:w="15" w:type="dxa"/>
              <w:left w:w="15" w:type="dxa"/>
              <w:right w:w="15" w:type="dxa"/>
            </w:tcMar>
          </w:tcPr>
          <w:p w14:paraId="75C7E1B7" w14:textId="77777777" w:rsidR="00205D7D" w:rsidRPr="007F1283" w:rsidRDefault="00205D7D" w:rsidP="00B62454">
            <w:pPr>
              <w:spacing w:before="20" w:after="20" w:line="240" w:lineRule="auto"/>
              <w:ind w:left="0"/>
              <w:rPr>
                <w:sz w:val="16"/>
                <w:szCs w:val="16"/>
              </w:rPr>
            </w:pPr>
            <w:r w:rsidRPr="007F1283">
              <w:rPr>
                <w:sz w:val="16"/>
                <w:szCs w:val="16"/>
              </w:rPr>
              <w:t>Research and development</w:t>
            </w:r>
          </w:p>
        </w:tc>
        <w:tc>
          <w:tcPr>
            <w:tcW w:w="5479" w:type="dxa"/>
            <w:shd w:val="clear" w:color="auto" w:fill="EFF6F6"/>
            <w:tcMar>
              <w:top w:w="15" w:type="dxa"/>
              <w:left w:w="15" w:type="dxa"/>
              <w:right w:w="15" w:type="dxa"/>
            </w:tcMar>
          </w:tcPr>
          <w:p w14:paraId="102B1FCC" w14:textId="118A8DCA" w:rsidR="00205D7D" w:rsidRPr="007F1283" w:rsidRDefault="00205D7D" w:rsidP="00B62454">
            <w:pPr>
              <w:spacing w:before="20" w:after="20" w:line="240" w:lineRule="auto"/>
              <w:ind w:left="0"/>
              <w:rPr>
                <w:sz w:val="16"/>
                <w:szCs w:val="16"/>
              </w:rPr>
            </w:pPr>
            <w:r w:rsidRPr="007F1283">
              <w:rPr>
                <w:sz w:val="16"/>
                <w:szCs w:val="16"/>
              </w:rPr>
              <w:t>Developing skills for smart specialization, industrial transition</w:t>
            </w:r>
            <w:r w:rsidR="73B8D5F0" w:rsidRPr="007F1283">
              <w:rPr>
                <w:sz w:val="16"/>
                <w:szCs w:val="16"/>
              </w:rPr>
              <w:t>,</w:t>
            </w:r>
            <w:r w:rsidRPr="007F1283">
              <w:rPr>
                <w:sz w:val="16"/>
                <w:szCs w:val="16"/>
              </w:rPr>
              <w:t xml:space="preserve"> and entrepreneurship</w:t>
            </w:r>
          </w:p>
        </w:tc>
      </w:tr>
      <w:tr w:rsidR="00205D7D" w:rsidRPr="007F1283" w14:paraId="6A07D6CC" w14:textId="77777777" w:rsidTr="6B22321E">
        <w:trPr>
          <w:trHeight w:val="50"/>
        </w:trPr>
        <w:tc>
          <w:tcPr>
            <w:tcW w:w="993" w:type="dxa"/>
            <w:vMerge/>
            <w:tcMar>
              <w:top w:w="15" w:type="dxa"/>
              <w:left w:w="15" w:type="dxa"/>
              <w:right w:w="15" w:type="dxa"/>
            </w:tcMar>
          </w:tcPr>
          <w:p w14:paraId="11335902" w14:textId="3465E13F" w:rsidR="00205D7D" w:rsidRPr="007F1283" w:rsidRDefault="00205D7D" w:rsidP="003A61E0">
            <w:pPr>
              <w:spacing w:line="240" w:lineRule="auto"/>
              <w:ind w:left="0"/>
              <w:rPr>
                <w:sz w:val="16"/>
                <w:szCs w:val="16"/>
              </w:rPr>
            </w:pPr>
          </w:p>
        </w:tc>
        <w:tc>
          <w:tcPr>
            <w:tcW w:w="2543" w:type="dxa"/>
            <w:shd w:val="clear" w:color="auto" w:fill="EFF6F6"/>
            <w:tcMar>
              <w:top w:w="15" w:type="dxa"/>
              <w:left w:w="15" w:type="dxa"/>
              <w:right w:w="15" w:type="dxa"/>
            </w:tcMar>
          </w:tcPr>
          <w:p w14:paraId="79EA65AF" w14:textId="77777777" w:rsidR="00205D7D" w:rsidRPr="007F1283" w:rsidRDefault="00205D7D" w:rsidP="00B62454">
            <w:pPr>
              <w:spacing w:before="20" w:after="20" w:line="240" w:lineRule="auto"/>
              <w:ind w:left="0"/>
              <w:rPr>
                <w:sz w:val="16"/>
                <w:szCs w:val="16"/>
              </w:rPr>
            </w:pPr>
            <w:r w:rsidRPr="007F1283">
              <w:rPr>
                <w:sz w:val="16"/>
                <w:szCs w:val="16"/>
              </w:rPr>
              <w:t>Technical assistance ERDF</w:t>
            </w:r>
          </w:p>
        </w:tc>
        <w:tc>
          <w:tcPr>
            <w:tcW w:w="5479" w:type="dxa"/>
            <w:shd w:val="clear" w:color="auto" w:fill="EFF6F6"/>
            <w:tcMar>
              <w:top w:w="15" w:type="dxa"/>
              <w:left w:w="15" w:type="dxa"/>
              <w:right w:w="15" w:type="dxa"/>
            </w:tcMar>
          </w:tcPr>
          <w:p w14:paraId="304BE11D" w14:textId="77777777" w:rsidR="00205D7D" w:rsidRPr="007F1283" w:rsidRDefault="00205D7D" w:rsidP="00B62454">
            <w:pPr>
              <w:spacing w:before="20" w:after="20" w:line="240" w:lineRule="auto"/>
              <w:ind w:left="0"/>
              <w:rPr>
                <w:sz w:val="16"/>
                <w:szCs w:val="16"/>
              </w:rPr>
            </w:pPr>
            <w:r w:rsidRPr="007F1283">
              <w:rPr>
                <w:sz w:val="16"/>
                <w:szCs w:val="16"/>
              </w:rPr>
              <w:t xml:space="preserve">Ensuring quality management and implementation of the programme </w:t>
            </w:r>
          </w:p>
        </w:tc>
      </w:tr>
      <w:tr w:rsidR="00997678" w:rsidRPr="007F1283" w14:paraId="000A6B0C" w14:textId="77777777" w:rsidTr="00824D91">
        <w:trPr>
          <w:trHeight w:val="330"/>
        </w:trPr>
        <w:tc>
          <w:tcPr>
            <w:tcW w:w="993" w:type="dxa"/>
            <w:vMerge w:val="restart"/>
            <w:shd w:val="clear" w:color="auto" w:fill="B1CFCD"/>
            <w:tcMar>
              <w:top w:w="15" w:type="dxa"/>
              <w:left w:w="15" w:type="dxa"/>
              <w:right w:w="15" w:type="dxa"/>
            </w:tcMar>
            <w:vAlign w:val="center"/>
          </w:tcPr>
          <w:p w14:paraId="15046BFB" w14:textId="671944DD" w:rsidR="00FA72F0" w:rsidRPr="007F1283" w:rsidRDefault="00FA72F0" w:rsidP="00997678">
            <w:pPr>
              <w:spacing w:line="240" w:lineRule="auto"/>
              <w:ind w:left="0"/>
              <w:rPr>
                <w:b/>
                <w:bCs/>
                <w:sz w:val="16"/>
                <w:szCs w:val="16"/>
              </w:rPr>
            </w:pPr>
            <w:r w:rsidRPr="007F1283">
              <w:rPr>
                <w:b/>
                <w:bCs/>
                <w:sz w:val="16"/>
                <w:szCs w:val="16"/>
              </w:rPr>
              <w:t xml:space="preserve"> </w:t>
            </w:r>
            <w:r w:rsidR="00997678" w:rsidRPr="007F1283">
              <w:rPr>
                <w:b/>
                <w:bCs/>
                <w:sz w:val="16"/>
                <w:szCs w:val="16"/>
              </w:rPr>
              <w:t>OP Just</w:t>
            </w:r>
          </w:p>
          <w:p w14:paraId="49C831F7" w14:textId="671944DD" w:rsidR="00997678" w:rsidRPr="007F1283" w:rsidRDefault="00FA72F0" w:rsidP="00997678">
            <w:pPr>
              <w:spacing w:line="240" w:lineRule="auto"/>
              <w:ind w:left="0"/>
              <w:rPr>
                <w:b/>
                <w:bCs/>
                <w:sz w:val="16"/>
                <w:szCs w:val="16"/>
              </w:rPr>
            </w:pPr>
            <w:r w:rsidRPr="007F1283">
              <w:rPr>
                <w:b/>
                <w:bCs/>
                <w:sz w:val="16"/>
                <w:szCs w:val="16"/>
              </w:rPr>
              <w:t xml:space="preserve"> </w:t>
            </w:r>
            <w:r w:rsidR="00997678" w:rsidRPr="007F1283">
              <w:rPr>
                <w:b/>
                <w:bCs/>
                <w:sz w:val="16"/>
                <w:szCs w:val="16"/>
              </w:rPr>
              <w:t>Transition</w:t>
            </w:r>
          </w:p>
        </w:tc>
        <w:tc>
          <w:tcPr>
            <w:tcW w:w="2543" w:type="dxa"/>
            <w:shd w:val="clear" w:color="auto" w:fill="B1CFCD"/>
            <w:tcMar>
              <w:top w:w="15" w:type="dxa"/>
              <w:left w:w="15" w:type="dxa"/>
              <w:right w:w="15" w:type="dxa"/>
            </w:tcMar>
          </w:tcPr>
          <w:p w14:paraId="2031B31D" w14:textId="77777777" w:rsidR="00997678" w:rsidRPr="007F1283" w:rsidRDefault="00997678" w:rsidP="00B62454">
            <w:pPr>
              <w:spacing w:before="20" w:after="20" w:line="240" w:lineRule="auto"/>
              <w:ind w:left="0"/>
              <w:rPr>
                <w:sz w:val="16"/>
                <w:szCs w:val="16"/>
              </w:rPr>
            </w:pPr>
            <w:r w:rsidRPr="007F1283">
              <w:rPr>
                <w:sz w:val="16"/>
                <w:szCs w:val="16"/>
              </w:rPr>
              <w:t>Circular economy</w:t>
            </w:r>
          </w:p>
        </w:tc>
        <w:tc>
          <w:tcPr>
            <w:tcW w:w="5479" w:type="dxa"/>
            <w:shd w:val="clear" w:color="auto" w:fill="B1CFCD"/>
            <w:tcMar>
              <w:top w:w="15" w:type="dxa"/>
              <w:left w:w="15" w:type="dxa"/>
              <w:right w:w="15" w:type="dxa"/>
            </w:tcMar>
          </w:tcPr>
          <w:p w14:paraId="2DB125F8" w14:textId="77777777" w:rsidR="00997678" w:rsidRPr="007F1283" w:rsidRDefault="00997678" w:rsidP="00B62454">
            <w:pPr>
              <w:spacing w:before="20" w:after="20" w:line="240" w:lineRule="auto"/>
              <w:ind w:left="0"/>
              <w:rPr>
                <w:sz w:val="16"/>
                <w:szCs w:val="16"/>
              </w:rPr>
            </w:pPr>
            <w:r w:rsidRPr="007F1283">
              <w:rPr>
                <w:sz w:val="16"/>
                <w:szCs w:val="16"/>
              </w:rPr>
              <w:t>Strengthening the circular economy (waste prevention, waste reduction, resource efficiency)</w:t>
            </w:r>
          </w:p>
        </w:tc>
      </w:tr>
      <w:tr w:rsidR="00997678" w:rsidRPr="007F1283" w14:paraId="72660A92" w14:textId="77777777" w:rsidTr="6B22321E">
        <w:trPr>
          <w:trHeight w:val="330"/>
        </w:trPr>
        <w:tc>
          <w:tcPr>
            <w:tcW w:w="993" w:type="dxa"/>
            <w:vMerge/>
            <w:tcMar>
              <w:top w:w="15" w:type="dxa"/>
              <w:left w:w="15" w:type="dxa"/>
              <w:right w:w="15" w:type="dxa"/>
            </w:tcMar>
          </w:tcPr>
          <w:p w14:paraId="2AB95792" w14:textId="457B5792" w:rsidR="00997678" w:rsidRPr="007F1283" w:rsidRDefault="00997678" w:rsidP="003A61E0">
            <w:pPr>
              <w:spacing w:line="240" w:lineRule="auto"/>
              <w:ind w:left="0"/>
              <w:rPr>
                <w:sz w:val="16"/>
                <w:szCs w:val="16"/>
              </w:rPr>
            </w:pPr>
          </w:p>
        </w:tc>
        <w:tc>
          <w:tcPr>
            <w:tcW w:w="2543" w:type="dxa"/>
            <w:shd w:val="clear" w:color="auto" w:fill="B1CFCD"/>
            <w:tcMar>
              <w:top w:w="15" w:type="dxa"/>
              <w:left w:w="15" w:type="dxa"/>
              <w:right w:w="15" w:type="dxa"/>
            </w:tcMar>
          </w:tcPr>
          <w:p w14:paraId="236135F6" w14:textId="77777777" w:rsidR="00997678" w:rsidRPr="007F1283" w:rsidRDefault="00997678" w:rsidP="00B62454">
            <w:pPr>
              <w:spacing w:before="20" w:after="20" w:line="240" w:lineRule="auto"/>
              <w:ind w:left="0"/>
              <w:rPr>
                <w:sz w:val="16"/>
                <w:szCs w:val="16"/>
              </w:rPr>
            </w:pPr>
            <w:r w:rsidRPr="007F1283">
              <w:rPr>
                <w:sz w:val="16"/>
                <w:szCs w:val="16"/>
              </w:rPr>
              <w:t>Digital innovation</w:t>
            </w:r>
          </w:p>
        </w:tc>
        <w:tc>
          <w:tcPr>
            <w:tcW w:w="5479" w:type="dxa"/>
            <w:shd w:val="clear" w:color="auto" w:fill="B1CFCD"/>
            <w:tcMar>
              <w:top w:w="15" w:type="dxa"/>
              <w:left w:w="15" w:type="dxa"/>
              <w:right w:w="15" w:type="dxa"/>
            </w:tcMar>
          </w:tcPr>
          <w:p w14:paraId="635FEF23" w14:textId="77777777" w:rsidR="00997678" w:rsidRPr="007F1283" w:rsidRDefault="00997678" w:rsidP="00B62454">
            <w:pPr>
              <w:spacing w:before="20" w:after="20" w:line="240" w:lineRule="auto"/>
              <w:ind w:left="0"/>
              <w:rPr>
                <w:sz w:val="16"/>
                <w:szCs w:val="16"/>
              </w:rPr>
            </w:pPr>
            <w:r w:rsidRPr="007F1283">
              <w:rPr>
                <w:sz w:val="16"/>
                <w:szCs w:val="16"/>
              </w:rPr>
              <w:t xml:space="preserve">Developing digital services and solutions in the public and private sectors </w:t>
            </w:r>
          </w:p>
        </w:tc>
      </w:tr>
      <w:tr w:rsidR="00997678" w:rsidRPr="007F1283" w14:paraId="482C0A64" w14:textId="77777777" w:rsidTr="6B22321E">
        <w:trPr>
          <w:trHeight w:val="330"/>
        </w:trPr>
        <w:tc>
          <w:tcPr>
            <w:tcW w:w="993" w:type="dxa"/>
            <w:vMerge/>
            <w:tcMar>
              <w:top w:w="15" w:type="dxa"/>
              <w:left w:w="15" w:type="dxa"/>
              <w:right w:w="15" w:type="dxa"/>
            </w:tcMar>
          </w:tcPr>
          <w:p w14:paraId="4FB082B7" w14:textId="4F4142C1" w:rsidR="00997678" w:rsidRPr="007F1283" w:rsidRDefault="00997678" w:rsidP="003A61E0">
            <w:pPr>
              <w:spacing w:line="240" w:lineRule="auto"/>
              <w:ind w:left="0"/>
              <w:rPr>
                <w:sz w:val="16"/>
                <w:szCs w:val="16"/>
              </w:rPr>
            </w:pPr>
          </w:p>
        </w:tc>
        <w:tc>
          <w:tcPr>
            <w:tcW w:w="2543" w:type="dxa"/>
            <w:shd w:val="clear" w:color="auto" w:fill="B1CFCD"/>
            <w:tcMar>
              <w:top w:w="15" w:type="dxa"/>
              <w:left w:w="15" w:type="dxa"/>
              <w:right w:w="15" w:type="dxa"/>
            </w:tcMar>
          </w:tcPr>
          <w:p w14:paraId="4193941A" w14:textId="77777777" w:rsidR="00997678" w:rsidRPr="007F1283" w:rsidRDefault="00997678" w:rsidP="00B62454">
            <w:pPr>
              <w:spacing w:before="20" w:after="20" w:line="240" w:lineRule="auto"/>
              <w:ind w:left="0"/>
              <w:rPr>
                <w:sz w:val="16"/>
                <w:szCs w:val="16"/>
              </w:rPr>
            </w:pPr>
            <w:r w:rsidRPr="007F1283">
              <w:rPr>
                <w:sz w:val="16"/>
                <w:szCs w:val="16"/>
              </w:rPr>
              <w:t>Entrepreneurship</w:t>
            </w:r>
          </w:p>
        </w:tc>
        <w:tc>
          <w:tcPr>
            <w:tcW w:w="5479" w:type="dxa"/>
            <w:shd w:val="clear" w:color="auto" w:fill="B1CFCD"/>
            <w:tcMar>
              <w:top w:w="15" w:type="dxa"/>
              <w:left w:w="15" w:type="dxa"/>
              <w:right w:w="15" w:type="dxa"/>
            </w:tcMar>
          </w:tcPr>
          <w:p w14:paraId="55A57951" w14:textId="77777777" w:rsidR="00997678" w:rsidRPr="007F1283" w:rsidRDefault="00997678" w:rsidP="00B62454">
            <w:pPr>
              <w:spacing w:before="20" w:after="20" w:line="240" w:lineRule="auto"/>
              <w:ind w:left="0"/>
              <w:rPr>
                <w:sz w:val="16"/>
                <w:szCs w:val="16"/>
              </w:rPr>
            </w:pPr>
            <w:r w:rsidRPr="007F1283">
              <w:rPr>
                <w:sz w:val="16"/>
                <w:szCs w:val="16"/>
              </w:rPr>
              <w:t>Supporting the business sector and direct job creation</w:t>
            </w:r>
          </w:p>
        </w:tc>
      </w:tr>
      <w:tr w:rsidR="00997678" w:rsidRPr="007F1283" w14:paraId="5B7D5907" w14:textId="77777777" w:rsidTr="6B22321E">
        <w:trPr>
          <w:trHeight w:val="330"/>
        </w:trPr>
        <w:tc>
          <w:tcPr>
            <w:tcW w:w="993" w:type="dxa"/>
            <w:vMerge/>
            <w:tcMar>
              <w:top w:w="15" w:type="dxa"/>
              <w:left w:w="15" w:type="dxa"/>
              <w:right w:w="15" w:type="dxa"/>
            </w:tcMar>
          </w:tcPr>
          <w:p w14:paraId="5C9782BB" w14:textId="3E270116" w:rsidR="00997678" w:rsidRPr="007F1283" w:rsidRDefault="00997678" w:rsidP="003A61E0">
            <w:pPr>
              <w:spacing w:line="240" w:lineRule="auto"/>
              <w:ind w:left="0"/>
              <w:rPr>
                <w:sz w:val="16"/>
                <w:szCs w:val="16"/>
              </w:rPr>
            </w:pPr>
          </w:p>
        </w:tc>
        <w:tc>
          <w:tcPr>
            <w:tcW w:w="2543" w:type="dxa"/>
            <w:shd w:val="clear" w:color="auto" w:fill="B1CFCD"/>
            <w:tcMar>
              <w:top w:w="15" w:type="dxa"/>
              <w:left w:w="15" w:type="dxa"/>
              <w:right w:w="15" w:type="dxa"/>
            </w:tcMar>
          </w:tcPr>
          <w:p w14:paraId="3B7F290F" w14:textId="77777777" w:rsidR="00997678" w:rsidRPr="007F1283" w:rsidRDefault="00997678" w:rsidP="00B62454">
            <w:pPr>
              <w:spacing w:before="20" w:after="20" w:line="240" w:lineRule="auto"/>
              <w:ind w:left="0"/>
              <w:rPr>
                <w:sz w:val="16"/>
                <w:szCs w:val="16"/>
              </w:rPr>
            </w:pPr>
            <w:r w:rsidRPr="007F1283">
              <w:rPr>
                <w:sz w:val="16"/>
                <w:szCs w:val="16"/>
              </w:rPr>
              <w:t>People and Skills</w:t>
            </w:r>
          </w:p>
        </w:tc>
        <w:tc>
          <w:tcPr>
            <w:tcW w:w="5479" w:type="dxa"/>
            <w:shd w:val="clear" w:color="auto" w:fill="B1CFCD"/>
            <w:tcMar>
              <w:top w:w="15" w:type="dxa"/>
              <w:left w:w="15" w:type="dxa"/>
              <w:right w:w="15" w:type="dxa"/>
            </w:tcMar>
          </w:tcPr>
          <w:p w14:paraId="1856F839" w14:textId="3D4473B5" w:rsidR="00997678" w:rsidRPr="007F1283" w:rsidRDefault="00997678" w:rsidP="00B62454">
            <w:pPr>
              <w:spacing w:before="20" w:after="20" w:line="240" w:lineRule="auto"/>
              <w:ind w:left="0"/>
              <w:rPr>
                <w:sz w:val="16"/>
                <w:szCs w:val="16"/>
              </w:rPr>
            </w:pPr>
            <w:r w:rsidRPr="007F1283">
              <w:rPr>
                <w:sz w:val="16"/>
                <w:szCs w:val="16"/>
              </w:rPr>
              <w:t xml:space="preserve">Preserving employment in business transformation </w:t>
            </w:r>
          </w:p>
        </w:tc>
      </w:tr>
      <w:tr w:rsidR="00997678" w:rsidRPr="007F1283" w14:paraId="00976BF7" w14:textId="77777777" w:rsidTr="6B22321E">
        <w:trPr>
          <w:trHeight w:val="330"/>
        </w:trPr>
        <w:tc>
          <w:tcPr>
            <w:tcW w:w="993" w:type="dxa"/>
            <w:vMerge/>
            <w:tcMar>
              <w:top w:w="15" w:type="dxa"/>
              <w:left w:w="15" w:type="dxa"/>
              <w:right w:w="15" w:type="dxa"/>
            </w:tcMar>
          </w:tcPr>
          <w:p w14:paraId="72CD55D4" w14:textId="2F3156FE" w:rsidR="00997678" w:rsidRPr="007F1283" w:rsidRDefault="00997678" w:rsidP="003A61E0">
            <w:pPr>
              <w:spacing w:line="240" w:lineRule="auto"/>
              <w:ind w:left="0"/>
              <w:rPr>
                <w:sz w:val="16"/>
                <w:szCs w:val="16"/>
              </w:rPr>
            </w:pPr>
          </w:p>
        </w:tc>
        <w:tc>
          <w:tcPr>
            <w:tcW w:w="2543" w:type="dxa"/>
            <w:shd w:val="clear" w:color="auto" w:fill="B1CFCD"/>
            <w:tcMar>
              <w:top w:w="15" w:type="dxa"/>
              <w:left w:w="15" w:type="dxa"/>
              <w:right w:w="15" w:type="dxa"/>
            </w:tcMar>
          </w:tcPr>
          <w:p w14:paraId="4A62A29F" w14:textId="77777777" w:rsidR="00997678" w:rsidRPr="007F1283" w:rsidRDefault="00997678" w:rsidP="00B62454">
            <w:pPr>
              <w:spacing w:before="20" w:after="20" w:line="240" w:lineRule="auto"/>
              <w:ind w:left="0"/>
              <w:rPr>
                <w:sz w:val="16"/>
                <w:szCs w:val="16"/>
              </w:rPr>
            </w:pPr>
            <w:r w:rsidRPr="007F1283">
              <w:rPr>
                <w:sz w:val="16"/>
                <w:szCs w:val="16"/>
              </w:rPr>
              <w:t>Territorial regeneration</w:t>
            </w:r>
          </w:p>
        </w:tc>
        <w:tc>
          <w:tcPr>
            <w:tcW w:w="5479" w:type="dxa"/>
            <w:shd w:val="clear" w:color="auto" w:fill="B1CFCD"/>
            <w:tcMar>
              <w:top w:w="15" w:type="dxa"/>
              <w:left w:w="15" w:type="dxa"/>
              <w:right w:w="15" w:type="dxa"/>
            </w:tcMar>
          </w:tcPr>
          <w:p w14:paraId="45058A4C" w14:textId="77777777" w:rsidR="00997678" w:rsidRPr="007F1283" w:rsidRDefault="00997678" w:rsidP="00B62454">
            <w:pPr>
              <w:spacing w:before="20" w:after="20" w:line="240" w:lineRule="auto"/>
              <w:ind w:left="0"/>
              <w:rPr>
                <w:sz w:val="16"/>
                <w:szCs w:val="16"/>
              </w:rPr>
            </w:pPr>
            <w:r w:rsidRPr="007F1283">
              <w:rPr>
                <w:sz w:val="16"/>
                <w:szCs w:val="16"/>
              </w:rPr>
              <w:t>Re-use of brownfield sites and related industries including energy and heating</w:t>
            </w:r>
          </w:p>
        </w:tc>
      </w:tr>
      <w:tr w:rsidR="00C14BA6" w:rsidRPr="007F1283" w14:paraId="47D4CB6B" w14:textId="77777777" w:rsidTr="006532D1">
        <w:trPr>
          <w:trHeight w:val="330"/>
        </w:trPr>
        <w:tc>
          <w:tcPr>
            <w:tcW w:w="993" w:type="dxa"/>
            <w:vMerge w:val="restart"/>
            <w:shd w:val="clear" w:color="auto" w:fill="EFF6F6"/>
            <w:tcMar>
              <w:top w:w="15" w:type="dxa"/>
              <w:left w:w="15" w:type="dxa"/>
              <w:right w:w="15" w:type="dxa"/>
            </w:tcMar>
            <w:vAlign w:val="center"/>
          </w:tcPr>
          <w:p w14:paraId="4C159ADA" w14:textId="3A167FF1" w:rsidR="00C14BA6" w:rsidRPr="007F1283" w:rsidRDefault="00C14BA6" w:rsidP="00C14BA6">
            <w:pPr>
              <w:spacing w:line="240" w:lineRule="auto"/>
              <w:ind w:left="0"/>
              <w:rPr>
                <w:b/>
                <w:bCs/>
                <w:sz w:val="16"/>
                <w:szCs w:val="16"/>
              </w:rPr>
            </w:pPr>
            <w:r w:rsidRPr="007F1283">
              <w:rPr>
                <w:b/>
                <w:bCs/>
                <w:sz w:val="16"/>
                <w:szCs w:val="16"/>
              </w:rPr>
              <w:t xml:space="preserve"> OP TAK</w:t>
            </w:r>
          </w:p>
        </w:tc>
        <w:tc>
          <w:tcPr>
            <w:tcW w:w="2543" w:type="dxa"/>
            <w:shd w:val="clear" w:color="auto" w:fill="EFF6F6"/>
            <w:tcMar>
              <w:top w:w="15" w:type="dxa"/>
              <w:left w:w="15" w:type="dxa"/>
              <w:right w:w="15" w:type="dxa"/>
            </w:tcMar>
          </w:tcPr>
          <w:p w14:paraId="73E278E8" w14:textId="56A1A54F" w:rsidR="00C14BA6" w:rsidRPr="007F1283" w:rsidRDefault="00C14BA6" w:rsidP="00C14BA6">
            <w:pPr>
              <w:spacing w:before="20" w:after="20" w:line="240" w:lineRule="auto"/>
              <w:ind w:left="0"/>
              <w:rPr>
                <w:sz w:val="16"/>
                <w:szCs w:val="16"/>
              </w:rPr>
            </w:pPr>
            <w:r w:rsidRPr="007F1283">
              <w:rPr>
                <w:color w:val="000000"/>
                <w:sz w:val="16"/>
                <w:szCs w:val="16"/>
              </w:rPr>
              <w:t>1. Strengthening business performance in research, development and innovation and their digital transformation</w:t>
            </w:r>
          </w:p>
        </w:tc>
        <w:tc>
          <w:tcPr>
            <w:tcW w:w="5479" w:type="dxa"/>
            <w:shd w:val="clear" w:color="auto" w:fill="EFF6F6"/>
            <w:tcMar>
              <w:top w:w="15" w:type="dxa"/>
              <w:left w:w="15" w:type="dxa"/>
              <w:right w:w="15" w:type="dxa"/>
            </w:tcMar>
          </w:tcPr>
          <w:p w14:paraId="22FD7F05" w14:textId="77777777" w:rsidR="00C14BA6" w:rsidRPr="007F1283" w:rsidRDefault="00C14BA6" w:rsidP="00C14BA6">
            <w:pPr>
              <w:pStyle w:val="Normlnweb"/>
              <w:spacing w:before="20" w:beforeAutospacing="0" w:after="20" w:afterAutospacing="0"/>
              <w:rPr>
                <w:rFonts w:ascii="Trebuchet MS" w:hAnsi="Trebuchet MS"/>
              </w:rPr>
            </w:pPr>
            <w:r w:rsidRPr="007F1283">
              <w:rPr>
                <w:rFonts w:ascii="Trebuchet MS" w:hAnsi="Trebuchet MS"/>
                <w:color w:val="000000"/>
                <w:sz w:val="16"/>
                <w:szCs w:val="16"/>
              </w:rPr>
              <w:t>1.1 Developing and strengthening research and innovation capacities and introducing advanced technologies</w:t>
            </w:r>
          </w:p>
          <w:p w14:paraId="52454E2C" w14:textId="15762B7A" w:rsidR="00C14BA6" w:rsidRPr="007F1283" w:rsidRDefault="00C14BA6" w:rsidP="00C14BA6">
            <w:pPr>
              <w:spacing w:before="20" w:after="20" w:line="240" w:lineRule="auto"/>
              <w:ind w:left="0"/>
              <w:rPr>
                <w:sz w:val="16"/>
                <w:szCs w:val="16"/>
              </w:rPr>
            </w:pPr>
            <w:r w:rsidRPr="007F1283">
              <w:rPr>
                <w:color w:val="000000"/>
                <w:sz w:val="16"/>
                <w:szCs w:val="16"/>
              </w:rPr>
              <w:t>1.2 Reaping the benefits of digitisation for citizens, businesses, research organisations and public authorities</w:t>
            </w:r>
          </w:p>
        </w:tc>
      </w:tr>
      <w:tr w:rsidR="00C14BA6" w:rsidRPr="007F1283" w14:paraId="4B79B8AC" w14:textId="77777777" w:rsidTr="6B22321E">
        <w:trPr>
          <w:trHeight w:val="330"/>
        </w:trPr>
        <w:tc>
          <w:tcPr>
            <w:tcW w:w="993" w:type="dxa"/>
            <w:vMerge/>
            <w:tcMar>
              <w:top w:w="15" w:type="dxa"/>
              <w:left w:w="15" w:type="dxa"/>
              <w:right w:w="15" w:type="dxa"/>
            </w:tcMar>
          </w:tcPr>
          <w:p w14:paraId="498CB51E" w14:textId="7B110D1A" w:rsidR="00C14BA6" w:rsidRPr="007F1283" w:rsidRDefault="00C14BA6" w:rsidP="00C14BA6">
            <w:pPr>
              <w:spacing w:line="240" w:lineRule="auto"/>
              <w:ind w:left="0"/>
              <w:rPr>
                <w:sz w:val="16"/>
                <w:szCs w:val="16"/>
              </w:rPr>
            </w:pPr>
          </w:p>
        </w:tc>
        <w:tc>
          <w:tcPr>
            <w:tcW w:w="2543" w:type="dxa"/>
            <w:shd w:val="clear" w:color="auto" w:fill="EFF6F6"/>
            <w:tcMar>
              <w:top w:w="15" w:type="dxa"/>
              <w:left w:w="15" w:type="dxa"/>
              <w:right w:w="15" w:type="dxa"/>
            </w:tcMar>
          </w:tcPr>
          <w:p w14:paraId="360D134B" w14:textId="3E9F2E77" w:rsidR="00C14BA6" w:rsidRPr="007F1283" w:rsidRDefault="00C14BA6" w:rsidP="00C14BA6">
            <w:pPr>
              <w:spacing w:before="20" w:after="20" w:line="240" w:lineRule="auto"/>
              <w:ind w:left="0"/>
              <w:rPr>
                <w:sz w:val="16"/>
                <w:szCs w:val="16"/>
              </w:rPr>
            </w:pPr>
            <w:r w:rsidRPr="007F1283">
              <w:rPr>
                <w:color w:val="000000"/>
                <w:sz w:val="16"/>
                <w:szCs w:val="16"/>
              </w:rPr>
              <w:t>2. SME business development and competitiveness</w:t>
            </w:r>
          </w:p>
        </w:tc>
        <w:tc>
          <w:tcPr>
            <w:tcW w:w="5479" w:type="dxa"/>
            <w:shd w:val="clear" w:color="auto" w:fill="EFF6F6"/>
            <w:tcMar>
              <w:top w:w="15" w:type="dxa"/>
              <w:left w:w="15" w:type="dxa"/>
              <w:right w:w="15" w:type="dxa"/>
            </w:tcMar>
          </w:tcPr>
          <w:p w14:paraId="2EAA0475" w14:textId="2BD497A5" w:rsidR="00C14BA6" w:rsidRPr="007F1283" w:rsidRDefault="00C14BA6" w:rsidP="00C14BA6">
            <w:pPr>
              <w:spacing w:before="20" w:after="20" w:line="240" w:lineRule="auto"/>
              <w:ind w:left="0"/>
              <w:rPr>
                <w:sz w:val="16"/>
                <w:szCs w:val="16"/>
              </w:rPr>
            </w:pPr>
            <w:r w:rsidRPr="007F1283">
              <w:rPr>
                <w:color w:val="000000"/>
                <w:sz w:val="16"/>
                <w:szCs w:val="16"/>
              </w:rPr>
              <w:t>2.1 Strengthening sustainable growth and competitiveness of SMEs and job creation in SMEs, including through productive investment</w:t>
            </w:r>
          </w:p>
        </w:tc>
      </w:tr>
      <w:tr w:rsidR="00C14BA6" w:rsidRPr="007F1283" w14:paraId="3A3C8E6C" w14:textId="77777777" w:rsidTr="6B22321E">
        <w:trPr>
          <w:trHeight w:val="328"/>
        </w:trPr>
        <w:tc>
          <w:tcPr>
            <w:tcW w:w="993" w:type="dxa"/>
            <w:vMerge/>
            <w:tcMar>
              <w:top w:w="15" w:type="dxa"/>
              <w:left w:w="15" w:type="dxa"/>
              <w:right w:w="15" w:type="dxa"/>
            </w:tcMar>
          </w:tcPr>
          <w:p w14:paraId="17AE72DB" w14:textId="2E3C216B" w:rsidR="00C14BA6" w:rsidRPr="007F1283" w:rsidRDefault="00C14BA6" w:rsidP="00C14BA6">
            <w:pPr>
              <w:spacing w:line="240" w:lineRule="auto"/>
              <w:ind w:left="0"/>
              <w:rPr>
                <w:sz w:val="16"/>
                <w:szCs w:val="16"/>
              </w:rPr>
            </w:pPr>
          </w:p>
        </w:tc>
        <w:tc>
          <w:tcPr>
            <w:tcW w:w="2543" w:type="dxa"/>
            <w:shd w:val="clear" w:color="auto" w:fill="EFF6F6"/>
            <w:tcMar>
              <w:top w:w="15" w:type="dxa"/>
              <w:left w:w="15" w:type="dxa"/>
              <w:right w:w="15" w:type="dxa"/>
            </w:tcMar>
          </w:tcPr>
          <w:p w14:paraId="1A790345" w14:textId="0DDE5050" w:rsidR="00C14BA6" w:rsidRPr="007F1283" w:rsidRDefault="00C14BA6" w:rsidP="00C14BA6">
            <w:pPr>
              <w:spacing w:before="20" w:after="20" w:line="240" w:lineRule="auto"/>
              <w:ind w:left="0"/>
              <w:rPr>
                <w:sz w:val="16"/>
                <w:szCs w:val="16"/>
              </w:rPr>
            </w:pPr>
            <w:r w:rsidRPr="007F1283">
              <w:rPr>
                <w:color w:val="000000"/>
                <w:sz w:val="16"/>
                <w:szCs w:val="16"/>
              </w:rPr>
              <w:t>3. Development of digital infrastructure</w:t>
            </w:r>
          </w:p>
        </w:tc>
        <w:tc>
          <w:tcPr>
            <w:tcW w:w="5479" w:type="dxa"/>
            <w:shd w:val="clear" w:color="auto" w:fill="EFF6F6"/>
            <w:tcMar>
              <w:top w:w="15" w:type="dxa"/>
              <w:left w:w="15" w:type="dxa"/>
              <w:right w:w="15" w:type="dxa"/>
            </w:tcMar>
          </w:tcPr>
          <w:p w14:paraId="2F7F1B06" w14:textId="63289596" w:rsidR="00C14BA6" w:rsidRPr="007F1283" w:rsidRDefault="00C14BA6" w:rsidP="00C14BA6">
            <w:pPr>
              <w:spacing w:before="20" w:after="20" w:line="240" w:lineRule="auto"/>
              <w:ind w:left="0"/>
              <w:rPr>
                <w:sz w:val="16"/>
                <w:szCs w:val="16"/>
              </w:rPr>
            </w:pPr>
            <w:r w:rsidRPr="007F1283">
              <w:rPr>
                <w:color w:val="000000"/>
                <w:sz w:val="16"/>
                <w:szCs w:val="16"/>
              </w:rPr>
              <w:t>3.1 Improving digital connectivity</w:t>
            </w:r>
          </w:p>
        </w:tc>
      </w:tr>
      <w:tr w:rsidR="00C14BA6" w:rsidRPr="007F1283" w14:paraId="2F6959D4" w14:textId="77777777" w:rsidTr="6B22321E">
        <w:trPr>
          <w:trHeight w:val="86"/>
        </w:trPr>
        <w:tc>
          <w:tcPr>
            <w:tcW w:w="993" w:type="dxa"/>
            <w:vMerge/>
            <w:tcMar>
              <w:top w:w="15" w:type="dxa"/>
              <w:left w:w="15" w:type="dxa"/>
              <w:right w:w="15" w:type="dxa"/>
            </w:tcMar>
          </w:tcPr>
          <w:p w14:paraId="40308586" w14:textId="19DF1C29" w:rsidR="00C14BA6" w:rsidRPr="007F1283" w:rsidRDefault="00C14BA6" w:rsidP="00C14BA6">
            <w:pPr>
              <w:spacing w:line="240" w:lineRule="auto"/>
              <w:ind w:left="0"/>
              <w:rPr>
                <w:sz w:val="16"/>
                <w:szCs w:val="16"/>
              </w:rPr>
            </w:pPr>
          </w:p>
        </w:tc>
        <w:tc>
          <w:tcPr>
            <w:tcW w:w="2543" w:type="dxa"/>
            <w:shd w:val="clear" w:color="auto" w:fill="EFF6F6"/>
            <w:tcMar>
              <w:top w:w="15" w:type="dxa"/>
              <w:left w:w="15" w:type="dxa"/>
              <w:right w:w="15" w:type="dxa"/>
            </w:tcMar>
          </w:tcPr>
          <w:p w14:paraId="207F39AD" w14:textId="361ED7AF" w:rsidR="00C14BA6" w:rsidRPr="007F1283" w:rsidRDefault="00C14BA6" w:rsidP="00C14BA6">
            <w:pPr>
              <w:spacing w:before="20" w:after="20" w:line="240" w:lineRule="auto"/>
              <w:ind w:left="0"/>
              <w:rPr>
                <w:sz w:val="16"/>
                <w:szCs w:val="16"/>
              </w:rPr>
            </w:pPr>
            <w:r w:rsidRPr="007F1283">
              <w:rPr>
                <w:color w:val="000000"/>
                <w:sz w:val="16"/>
                <w:szCs w:val="16"/>
              </w:rPr>
              <w:t>4. Moving towards a low carbon economy</w:t>
            </w:r>
          </w:p>
        </w:tc>
        <w:tc>
          <w:tcPr>
            <w:tcW w:w="5479" w:type="dxa"/>
            <w:shd w:val="clear" w:color="auto" w:fill="EFF6F6"/>
            <w:tcMar>
              <w:top w:w="15" w:type="dxa"/>
              <w:left w:w="15" w:type="dxa"/>
              <w:right w:w="15" w:type="dxa"/>
            </w:tcMar>
          </w:tcPr>
          <w:p w14:paraId="4BD46D13" w14:textId="3BA3BB80" w:rsidR="00C14BA6" w:rsidRPr="007F1283" w:rsidRDefault="00C14BA6" w:rsidP="00C14BA6">
            <w:pPr>
              <w:spacing w:before="20" w:after="20" w:line="240" w:lineRule="auto"/>
              <w:ind w:left="0"/>
              <w:rPr>
                <w:sz w:val="16"/>
                <w:szCs w:val="16"/>
              </w:rPr>
            </w:pPr>
            <w:r w:rsidRPr="007F1283">
              <w:rPr>
                <w:color w:val="000000"/>
                <w:sz w:val="16"/>
                <w:szCs w:val="16"/>
              </w:rPr>
              <w:t>4.3 Developing smart energy systems, networks and storage outside the TEN-E trans-European energy network</w:t>
            </w:r>
            <w:r w:rsidRPr="007F1283">
              <w:rPr>
                <w:color w:val="000000"/>
                <w:sz w:val="16"/>
                <w:szCs w:val="16"/>
              </w:rPr>
              <w:br/>
              <w:t>4.1 Promoting energy efficiency and reducing emissions of greenhouse gases</w:t>
            </w:r>
            <w:r w:rsidRPr="007F1283">
              <w:rPr>
                <w:color w:val="000000"/>
                <w:sz w:val="16"/>
                <w:szCs w:val="16"/>
              </w:rPr>
              <w:br/>
              <w:t>4.2 Promoting renewable energy in accordance with Directive (EU) 2018/2001, including the sustainability criteria set out in that Directive</w:t>
            </w:r>
          </w:p>
        </w:tc>
      </w:tr>
      <w:tr w:rsidR="00C14BA6" w:rsidRPr="007F1283" w14:paraId="37A5A00F" w14:textId="77777777" w:rsidTr="6B22321E">
        <w:trPr>
          <w:trHeight w:val="262"/>
        </w:trPr>
        <w:tc>
          <w:tcPr>
            <w:tcW w:w="993" w:type="dxa"/>
            <w:vMerge/>
            <w:tcMar>
              <w:top w:w="15" w:type="dxa"/>
              <w:left w:w="15" w:type="dxa"/>
              <w:right w:w="15" w:type="dxa"/>
            </w:tcMar>
          </w:tcPr>
          <w:p w14:paraId="77A7F161" w14:textId="2F3F10BB" w:rsidR="00C14BA6" w:rsidRPr="007F1283" w:rsidRDefault="00C14BA6" w:rsidP="00C14BA6">
            <w:pPr>
              <w:spacing w:line="240" w:lineRule="auto"/>
              <w:ind w:left="0"/>
              <w:rPr>
                <w:sz w:val="16"/>
                <w:szCs w:val="16"/>
              </w:rPr>
            </w:pPr>
          </w:p>
        </w:tc>
        <w:tc>
          <w:tcPr>
            <w:tcW w:w="2543" w:type="dxa"/>
            <w:shd w:val="clear" w:color="auto" w:fill="EFF6F6"/>
            <w:tcMar>
              <w:top w:w="15" w:type="dxa"/>
              <w:left w:w="15" w:type="dxa"/>
              <w:right w:w="15" w:type="dxa"/>
            </w:tcMar>
          </w:tcPr>
          <w:p w14:paraId="33B8F63E" w14:textId="6E4AB024" w:rsidR="00C14BA6" w:rsidRPr="007F1283" w:rsidRDefault="00C14BA6" w:rsidP="00C14BA6">
            <w:pPr>
              <w:spacing w:before="20" w:after="20" w:line="240" w:lineRule="auto"/>
              <w:ind w:left="0"/>
              <w:rPr>
                <w:color w:val="000000"/>
                <w:sz w:val="16"/>
                <w:szCs w:val="16"/>
              </w:rPr>
            </w:pPr>
            <w:r w:rsidRPr="007F1283">
              <w:rPr>
                <w:color w:val="000000"/>
                <w:sz w:val="16"/>
                <w:szCs w:val="16"/>
              </w:rPr>
              <w:t>5. More efficient use of resources</w:t>
            </w:r>
          </w:p>
          <w:p w14:paraId="6F57DB53" w14:textId="77777777" w:rsidR="00C14BA6" w:rsidRPr="007F1283" w:rsidRDefault="00C14BA6" w:rsidP="00C14BA6">
            <w:pPr>
              <w:spacing w:before="20" w:after="20" w:line="240" w:lineRule="auto"/>
              <w:ind w:left="0"/>
              <w:rPr>
                <w:color w:val="000000"/>
                <w:sz w:val="16"/>
                <w:szCs w:val="16"/>
              </w:rPr>
            </w:pPr>
          </w:p>
          <w:p w14:paraId="00E40E81" w14:textId="77EFECE2" w:rsidR="00C14BA6" w:rsidRPr="007F1283" w:rsidRDefault="00C14BA6" w:rsidP="00C14BA6">
            <w:pPr>
              <w:spacing w:before="20" w:after="20" w:line="240" w:lineRule="auto"/>
              <w:ind w:left="0"/>
              <w:rPr>
                <w:color w:val="000000"/>
                <w:sz w:val="16"/>
                <w:szCs w:val="16"/>
              </w:rPr>
            </w:pPr>
            <w:r w:rsidRPr="007F1283">
              <w:rPr>
                <w:color w:val="000000"/>
                <w:sz w:val="16"/>
                <w:szCs w:val="16"/>
              </w:rPr>
              <w:t>6. Development of Sustainable Mobility</w:t>
            </w:r>
          </w:p>
        </w:tc>
        <w:tc>
          <w:tcPr>
            <w:tcW w:w="5479" w:type="dxa"/>
            <w:shd w:val="clear" w:color="auto" w:fill="EFF6F6"/>
            <w:tcMar>
              <w:top w:w="15" w:type="dxa"/>
              <w:left w:w="15" w:type="dxa"/>
              <w:right w:w="15" w:type="dxa"/>
            </w:tcMar>
          </w:tcPr>
          <w:p w14:paraId="67BC28E3" w14:textId="77777777" w:rsidR="00C14BA6" w:rsidRPr="007F1283" w:rsidRDefault="00C14BA6" w:rsidP="00C14BA6">
            <w:pPr>
              <w:pStyle w:val="Normlnweb"/>
              <w:spacing w:before="20" w:beforeAutospacing="0" w:after="20" w:afterAutospacing="0"/>
              <w:rPr>
                <w:rFonts w:ascii="Trebuchet MS" w:hAnsi="Trebuchet MS"/>
              </w:rPr>
            </w:pPr>
            <w:r w:rsidRPr="007F1283">
              <w:rPr>
                <w:rFonts w:ascii="Trebuchet MS" w:hAnsi="Trebuchet MS"/>
                <w:color w:val="000000"/>
                <w:sz w:val="16"/>
                <w:szCs w:val="16"/>
              </w:rPr>
              <w:t>5.2 Promoting access to water and sustainable water management</w:t>
            </w:r>
          </w:p>
          <w:p w14:paraId="7261B5A3" w14:textId="6778DBCB" w:rsidR="00C14BA6" w:rsidRPr="007F1283" w:rsidRDefault="00C14BA6" w:rsidP="00C14BA6">
            <w:pPr>
              <w:spacing w:line="240" w:lineRule="auto"/>
              <w:ind w:left="0"/>
              <w:rPr>
                <w:sz w:val="24"/>
              </w:rPr>
            </w:pPr>
            <w:r w:rsidRPr="007F1283">
              <w:rPr>
                <w:color w:val="000000"/>
                <w:sz w:val="16"/>
                <w:szCs w:val="16"/>
              </w:rPr>
              <w:t>5.1 Promoting the transition to a resource-efficient circular economy</w:t>
            </w:r>
            <w:r w:rsidRPr="007F1283">
              <w:rPr>
                <w:color w:val="000000"/>
                <w:sz w:val="16"/>
                <w:szCs w:val="16"/>
              </w:rPr>
              <w:br/>
              <w:t>6.1 Promoting sustainable multi-modal urban mobility in the transition to a carbon neutral economy</w:t>
            </w:r>
          </w:p>
          <w:p w14:paraId="50A9F734" w14:textId="2982146B" w:rsidR="00C14BA6" w:rsidRPr="007F1283" w:rsidRDefault="00C14BA6" w:rsidP="00C14BA6">
            <w:pPr>
              <w:pStyle w:val="Normlnweb"/>
              <w:spacing w:before="20" w:beforeAutospacing="0" w:after="20" w:afterAutospacing="0"/>
              <w:rPr>
                <w:rFonts w:ascii="Trebuchet MS" w:hAnsi="Trebuchet MS"/>
              </w:rPr>
            </w:pPr>
          </w:p>
          <w:p w14:paraId="480D0C82" w14:textId="04A18A30" w:rsidR="00C14BA6" w:rsidRPr="007F1283" w:rsidRDefault="00C14BA6" w:rsidP="00C14BA6">
            <w:pPr>
              <w:spacing w:before="20" w:after="20" w:line="240" w:lineRule="auto"/>
              <w:ind w:left="0"/>
              <w:rPr>
                <w:sz w:val="16"/>
                <w:szCs w:val="16"/>
              </w:rPr>
            </w:pPr>
          </w:p>
        </w:tc>
      </w:tr>
      <w:tr w:rsidR="006532D1" w:rsidRPr="007F1283" w14:paraId="1374AAD7" w14:textId="77777777" w:rsidTr="00806FE5">
        <w:trPr>
          <w:trHeight w:val="500"/>
        </w:trPr>
        <w:tc>
          <w:tcPr>
            <w:tcW w:w="993" w:type="dxa"/>
            <w:vMerge w:val="restart"/>
            <w:shd w:val="clear" w:color="auto" w:fill="B1CFCD"/>
            <w:tcMar>
              <w:top w:w="15" w:type="dxa"/>
              <w:left w:w="15" w:type="dxa"/>
              <w:right w:w="15" w:type="dxa"/>
            </w:tcMar>
            <w:vAlign w:val="center"/>
          </w:tcPr>
          <w:p w14:paraId="6D507C45" w14:textId="671944DD" w:rsidR="00FA72F0" w:rsidRPr="007F1283" w:rsidRDefault="00FA72F0" w:rsidP="00384775">
            <w:pPr>
              <w:spacing w:line="240" w:lineRule="auto"/>
              <w:ind w:left="0"/>
              <w:rPr>
                <w:b/>
                <w:bCs/>
                <w:sz w:val="16"/>
                <w:szCs w:val="16"/>
              </w:rPr>
            </w:pPr>
            <w:r w:rsidRPr="007F1283">
              <w:rPr>
                <w:b/>
                <w:bCs/>
                <w:sz w:val="16"/>
                <w:szCs w:val="16"/>
              </w:rPr>
              <w:t xml:space="preserve"> </w:t>
            </w:r>
            <w:r w:rsidR="006532D1" w:rsidRPr="007F1283">
              <w:rPr>
                <w:b/>
                <w:bCs/>
                <w:sz w:val="16"/>
                <w:szCs w:val="16"/>
              </w:rPr>
              <w:t>OP</w:t>
            </w:r>
          </w:p>
          <w:p w14:paraId="67FA33AB" w14:textId="671944DD" w:rsidR="006532D1" w:rsidRPr="007F1283" w:rsidRDefault="00FA72F0" w:rsidP="00384775">
            <w:pPr>
              <w:spacing w:line="240" w:lineRule="auto"/>
              <w:ind w:left="0"/>
              <w:rPr>
                <w:b/>
                <w:bCs/>
                <w:sz w:val="16"/>
                <w:szCs w:val="16"/>
              </w:rPr>
            </w:pPr>
            <w:r w:rsidRPr="007F1283">
              <w:rPr>
                <w:b/>
                <w:bCs/>
                <w:sz w:val="16"/>
                <w:szCs w:val="16"/>
              </w:rPr>
              <w:t xml:space="preserve"> </w:t>
            </w:r>
            <w:r w:rsidR="006532D1" w:rsidRPr="007F1283">
              <w:rPr>
                <w:b/>
                <w:bCs/>
                <w:sz w:val="16"/>
                <w:szCs w:val="16"/>
              </w:rPr>
              <w:t>Transport</w:t>
            </w:r>
          </w:p>
        </w:tc>
        <w:tc>
          <w:tcPr>
            <w:tcW w:w="2543" w:type="dxa"/>
            <w:shd w:val="clear" w:color="auto" w:fill="B1CFCD"/>
            <w:tcMar>
              <w:top w:w="15" w:type="dxa"/>
              <w:left w:w="15" w:type="dxa"/>
              <w:right w:w="15" w:type="dxa"/>
            </w:tcMar>
          </w:tcPr>
          <w:p w14:paraId="049D0742" w14:textId="77777777" w:rsidR="006532D1" w:rsidRPr="007F1283" w:rsidRDefault="006532D1" w:rsidP="00B62454">
            <w:pPr>
              <w:spacing w:before="20" w:after="20" w:line="240" w:lineRule="auto"/>
              <w:ind w:left="0"/>
              <w:rPr>
                <w:sz w:val="16"/>
                <w:szCs w:val="16"/>
              </w:rPr>
            </w:pPr>
            <w:r w:rsidRPr="007F1283">
              <w:rPr>
                <w:sz w:val="16"/>
                <w:szCs w:val="16"/>
              </w:rPr>
              <w:t>European, national and regional mobility</w:t>
            </w:r>
          </w:p>
        </w:tc>
        <w:tc>
          <w:tcPr>
            <w:tcW w:w="5479" w:type="dxa"/>
            <w:shd w:val="clear" w:color="auto" w:fill="B1CFCD"/>
            <w:tcMar>
              <w:top w:w="15" w:type="dxa"/>
              <w:left w:w="15" w:type="dxa"/>
              <w:right w:w="15" w:type="dxa"/>
            </w:tcMar>
          </w:tcPr>
          <w:p w14:paraId="172C242E" w14:textId="5AE52BF5" w:rsidR="006532D1" w:rsidRPr="007F1283" w:rsidRDefault="006532D1" w:rsidP="00B62454">
            <w:pPr>
              <w:spacing w:before="20" w:after="20" w:line="240" w:lineRule="auto"/>
              <w:ind w:left="0"/>
              <w:rPr>
                <w:sz w:val="16"/>
                <w:szCs w:val="16"/>
              </w:rPr>
            </w:pPr>
            <w:r w:rsidRPr="007F1283">
              <w:rPr>
                <w:sz w:val="16"/>
                <w:szCs w:val="16"/>
              </w:rPr>
              <w:t>Developing a smart, safe, sustainable</w:t>
            </w:r>
            <w:r w:rsidR="1C75BC15" w:rsidRPr="007F1283">
              <w:rPr>
                <w:sz w:val="16"/>
                <w:szCs w:val="16"/>
              </w:rPr>
              <w:t>,</w:t>
            </w:r>
            <w:r w:rsidRPr="007F1283">
              <w:rPr>
                <w:sz w:val="16"/>
                <w:szCs w:val="16"/>
              </w:rPr>
              <w:t xml:space="preserve"> and intermodal TEN-T network resilient to climate change, Developing and enhancing sustainable, smart, climate-resilient</w:t>
            </w:r>
            <w:r w:rsidR="640EE733" w:rsidRPr="007F1283">
              <w:rPr>
                <w:sz w:val="16"/>
                <w:szCs w:val="16"/>
              </w:rPr>
              <w:t>,</w:t>
            </w:r>
            <w:r w:rsidRPr="007F1283">
              <w:rPr>
                <w:sz w:val="16"/>
                <w:szCs w:val="16"/>
              </w:rPr>
              <w:t xml:space="preserve"> and intermodal national, regional and local mobility, including improved access to the TEN-T network and cross-border mobility</w:t>
            </w:r>
          </w:p>
        </w:tc>
      </w:tr>
      <w:tr w:rsidR="006532D1" w:rsidRPr="007F1283" w14:paraId="1A8FED1E" w14:textId="77777777" w:rsidTr="6B22321E">
        <w:trPr>
          <w:trHeight w:val="311"/>
        </w:trPr>
        <w:tc>
          <w:tcPr>
            <w:tcW w:w="993" w:type="dxa"/>
            <w:vMerge/>
            <w:tcMar>
              <w:top w:w="15" w:type="dxa"/>
              <w:left w:w="15" w:type="dxa"/>
              <w:right w:w="15" w:type="dxa"/>
            </w:tcMar>
          </w:tcPr>
          <w:p w14:paraId="7DCAC16F" w14:textId="18287D65" w:rsidR="006532D1" w:rsidRPr="007F1283" w:rsidRDefault="006532D1" w:rsidP="003A61E0">
            <w:pPr>
              <w:spacing w:line="240" w:lineRule="auto"/>
              <w:ind w:left="0"/>
              <w:rPr>
                <w:sz w:val="16"/>
                <w:szCs w:val="16"/>
              </w:rPr>
            </w:pPr>
          </w:p>
        </w:tc>
        <w:tc>
          <w:tcPr>
            <w:tcW w:w="2543" w:type="dxa"/>
            <w:shd w:val="clear" w:color="auto" w:fill="B1CFCD"/>
            <w:tcMar>
              <w:top w:w="15" w:type="dxa"/>
              <w:left w:w="15" w:type="dxa"/>
              <w:right w:w="15" w:type="dxa"/>
            </w:tcMar>
          </w:tcPr>
          <w:p w14:paraId="666BBC87" w14:textId="77777777" w:rsidR="006532D1" w:rsidRPr="007F1283" w:rsidRDefault="006532D1" w:rsidP="00B62454">
            <w:pPr>
              <w:spacing w:before="20" w:after="20" w:line="240" w:lineRule="auto"/>
              <w:ind w:left="0"/>
              <w:rPr>
                <w:sz w:val="16"/>
                <w:szCs w:val="16"/>
              </w:rPr>
            </w:pPr>
            <w:r w:rsidRPr="007F1283">
              <w:rPr>
                <w:sz w:val="16"/>
                <w:szCs w:val="16"/>
              </w:rPr>
              <w:t>National road mobility providing connectivity to the TEN-T network</w:t>
            </w:r>
          </w:p>
        </w:tc>
        <w:tc>
          <w:tcPr>
            <w:tcW w:w="5479" w:type="dxa"/>
            <w:shd w:val="clear" w:color="auto" w:fill="B1CFCD"/>
            <w:tcMar>
              <w:top w:w="15" w:type="dxa"/>
              <w:left w:w="15" w:type="dxa"/>
              <w:right w:w="15" w:type="dxa"/>
            </w:tcMar>
          </w:tcPr>
          <w:p w14:paraId="4E2C74F6" w14:textId="77777777" w:rsidR="006532D1" w:rsidRPr="007F1283" w:rsidRDefault="006532D1" w:rsidP="00B62454">
            <w:pPr>
              <w:spacing w:before="20" w:after="20" w:line="240" w:lineRule="auto"/>
              <w:ind w:left="0"/>
              <w:rPr>
                <w:sz w:val="16"/>
                <w:szCs w:val="16"/>
              </w:rPr>
            </w:pPr>
            <w:r w:rsidRPr="007F1283">
              <w:rPr>
                <w:sz w:val="16"/>
                <w:szCs w:val="16"/>
              </w:rPr>
              <w:t>Developing and strengthening sustainable, smart, climate-resilient and intermodal national, regional and local mobility, including better access to the TEN-T network and cross-border mobility</w:t>
            </w:r>
          </w:p>
        </w:tc>
      </w:tr>
      <w:tr w:rsidR="006532D1" w:rsidRPr="007F1283" w14:paraId="5A41A93B" w14:textId="77777777" w:rsidTr="6B22321E">
        <w:trPr>
          <w:trHeight w:val="330"/>
        </w:trPr>
        <w:tc>
          <w:tcPr>
            <w:tcW w:w="993" w:type="dxa"/>
            <w:vMerge/>
            <w:tcMar>
              <w:top w:w="15" w:type="dxa"/>
              <w:left w:w="15" w:type="dxa"/>
              <w:right w:w="15" w:type="dxa"/>
            </w:tcMar>
          </w:tcPr>
          <w:p w14:paraId="1E885305" w14:textId="440C0D77" w:rsidR="006532D1" w:rsidRPr="007F1283" w:rsidRDefault="006532D1" w:rsidP="003A61E0">
            <w:pPr>
              <w:spacing w:line="240" w:lineRule="auto"/>
              <w:ind w:left="0"/>
              <w:rPr>
                <w:sz w:val="16"/>
                <w:szCs w:val="16"/>
              </w:rPr>
            </w:pPr>
          </w:p>
        </w:tc>
        <w:tc>
          <w:tcPr>
            <w:tcW w:w="2543" w:type="dxa"/>
            <w:shd w:val="clear" w:color="auto" w:fill="B1CFCD"/>
            <w:tcMar>
              <w:top w:w="15" w:type="dxa"/>
              <w:left w:w="15" w:type="dxa"/>
              <w:right w:w="15" w:type="dxa"/>
            </w:tcMar>
          </w:tcPr>
          <w:p w14:paraId="6EE5A65A" w14:textId="77777777" w:rsidR="006532D1" w:rsidRPr="007F1283" w:rsidRDefault="006532D1" w:rsidP="00B62454">
            <w:pPr>
              <w:spacing w:before="20" w:after="20" w:line="240" w:lineRule="auto"/>
              <w:ind w:left="0"/>
              <w:rPr>
                <w:sz w:val="16"/>
                <w:szCs w:val="16"/>
              </w:rPr>
            </w:pPr>
            <w:r w:rsidRPr="007F1283">
              <w:rPr>
                <w:sz w:val="16"/>
                <w:szCs w:val="16"/>
              </w:rPr>
              <w:t>Sustainable urban mobility and alternative fuels</w:t>
            </w:r>
          </w:p>
        </w:tc>
        <w:tc>
          <w:tcPr>
            <w:tcW w:w="5479" w:type="dxa"/>
            <w:shd w:val="clear" w:color="auto" w:fill="B1CFCD"/>
            <w:tcMar>
              <w:top w:w="15" w:type="dxa"/>
              <w:left w:w="15" w:type="dxa"/>
              <w:right w:w="15" w:type="dxa"/>
            </w:tcMar>
          </w:tcPr>
          <w:p w14:paraId="7B2BCC18" w14:textId="77777777" w:rsidR="006532D1" w:rsidRPr="007F1283" w:rsidRDefault="006532D1" w:rsidP="00B62454">
            <w:pPr>
              <w:spacing w:before="20" w:after="20" w:line="240" w:lineRule="auto"/>
              <w:ind w:left="0"/>
              <w:rPr>
                <w:sz w:val="16"/>
                <w:szCs w:val="16"/>
              </w:rPr>
            </w:pPr>
            <w:r w:rsidRPr="007F1283">
              <w:rPr>
                <w:sz w:val="16"/>
                <w:szCs w:val="16"/>
              </w:rPr>
              <w:t>Promoting sustainable multi-modal urban mobility in the context of the transition to a carbon neutral economy</w:t>
            </w:r>
          </w:p>
        </w:tc>
      </w:tr>
      <w:tr w:rsidR="006532D1" w:rsidRPr="007F1283" w14:paraId="6C8D0A02" w14:textId="77777777" w:rsidTr="6B22321E">
        <w:trPr>
          <w:trHeight w:val="330"/>
        </w:trPr>
        <w:tc>
          <w:tcPr>
            <w:tcW w:w="993" w:type="dxa"/>
            <w:vMerge/>
            <w:tcMar>
              <w:top w:w="15" w:type="dxa"/>
              <w:left w:w="15" w:type="dxa"/>
              <w:right w:w="15" w:type="dxa"/>
            </w:tcMar>
          </w:tcPr>
          <w:p w14:paraId="240627A8" w14:textId="2A42190F" w:rsidR="006532D1" w:rsidRPr="007F1283" w:rsidRDefault="006532D1" w:rsidP="003A61E0">
            <w:pPr>
              <w:spacing w:line="240" w:lineRule="auto"/>
              <w:ind w:left="0"/>
              <w:rPr>
                <w:sz w:val="16"/>
                <w:szCs w:val="16"/>
              </w:rPr>
            </w:pPr>
          </w:p>
        </w:tc>
        <w:tc>
          <w:tcPr>
            <w:tcW w:w="2543" w:type="dxa"/>
            <w:shd w:val="clear" w:color="auto" w:fill="B1CFCD"/>
            <w:tcMar>
              <w:top w:w="15" w:type="dxa"/>
              <w:left w:w="15" w:type="dxa"/>
              <w:right w:w="15" w:type="dxa"/>
            </w:tcMar>
          </w:tcPr>
          <w:p w14:paraId="1B2C2F1A" w14:textId="77777777" w:rsidR="006532D1" w:rsidRPr="007F1283" w:rsidRDefault="006532D1" w:rsidP="00B62454">
            <w:pPr>
              <w:spacing w:before="20" w:after="20" w:line="240" w:lineRule="auto"/>
              <w:ind w:left="0"/>
              <w:rPr>
                <w:sz w:val="16"/>
                <w:szCs w:val="16"/>
              </w:rPr>
            </w:pPr>
            <w:r w:rsidRPr="007F1283">
              <w:rPr>
                <w:sz w:val="16"/>
                <w:szCs w:val="16"/>
              </w:rPr>
              <w:t>Technical assistance</w:t>
            </w:r>
          </w:p>
        </w:tc>
        <w:tc>
          <w:tcPr>
            <w:tcW w:w="5479" w:type="dxa"/>
            <w:shd w:val="clear" w:color="auto" w:fill="B1CFCD"/>
            <w:tcMar>
              <w:top w:w="15" w:type="dxa"/>
              <w:left w:w="15" w:type="dxa"/>
              <w:right w:w="15" w:type="dxa"/>
            </w:tcMar>
          </w:tcPr>
          <w:p w14:paraId="0917AE79" w14:textId="77777777" w:rsidR="006532D1" w:rsidRPr="007F1283" w:rsidRDefault="006532D1" w:rsidP="00B62454">
            <w:pPr>
              <w:spacing w:before="20" w:after="20" w:line="240" w:lineRule="auto"/>
              <w:ind w:left="0"/>
              <w:rPr>
                <w:sz w:val="16"/>
                <w:szCs w:val="16"/>
              </w:rPr>
            </w:pPr>
            <w:r w:rsidRPr="007F1283">
              <w:rPr>
                <w:sz w:val="16"/>
                <w:szCs w:val="16"/>
              </w:rPr>
              <w:t>Technical assistance</w:t>
            </w:r>
          </w:p>
        </w:tc>
      </w:tr>
    </w:tbl>
    <w:p w14:paraId="7CE2C64E" w14:textId="77777777" w:rsidR="00806FE5" w:rsidRPr="007F1283" w:rsidRDefault="00806FE5"/>
    <w:p w14:paraId="4FC89939" w14:textId="77777777" w:rsidR="00806FE5" w:rsidRPr="007F1283" w:rsidRDefault="00806FE5"/>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93"/>
        <w:gridCol w:w="2543"/>
        <w:gridCol w:w="5479"/>
      </w:tblGrid>
      <w:tr w:rsidR="00806FE5" w:rsidRPr="007F1283" w14:paraId="0DC94182" w14:textId="77777777" w:rsidTr="00631C9D">
        <w:trPr>
          <w:trHeight w:val="315"/>
        </w:trPr>
        <w:tc>
          <w:tcPr>
            <w:tcW w:w="993" w:type="dxa"/>
            <w:shd w:val="clear" w:color="auto" w:fill="004242"/>
            <w:tcMar>
              <w:top w:w="15" w:type="dxa"/>
              <w:left w:w="15" w:type="dxa"/>
              <w:right w:w="15" w:type="dxa"/>
            </w:tcMar>
            <w:vAlign w:val="center"/>
          </w:tcPr>
          <w:p w14:paraId="70FD49DD" w14:textId="310E57DB" w:rsidR="00806FE5" w:rsidRPr="007F1283" w:rsidRDefault="00453E20" w:rsidP="00631C9D">
            <w:pPr>
              <w:spacing w:line="240" w:lineRule="auto"/>
              <w:ind w:left="0"/>
              <w:rPr>
                <w:color w:val="FFFFFF" w:themeColor="background1"/>
                <w:sz w:val="16"/>
                <w:szCs w:val="16"/>
              </w:rPr>
            </w:pPr>
            <w:r w:rsidRPr="007F1283">
              <w:rPr>
                <w:b/>
                <w:bCs/>
                <w:color w:val="FFFFFF" w:themeColor="background1"/>
                <w:sz w:val="16"/>
                <w:szCs w:val="16"/>
              </w:rPr>
              <w:t xml:space="preserve"> </w:t>
            </w:r>
            <w:r w:rsidR="002C4299" w:rsidRPr="007F1283">
              <w:rPr>
                <w:b/>
                <w:bCs/>
                <w:color w:val="FFFFFF" w:themeColor="background1"/>
                <w:sz w:val="16"/>
                <w:szCs w:val="16"/>
              </w:rPr>
              <w:t>Programme</w:t>
            </w:r>
          </w:p>
        </w:tc>
        <w:tc>
          <w:tcPr>
            <w:tcW w:w="2543" w:type="dxa"/>
            <w:shd w:val="clear" w:color="auto" w:fill="004242"/>
            <w:tcMar>
              <w:top w:w="15" w:type="dxa"/>
              <w:left w:w="15" w:type="dxa"/>
              <w:right w:w="15" w:type="dxa"/>
            </w:tcMar>
            <w:vAlign w:val="center"/>
          </w:tcPr>
          <w:p w14:paraId="40078E82" w14:textId="77777777" w:rsidR="00806FE5" w:rsidRPr="007F1283" w:rsidRDefault="00806FE5" w:rsidP="00631C9D">
            <w:pPr>
              <w:spacing w:line="240" w:lineRule="auto"/>
              <w:ind w:left="0"/>
              <w:rPr>
                <w:color w:val="FFFFFF" w:themeColor="background1"/>
                <w:sz w:val="16"/>
                <w:szCs w:val="16"/>
              </w:rPr>
            </w:pPr>
            <w:r w:rsidRPr="007F1283">
              <w:rPr>
                <w:b/>
                <w:bCs/>
                <w:color w:val="FFFFFF" w:themeColor="background1"/>
                <w:sz w:val="16"/>
                <w:szCs w:val="16"/>
              </w:rPr>
              <w:t xml:space="preserve"> Priorities</w:t>
            </w:r>
          </w:p>
        </w:tc>
        <w:tc>
          <w:tcPr>
            <w:tcW w:w="5479" w:type="dxa"/>
            <w:shd w:val="clear" w:color="auto" w:fill="004242"/>
            <w:tcMar>
              <w:top w:w="15" w:type="dxa"/>
              <w:left w:w="15" w:type="dxa"/>
              <w:right w:w="15" w:type="dxa"/>
            </w:tcMar>
            <w:vAlign w:val="center"/>
          </w:tcPr>
          <w:p w14:paraId="7CF2E85D" w14:textId="77777777" w:rsidR="00806FE5" w:rsidRPr="007F1283" w:rsidRDefault="00806FE5" w:rsidP="00631C9D">
            <w:pPr>
              <w:spacing w:line="240" w:lineRule="auto"/>
              <w:ind w:left="0"/>
              <w:rPr>
                <w:color w:val="FFFFFF" w:themeColor="background1"/>
                <w:sz w:val="16"/>
                <w:szCs w:val="16"/>
              </w:rPr>
            </w:pPr>
            <w:r w:rsidRPr="007F1283">
              <w:rPr>
                <w:b/>
                <w:bCs/>
                <w:color w:val="FFFFFF" w:themeColor="background1"/>
                <w:sz w:val="16"/>
                <w:szCs w:val="16"/>
              </w:rPr>
              <w:t xml:space="preserve"> Specific objective </w:t>
            </w:r>
          </w:p>
        </w:tc>
      </w:tr>
      <w:tr w:rsidR="00202179" w:rsidRPr="007F1283" w14:paraId="4224382E" w14:textId="77777777" w:rsidTr="00617EF5">
        <w:trPr>
          <w:trHeight w:val="741"/>
        </w:trPr>
        <w:tc>
          <w:tcPr>
            <w:tcW w:w="993" w:type="dxa"/>
            <w:vMerge w:val="restart"/>
            <w:shd w:val="clear" w:color="auto" w:fill="EFF6F6"/>
            <w:tcMar>
              <w:top w:w="15" w:type="dxa"/>
              <w:left w:w="15" w:type="dxa"/>
              <w:right w:w="15" w:type="dxa"/>
            </w:tcMar>
            <w:vAlign w:val="center"/>
          </w:tcPr>
          <w:p w14:paraId="55102DC4" w14:textId="77777777" w:rsidR="00202179" w:rsidRPr="007F1283" w:rsidRDefault="00202179">
            <w:pPr>
              <w:spacing w:line="240" w:lineRule="auto"/>
              <w:ind w:left="0"/>
              <w:rPr>
                <w:b/>
                <w:bCs/>
                <w:sz w:val="16"/>
                <w:szCs w:val="16"/>
              </w:rPr>
            </w:pPr>
            <w:r w:rsidRPr="007F1283">
              <w:rPr>
                <w:b/>
                <w:bCs/>
                <w:sz w:val="16"/>
                <w:szCs w:val="16"/>
              </w:rPr>
              <w:t xml:space="preserve"> Interreg</w:t>
            </w:r>
          </w:p>
        </w:tc>
        <w:tc>
          <w:tcPr>
            <w:tcW w:w="2543" w:type="dxa"/>
            <w:shd w:val="clear" w:color="auto" w:fill="EFF6F6"/>
            <w:tcMar>
              <w:top w:w="15" w:type="dxa"/>
              <w:left w:w="15" w:type="dxa"/>
              <w:right w:w="15" w:type="dxa"/>
            </w:tcMar>
          </w:tcPr>
          <w:p w14:paraId="68B8A991" w14:textId="77777777" w:rsidR="00202179" w:rsidRPr="007F1283" w:rsidRDefault="00202179">
            <w:pPr>
              <w:spacing w:before="20" w:after="20" w:line="240" w:lineRule="auto"/>
              <w:ind w:left="0"/>
              <w:rPr>
                <w:sz w:val="16"/>
                <w:szCs w:val="16"/>
              </w:rPr>
            </w:pPr>
            <w:r w:rsidRPr="007F1283">
              <w:rPr>
                <w:sz w:val="16"/>
                <w:szCs w:val="16"/>
              </w:rPr>
              <w:t>Smarter Europe</w:t>
            </w:r>
          </w:p>
        </w:tc>
        <w:tc>
          <w:tcPr>
            <w:tcW w:w="5479" w:type="dxa"/>
            <w:shd w:val="clear" w:color="auto" w:fill="EFF6F6"/>
            <w:tcMar>
              <w:top w:w="15" w:type="dxa"/>
              <w:left w:w="15" w:type="dxa"/>
              <w:right w:w="15" w:type="dxa"/>
            </w:tcMar>
          </w:tcPr>
          <w:p w14:paraId="0F4E1910" w14:textId="77777777" w:rsidR="00202179" w:rsidRPr="007F1283" w:rsidRDefault="00202179">
            <w:pPr>
              <w:spacing w:before="20" w:after="20" w:line="240" w:lineRule="auto"/>
              <w:ind w:left="0"/>
              <w:rPr>
                <w:sz w:val="16"/>
                <w:szCs w:val="16"/>
              </w:rPr>
            </w:pPr>
            <w:r w:rsidRPr="007F1283">
              <w:rPr>
                <w:sz w:val="16"/>
                <w:szCs w:val="16"/>
              </w:rPr>
              <w:t>Research and Innovation capacities, uptake of advanced technologies</w:t>
            </w:r>
            <w:r w:rsidRPr="007F1283">
              <w:rPr>
                <w:sz w:val="16"/>
                <w:szCs w:val="16"/>
              </w:rPr>
              <w:br/>
              <w:t>Digitisation for citizens, companies, research organisations and public authorities</w:t>
            </w:r>
            <w:r w:rsidRPr="007F1283">
              <w:rPr>
                <w:sz w:val="16"/>
                <w:szCs w:val="16"/>
              </w:rPr>
              <w:br/>
              <w:t>Sustainable growth and competitiveness of SMEs and job creation in SMEs, including by productive investments</w:t>
            </w:r>
            <w:r w:rsidRPr="007F1283">
              <w:rPr>
                <w:sz w:val="16"/>
                <w:szCs w:val="16"/>
              </w:rPr>
              <w:br/>
              <w:t>Skills for smart specialisation, industrial transition &amp; entrepreneurship</w:t>
            </w:r>
            <w:r w:rsidRPr="007F1283">
              <w:rPr>
                <w:sz w:val="16"/>
                <w:szCs w:val="16"/>
              </w:rPr>
              <w:br/>
              <w:t>Digital connectivity</w:t>
            </w:r>
          </w:p>
        </w:tc>
      </w:tr>
      <w:tr w:rsidR="00202179" w:rsidRPr="007F1283" w14:paraId="77AD02D2" w14:textId="77777777" w:rsidTr="00617EF5">
        <w:trPr>
          <w:trHeight w:val="845"/>
        </w:trPr>
        <w:tc>
          <w:tcPr>
            <w:tcW w:w="993" w:type="dxa"/>
            <w:vMerge/>
            <w:shd w:val="clear" w:color="auto" w:fill="EFF6F6"/>
            <w:tcMar>
              <w:top w:w="15" w:type="dxa"/>
              <w:left w:w="15" w:type="dxa"/>
              <w:right w:w="15" w:type="dxa"/>
            </w:tcMar>
          </w:tcPr>
          <w:p w14:paraId="028C0D7D" w14:textId="77777777" w:rsidR="00202179" w:rsidRPr="007F1283" w:rsidRDefault="00202179">
            <w:pPr>
              <w:spacing w:line="240" w:lineRule="auto"/>
              <w:ind w:left="0"/>
              <w:rPr>
                <w:sz w:val="16"/>
                <w:szCs w:val="16"/>
              </w:rPr>
            </w:pPr>
          </w:p>
        </w:tc>
        <w:tc>
          <w:tcPr>
            <w:tcW w:w="2543" w:type="dxa"/>
            <w:shd w:val="clear" w:color="auto" w:fill="EFF6F6"/>
            <w:tcMar>
              <w:top w:w="15" w:type="dxa"/>
              <w:left w:w="15" w:type="dxa"/>
              <w:right w:w="15" w:type="dxa"/>
            </w:tcMar>
          </w:tcPr>
          <w:p w14:paraId="51EE208B" w14:textId="77777777" w:rsidR="00202179" w:rsidRPr="007F1283" w:rsidRDefault="00202179">
            <w:pPr>
              <w:spacing w:before="20" w:after="20" w:line="240" w:lineRule="auto"/>
              <w:ind w:left="0"/>
              <w:rPr>
                <w:sz w:val="16"/>
                <w:szCs w:val="16"/>
              </w:rPr>
            </w:pPr>
            <w:r w:rsidRPr="007F1283">
              <w:rPr>
                <w:sz w:val="16"/>
                <w:szCs w:val="16"/>
              </w:rPr>
              <w:t>Greener Europe</w:t>
            </w:r>
          </w:p>
        </w:tc>
        <w:tc>
          <w:tcPr>
            <w:tcW w:w="5479" w:type="dxa"/>
            <w:shd w:val="clear" w:color="auto" w:fill="EFF6F6"/>
            <w:tcMar>
              <w:top w:w="15" w:type="dxa"/>
              <w:left w:w="15" w:type="dxa"/>
              <w:right w:w="15" w:type="dxa"/>
            </w:tcMar>
          </w:tcPr>
          <w:p w14:paraId="37634DD0" w14:textId="77777777" w:rsidR="00202179" w:rsidRPr="007F1283" w:rsidRDefault="00202179">
            <w:pPr>
              <w:spacing w:before="20" w:after="20" w:line="240" w:lineRule="auto"/>
              <w:ind w:left="0"/>
              <w:rPr>
                <w:sz w:val="16"/>
                <w:szCs w:val="16"/>
              </w:rPr>
            </w:pPr>
            <w:r w:rsidRPr="007F1283">
              <w:rPr>
                <w:sz w:val="16"/>
                <w:szCs w:val="16"/>
              </w:rPr>
              <w:t>Energy efficiency and reduction of greenhouse emissions</w:t>
            </w:r>
            <w:r w:rsidRPr="007F1283">
              <w:rPr>
                <w:sz w:val="16"/>
                <w:szCs w:val="16"/>
              </w:rPr>
              <w:br/>
              <w:t>Renewable energy</w:t>
            </w:r>
            <w:r w:rsidRPr="007F1283">
              <w:rPr>
                <w:sz w:val="16"/>
                <w:szCs w:val="16"/>
              </w:rPr>
              <w:br/>
              <w:t>Smart energy systems, grids and storage</w:t>
            </w:r>
            <w:r w:rsidRPr="007F1283">
              <w:rPr>
                <w:sz w:val="16"/>
                <w:szCs w:val="16"/>
              </w:rPr>
              <w:br/>
              <w:t>Climate change adaptation, disaster risk prevention, resilience</w:t>
            </w:r>
            <w:r w:rsidRPr="007F1283">
              <w:rPr>
                <w:sz w:val="16"/>
                <w:szCs w:val="16"/>
              </w:rPr>
              <w:br/>
              <w:t>Access to water and sustainable water management</w:t>
            </w:r>
            <w:r w:rsidRPr="007F1283">
              <w:rPr>
                <w:sz w:val="16"/>
                <w:szCs w:val="16"/>
              </w:rPr>
              <w:br/>
              <w:t>Circular and resource efficient economy</w:t>
            </w:r>
            <w:r w:rsidRPr="007F1283">
              <w:rPr>
                <w:sz w:val="16"/>
                <w:szCs w:val="16"/>
              </w:rPr>
              <w:br/>
              <w:t>Protection and preservation of nature and biodiversity, green infrastructures, pollution reduction</w:t>
            </w:r>
            <w:r w:rsidRPr="007F1283">
              <w:rPr>
                <w:sz w:val="16"/>
                <w:szCs w:val="16"/>
              </w:rPr>
              <w:br/>
              <w:t>Sustainable urban mobility for zero carbon economy</w:t>
            </w:r>
          </w:p>
        </w:tc>
      </w:tr>
      <w:tr w:rsidR="00202179" w:rsidRPr="007F1283" w14:paraId="0CA37E74" w14:textId="77777777" w:rsidTr="00617EF5">
        <w:trPr>
          <w:trHeight w:val="1860"/>
        </w:trPr>
        <w:tc>
          <w:tcPr>
            <w:tcW w:w="993" w:type="dxa"/>
            <w:vMerge/>
            <w:shd w:val="clear" w:color="auto" w:fill="EFF6F6"/>
            <w:tcMar>
              <w:top w:w="15" w:type="dxa"/>
              <w:left w:w="15" w:type="dxa"/>
              <w:right w:w="15" w:type="dxa"/>
            </w:tcMar>
          </w:tcPr>
          <w:p w14:paraId="43521F76" w14:textId="77777777" w:rsidR="00202179" w:rsidRPr="007F1283" w:rsidRDefault="00202179">
            <w:pPr>
              <w:spacing w:line="240" w:lineRule="auto"/>
              <w:ind w:left="0"/>
              <w:rPr>
                <w:sz w:val="16"/>
                <w:szCs w:val="16"/>
              </w:rPr>
            </w:pPr>
          </w:p>
        </w:tc>
        <w:tc>
          <w:tcPr>
            <w:tcW w:w="2543" w:type="dxa"/>
            <w:shd w:val="clear" w:color="auto" w:fill="EFF6F6"/>
            <w:tcMar>
              <w:top w:w="15" w:type="dxa"/>
              <w:left w:w="15" w:type="dxa"/>
              <w:right w:w="15" w:type="dxa"/>
            </w:tcMar>
          </w:tcPr>
          <w:p w14:paraId="408DBE5F" w14:textId="77777777" w:rsidR="00202179" w:rsidRPr="007F1283" w:rsidRDefault="00202179">
            <w:pPr>
              <w:spacing w:before="20" w:after="20" w:line="240" w:lineRule="auto"/>
              <w:ind w:left="0"/>
              <w:rPr>
                <w:sz w:val="16"/>
                <w:szCs w:val="16"/>
              </w:rPr>
            </w:pPr>
            <w:r w:rsidRPr="007F1283">
              <w:rPr>
                <w:sz w:val="16"/>
                <w:szCs w:val="16"/>
              </w:rPr>
              <w:t>More social Europe</w:t>
            </w:r>
          </w:p>
        </w:tc>
        <w:tc>
          <w:tcPr>
            <w:tcW w:w="5479" w:type="dxa"/>
            <w:shd w:val="clear" w:color="auto" w:fill="EFF6F6"/>
            <w:tcMar>
              <w:top w:w="15" w:type="dxa"/>
              <w:left w:w="15" w:type="dxa"/>
              <w:right w:w="15" w:type="dxa"/>
            </w:tcMar>
          </w:tcPr>
          <w:p w14:paraId="18CD0773" w14:textId="77777777" w:rsidR="00202179" w:rsidRPr="007F1283" w:rsidRDefault="00202179">
            <w:pPr>
              <w:spacing w:before="20" w:after="20" w:line="240" w:lineRule="auto"/>
              <w:ind w:left="0"/>
              <w:rPr>
                <w:sz w:val="16"/>
                <w:szCs w:val="16"/>
              </w:rPr>
            </w:pPr>
            <w:r w:rsidRPr="007F1283">
              <w:rPr>
                <w:sz w:val="16"/>
                <w:szCs w:val="16"/>
              </w:rPr>
              <w:t>Effectiveness and inclusiveness of labour market, access to quality employment, social economy</w:t>
            </w:r>
            <w:r w:rsidRPr="007F1283">
              <w:rPr>
                <w:sz w:val="16"/>
                <w:szCs w:val="16"/>
              </w:rPr>
              <w:br/>
              <w:t>Access to education, training and lifelong learning, distance and on-line education and training</w:t>
            </w:r>
            <w:r w:rsidRPr="007F1283">
              <w:rPr>
                <w:sz w:val="16"/>
                <w:szCs w:val="16"/>
              </w:rPr>
              <w:br/>
              <w:t>Inclusion of marginalised communities, low-income households and disadvantaged groups</w:t>
            </w:r>
            <w:r w:rsidRPr="007F1283">
              <w:rPr>
                <w:sz w:val="16"/>
                <w:szCs w:val="16"/>
              </w:rPr>
              <w:br/>
              <w:t>Socio-economic integration of third country nationals, including migrants</w:t>
            </w:r>
            <w:r w:rsidRPr="007F1283">
              <w:rPr>
                <w:sz w:val="16"/>
                <w:szCs w:val="16"/>
              </w:rPr>
              <w:br/>
              <w:t>Equal access to health care, health systems resilience, family-based and community-based care</w:t>
            </w:r>
            <w:r w:rsidRPr="007F1283">
              <w:rPr>
                <w:sz w:val="16"/>
                <w:szCs w:val="16"/>
              </w:rPr>
              <w:br/>
              <w:t>Culture and tourism for economic development, social inclusion, and social innovation</w:t>
            </w:r>
          </w:p>
        </w:tc>
      </w:tr>
      <w:tr w:rsidR="00202179" w:rsidRPr="007F1283" w14:paraId="2BCD414D" w14:textId="77777777" w:rsidTr="00617EF5">
        <w:trPr>
          <w:trHeight w:val="386"/>
        </w:trPr>
        <w:tc>
          <w:tcPr>
            <w:tcW w:w="993" w:type="dxa"/>
            <w:vMerge/>
            <w:shd w:val="clear" w:color="auto" w:fill="EFF6F6"/>
            <w:tcMar>
              <w:top w:w="15" w:type="dxa"/>
              <w:left w:w="15" w:type="dxa"/>
              <w:right w:w="15" w:type="dxa"/>
            </w:tcMar>
          </w:tcPr>
          <w:p w14:paraId="7736DA0A" w14:textId="77777777" w:rsidR="00202179" w:rsidRPr="007F1283" w:rsidRDefault="00202179">
            <w:pPr>
              <w:spacing w:line="240" w:lineRule="auto"/>
              <w:ind w:left="0"/>
              <w:rPr>
                <w:sz w:val="16"/>
                <w:szCs w:val="16"/>
              </w:rPr>
            </w:pPr>
          </w:p>
        </w:tc>
        <w:tc>
          <w:tcPr>
            <w:tcW w:w="2543" w:type="dxa"/>
            <w:shd w:val="clear" w:color="auto" w:fill="EFF6F6"/>
            <w:tcMar>
              <w:top w:w="15" w:type="dxa"/>
              <w:left w:w="15" w:type="dxa"/>
              <w:right w:w="15" w:type="dxa"/>
            </w:tcMar>
          </w:tcPr>
          <w:p w14:paraId="0E57B0CA" w14:textId="77777777" w:rsidR="00202179" w:rsidRPr="007F1283" w:rsidRDefault="00202179">
            <w:pPr>
              <w:spacing w:before="20" w:after="20" w:line="240" w:lineRule="auto"/>
              <w:ind w:left="0"/>
              <w:rPr>
                <w:sz w:val="16"/>
                <w:szCs w:val="16"/>
              </w:rPr>
            </w:pPr>
            <w:r w:rsidRPr="007F1283">
              <w:rPr>
                <w:sz w:val="16"/>
                <w:szCs w:val="16"/>
              </w:rPr>
              <w:t>Europe closer to Citizens</w:t>
            </w:r>
          </w:p>
        </w:tc>
        <w:tc>
          <w:tcPr>
            <w:tcW w:w="5479" w:type="dxa"/>
            <w:shd w:val="clear" w:color="auto" w:fill="EFF6F6"/>
            <w:tcMar>
              <w:top w:w="15" w:type="dxa"/>
              <w:left w:w="15" w:type="dxa"/>
              <w:right w:w="15" w:type="dxa"/>
            </w:tcMar>
          </w:tcPr>
          <w:p w14:paraId="5525F24C" w14:textId="77777777" w:rsidR="00202179" w:rsidRPr="007F1283" w:rsidRDefault="00202179">
            <w:pPr>
              <w:spacing w:before="20" w:after="20" w:line="240" w:lineRule="auto"/>
              <w:ind w:left="0"/>
              <w:rPr>
                <w:sz w:val="16"/>
                <w:szCs w:val="16"/>
              </w:rPr>
            </w:pPr>
            <w:r w:rsidRPr="007F1283">
              <w:rPr>
                <w:sz w:val="16"/>
                <w:szCs w:val="16"/>
              </w:rPr>
              <w:t>Sustainable integrated territorial development, culture, natural heritage, sustainable tourism, and security (urban areas)</w:t>
            </w:r>
            <w:r w:rsidRPr="007F1283">
              <w:rPr>
                <w:sz w:val="16"/>
                <w:szCs w:val="16"/>
              </w:rPr>
              <w:br/>
              <w:t>Sustainable integrated territorial development, culture, natural heritage, sustainable tourism, and security (other than urban)</w:t>
            </w:r>
          </w:p>
        </w:tc>
      </w:tr>
      <w:tr w:rsidR="00202179" w:rsidRPr="007F1283" w14:paraId="4C58C6B4" w14:textId="77777777" w:rsidTr="00617EF5">
        <w:trPr>
          <w:trHeight w:val="300"/>
        </w:trPr>
        <w:tc>
          <w:tcPr>
            <w:tcW w:w="993" w:type="dxa"/>
            <w:shd w:val="clear" w:color="auto" w:fill="EFF6F6"/>
            <w:tcMar>
              <w:top w:w="15" w:type="dxa"/>
              <w:left w:w="15" w:type="dxa"/>
              <w:right w:w="15" w:type="dxa"/>
            </w:tcMar>
          </w:tcPr>
          <w:p w14:paraId="7C4EEBD4" w14:textId="77777777" w:rsidR="00202179" w:rsidRPr="007F1283" w:rsidRDefault="00202179">
            <w:pPr>
              <w:spacing w:line="240" w:lineRule="auto"/>
              <w:ind w:left="0"/>
              <w:rPr>
                <w:sz w:val="16"/>
                <w:szCs w:val="16"/>
              </w:rPr>
            </w:pPr>
          </w:p>
        </w:tc>
        <w:tc>
          <w:tcPr>
            <w:tcW w:w="2543" w:type="dxa"/>
            <w:shd w:val="clear" w:color="auto" w:fill="EFF6F6"/>
            <w:tcMar>
              <w:top w:w="15" w:type="dxa"/>
              <w:left w:w="15" w:type="dxa"/>
              <w:right w:w="15" w:type="dxa"/>
            </w:tcMar>
          </w:tcPr>
          <w:p w14:paraId="7ABA2171" w14:textId="77777777" w:rsidR="00202179" w:rsidRPr="007F1283" w:rsidRDefault="00202179">
            <w:pPr>
              <w:spacing w:before="20" w:after="20" w:line="240" w:lineRule="auto"/>
              <w:ind w:left="0"/>
              <w:rPr>
                <w:sz w:val="16"/>
                <w:szCs w:val="16"/>
              </w:rPr>
            </w:pPr>
            <w:r w:rsidRPr="007F1283">
              <w:rPr>
                <w:sz w:val="16"/>
                <w:szCs w:val="16"/>
              </w:rPr>
              <w:t>More connected Europe</w:t>
            </w:r>
          </w:p>
        </w:tc>
        <w:tc>
          <w:tcPr>
            <w:tcW w:w="5479" w:type="dxa"/>
            <w:shd w:val="clear" w:color="auto" w:fill="EFF6F6"/>
            <w:tcMar>
              <w:top w:w="15" w:type="dxa"/>
              <w:left w:w="15" w:type="dxa"/>
              <w:right w:w="15" w:type="dxa"/>
            </w:tcMar>
          </w:tcPr>
          <w:p w14:paraId="51A1EEF3" w14:textId="77777777" w:rsidR="00202179" w:rsidRPr="007F1283" w:rsidRDefault="00202179">
            <w:pPr>
              <w:spacing w:before="20" w:after="20" w:line="240" w:lineRule="auto"/>
              <w:ind w:left="0"/>
              <w:rPr>
                <w:sz w:val="16"/>
                <w:szCs w:val="16"/>
              </w:rPr>
            </w:pPr>
            <w:r w:rsidRPr="007F1283">
              <w:rPr>
                <w:sz w:val="16"/>
                <w:szCs w:val="16"/>
              </w:rPr>
              <w:t>Climate resilient, intelligent, secure, sustainable, and intermodal TEN-T</w:t>
            </w:r>
            <w:r w:rsidRPr="007F1283">
              <w:rPr>
                <w:sz w:val="16"/>
                <w:szCs w:val="16"/>
              </w:rPr>
              <w:br/>
              <w:t>Sustainable, climate resilient, intelligent, and intermodal national, regional, and local mobility</w:t>
            </w:r>
          </w:p>
        </w:tc>
      </w:tr>
      <w:tr w:rsidR="00202179" w:rsidRPr="007F1283" w14:paraId="23F3A92F" w14:textId="77777777" w:rsidTr="00617EF5">
        <w:trPr>
          <w:trHeight w:val="50"/>
        </w:trPr>
        <w:tc>
          <w:tcPr>
            <w:tcW w:w="993" w:type="dxa"/>
            <w:shd w:val="clear" w:color="auto" w:fill="EFF6F6"/>
            <w:tcMar>
              <w:top w:w="15" w:type="dxa"/>
              <w:left w:w="15" w:type="dxa"/>
              <w:right w:w="15" w:type="dxa"/>
            </w:tcMar>
          </w:tcPr>
          <w:p w14:paraId="04CBCCD9" w14:textId="77777777" w:rsidR="00202179" w:rsidRPr="007F1283" w:rsidRDefault="00202179">
            <w:pPr>
              <w:spacing w:line="240" w:lineRule="auto"/>
              <w:ind w:left="0"/>
              <w:rPr>
                <w:sz w:val="16"/>
                <w:szCs w:val="16"/>
              </w:rPr>
            </w:pPr>
          </w:p>
        </w:tc>
        <w:tc>
          <w:tcPr>
            <w:tcW w:w="2543" w:type="dxa"/>
            <w:shd w:val="clear" w:color="auto" w:fill="EFF6F6"/>
            <w:tcMar>
              <w:top w:w="15" w:type="dxa"/>
              <w:left w:w="15" w:type="dxa"/>
              <w:right w:w="15" w:type="dxa"/>
            </w:tcMar>
          </w:tcPr>
          <w:p w14:paraId="197E5210" w14:textId="77777777" w:rsidR="00202179" w:rsidRPr="007F1283" w:rsidRDefault="00202179">
            <w:pPr>
              <w:spacing w:before="20" w:after="20" w:line="240" w:lineRule="auto"/>
              <w:ind w:left="0"/>
              <w:rPr>
                <w:sz w:val="16"/>
                <w:szCs w:val="16"/>
              </w:rPr>
            </w:pPr>
            <w:r w:rsidRPr="007F1283">
              <w:rPr>
                <w:sz w:val="16"/>
                <w:szCs w:val="16"/>
              </w:rPr>
              <w:t>Better regional governance</w:t>
            </w:r>
          </w:p>
        </w:tc>
        <w:tc>
          <w:tcPr>
            <w:tcW w:w="5479" w:type="dxa"/>
            <w:shd w:val="clear" w:color="auto" w:fill="EFF6F6"/>
            <w:tcMar>
              <w:top w:w="15" w:type="dxa"/>
              <w:left w:w="15" w:type="dxa"/>
              <w:right w:w="15" w:type="dxa"/>
            </w:tcMar>
          </w:tcPr>
          <w:p w14:paraId="1E1EF041" w14:textId="77777777" w:rsidR="00202179" w:rsidRPr="007F1283" w:rsidRDefault="00202179">
            <w:pPr>
              <w:spacing w:before="20" w:after="20" w:line="240" w:lineRule="auto"/>
              <w:ind w:left="0"/>
              <w:rPr>
                <w:sz w:val="16"/>
                <w:szCs w:val="16"/>
              </w:rPr>
            </w:pPr>
            <w:r w:rsidRPr="007F1283">
              <w:rPr>
                <w:sz w:val="16"/>
                <w:szCs w:val="16"/>
              </w:rPr>
              <w:t>Policy governance</w:t>
            </w:r>
          </w:p>
        </w:tc>
      </w:tr>
      <w:tr w:rsidR="00806FE5" w:rsidRPr="007F1283" w14:paraId="7CCD9B11" w14:textId="77777777" w:rsidTr="00617EF5">
        <w:trPr>
          <w:trHeight w:val="269"/>
        </w:trPr>
        <w:tc>
          <w:tcPr>
            <w:tcW w:w="993" w:type="dxa"/>
            <w:vMerge w:val="restart"/>
            <w:shd w:val="clear" w:color="auto" w:fill="B1CFCD"/>
            <w:tcMar>
              <w:top w:w="15" w:type="dxa"/>
              <w:left w:w="15" w:type="dxa"/>
              <w:right w:w="15" w:type="dxa"/>
            </w:tcMar>
            <w:vAlign w:val="center"/>
          </w:tcPr>
          <w:p w14:paraId="79C5D573" w14:textId="58A12BB4" w:rsidR="00806FE5" w:rsidRPr="007F1283" w:rsidRDefault="00FA72F0" w:rsidP="00806FE5">
            <w:pPr>
              <w:spacing w:line="240" w:lineRule="auto"/>
              <w:ind w:left="0"/>
              <w:rPr>
                <w:b/>
                <w:bCs/>
                <w:sz w:val="16"/>
                <w:szCs w:val="16"/>
              </w:rPr>
            </w:pPr>
            <w:r w:rsidRPr="007F1283">
              <w:rPr>
                <w:b/>
                <w:bCs/>
                <w:sz w:val="16"/>
                <w:szCs w:val="16"/>
              </w:rPr>
              <w:t xml:space="preserve"> </w:t>
            </w:r>
            <w:r w:rsidR="00806FE5" w:rsidRPr="007F1283">
              <w:rPr>
                <w:b/>
                <w:bCs/>
                <w:sz w:val="16"/>
                <w:szCs w:val="16"/>
              </w:rPr>
              <w:t>RRF</w:t>
            </w:r>
          </w:p>
        </w:tc>
        <w:tc>
          <w:tcPr>
            <w:tcW w:w="2543" w:type="dxa"/>
            <w:shd w:val="clear" w:color="auto" w:fill="B1CFCD"/>
            <w:tcMar>
              <w:top w:w="15" w:type="dxa"/>
              <w:left w:w="15" w:type="dxa"/>
              <w:right w:w="15" w:type="dxa"/>
            </w:tcMar>
          </w:tcPr>
          <w:p w14:paraId="359A9E2E" w14:textId="77777777" w:rsidR="00806FE5" w:rsidRPr="007F1283" w:rsidRDefault="00806FE5" w:rsidP="00B62454">
            <w:pPr>
              <w:spacing w:before="20" w:after="20" w:line="240" w:lineRule="auto"/>
              <w:ind w:left="0"/>
              <w:rPr>
                <w:sz w:val="16"/>
                <w:szCs w:val="16"/>
              </w:rPr>
            </w:pPr>
            <w:r w:rsidRPr="007F1283">
              <w:rPr>
                <w:sz w:val="16"/>
                <w:szCs w:val="16"/>
              </w:rPr>
              <w:t>Digital transformation</w:t>
            </w:r>
          </w:p>
        </w:tc>
        <w:tc>
          <w:tcPr>
            <w:tcW w:w="5479" w:type="dxa"/>
            <w:shd w:val="clear" w:color="auto" w:fill="B1CFCD"/>
            <w:tcMar>
              <w:top w:w="15" w:type="dxa"/>
              <w:left w:w="15" w:type="dxa"/>
              <w:right w:w="15" w:type="dxa"/>
            </w:tcMar>
          </w:tcPr>
          <w:p w14:paraId="07B318DD" w14:textId="63EFA58E" w:rsidR="00806FE5" w:rsidRPr="007F1283" w:rsidRDefault="00806FE5" w:rsidP="00B62454">
            <w:pPr>
              <w:spacing w:before="20" w:after="20" w:line="240" w:lineRule="auto"/>
              <w:ind w:left="0"/>
              <w:rPr>
                <w:sz w:val="16"/>
                <w:szCs w:val="16"/>
              </w:rPr>
            </w:pPr>
            <w:r w:rsidRPr="007F1283">
              <w:rPr>
                <w:sz w:val="16"/>
                <w:szCs w:val="16"/>
              </w:rPr>
              <w:t>Digital services to citizens and businesses</w:t>
            </w:r>
            <w:r w:rsidRPr="007F1283">
              <w:rPr>
                <w:sz w:val="16"/>
                <w:szCs w:val="16"/>
              </w:rPr>
              <w:br/>
              <w:t>Digital public administration systems</w:t>
            </w:r>
            <w:r w:rsidRPr="007F1283">
              <w:rPr>
                <w:sz w:val="16"/>
                <w:szCs w:val="16"/>
              </w:rPr>
              <w:br/>
              <w:t>High capacity digital networks</w:t>
            </w:r>
            <w:r w:rsidRPr="007F1283">
              <w:rPr>
                <w:sz w:val="16"/>
                <w:szCs w:val="16"/>
              </w:rPr>
              <w:br/>
              <w:t>Digital economy and society, innovative start-ups and new technologies</w:t>
            </w:r>
            <w:r w:rsidRPr="007F1283">
              <w:rPr>
                <w:sz w:val="16"/>
                <w:szCs w:val="16"/>
              </w:rPr>
              <w:br/>
              <w:t>Digital transformation of enterprises</w:t>
            </w:r>
            <w:r w:rsidRPr="007F1283">
              <w:rPr>
                <w:sz w:val="16"/>
                <w:szCs w:val="16"/>
              </w:rPr>
              <w:br/>
              <w:t>Acceleration and digitalisation of the building process</w:t>
            </w:r>
          </w:p>
        </w:tc>
      </w:tr>
      <w:tr w:rsidR="00806FE5" w:rsidRPr="007F1283" w14:paraId="01DADBE7" w14:textId="77777777" w:rsidTr="00617EF5">
        <w:trPr>
          <w:trHeight w:val="269"/>
        </w:trPr>
        <w:tc>
          <w:tcPr>
            <w:tcW w:w="993" w:type="dxa"/>
            <w:vMerge/>
            <w:shd w:val="clear" w:color="auto" w:fill="B1CFCD"/>
            <w:tcMar>
              <w:top w:w="15" w:type="dxa"/>
              <w:left w:w="15" w:type="dxa"/>
              <w:right w:w="15" w:type="dxa"/>
            </w:tcMar>
          </w:tcPr>
          <w:p w14:paraId="76C2D1A2" w14:textId="350E4342" w:rsidR="00806FE5" w:rsidRPr="007F1283" w:rsidRDefault="00806FE5" w:rsidP="003A61E0">
            <w:pPr>
              <w:spacing w:line="240" w:lineRule="auto"/>
              <w:ind w:left="0"/>
              <w:rPr>
                <w:sz w:val="16"/>
                <w:szCs w:val="16"/>
              </w:rPr>
            </w:pPr>
          </w:p>
        </w:tc>
        <w:tc>
          <w:tcPr>
            <w:tcW w:w="2543" w:type="dxa"/>
            <w:shd w:val="clear" w:color="auto" w:fill="B1CFCD"/>
            <w:tcMar>
              <w:top w:w="15" w:type="dxa"/>
              <w:left w:w="15" w:type="dxa"/>
              <w:right w:w="15" w:type="dxa"/>
            </w:tcMar>
          </w:tcPr>
          <w:p w14:paraId="2AF13ACD" w14:textId="54F2A506" w:rsidR="00806FE5" w:rsidRPr="007F1283" w:rsidRDefault="00806FE5" w:rsidP="00B62454">
            <w:pPr>
              <w:spacing w:before="20" w:after="20" w:line="240" w:lineRule="auto"/>
              <w:ind w:left="0"/>
              <w:rPr>
                <w:sz w:val="16"/>
                <w:szCs w:val="16"/>
              </w:rPr>
            </w:pPr>
            <w:r w:rsidRPr="007F1283">
              <w:rPr>
                <w:sz w:val="16"/>
                <w:szCs w:val="16"/>
              </w:rPr>
              <w:t>Education and the labo</w:t>
            </w:r>
            <w:r w:rsidR="00D4662C" w:rsidRPr="007F1283">
              <w:rPr>
                <w:sz w:val="16"/>
                <w:szCs w:val="16"/>
              </w:rPr>
              <w:t>u</w:t>
            </w:r>
            <w:r w:rsidRPr="007F1283">
              <w:rPr>
                <w:sz w:val="16"/>
                <w:szCs w:val="16"/>
              </w:rPr>
              <w:t>r market</w:t>
            </w:r>
          </w:p>
        </w:tc>
        <w:tc>
          <w:tcPr>
            <w:tcW w:w="5479" w:type="dxa"/>
            <w:shd w:val="clear" w:color="auto" w:fill="B1CFCD"/>
            <w:tcMar>
              <w:top w:w="15" w:type="dxa"/>
              <w:left w:w="15" w:type="dxa"/>
              <w:right w:w="15" w:type="dxa"/>
            </w:tcMar>
          </w:tcPr>
          <w:p w14:paraId="03698333" w14:textId="76A9743E" w:rsidR="00806FE5" w:rsidRPr="007F1283" w:rsidRDefault="00806FE5" w:rsidP="00B62454">
            <w:pPr>
              <w:spacing w:before="20" w:after="20" w:line="240" w:lineRule="auto"/>
              <w:ind w:left="0"/>
              <w:rPr>
                <w:sz w:val="16"/>
                <w:szCs w:val="16"/>
              </w:rPr>
            </w:pPr>
            <w:r w:rsidRPr="007F1283">
              <w:rPr>
                <w:sz w:val="16"/>
                <w:szCs w:val="16"/>
              </w:rPr>
              <w:t>Innovation in education in the context of digitalisation</w:t>
            </w:r>
            <w:r w:rsidRPr="007F1283">
              <w:rPr>
                <w:sz w:val="16"/>
                <w:szCs w:val="16"/>
              </w:rPr>
              <w:br/>
              <w:t>Adaptation of school programmes</w:t>
            </w:r>
            <w:r w:rsidRPr="007F1283">
              <w:rPr>
                <w:sz w:val="16"/>
                <w:szCs w:val="16"/>
              </w:rPr>
              <w:br/>
              <w:t>Modernisation of employment services and labour market development</w:t>
            </w:r>
          </w:p>
        </w:tc>
      </w:tr>
      <w:tr w:rsidR="00806FE5" w:rsidRPr="007F1283" w14:paraId="1C16C6B8" w14:textId="77777777" w:rsidTr="00617EF5">
        <w:trPr>
          <w:trHeight w:val="972"/>
        </w:trPr>
        <w:tc>
          <w:tcPr>
            <w:tcW w:w="993" w:type="dxa"/>
            <w:vMerge/>
            <w:shd w:val="clear" w:color="auto" w:fill="B1CFCD"/>
            <w:tcMar>
              <w:top w:w="15" w:type="dxa"/>
              <w:left w:w="15" w:type="dxa"/>
              <w:right w:w="15" w:type="dxa"/>
            </w:tcMar>
          </w:tcPr>
          <w:p w14:paraId="4432CC03" w14:textId="69932C8B" w:rsidR="00806FE5" w:rsidRPr="007F1283" w:rsidRDefault="00806FE5" w:rsidP="003A61E0">
            <w:pPr>
              <w:spacing w:line="240" w:lineRule="auto"/>
              <w:ind w:left="0"/>
              <w:rPr>
                <w:sz w:val="16"/>
                <w:szCs w:val="16"/>
              </w:rPr>
            </w:pPr>
          </w:p>
        </w:tc>
        <w:tc>
          <w:tcPr>
            <w:tcW w:w="2543" w:type="dxa"/>
            <w:shd w:val="clear" w:color="auto" w:fill="B1CFCD"/>
            <w:tcMar>
              <w:top w:w="15" w:type="dxa"/>
              <w:left w:w="15" w:type="dxa"/>
              <w:right w:w="15" w:type="dxa"/>
            </w:tcMar>
          </w:tcPr>
          <w:p w14:paraId="6BC9778A" w14:textId="77777777" w:rsidR="00806FE5" w:rsidRPr="007F1283" w:rsidRDefault="00806FE5" w:rsidP="00B62454">
            <w:pPr>
              <w:spacing w:before="20" w:after="20" w:line="240" w:lineRule="auto"/>
              <w:ind w:left="0"/>
              <w:rPr>
                <w:sz w:val="16"/>
                <w:szCs w:val="16"/>
              </w:rPr>
            </w:pPr>
            <w:r w:rsidRPr="007F1283">
              <w:rPr>
                <w:sz w:val="16"/>
                <w:szCs w:val="16"/>
              </w:rPr>
              <w:t>Institutions and regulation and business support in response to Covid-19</w:t>
            </w:r>
          </w:p>
        </w:tc>
        <w:tc>
          <w:tcPr>
            <w:tcW w:w="5479" w:type="dxa"/>
            <w:shd w:val="clear" w:color="auto" w:fill="B1CFCD"/>
            <w:tcMar>
              <w:top w:w="15" w:type="dxa"/>
              <w:left w:w="15" w:type="dxa"/>
              <w:right w:w="15" w:type="dxa"/>
            </w:tcMar>
          </w:tcPr>
          <w:p w14:paraId="2AFBE1EB" w14:textId="72449D55" w:rsidR="00806FE5" w:rsidRPr="007F1283" w:rsidRDefault="00806FE5" w:rsidP="00B62454">
            <w:pPr>
              <w:spacing w:before="20" w:after="20" w:line="240" w:lineRule="auto"/>
              <w:ind w:left="0"/>
              <w:rPr>
                <w:sz w:val="16"/>
                <w:szCs w:val="16"/>
              </w:rPr>
            </w:pPr>
            <w:r w:rsidRPr="007F1283">
              <w:rPr>
                <w:sz w:val="16"/>
                <w:szCs w:val="16"/>
              </w:rPr>
              <w:t>New quasi-equity instruments for the promotion of entrepreneurship and development of Czech-Moravian Guarantee and Development Bank (ČMZRB) as a National Development Bank</w:t>
            </w:r>
            <w:r w:rsidRPr="007F1283">
              <w:rPr>
                <w:sz w:val="16"/>
                <w:szCs w:val="16"/>
              </w:rPr>
              <w:br/>
              <w:t>Anti-corruption reforms</w:t>
            </w:r>
            <w:r w:rsidRPr="007F1283">
              <w:rPr>
                <w:sz w:val="16"/>
                <w:szCs w:val="16"/>
              </w:rPr>
              <w:br/>
              <w:t>Enhancing the efficiency of public administration</w:t>
            </w:r>
            <w:r w:rsidRPr="007F1283">
              <w:rPr>
                <w:sz w:val="16"/>
                <w:szCs w:val="16"/>
              </w:rPr>
              <w:br/>
              <w:t>Development of the cultural and creative sector</w:t>
            </w:r>
          </w:p>
        </w:tc>
      </w:tr>
      <w:tr w:rsidR="00806FE5" w:rsidRPr="007F1283" w14:paraId="16D641E3" w14:textId="77777777" w:rsidTr="00617EF5">
        <w:trPr>
          <w:trHeight w:val="1114"/>
        </w:trPr>
        <w:tc>
          <w:tcPr>
            <w:tcW w:w="993" w:type="dxa"/>
            <w:vMerge/>
            <w:shd w:val="clear" w:color="auto" w:fill="B1CFCD"/>
            <w:tcMar>
              <w:top w:w="15" w:type="dxa"/>
              <w:left w:w="15" w:type="dxa"/>
              <w:right w:w="15" w:type="dxa"/>
            </w:tcMar>
          </w:tcPr>
          <w:p w14:paraId="30D24C39" w14:textId="07A3DF23" w:rsidR="00806FE5" w:rsidRPr="007F1283" w:rsidRDefault="00806FE5" w:rsidP="003A61E0">
            <w:pPr>
              <w:spacing w:line="240" w:lineRule="auto"/>
              <w:ind w:left="0"/>
              <w:rPr>
                <w:sz w:val="16"/>
                <w:szCs w:val="16"/>
              </w:rPr>
            </w:pPr>
          </w:p>
        </w:tc>
        <w:tc>
          <w:tcPr>
            <w:tcW w:w="2543" w:type="dxa"/>
            <w:shd w:val="clear" w:color="auto" w:fill="B1CFCD"/>
            <w:tcMar>
              <w:top w:w="15" w:type="dxa"/>
              <w:left w:w="15" w:type="dxa"/>
              <w:right w:w="15" w:type="dxa"/>
            </w:tcMar>
          </w:tcPr>
          <w:p w14:paraId="0EC2F636" w14:textId="77777777" w:rsidR="00806FE5" w:rsidRPr="007F1283" w:rsidRDefault="00806FE5" w:rsidP="00B62454">
            <w:pPr>
              <w:spacing w:before="20" w:after="20" w:line="240" w:lineRule="auto"/>
              <w:ind w:left="0"/>
              <w:rPr>
                <w:sz w:val="16"/>
                <w:szCs w:val="16"/>
              </w:rPr>
            </w:pPr>
            <w:r w:rsidRPr="007F1283">
              <w:rPr>
                <w:sz w:val="16"/>
                <w:szCs w:val="16"/>
              </w:rPr>
              <w:t>Physical infrastructure and green transition</w:t>
            </w:r>
          </w:p>
        </w:tc>
        <w:tc>
          <w:tcPr>
            <w:tcW w:w="5479" w:type="dxa"/>
            <w:shd w:val="clear" w:color="auto" w:fill="B1CFCD"/>
            <w:tcMar>
              <w:top w:w="15" w:type="dxa"/>
              <w:left w:w="15" w:type="dxa"/>
              <w:right w:w="15" w:type="dxa"/>
            </w:tcMar>
          </w:tcPr>
          <w:p w14:paraId="686C1E60" w14:textId="663E0138" w:rsidR="00806FE5" w:rsidRPr="007F1283" w:rsidRDefault="00806FE5" w:rsidP="00B62454">
            <w:pPr>
              <w:spacing w:before="20" w:after="20" w:line="240" w:lineRule="auto"/>
              <w:ind w:left="0"/>
              <w:rPr>
                <w:sz w:val="16"/>
                <w:szCs w:val="16"/>
              </w:rPr>
            </w:pPr>
            <w:r w:rsidRPr="007F1283">
              <w:rPr>
                <w:sz w:val="16"/>
                <w:szCs w:val="16"/>
              </w:rPr>
              <w:t>Sustainable transport</w:t>
            </w:r>
            <w:r w:rsidRPr="007F1283">
              <w:rPr>
                <w:sz w:val="16"/>
                <w:szCs w:val="16"/>
              </w:rPr>
              <w:br/>
              <w:t>Reducing energy consumption in the public sector</w:t>
            </w:r>
            <w:r w:rsidRPr="007F1283">
              <w:rPr>
                <w:sz w:val="16"/>
                <w:szCs w:val="16"/>
              </w:rPr>
              <w:br/>
              <w:t>Transition to cleaner energy sources</w:t>
            </w:r>
            <w:r w:rsidRPr="007F1283">
              <w:rPr>
                <w:sz w:val="16"/>
                <w:szCs w:val="16"/>
              </w:rPr>
              <w:br/>
              <w:t>Clean mobility</w:t>
            </w:r>
            <w:r w:rsidRPr="007F1283">
              <w:rPr>
                <w:sz w:val="16"/>
                <w:szCs w:val="16"/>
              </w:rPr>
              <w:br/>
              <w:t>Building renovation and air protection</w:t>
            </w:r>
            <w:r w:rsidRPr="007F1283">
              <w:rPr>
                <w:sz w:val="16"/>
                <w:szCs w:val="16"/>
              </w:rPr>
              <w:br/>
              <w:t>Nature protection and adaptation to climate change</w:t>
            </w:r>
            <w:r w:rsidRPr="007F1283">
              <w:rPr>
                <w:sz w:val="16"/>
                <w:szCs w:val="16"/>
              </w:rPr>
              <w:br/>
              <w:t>Circular economy, recycling and industrial water</w:t>
            </w:r>
            <w:r w:rsidRPr="007F1283">
              <w:rPr>
                <w:sz w:val="16"/>
                <w:szCs w:val="16"/>
              </w:rPr>
              <w:br/>
              <w:t>Brownfields revitalisation</w:t>
            </w:r>
            <w:r w:rsidRPr="007F1283">
              <w:rPr>
                <w:sz w:val="16"/>
                <w:szCs w:val="16"/>
              </w:rPr>
              <w:br/>
              <w:t>Promotion of biodiversity and fight against drought</w:t>
            </w:r>
          </w:p>
        </w:tc>
      </w:tr>
      <w:tr w:rsidR="00806FE5" w:rsidRPr="007F1283" w14:paraId="0CDC409B" w14:textId="77777777" w:rsidTr="00617EF5">
        <w:trPr>
          <w:trHeight w:val="50"/>
        </w:trPr>
        <w:tc>
          <w:tcPr>
            <w:tcW w:w="993" w:type="dxa"/>
            <w:vMerge/>
            <w:shd w:val="clear" w:color="auto" w:fill="B1CFCD"/>
            <w:tcMar>
              <w:top w:w="15" w:type="dxa"/>
              <w:left w:w="15" w:type="dxa"/>
              <w:right w:w="15" w:type="dxa"/>
            </w:tcMar>
          </w:tcPr>
          <w:p w14:paraId="34AA625B" w14:textId="6D8E399A" w:rsidR="00806FE5" w:rsidRPr="007F1283" w:rsidRDefault="00806FE5" w:rsidP="003A61E0">
            <w:pPr>
              <w:spacing w:line="240" w:lineRule="auto"/>
              <w:ind w:left="0"/>
              <w:rPr>
                <w:sz w:val="16"/>
                <w:szCs w:val="16"/>
              </w:rPr>
            </w:pPr>
          </w:p>
        </w:tc>
        <w:tc>
          <w:tcPr>
            <w:tcW w:w="2543" w:type="dxa"/>
            <w:shd w:val="clear" w:color="auto" w:fill="B1CFCD"/>
            <w:tcMar>
              <w:top w:w="15" w:type="dxa"/>
              <w:left w:w="15" w:type="dxa"/>
              <w:right w:w="15" w:type="dxa"/>
            </w:tcMar>
          </w:tcPr>
          <w:p w14:paraId="078BFC14" w14:textId="77777777" w:rsidR="00806FE5" w:rsidRPr="007F1283" w:rsidRDefault="00806FE5" w:rsidP="00B62454">
            <w:pPr>
              <w:spacing w:before="20" w:after="20" w:line="240" w:lineRule="auto"/>
              <w:ind w:left="0"/>
              <w:rPr>
                <w:sz w:val="16"/>
                <w:szCs w:val="16"/>
              </w:rPr>
            </w:pPr>
            <w:r w:rsidRPr="007F1283">
              <w:rPr>
                <w:sz w:val="16"/>
                <w:szCs w:val="16"/>
              </w:rPr>
              <w:t>Population health and resilience</w:t>
            </w:r>
          </w:p>
        </w:tc>
        <w:tc>
          <w:tcPr>
            <w:tcW w:w="5479" w:type="dxa"/>
            <w:shd w:val="clear" w:color="auto" w:fill="B1CFCD"/>
            <w:tcMar>
              <w:top w:w="15" w:type="dxa"/>
              <w:left w:w="15" w:type="dxa"/>
              <w:right w:w="15" w:type="dxa"/>
            </w:tcMar>
          </w:tcPr>
          <w:p w14:paraId="20523587" w14:textId="0424CE40" w:rsidR="00806FE5" w:rsidRPr="007F1283" w:rsidRDefault="00806FE5" w:rsidP="00B62454">
            <w:pPr>
              <w:spacing w:before="20" w:after="20" w:line="240" w:lineRule="auto"/>
              <w:ind w:left="0"/>
              <w:rPr>
                <w:sz w:val="16"/>
                <w:szCs w:val="16"/>
              </w:rPr>
            </w:pPr>
            <w:r w:rsidRPr="007F1283">
              <w:rPr>
                <w:sz w:val="16"/>
                <w:szCs w:val="16"/>
              </w:rPr>
              <w:t>Increasing resilience of the health system</w:t>
            </w:r>
            <w:r w:rsidRPr="007F1283">
              <w:rPr>
                <w:sz w:val="16"/>
                <w:szCs w:val="16"/>
              </w:rPr>
              <w:br/>
              <w:t>The national plan to strengthen oncological prevention and care</w:t>
            </w:r>
          </w:p>
        </w:tc>
      </w:tr>
      <w:tr w:rsidR="00806FE5" w:rsidRPr="007F1283" w14:paraId="49984D48" w14:textId="77777777" w:rsidTr="00617EF5">
        <w:trPr>
          <w:trHeight w:val="181"/>
        </w:trPr>
        <w:tc>
          <w:tcPr>
            <w:tcW w:w="993" w:type="dxa"/>
            <w:vMerge/>
            <w:shd w:val="clear" w:color="auto" w:fill="B1CFCD"/>
            <w:tcMar>
              <w:top w:w="15" w:type="dxa"/>
              <w:left w:w="15" w:type="dxa"/>
              <w:right w:w="15" w:type="dxa"/>
            </w:tcMar>
          </w:tcPr>
          <w:p w14:paraId="78A73580" w14:textId="39341A8D" w:rsidR="00806FE5" w:rsidRPr="007F1283" w:rsidRDefault="00806FE5" w:rsidP="003A61E0">
            <w:pPr>
              <w:spacing w:line="240" w:lineRule="auto"/>
              <w:ind w:left="0"/>
              <w:rPr>
                <w:sz w:val="16"/>
                <w:szCs w:val="16"/>
              </w:rPr>
            </w:pPr>
          </w:p>
        </w:tc>
        <w:tc>
          <w:tcPr>
            <w:tcW w:w="2543" w:type="dxa"/>
            <w:shd w:val="clear" w:color="auto" w:fill="B1CFCD"/>
            <w:tcMar>
              <w:top w:w="15" w:type="dxa"/>
              <w:left w:w="15" w:type="dxa"/>
              <w:right w:w="15" w:type="dxa"/>
            </w:tcMar>
          </w:tcPr>
          <w:p w14:paraId="41BC5C5F" w14:textId="77777777" w:rsidR="00806FE5" w:rsidRPr="007F1283" w:rsidRDefault="00806FE5" w:rsidP="00B62454">
            <w:pPr>
              <w:spacing w:before="20" w:after="20" w:line="240" w:lineRule="auto"/>
              <w:ind w:left="0"/>
              <w:rPr>
                <w:sz w:val="16"/>
                <w:szCs w:val="16"/>
              </w:rPr>
            </w:pPr>
            <w:r w:rsidRPr="007F1283">
              <w:rPr>
                <w:sz w:val="16"/>
                <w:szCs w:val="16"/>
              </w:rPr>
              <w:t>Research, development and innovation</w:t>
            </w:r>
          </w:p>
        </w:tc>
        <w:tc>
          <w:tcPr>
            <w:tcW w:w="5479" w:type="dxa"/>
            <w:shd w:val="clear" w:color="auto" w:fill="B1CFCD"/>
            <w:tcMar>
              <w:top w:w="15" w:type="dxa"/>
              <w:left w:w="15" w:type="dxa"/>
              <w:right w:w="15" w:type="dxa"/>
            </w:tcMar>
          </w:tcPr>
          <w:p w14:paraId="72307F80" w14:textId="73743110" w:rsidR="00806FE5" w:rsidRPr="007F1283" w:rsidRDefault="00806FE5" w:rsidP="00B62454">
            <w:pPr>
              <w:spacing w:before="20" w:after="20" w:line="240" w:lineRule="auto"/>
              <w:ind w:left="0"/>
              <w:rPr>
                <w:sz w:val="16"/>
                <w:szCs w:val="16"/>
              </w:rPr>
            </w:pPr>
            <w:r w:rsidRPr="007F1283">
              <w:rPr>
                <w:sz w:val="16"/>
                <w:szCs w:val="16"/>
              </w:rPr>
              <w:t>Excellent research and development in the health sector</w:t>
            </w:r>
            <w:r w:rsidRPr="007F1283">
              <w:rPr>
                <w:sz w:val="16"/>
                <w:szCs w:val="16"/>
              </w:rPr>
              <w:br/>
              <w:t>Support for research and development in companies and introduction of innovations into business practice</w:t>
            </w:r>
          </w:p>
        </w:tc>
      </w:tr>
    </w:tbl>
    <w:p w14:paraId="69A7AD4B" w14:textId="77777777" w:rsidR="00453E20" w:rsidRPr="007F1283" w:rsidRDefault="00453E20"/>
    <w:p w14:paraId="5C886066" w14:textId="77777777" w:rsidR="00453E20" w:rsidRPr="007F1283" w:rsidRDefault="00453E20"/>
    <w:p w14:paraId="19A5C300" w14:textId="77777777" w:rsidR="00453E20" w:rsidRPr="007F1283" w:rsidRDefault="00453E20"/>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93"/>
        <w:gridCol w:w="2543"/>
        <w:gridCol w:w="5479"/>
      </w:tblGrid>
      <w:tr w:rsidR="00453E20" w:rsidRPr="007F1283" w14:paraId="5FCD7FAB" w14:textId="77777777" w:rsidTr="00631C9D">
        <w:trPr>
          <w:trHeight w:val="315"/>
        </w:trPr>
        <w:tc>
          <w:tcPr>
            <w:tcW w:w="993" w:type="dxa"/>
            <w:shd w:val="clear" w:color="auto" w:fill="004242"/>
            <w:tcMar>
              <w:top w:w="15" w:type="dxa"/>
              <w:left w:w="15" w:type="dxa"/>
              <w:right w:w="15" w:type="dxa"/>
            </w:tcMar>
            <w:vAlign w:val="center"/>
          </w:tcPr>
          <w:p w14:paraId="056CACAC" w14:textId="62998AF6" w:rsidR="00453E20" w:rsidRPr="007F1283" w:rsidRDefault="00453E20" w:rsidP="00631C9D">
            <w:pPr>
              <w:spacing w:line="240" w:lineRule="auto"/>
              <w:ind w:left="0"/>
              <w:rPr>
                <w:color w:val="FFFFFF" w:themeColor="background1"/>
                <w:sz w:val="16"/>
                <w:szCs w:val="16"/>
              </w:rPr>
            </w:pPr>
            <w:r w:rsidRPr="007F1283">
              <w:rPr>
                <w:b/>
                <w:bCs/>
                <w:color w:val="FFFFFF" w:themeColor="background1"/>
                <w:sz w:val="16"/>
                <w:szCs w:val="16"/>
              </w:rPr>
              <w:t xml:space="preserve"> </w:t>
            </w:r>
            <w:r w:rsidR="004C5EED" w:rsidRPr="007F1283">
              <w:rPr>
                <w:b/>
                <w:bCs/>
                <w:color w:val="FFFFFF" w:themeColor="background1"/>
                <w:sz w:val="16"/>
                <w:szCs w:val="16"/>
              </w:rPr>
              <w:t>Programme</w:t>
            </w:r>
          </w:p>
        </w:tc>
        <w:tc>
          <w:tcPr>
            <w:tcW w:w="2543" w:type="dxa"/>
            <w:shd w:val="clear" w:color="auto" w:fill="004242"/>
            <w:tcMar>
              <w:top w:w="15" w:type="dxa"/>
              <w:left w:w="15" w:type="dxa"/>
              <w:right w:w="15" w:type="dxa"/>
            </w:tcMar>
            <w:vAlign w:val="center"/>
          </w:tcPr>
          <w:p w14:paraId="35290339" w14:textId="77777777" w:rsidR="00453E20" w:rsidRPr="007F1283" w:rsidRDefault="00453E20" w:rsidP="00631C9D">
            <w:pPr>
              <w:spacing w:line="240" w:lineRule="auto"/>
              <w:ind w:left="0"/>
              <w:rPr>
                <w:color w:val="FFFFFF" w:themeColor="background1"/>
                <w:sz w:val="16"/>
                <w:szCs w:val="16"/>
              </w:rPr>
            </w:pPr>
            <w:r w:rsidRPr="007F1283">
              <w:rPr>
                <w:b/>
                <w:bCs/>
                <w:color w:val="FFFFFF" w:themeColor="background1"/>
                <w:sz w:val="16"/>
                <w:szCs w:val="16"/>
              </w:rPr>
              <w:t xml:space="preserve"> Priorities</w:t>
            </w:r>
          </w:p>
        </w:tc>
        <w:tc>
          <w:tcPr>
            <w:tcW w:w="5479" w:type="dxa"/>
            <w:shd w:val="clear" w:color="auto" w:fill="004242"/>
            <w:tcMar>
              <w:top w:w="15" w:type="dxa"/>
              <w:left w:w="15" w:type="dxa"/>
              <w:right w:w="15" w:type="dxa"/>
            </w:tcMar>
            <w:vAlign w:val="center"/>
          </w:tcPr>
          <w:p w14:paraId="016D7927" w14:textId="77777777" w:rsidR="00453E20" w:rsidRPr="007F1283" w:rsidRDefault="00453E20" w:rsidP="00631C9D">
            <w:pPr>
              <w:spacing w:line="240" w:lineRule="auto"/>
              <w:ind w:left="0"/>
              <w:rPr>
                <w:color w:val="FFFFFF" w:themeColor="background1"/>
                <w:sz w:val="16"/>
                <w:szCs w:val="16"/>
              </w:rPr>
            </w:pPr>
            <w:r w:rsidRPr="007F1283">
              <w:rPr>
                <w:b/>
                <w:bCs/>
                <w:color w:val="FFFFFF" w:themeColor="background1"/>
                <w:sz w:val="16"/>
                <w:szCs w:val="16"/>
              </w:rPr>
              <w:t xml:space="preserve"> Specific objective </w:t>
            </w:r>
          </w:p>
        </w:tc>
      </w:tr>
      <w:tr w:rsidR="00453E20" w:rsidRPr="007F1283" w14:paraId="722C5597" w14:textId="77777777" w:rsidTr="004B6775">
        <w:trPr>
          <w:trHeight w:val="1941"/>
        </w:trPr>
        <w:tc>
          <w:tcPr>
            <w:tcW w:w="993" w:type="dxa"/>
            <w:vMerge w:val="restart"/>
            <w:shd w:val="clear" w:color="auto" w:fill="EFF6F6"/>
            <w:tcMar>
              <w:top w:w="15" w:type="dxa"/>
              <w:left w:w="15" w:type="dxa"/>
              <w:right w:w="15" w:type="dxa"/>
            </w:tcMar>
            <w:vAlign w:val="center"/>
          </w:tcPr>
          <w:p w14:paraId="39B377FD" w14:textId="3E1B576B" w:rsidR="00453E20" w:rsidRPr="007F1283" w:rsidRDefault="004B6775" w:rsidP="00453E20">
            <w:pPr>
              <w:spacing w:line="240" w:lineRule="auto"/>
              <w:ind w:left="0"/>
              <w:rPr>
                <w:b/>
                <w:bCs/>
                <w:sz w:val="16"/>
                <w:szCs w:val="16"/>
              </w:rPr>
            </w:pPr>
            <w:r w:rsidRPr="007F1283">
              <w:rPr>
                <w:b/>
                <w:bCs/>
                <w:sz w:val="16"/>
                <w:szCs w:val="16"/>
              </w:rPr>
              <w:t xml:space="preserve"> </w:t>
            </w:r>
            <w:r w:rsidR="00453E20" w:rsidRPr="007F1283">
              <w:rPr>
                <w:b/>
                <w:bCs/>
                <w:sz w:val="16"/>
                <w:szCs w:val="16"/>
              </w:rPr>
              <w:t>InvestEU</w:t>
            </w:r>
          </w:p>
          <w:p w14:paraId="44FBF31A" w14:textId="2342D739" w:rsidR="00453E20" w:rsidRPr="007F1283" w:rsidRDefault="00453E20" w:rsidP="00453E20">
            <w:pPr>
              <w:spacing w:line="240" w:lineRule="auto"/>
              <w:ind w:left="0"/>
              <w:rPr>
                <w:sz w:val="16"/>
                <w:szCs w:val="16"/>
              </w:rPr>
            </w:pPr>
          </w:p>
        </w:tc>
        <w:tc>
          <w:tcPr>
            <w:tcW w:w="2543" w:type="dxa"/>
            <w:shd w:val="clear" w:color="auto" w:fill="EFF6F6"/>
            <w:tcMar>
              <w:top w:w="15" w:type="dxa"/>
              <w:left w:w="15" w:type="dxa"/>
              <w:right w:w="15" w:type="dxa"/>
            </w:tcMar>
          </w:tcPr>
          <w:p w14:paraId="10A9FB0C" w14:textId="77777777" w:rsidR="00453E20" w:rsidRPr="007F1283" w:rsidRDefault="00453E20" w:rsidP="00B62454">
            <w:pPr>
              <w:spacing w:before="20" w:after="20" w:line="240" w:lineRule="auto"/>
              <w:ind w:left="0"/>
              <w:rPr>
                <w:sz w:val="16"/>
                <w:szCs w:val="16"/>
              </w:rPr>
            </w:pPr>
            <w:r w:rsidRPr="007F1283">
              <w:rPr>
                <w:sz w:val="16"/>
                <w:szCs w:val="16"/>
              </w:rPr>
              <w:t>Sustainable infrastructure</w:t>
            </w:r>
          </w:p>
        </w:tc>
        <w:tc>
          <w:tcPr>
            <w:tcW w:w="5479" w:type="dxa"/>
            <w:shd w:val="clear" w:color="auto" w:fill="EFF6F6"/>
            <w:tcMar>
              <w:top w:w="15" w:type="dxa"/>
              <w:left w:w="15" w:type="dxa"/>
              <w:right w:w="15" w:type="dxa"/>
            </w:tcMar>
          </w:tcPr>
          <w:p w14:paraId="6410C397" w14:textId="2F1F4E5B" w:rsidR="00453E20" w:rsidRPr="007F1283" w:rsidRDefault="00453E20" w:rsidP="00B62454">
            <w:pPr>
              <w:spacing w:before="20" w:after="20" w:line="240" w:lineRule="auto"/>
              <w:ind w:left="0"/>
              <w:rPr>
                <w:sz w:val="16"/>
                <w:szCs w:val="16"/>
              </w:rPr>
            </w:pPr>
            <w:r w:rsidRPr="007F1283">
              <w:rPr>
                <w:sz w:val="16"/>
                <w:szCs w:val="16"/>
              </w:rPr>
              <w:t>Transport, in particular clean transport modes, multimodal transport, road safety, renewal  of rail and road infrastructure</w:t>
            </w:r>
            <w:r w:rsidRPr="007F1283">
              <w:rPr>
                <w:sz w:val="16"/>
                <w:szCs w:val="16"/>
              </w:rPr>
              <w:br/>
              <w:t xml:space="preserve">Energy, in particular renewable energy, energy efficiency and building renovation projects focused on energy savings </w:t>
            </w:r>
            <w:r w:rsidRPr="007F1283">
              <w:rPr>
                <w:sz w:val="16"/>
                <w:szCs w:val="16"/>
              </w:rPr>
              <w:br/>
              <w:t>Digital connectivity and access including in rural areas</w:t>
            </w:r>
            <w:r w:rsidRPr="007F1283">
              <w:rPr>
                <w:sz w:val="16"/>
                <w:szCs w:val="16"/>
              </w:rPr>
              <w:br/>
              <w:t>Supply and processing of raw materials, space, oceans, water in line with the waste hierarchy and the circular economy</w:t>
            </w:r>
            <w:r w:rsidRPr="007F1283">
              <w:rPr>
                <w:sz w:val="16"/>
                <w:szCs w:val="16"/>
              </w:rPr>
              <w:br/>
              <w:t>Nature and other environment infrastructure</w:t>
            </w:r>
            <w:r w:rsidRPr="007F1283">
              <w:rPr>
                <w:sz w:val="16"/>
                <w:szCs w:val="16"/>
              </w:rPr>
              <w:br/>
              <w:t>Cultural heritage, tourism</w:t>
            </w:r>
            <w:r w:rsidRPr="007F1283">
              <w:rPr>
                <w:sz w:val="16"/>
                <w:szCs w:val="16"/>
              </w:rPr>
              <w:br/>
              <w:t>Equipment, mobile assets and innovative technologies that contribute to the environmental climate resilience or social sustainability objectives of the EU</w:t>
            </w:r>
          </w:p>
        </w:tc>
      </w:tr>
      <w:tr w:rsidR="00453E20" w:rsidRPr="007F1283" w14:paraId="1FDA31FD" w14:textId="77777777" w:rsidTr="004B6775">
        <w:trPr>
          <w:trHeight w:val="960"/>
        </w:trPr>
        <w:tc>
          <w:tcPr>
            <w:tcW w:w="993" w:type="dxa"/>
            <w:vMerge/>
            <w:shd w:val="clear" w:color="auto" w:fill="EFF6F6"/>
            <w:tcMar>
              <w:top w:w="15" w:type="dxa"/>
              <w:left w:w="15" w:type="dxa"/>
              <w:right w:w="15" w:type="dxa"/>
            </w:tcMar>
          </w:tcPr>
          <w:p w14:paraId="29DC649D" w14:textId="56C56DB5" w:rsidR="00453E20" w:rsidRPr="007F1283" w:rsidRDefault="00453E20" w:rsidP="003A61E0">
            <w:pPr>
              <w:spacing w:line="240" w:lineRule="auto"/>
              <w:ind w:left="0"/>
              <w:rPr>
                <w:sz w:val="16"/>
                <w:szCs w:val="16"/>
              </w:rPr>
            </w:pPr>
          </w:p>
        </w:tc>
        <w:tc>
          <w:tcPr>
            <w:tcW w:w="2543" w:type="dxa"/>
            <w:shd w:val="clear" w:color="auto" w:fill="EFF6F6"/>
            <w:tcMar>
              <w:top w:w="15" w:type="dxa"/>
              <w:left w:w="15" w:type="dxa"/>
              <w:right w:w="15" w:type="dxa"/>
            </w:tcMar>
          </w:tcPr>
          <w:p w14:paraId="070C9E1A" w14:textId="77777777" w:rsidR="00453E20" w:rsidRPr="007F1283" w:rsidRDefault="00453E20" w:rsidP="00B62454">
            <w:pPr>
              <w:spacing w:before="20" w:after="20" w:line="240" w:lineRule="auto"/>
              <w:ind w:left="0"/>
              <w:rPr>
                <w:sz w:val="16"/>
                <w:szCs w:val="16"/>
              </w:rPr>
            </w:pPr>
            <w:r w:rsidRPr="007F1283">
              <w:rPr>
                <w:sz w:val="16"/>
                <w:szCs w:val="16"/>
              </w:rPr>
              <w:t>Research, innovation and digitalisation</w:t>
            </w:r>
          </w:p>
        </w:tc>
        <w:tc>
          <w:tcPr>
            <w:tcW w:w="5479" w:type="dxa"/>
            <w:shd w:val="clear" w:color="auto" w:fill="EFF6F6"/>
            <w:tcMar>
              <w:top w:w="15" w:type="dxa"/>
              <w:left w:w="15" w:type="dxa"/>
              <w:right w:w="15" w:type="dxa"/>
            </w:tcMar>
          </w:tcPr>
          <w:p w14:paraId="0A19EE5E" w14:textId="31240A6F" w:rsidR="00453E20" w:rsidRPr="007F1283" w:rsidRDefault="00453E20" w:rsidP="00B62454">
            <w:pPr>
              <w:spacing w:before="20" w:after="20" w:line="240" w:lineRule="auto"/>
              <w:ind w:left="0"/>
              <w:rPr>
                <w:sz w:val="16"/>
                <w:szCs w:val="16"/>
              </w:rPr>
            </w:pPr>
            <w:r w:rsidRPr="007F1283">
              <w:rPr>
                <w:sz w:val="16"/>
                <w:szCs w:val="16"/>
              </w:rPr>
              <w:t>Research, product development and innovation activities</w:t>
            </w:r>
            <w:r w:rsidRPr="007F1283">
              <w:rPr>
                <w:sz w:val="16"/>
                <w:szCs w:val="16"/>
              </w:rPr>
              <w:br/>
              <w:t>Transfer of technologies and research results to the market, supporting market enablers and cooperation between enterprises</w:t>
            </w:r>
            <w:r w:rsidRPr="007F1283">
              <w:rPr>
                <w:sz w:val="16"/>
                <w:szCs w:val="16"/>
              </w:rPr>
              <w:br/>
              <w:t>Demonstration and deployment of innovative solutions and support to scaling up of innovative companies as well as digitisation</w:t>
            </w:r>
          </w:p>
        </w:tc>
      </w:tr>
      <w:tr w:rsidR="00453E20" w:rsidRPr="007F1283" w14:paraId="7EC28329" w14:textId="77777777" w:rsidTr="004B6775">
        <w:trPr>
          <w:trHeight w:val="690"/>
        </w:trPr>
        <w:tc>
          <w:tcPr>
            <w:tcW w:w="993" w:type="dxa"/>
            <w:vMerge/>
            <w:shd w:val="clear" w:color="auto" w:fill="EFF6F6"/>
            <w:tcMar>
              <w:top w:w="15" w:type="dxa"/>
              <w:left w:w="15" w:type="dxa"/>
              <w:right w:w="15" w:type="dxa"/>
            </w:tcMar>
          </w:tcPr>
          <w:p w14:paraId="10BC8656" w14:textId="7677190B" w:rsidR="00453E20" w:rsidRPr="007F1283" w:rsidRDefault="00453E20" w:rsidP="003A61E0">
            <w:pPr>
              <w:spacing w:line="240" w:lineRule="auto"/>
              <w:ind w:left="0"/>
              <w:rPr>
                <w:sz w:val="16"/>
                <w:szCs w:val="16"/>
              </w:rPr>
            </w:pPr>
          </w:p>
        </w:tc>
        <w:tc>
          <w:tcPr>
            <w:tcW w:w="2543" w:type="dxa"/>
            <w:shd w:val="clear" w:color="auto" w:fill="EFF6F6"/>
            <w:tcMar>
              <w:top w:w="15" w:type="dxa"/>
              <w:left w:w="15" w:type="dxa"/>
              <w:right w:w="15" w:type="dxa"/>
            </w:tcMar>
          </w:tcPr>
          <w:p w14:paraId="2B7A5966" w14:textId="77777777" w:rsidR="00453E20" w:rsidRPr="007F1283" w:rsidRDefault="00453E20" w:rsidP="00B62454">
            <w:pPr>
              <w:spacing w:before="20" w:after="20" w:line="240" w:lineRule="auto"/>
              <w:ind w:left="0"/>
              <w:rPr>
                <w:sz w:val="16"/>
                <w:szCs w:val="16"/>
              </w:rPr>
            </w:pPr>
            <w:r w:rsidRPr="007F1283">
              <w:rPr>
                <w:sz w:val="16"/>
                <w:szCs w:val="16"/>
              </w:rPr>
              <w:t>SMEs</w:t>
            </w:r>
          </w:p>
        </w:tc>
        <w:tc>
          <w:tcPr>
            <w:tcW w:w="5479" w:type="dxa"/>
            <w:shd w:val="clear" w:color="auto" w:fill="EFF6F6"/>
            <w:tcMar>
              <w:top w:w="15" w:type="dxa"/>
              <w:left w:w="15" w:type="dxa"/>
              <w:right w:w="15" w:type="dxa"/>
            </w:tcMar>
          </w:tcPr>
          <w:p w14:paraId="0FC474D3" w14:textId="4EB11206" w:rsidR="00453E20" w:rsidRPr="007F1283" w:rsidRDefault="00453E20" w:rsidP="00B62454">
            <w:pPr>
              <w:spacing w:before="20" w:after="20" w:line="240" w:lineRule="auto"/>
              <w:ind w:left="0"/>
              <w:rPr>
                <w:sz w:val="16"/>
                <w:szCs w:val="16"/>
              </w:rPr>
            </w:pPr>
            <w:r w:rsidRPr="007F1283">
              <w:rPr>
                <w:sz w:val="16"/>
                <w:szCs w:val="16"/>
              </w:rPr>
              <w:t>Access to and availability of finance primarily for SMEs, including innovative ones and those operating in the cultural and creative sectors</w:t>
            </w:r>
            <w:r w:rsidRPr="007F1283">
              <w:rPr>
                <w:sz w:val="16"/>
                <w:szCs w:val="16"/>
              </w:rPr>
              <w:br/>
              <w:t>Supporting in particular businesses with difficulties of access to finance: start-ups, younger and smaller companies, etc.</w:t>
            </w:r>
          </w:p>
        </w:tc>
      </w:tr>
      <w:tr w:rsidR="00453E20" w:rsidRPr="007F1283" w14:paraId="489068D8" w14:textId="77777777" w:rsidTr="004B6775">
        <w:trPr>
          <w:trHeight w:val="1937"/>
        </w:trPr>
        <w:tc>
          <w:tcPr>
            <w:tcW w:w="993" w:type="dxa"/>
            <w:vMerge/>
            <w:shd w:val="clear" w:color="auto" w:fill="EFF6F6"/>
            <w:tcMar>
              <w:top w:w="15" w:type="dxa"/>
              <w:left w:w="15" w:type="dxa"/>
              <w:right w:w="15" w:type="dxa"/>
            </w:tcMar>
          </w:tcPr>
          <w:p w14:paraId="072ECB29" w14:textId="3953B3A0" w:rsidR="00453E20" w:rsidRPr="007F1283" w:rsidRDefault="00453E20" w:rsidP="003A61E0">
            <w:pPr>
              <w:spacing w:line="240" w:lineRule="auto"/>
              <w:ind w:left="0"/>
              <w:rPr>
                <w:sz w:val="16"/>
                <w:szCs w:val="16"/>
              </w:rPr>
            </w:pPr>
          </w:p>
        </w:tc>
        <w:tc>
          <w:tcPr>
            <w:tcW w:w="2543" w:type="dxa"/>
            <w:shd w:val="clear" w:color="auto" w:fill="EFF6F6"/>
            <w:tcMar>
              <w:top w:w="15" w:type="dxa"/>
              <w:left w:w="15" w:type="dxa"/>
              <w:right w:w="15" w:type="dxa"/>
            </w:tcMar>
          </w:tcPr>
          <w:p w14:paraId="2934A2C3" w14:textId="77777777" w:rsidR="00453E20" w:rsidRPr="007F1283" w:rsidRDefault="00453E20" w:rsidP="00B62454">
            <w:pPr>
              <w:spacing w:before="20" w:after="20" w:line="240" w:lineRule="auto"/>
              <w:ind w:left="0"/>
              <w:rPr>
                <w:sz w:val="16"/>
                <w:szCs w:val="16"/>
              </w:rPr>
            </w:pPr>
            <w:r w:rsidRPr="007F1283">
              <w:rPr>
                <w:sz w:val="16"/>
                <w:szCs w:val="16"/>
              </w:rPr>
              <w:t>Social investment and skills</w:t>
            </w:r>
          </w:p>
        </w:tc>
        <w:tc>
          <w:tcPr>
            <w:tcW w:w="5479" w:type="dxa"/>
            <w:shd w:val="clear" w:color="auto" w:fill="EFF6F6"/>
            <w:tcMar>
              <w:top w:w="15" w:type="dxa"/>
              <w:left w:w="15" w:type="dxa"/>
              <w:right w:w="15" w:type="dxa"/>
            </w:tcMar>
          </w:tcPr>
          <w:p w14:paraId="6354D586" w14:textId="085A5D7E" w:rsidR="00453E20" w:rsidRPr="007F1283" w:rsidRDefault="00453E20" w:rsidP="00B62454">
            <w:pPr>
              <w:spacing w:before="20" w:after="20" w:line="240" w:lineRule="auto"/>
              <w:ind w:left="0"/>
              <w:rPr>
                <w:sz w:val="16"/>
                <w:szCs w:val="16"/>
              </w:rPr>
            </w:pPr>
            <w:r w:rsidRPr="007F1283">
              <w:rPr>
                <w:sz w:val="16"/>
                <w:szCs w:val="16"/>
              </w:rPr>
              <w:t>Microfinance</w:t>
            </w:r>
            <w:r w:rsidRPr="007F1283">
              <w:rPr>
                <w:sz w:val="16"/>
                <w:szCs w:val="16"/>
              </w:rPr>
              <w:br/>
              <w:t>Social enterprise finance and social economy</w:t>
            </w:r>
            <w:r w:rsidRPr="007F1283">
              <w:rPr>
                <w:sz w:val="16"/>
                <w:szCs w:val="16"/>
              </w:rPr>
              <w:br/>
              <w:t>Measures to promote gender equality skills, education, training and related services</w:t>
            </w:r>
            <w:r w:rsidRPr="007F1283">
              <w:rPr>
                <w:sz w:val="16"/>
                <w:szCs w:val="16"/>
              </w:rPr>
              <w:br/>
              <w:t>Social infrastructure (including health and educational infrastructure and social and student housing)</w:t>
            </w:r>
            <w:r w:rsidRPr="007F1283">
              <w:rPr>
                <w:sz w:val="16"/>
                <w:szCs w:val="16"/>
              </w:rPr>
              <w:br/>
              <w:t>Social innovation, including social impact, impact investing and social outcome contracting</w:t>
            </w:r>
            <w:r w:rsidRPr="007F1283">
              <w:rPr>
                <w:sz w:val="16"/>
                <w:szCs w:val="16"/>
              </w:rPr>
              <w:br/>
              <w:t>Health and long-term care</w:t>
            </w:r>
            <w:r w:rsidRPr="007F1283">
              <w:rPr>
                <w:sz w:val="16"/>
                <w:szCs w:val="16"/>
              </w:rPr>
              <w:br/>
              <w:t>Inclusion and accessibility</w:t>
            </w:r>
            <w:r w:rsidRPr="007F1283">
              <w:rPr>
                <w:sz w:val="16"/>
                <w:szCs w:val="16"/>
              </w:rPr>
              <w:br/>
              <w:t>Cultural and creative activities with a social goal</w:t>
            </w:r>
            <w:r w:rsidRPr="007F1283">
              <w:rPr>
                <w:sz w:val="16"/>
                <w:szCs w:val="16"/>
              </w:rPr>
              <w:br/>
              <w:t>Integration of vulnerable people, including third country nationals</w:t>
            </w:r>
          </w:p>
        </w:tc>
      </w:tr>
    </w:tbl>
    <w:p w14:paraId="161670D5" w14:textId="0CCD09A5" w:rsidR="00D4662C" w:rsidRPr="007F1283" w:rsidRDefault="00D4662C" w:rsidP="007957C4"/>
    <w:p w14:paraId="30F7B9E9" w14:textId="77777777" w:rsidR="00D4662C" w:rsidRPr="007F1283" w:rsidRDefault="00D4662C">
      <w:pPr>
        <w:spacing w:after="200" w:line="276" w:lineRule="auto"/>
        <w:ind w:left="0"/>
      </w:pPr>
      <w:r w:rsidRPr="007F1283">
        <w:br w:type="page"/>
      </w:r>
    </w:p>
    <w:p w14:paraId="40B11AF7" w14:textId="03062C1D" w:rsidR="00890600" w:rsidRPr="007F1283" w:rsidRDefault="007923A1" w:rsidP="00D4662C">
      <w:pPr>
        <w:pStyle w:val="Nadpis1"/>
        <w:numPr>
          <w:ilvl w:val="0"/>
          <w:numId w:val="0"/>
        </w:numPr>
        <w:ind w:left="567" w:right="-330" w:hanging="567"/>
        <w:rPr>
          <w:sz w:val="36"/>
          <w:szCs w:val="21"/>
        </w:rPr>
      </w:pPr>
      <w:bookmarkStart w:id="35" w:name="_Toc133944268"/>
      <w:r w:rsidRPr="007F1283">
        <w:rPr>
          <w:sz w:val="36"/>
          <w:szCs w:val="21"/>
        </w:rPr>
        <w:lastRenderedPageBreak/>
        <w:t>Annex B</w:t>
      </w:r>
      <w:r w:rsidR="00A46100" w:rsidRPr="007F1283">
        <w:rPr>
          <w:sz w:val="36"/>
          <w:szCs w:val="21"/>
        </w:rPr>
        <w:t xml:space="preserve"> </w:t>
      </w:r>
      <w:r w:rsidR="00D012FD" w:rsidRPr="007F1283">
        <w:rPr>
          <w:sz w:val="36"/>
          <w:szCs w:val="21"/>
        </w:rPr>
        <w:t>Main considerations in the DNSH assessment</w:t>
      </w:r>
      <w:bookmarkEnd w:id="35"/>
    </w:p>
    <w:tbl>
      <w:tblPr>
        <w:tblStyle w:val="Mkatabulky"/>
        <w:tblW w:w="9351" w:type="dxa"/>
        <w:tblLayout w:type="fixed"/>
        <w:tblLook w:val="04A0" w:firstRow="1" w:lastRow="0" w:firstColumn="1" w:lastColumn="0" w:noHBand="0" w:noVBand="1"/>
      </w:tblPr>
      <w:tblGrid>
        <w:gridCol w:w="1271"/>
        <w:gridCol w:w="1985"/>
        <w:gridCol w:w="6095"/>
      </w:tblGrid>
      <w:tr w:rsidR="006F160C" w:rsidRPr="007F1283" w14:paraId="14DB3C39" w14:textId="77777777" w:rsidTr="001C1FBF">
        <w:trPr>
          <w:trHeight w:val="300"/>
        </w:trPr>
        <w:tc>
          <w:tcPr>
            <w:tcW w:w="1271" w:type="dxa"/>
            <w:shd w:val="clear" w:color="auto" w:fill="004242"/>
            <w:tcMar>
              <w:left w:w="90" w:type="dxa"/>
              <w:right w:w="90" w:type="dxa"/>
            </w:tcMar>
            <w:vAlign w:val="center"/>
          </w:tcPr>
          <w:p w14:paraId="656457F6" w14:textId="77777777" w:rsidR="006F160C" w:rsidRPr="007F1283" w:rsidRDefault="006F160C">
            <w:pPr>
              <w:spacing w:line="240" w:lineRule="auto"/>
              <w:ind w:left="0"/>
              <w:rPr>
                <w:sz w:val="16"/>
                <w:szCs w:val="16"/>
              </w:rPr>
            </w:pPr>
            <w:r w:rsidRPr="007F1283">
              <w:rPr>
                <w:b/>
                <w:bCs/>
                <w:sz w:val="16"/>
                <w:szCs w:val="16"/>
              </w:rPr>
              <w:t>Category</w:t>
            </w:r>
          </w:p>
        </w:tc>
        <w:tc>
          <w:tcPr>
            <w:tcW w:w="1985" w:type="dxa"/>
            <w:shd w:val="clear" w:color="auto" w:fill="004242"/>
            <w:tcMar>
              <w:left w:w="90" w:type="dxa"/>
              <w:right w:w="90" w:type="dxa"/>
            </w:tcMar>
            <w:vAlign w:val="center"/>
          </w:tcPr>
          <w:p w14:paraId="558F573A" w14:textId="77777777" w:rsidR="006F160C" w:rsidRPr="007F1283" w:rsidRDefault="006F160C">
            <w:pPr>
              <w:spacing w:line="240" w:lineRule="auto"/>
              <w:ind w:left="0"/>
              <w:rPr>
                <w:sz w:val="16"/>
                <w:szCs w:val="16"/>
              </w:rPr>
            </w:pPr>
            <w:r w:rsidRPr="007F1283">
              <w:rPr>
                <w:b/>
                <w:bCs/>
                <w:sz w:val="16"/>
                <w:szCs w:val="16"/>
              </w:rPr>
              <w:t>Category value</w:t>
            </w:r>
          </w:p>
        </w:tc>
        <w:tc>
          <w:tcPr>
            <w:tcW w:w="6095" w:type="dxa"/>
            <w:shd w:val="clear" w:color="auto" w:fill="004242"/>
            <w:tcMar>
              <w:left w:w="90" w:type="dxa"/>
              <w:right w:w="90" w:type="dxa"/>
            </w:tcMar>
            <w:vAlign w:val="center"/>
          </w:tcPr>
          <w:p w14:paraId="77122442" w14:textId="77777777" w:rsidR="006F160C" w:rsidRPr="007F1283" w:rsidRDefault="006F160C">
            <w:pPr>
              <w:spacing w:line="240" w:lineRule="auto"/>
              <w:ind w:left="0"/>
              <w:rPr>
                <w:sz w:val="16"/>
                <w:szCs w:val="16"/>
              </w:rPr>
            </w:pPr>
            <w:r w:rsidRPr="007F1283">
              <w:rPr>
                <w:b/>
                <w:bCs/>
                <w:sz w:val="16"/>
                <w:szCs w:val="16"/>
              </w:rPr>
              <w:t>Description</w:t>
            </w:r>
          </w:p>
        </w:tc>
      </w:tr>
      <w:tr w:rsidR="006F160C" w:rsidRPr="007F1283" w14:paraId="6D767468" w14:textId="77777777" w:rsidTr="001C1FBF">
        <w:trPr>
          <w:trHeight w:val="236"/>
        </w:trPr>
        <w:tc>
          <w:tcPr>
            <w:tcW w:w="1271" w:type="dxa"/>
            <w:vMerge w:val="restart"/>
            <w:shd w:val="clear" w:color="auto" w:fill="EFF6F6"/>
            <w:tcMar>
              <w:left w:w="90" w:type="dxa"/>
              <w:right w:w="90" w:type="dxa"/>
            </w:tcMar>
            <w:vAlign w:val="center"/>
          </w:tcPr>
          <w:p w14:paraId="39A21CB1" w14:textId="77777777" w:rsidR="006F160C" w:rsidRPr="007F1283" w:rsidRDefault="006F160C">
            <w:pPr>
              <w:spacing w:line="240" w:lineRule="auto"/>
              <w:ind w:left="0"/>
              <w:rPr>
                <w:b/>
                <w:bCs/>
                <w:sz w:val="16"/>
                <w:szCs w:val="16"/>
              </w:rPr>
            </w:pPr>
            <w:r w:rsidRPr="007F1283">
              <w:rPr>
                <w:b/>
                <w:bCs/>
                <w:sz w:val="16"/>
                <w:szCs w:val="16"/>
              </w:rPr>
              <w:t>EU fund</w:t>
            </w:r>
          </w:p>
        </w:tc>
        <w:tc>
          <w:tcPr>
            <w:tcW w:w="1985" w:type="dxa"/>
            <w:tcMar>
              <w:left w:w="90" w:type="dxa"/>
              <w:right w:w="90" w:type="dxa"/>
            </w:tcMar>
          </w:tcPr>
          <w:p w14:paraId="1B337ECE" w14:textId="77777777" w:rsidR="006F160C" w:rsidRPr="007F1283" w:rsidRDefault="006F160C">
            <w:pPr>
              <w:spacing w:line="240" w:lineRule="auto"/>
              <w:ind w:left="0"/>
              <w:rPr>
                <w:sz w:val="16"/>
                <w:szCs w:val="16"/>
              </w:rPr>
            </w:pPr>
            <w:r w:rsidRPr="007F1283">
              <w:rPr>
                <w:sz w:val="16"/>
                <w:szCs w:val="16"/>
              </w:rPr>
              <w:t>Recovery and Resilience Facility (RRF)</w:t>
            </w:r>
          </w:p>
        </w:tc>
        <w:tc>
          <w:tcPr>
            <w:tcW w:w="6095" w:type="dxa"/>
            <w:tcMar>
              <w:left w:w="90" w:type="dxa"/>
              <w:right w:w="90" w:type="dxa"/>
            </w:tcMar>
          </w:tcPr>
          <w:p w14:paraId="55AA889A" w14:textId="6F1D9633" w:rsidR="006F160C" w:rsidRPr="007F1283" w:rsidRDefault="006F160C">
            <w:pPr>
              <w:spacing w:line="240" w:lineRule="auto"/>
              <w:ind w:left="0"/>
              <w:rPr>
                <w:sz w:val="16"/>
                <w:szCs w:val="16"/>
              </w:rPr>
            </w:pPr>
            <w:r w:rsidRPr="007F1283">
              <w:rPr>
                <w:sz w:val="16"/>
                <w:szCs w:val="16"/>
              </w:rPr>
              <w:t>A temporary recovery instrument helping implement reforms and investments priorities,</w:t>
            </w:r>
            <w:r w:rsidR="00551C87" w:rsidRPr="007F1283">
              <w:rPr>
                <w:sz w:val="16"/>
                <w:szCs w:val="16"/>
              </w:rPr>
              <w:t xml:space="preserve"> </w:t>
            </w:r>
            <w:r w:rsidRPr="007F1283">
              <w:rPr>
                <w:sz w:val="16"/>
                <w:szCs w:val="16"/>
              </w:rPr>
              <w:t xml:space="preserve">established by Regulation (EU) 2021/241. </w:t>
            </w:r>
          </w:p>
        </w:tc>
      </w:tr>
      <w:tr w:rsidR="006F160C" w:rsidRPr="007F1283" w14:paraId="25C65EB7" w14:textId="77777777" w:rsidTr="232E7DD7">
        <w:trPr>
          <w:trHeight w:val="300"/>
        </w:trPr>
        <w:tc>
          <w:tcPr>
            <w:tcW w:w="1271" w:type="dxa"/>
            <w:vMerge/>
            <w:vAlign w:val="center"/>
          </w:tcPr>
          <w:p w14:paraId="745C9CFC" w14:textId="77777777" w:rsidR="006F160C" w:rsidRPr="007F1283" w:rsidRDefault="006F160C">
            <w:pPr>
              <w:spacing w:line="240" w:lineRule="auto"/>
              <w:ind w:left="0"/>
              <w:rPr>
                <w:sz w:val="16"/>
                <w:szCs w:val="16"/>
              </w:rPr>
            </w:pPr>
          </w:p>
        </w:tc>
        <w:tc>
          <w:tcPr>
            <w:tcW w:w="1985" w:type="dxa"/>
            <w:tcMar>
              <w:left w:w="90" w:type="dxa"/>
              <w:right w:w="90" w:type="dxa"/>
            </w:tcMar>
          </w:tcPr>
          <w:p w14:paraId="1FFF5C45" w14:textId="77777777" w:rsidR="006F160C" w:rsidRPr="007F1283" w:rsidRDefault="006F160C">
            <w:pPr>
              <w:spacing w:line="240" w:lineRule="auto"/>
              <w:ind w:left="0"/>
              <w:rPr>
                <w:sz w:val="16"/>
                <w:szCs w:val="16"/>
              </w:rPr>
            </w:pPr>
            <w:r w:rsidRPr="007F1283">
              <w:rPr>
                <w:sz w:val="16"/>
                <w:szCs w:val="16"/>
              </w:rPr>
              <w:t>InvestEU</w:t>
            </w:r>
          </w:p>
        </w:tc>
        <w:tc>
          <w:tcPr>
            <w:tcW w:w="6095" w:type="dxa"/>
            <w:tcMar>
              <w:left w:w="90" w:type="dxa"/>
              <w:right w:w="90" w:type="dxa"/>
            </w:tcMar>
          </w:tcPr>
          <w:p w14:paraId="2BA35EEC" w14:textId="02FB1EF5" w:rsidR="006F160C" w:rsidRPr="007F1283" w:rsidRDefault="006F160C">
            <w:pPr>
              <w:spacing w:line="240" w:lineRule="auto"/>
              <w:ind w:left="0"/>
              <w:rPr>
                <w:sz w:val="16"/>
                <w:szCs w:val="16"/>
              </w:rPr>
            </w:pPr>
            <w:r w:rsidRPr="007F1283">
              <w:rPr>
                <w:sz w:val="16"/>
                <w:szCs w:val="16"/>
              </w:rPr>
              <w:t>A programme supporting sustainable investment, innovation and job creation in Europe,</w:t>
            </w:r>
            <w:r w:rsidR="00551C87" w:rsidRPr="007F1283">
              <w:rPr>
                <w:sz w:val="16"/>
                <w:szCs w:val="16"/>
              </w:rPr>
              <w:t xml:space="preserve"> </w:t>
            </w:r>
            <w:r w:rsidRPr="007F1283">
              <w:rPr>
                <w:sz w:val="16"/>
                <w:szCs w:val="16"/>
              </w:rPr>
              <w:t xml:space="preserve">established by Regulation (EU) 2021/523. </w:t>
            </w:r>
          </w:p>
        </w:tc>
      </w:tr>
      <w:tr w:rsidR="006F160C" w:rsidRPr="007F1283" w14:paraId="4EC828D1" w14:textId="77777777" w:rsidTr="232E7DD7">
        <w:trPr>
          <w:trHeight w:val="300"/>
        </w:trPr>
        <w:tc>
          <w:tcPr>
            <w:tcW w:w="1271" w:type="dxa"/>
            <w:vMerge/>
            <w:vAlign w:val="center"/>
          </w:tcPr>
          <w:p w14:paraId="462C4D73" w14:textId="77777777" w:rsidR="006F160C" w:rsidRPr="007F1283" w:rsidRDefault="006F160C">
            <w:pPr>
              <w:spacing w:line="240" w:lineRule="auto"/>
              <w:ind w:left="0"/>
              <w:rPr>
                <w:sz w:val="16"/>
                <w:szCs w:val="16"/>
              </w:rPr>
            </w:pPr>
          </w:p>
        </w:tc>
        <w:tc>
          <w:tcPr>
            <w:tcW w:w="1985" w:type="dxa"/>
            <w:tcMar>
              <w:left w:w="90" w:type="dxa"/>
              <w:right w:w="90" w:type="dxa"/>
            </w:tcMar>
          </w:tcPr>
          <w:p w14:paraId="2CA40CBF" w14:textId="77777777" w:rsidR="006F160C" w:rsidRPr="007F1283" w:rsidRDefault="006F160C">
            <w:pPr>
              <w:spacing w:line="240" w:lineRule="auto"/>
              <w:ind w:left="0"/>
              <w:rPr>
                <w:sz w:val="16"/>
                <w:szCs w:val="16"/>
              </w:rPr>
            </w:pPr>
            <w:r w:rsidRPr="007F1283">
              <w:rPr>
                <w:sz w:val="16"/>
                <w:szCs w:val="16"/>
              </w:rPr>
              <w:t>Cohesion policy funds (CPF)</w:t>
            </w:r>
          </w:p>
        </w:tc>
        <w:tc>
          <w:tcPr>
            <w:tcW w:w="6095" w:type="dxa"/>
            <w:tcMar>
              <w:left w:w="90" w:type="dxa"/>
              <w:right w:w="90" w:type="dxa"/>
            </w:tcMar>
          </w:tcPr>
          <w:p w14:paraId="3A7055AA" w14:textId="673C69F3" w:rsidR="006F160C" w:rsidRPr="007F1283" w:rsidRDefault="006F160C" w:rsidP="0045769F">
            <w:pPr>
              <w:spacing w:line="240" w:lineRule="auto"/>
              <w:ind w:left="0"/>
              <w:rPr>
                <w:sz w:val="16"/>
                <w:szCs w:val="16"/>
              </w:rPr>
            </w:pPr>
            <w:r w:rsidRPr="007F1283">
              <w:rPr>
                <w:sz w:val="16"/>
                <w:szCs w:val="16"/>
              </w:rPr>
              <w:t>Cohesion Fund (CF)</w:t>
            </w:r>
            <w:r w:rsidR="0045769F" w:rsidRPr="007F1283">
              <w:rPr>
                <w:sz w:val="16"/>
                <w:szCs w:val="16"/>
              </w:rPr>
              <w:t xml:space="preserve"> and European Regional Development Fund (ERDF)</w:t>
            </w:r>
            <w:r w:rsidRPr="007F1283">
              <w:rPr>
                <w:sz w:val="16"/>
                <w:szCs w:val="16"/>
              </w:rPr>
              <w:t xml:space="preserve">, established by </w:t>
            </w:r>
            <w:r w:rsidR="0045769F" w:rsidRPr="007F1283">
              <w:rPr>
                <w:sz w:val="16"/>
                <w:szCs w:val="16"/>
              </w:rPr>
              <w:t xml:space="preserve">the </w:t>
            </w:r>
            <w:r w:rsidRPr="007F1283">
              <w:rPr>
                <w:sz w:val="16"/>
                <w:szCs w:val="16"/>
              </w:rPr>
              <w:t xml:space="preserve">Regulation (EU) </w:t>
            </w:r>
            <w:r w:rsidR="00D012FD" w:rsidRPr="007F1283">
              <w:rPr>
                <w:sz w:val="16"/>
                <w:szCs w:val="16"/>
              </w:rPr>
              <w:t>2021/1058</w:t>
            </w:r>
            <w:r w:rsidR="0045769F" w:rsidRPr="007F1283">
              <w:rPr>
                <w:sz w:val="16"/>
                <w:szCs w:val="16"/>
              </w:rPr>
              <w:t xml:space="preserve"> and (EU) 2021/1060.</w:t>
            </w:r>
            <w:r w:rsidR="0045769F" w:rsidRPr="007F1283">
              <w:rPr>
                <w:sz w:val="16"/>
                <w:szCs w:val="16"/>
              </w:rPr>
              <w:br/>
            </w:r>
          </w:p>
          <w:p w14:paraId="02931F9F" w14:textId="77777777" w:rsidR="006F160C" w:rsidRPr="007F1283" w:rsidRDefault="006F160C">
            <w:pPr>
              <w:spacing w:line="240" w:lineRule="auto"/>
              <w:ind w:left="0"/>
              <w:rPr>
                <w:sz w:val="16"/>
                <w:szCs w:val="16"/>
              </w:rPr>
            </w:pPr>
            <w:r w:rsidRPr="007F1283">
              <w:rPr>
                <w:sz w:val="16"/>
                <w:szCs w:val="16"/>
              </w:rPr>
              <w:t>Just Transition Fund (JTF), established by Regulation (EU) 2021/1056;</w:t>
            </w:r>
          </w:p>
          <w:p w14:paraId="6130C777" w14:textId="77777777" w:rsidR="006F160C" w:rsidRPr="007F1283" w:rsidRDefault="006F160C">
            <w:pPr>
              <w:spacing w:line="240" w:lineRule="auto"/>
              <w:ind w:left="0"/>
              <w:rPr>
                <w:sz w:val="16"/>
                <w:szCs w:val="16"/>
              </w:rPr>
            </w:pPr>
            <w:r w:rsidRPr="007F1283">
              <w:rPr>
                <w:sz w:val="16"/>
                <w:szCs w:val="16"/>
              </w:rPr>
              <w:t>European Social Fund Plus (ESF+), established by Regulation (EU) 2021/1057</w:t>
            </w:r>
          </w:p>
        </w:tc>
      </w:tr>
      <w:tr w:rsidR="006F160C" w:rsidRPr="007F1283" w14:paraId="79A33DEC" w14:textId="77777777" w:rsidTr="001C1FBF">
        <w:trPr>
          <w:trHeight w:val="300"/>
        </w:trPr>
        <w:tc>
          <w:tcPr>
            <w:tcW w:w="1271" w:type="dxa"/>
            <w:vMerge w:val="restart"/>
            <w:shd w:val="clear" w:color="auto" w:fill="EFF6F6"/>
            <w:tcMar>
              <w:left w:w="90" w:type="dxa"/>
              <w:right w:w="90" w:type="dxa"/>
            </w:tcMar>
            <w:vAlign w:val="center"/>
          </w:tcPr>
          <w:p w14:paraId="55A420D4" w14:textId="04960D6B" w:rsidR="006F160C" w:rsidRPr="007F1283" w:rsidRDefault="006F160C">
            <w:pPr>
              <w:spacing w:line="240" w:lineRule="auto"/>
              <w:ind w:left="0"/>
              <w:rPr>
                <w:b/>
                <w:bCs/>
                <w:sz w:val="16"/>
                <w:szCs w:val="16"/>
              </w:rPr>
            </w:pPr>
            <w:r w:rsidRPr="007F1283">
              <w:rPr>
                <w:b/>
                <w:bCs/>
                <w:sz w:val="16"/>
                <w:szCs w:val="16"/>
              </w:rPr>
              <w:t>Sectoral specifics</w:t>
            </w:r>
          </w:p>
        </w:tc>
        <w:tc>
          <w:tcPr>
            <w:tcW w:w="1985" w:type="dxa"/>
            <w:vMerge w:val="restart"/>
            <w:tcMar>
              <w:left w:w="90" w:type="dxa"/>
              <w:right w:w="90" w:type="dxa"/>
            </w:tcMar>
          </w:tcPr>
          <w:p w14:paraId="148C39C1" w14:textId="77777777" w:rsidR="006F160C" w:rsidRPr="007F1283" w:rsidRDefault="006F160C">
            <w:pPr>
              <w:spacing w:line="240" w:lineRule="auto"/>
              <w:ind w:left="0"/>
              <w:rPr>
                <w:sz w:val="16"/>
                <w:szCs w:val="16"/>
              </w:rPr>
            </w:pPr>
            <w:r w:rsidRPr="007F1283">
              <w:rPr>
                <w:sz w:val="16"/>
                <w:szCs w:val="16"/>
              </w:rPr>
              <w:t xml:space="preserve">RRF sectoral specifics – </w:t>
            </w:r>
          </w:p>
          <w:p w14:paraId="62905603" w14:textId="77777777" w:rsidR="006F160C" w:rsidRPr="007F1283" w:rsidRDefault="006F160C">
            <w:pPr>
              <w:spacing w:line="240" w:lineRule="auto"/>
              <w:ind w:left="0"/>
              <w:rPr>
                <w:sz w:val="16"/>
                <w:szCs w:val="16"/>
              </w:rPr>
            </w:pPr>
            <w:r w:rsidRPr="007F1283">
              <w:rPr>
                <w:i/>
                <w:iCs/>
                <w:sz w:val="16"/>
                <w:szCs w:val="16"/>
              </w:rPr>
              <w:t>according to the DNSH Technical Guidance, Annex III (2021/C 58/01)</w:t>
            </w:r>
          </w:p>
        </w:tc>
        <w:tc>
          <w:tcPr>
            <w:tcW w:w="6095" w:type="dxa"/>
            <w:tcMar>
              <w:left w:w="90" w:type="dxa"/>
              <w:right w:w="90" w:type="dxa"/>
            </w:tcMar>
          </w:tcPr>
          <w:p w14:paraId="56409412" w14:textId="4C0250EB" w:rsidR="006F160C" w:rsidRPr="007F1283" w:rsidRDefault="006F160C">
            <w:pPr>
              <w:spacing w:line="240" w:lineRule="auto"/>
              <w:ind w:left="0"/>
              <w:rPr>
                <w:sz w:val="16"/>
                <w:szCs w:val="16"/>
              </w:rPr>
            </w:pPr>
            <w:r w:rsidRPr="007F1283">
              <w:rPr>
                <w:sz w:val="16"/>
                <w:szCs w:val="16"/>
              </w:rPr>
              <w:t>natural gas</w:t>
            </w:r>
            <w:r w:rsidR="04700379" w:rsidRPr="007F1283">
              <w:rPr>
                <w:sz w:val="16"/>
                <w:szCs w:val="16"/>
              </w:rPr>
              <w:t xml:space="preserve"> </w:t>
            </w:r>
            <w:r w:rsidRPr="007F1283">
              <w:rPr>
                <w:sz w:val="16"/>
                <w:szCs w:val="16"/>
              </w:rPr>
              <w:t>(NG)-based power and/or heat generation;</w:t>
            </w:r>
          </w:p>
          <w:p w14:paraId="067D4E5C" w14:textId="77777777" w:rsidR="006F160C" w:rsidRPr="007F1283" w:rsidRDefault="006F160C">
            <w:pPr>
              <w:spacing w:line="240" w:lineRule="auto"/>
              <w:ind w:left="0"/>
              <w:rPr>
                <w:sz w:val="16"/>
                <w:szCs w:val="16"/>
              </w:rPr>
            </w:pPr>
            <w:r w:rsidRPr="007F1283">
              <w:rPr>
                <w:sz w:val="16"/>
                <w:szCs w:val="16"/>
              </w:rPr>
              <w:t>NG-based generation facilities in district heating/cooling systems;</w:t>
            </w:r>
          </w:p>
          <w:p w14:paraId="1033CE68" w14:textId="77777777" w:rsidR="006F160C" w:rsidRPr="007F1283" w:rsidRDefault="006F160C">
            <w:pPr>
              <w:spacing w:line="240" w:lineRule="auto"/>
              <w:ind w:left="0"/>
              <w:rPr>
                <w:sz w:val="16"/>
                <w:szCs w:val="16"/>
              </w:rPr>
            </w:pPr>
            <w:r w:rsidRPr="007F1283">
              <w:rPr>
                <w:sz w:val="16"/>
                <w:szCs w:val="16"/>
              </w:rPr>
              <w:t>district heating/cooling networks that obtain heat/cool from facilities using NG;</w:t>
            </w:r>
          </w:p>
          <w:p w14:paraId="2E821AFD" w14:textId="77777777" w:rsidR="006F160C" w:rsidRPr="007F1283" w:rsidRDefault="006F160C">
            <w:pPr>
              <w:spacing w:line="240" w:lineRule="auto"/>
              <w:ind w:left="0"/>
              <w:rPr>
                <w:sz w:val="16"/>
                <w:szCs w:val="16"/>
              </w:rPr>
            </w:pPr>
            <w:r w:rsidRPr="007F1283">
              <w:rPr>
                <w:sz w:val="16"/>
                <w:szCs w:val="16"/>
              </w:rPr>
              <w:t>NG-based boilers and heating systems (and related distribution infrastructure)</w:t>
            </w:r>
          </w:p>
        </w:tc>
      </w:tr>
      <w:tr w:rsidR="006F160C" w:rsidRPr="007F1283" w14:paraId="5210EB68" w14:textId="77777777" w:rsidTr="232E7DD7">
        <w:trPr>
          <w:trHeight w:val="68"/>
        </w:trPr>
        <w:tc>
          <w:tcPr>
            <w:tcW w:w="1271" w:type="dxa"/>
            <w:vMerge/>
            <w:vAlign w:val="center"/>
          </w:tcPr>
          <w:p w14:paraId="068B8C56" w14:textId="20F60584" w:rsidR="006F160C" w:rsidRPr="007F1283" w:rsidRDefault="006F160C">
            <w:pPr>
              <w:spacing w:line="240" w:lineRule="auto"/>
              <w:ind w:left="0"/>
              <w:rPr>
                <w:sz w:val="16"/>
                <w:szCs w:val="16"/>
              </w:rPr>
            </w:pPr>
          </w:p>
        </w:tc>
        <w:tc>
          <w:tcPr>
            <w:tcW w:w="1985" w:type="dxa"/>
            <w:vMerge/>
            <w:vAlign w:val="center"/>
          </w:tcPr>
          <w:p w14:paraId="32936DA0" w14:textId="77777777" w:rsidR="006F160C" w:rsidRPr="007F1283" w:rsidRDefault="006F160C">
            <w:pPr>
              <w:spacing w:line="240" w:lineRule="auto"/>
              <w:ind w:left="0"/>
              <w:rPr>
                <w:sz w:val="16"/>
                <w:szCs w:val="16"/>
              </w:rPr>
            </w:pPr>
          </w:p>
        </w:tc>
        <w:tc>
          <w:tcPr>
            <w:tcW w:w="6095" w:type="dxa"/>
            <w:tcMar>
              <w:left w:w="90" w:type="dxa"/>
              <w:right w:w="90" w:type="dxa"/>
            </w:tcMar>
          </w:tcPr>
          <w:p w14:paraId="5CE1574F" w14:textId="77777777" w:rsidR="006F160C" w:rsidRPr="007F1283" w:rsidRDefault="006F160C">
            <w:pPr>
              <w:spacing w:line="240" w:lineRule="auto"/>
              <w:ind w:left="0"/>
              <w:rPr>
                <w:sz w:val="16"/>
                <w:szCs w:val="16"/>
              </w:rPr>
            </w:pPr>
            <w:r w:rsidRPr="007F1283">
              <w:rPr>
                <w:sz w:val="16"/>
                <w:szCs w:val="16"/>
              </w:rPr>
              <w:t>transmission and distribution infrastructure of gaseous fuels</w:t>
            </w:r>
          </w:p>
        </w:tc>
      </w:tr>
      <w:tr w:rsidR="006F160C" w:rsidRPr="007F1283" w14:paraId="5A04DECB" w14:textId="77777777" w:rsidTr="232E7DD7">
        <w:trPr>
          <w:trHeight w:val="300"/>
        </w:trPr>
        <w:tc>
          <w:tcPr>
            <w:tcW w:w="1271" w:type="dxa"/>
            <w:vMerge/>
            <w:vAlign w:val="center"/>
          </w:tcPr>
          <w:p w14:paraId="6E23C9D3" w14:textId="32BAA7BB" w:rsidR="006F160C" w:rsidRPr="007F1283" w:rsidRDefault="006F160C">
            <w:pPr>
              <w:spacing w:line="240" w:lineRule="auto"/>
              <w:ind w:left="0"/>
              <w:rPr>
                <w:sz w:val="16"/>
                <w:szCs w:val="16"/>
              </w:rPr>
            </w:pPr>
          </w:p>
        </w:tc>
        <w:tc>
          <w:tcPr>
            <w:tcW w:w="1985" w:type="dxa"/>
            <w:vMerge w:val="restart"/>
            <w:tcMar>
              <w:left w:w="90" w:type="dxa"/>
              <w:right w:w="90" w:type="dxa"/>
            </w:tcMar>
          </w:tcPr>
          <w:p w14:paraId="6E0283B5" w14:textId="77777777" w:rsidR="006F160C" w:rsidRPr="007F1283" w:rsidRDefault="006F160C">
            <w:pPr>
              <w:spacing w:line="240" w:lineRule="auto"/>
              <w:ind w:left="0"/>
              <w:rPr>
                <w:sz w:val="16"/>
                <w:szCs w:val="16"/>
              </w:rPr>
            </w:pPr>
            <w:r w:rsidRPr="007F1283">
              <w:rPr>
                <w:sz w:val="16"/>
                <w:szCs w:val="16"/>
              </w:rPr>
              <w:t xml:space="preserve">RRF sectoral specifics – </w:t>
            </w:r>
          </w:p>
          <w:p w14:paraId="7183B1DC" w14:textId="77777777" w:rsidR="006F160C" w:rsidRPr="007F1283" w:rsidRDefault="006F160C">
            <w:pPr>
              <w:spacing w:line="240" w:lineRule="auto"/>
              <w:ind w:left="0"/>
              <w:rPr>
                <w:sz w:val="16"/>
                <w:szCs w:val="16"/>
              </w:rPr>
            </w:pPr>
            <w:r w:rsidRPr="007F1283">
              <w:rPr>
                <w:i/>
                <w:iCs/>
                <w:sz w:val="16"/>
                <w:szCs w:val="16"/>
              </w:rPr>
              <w:t>according to CID on RRP for Czechia, Annex (COM/2021/431)</w:t>
            </w:r>
          </w:p>
        </w:tc>
        <w:tc>
          <w:tcPr>
            <w:tcW w:w="6095" w:type="dxa"/>
            <w:tcMar>
              <w:left w:w="90" w:type="dxa"/>
              <w:right w:w="90" w:type="dxa"/>
            </w:tcMar>
          </w:tcPr>
          <w:p w14:paraId="644B2F8B" w14:textId="77777777" w:rsidR="006F160C" w:rsidRPr="007F1283" w:rsidRDefault="006F160C">
            <w:pPr>
              <w:spacing w:line="240" w:lineRule="auto"/>
              <w:ind w:left="0"/>
              <w:rPr>
                <w:sz w:val="16"/>
                <w:szCs w:val="16"/>
              </w:rPr>
            </w:pPr>
            <w:r w:rsidRPr="007F1283">
              <w:rPr>
                <w:sz w:val="16"/>
                <w:szCs w:val="16"/>
              </w:rPr>
              <w:t>R&amp;I activities dedicated to blue and grey hydrogen, incinerators and landfills;</w:t>
            </w:r>
          </w:p>
          <w:p w14:paraId="336BD39E" w14:textId="77777777" w:rsidR="006F160C" w:rsidRPr="007F1283" w:rsidRDefault="006F160C">
            <w:pPr>
              <w:spacing w:line="240" w:lineRule="auto"/>
              <w:ind w:left="0"/>
              <w:rPr>
                <w:sz w:val="16"/>
                <w:szCs w:val="16"/>
              </w:rPr>
            </w:pPr>
            <w:r w:rsidRPr="007F1283">
              <w:rPr>
                <w:sz w:val="16"/>
                <w:szCs w:val="16"/>
              </w:rPr>
              <w:t>R&amp;I activities dedicated to coal, lignite, oil/petroleum, NG not covered by Annex III of the DNSH Technical Guidance;</w:t>
            </w:r>
          </w:p>
          <w:p w14:paraId="4AA2325C" w14:textId="77777777" w:rsidR="006F160C" w:rsidRPr="007F1283" w:rsidRDefault="006F160C">
            <w:pPr>
              <w:spacing w:line="240" w:lineRule="auto"/>
              <w:ind w:left="0"/>
              <w:rPr>
                <w:sz w:val="16"/>
                <w:szCs w:val="16"/>
              </w:rPr>
            </w:pPr>
            <w:r w:rsidRPr="007F1283">
              <w:rPr>
                <w:sz w:val="16"/>
                <w:szCs w:val="16"/>
              </w:rPr>
              <w:t xml:space="preserve">waste landfills; </w:t>
            </w:r>
          </w:p>
          <w:p w14:paraId="4B72C4B8" w14:textId="77777777" w:rsidR="006F160C" w:rsidRPr="007F1283" w:rsidRDefault="006F160C">
            <w:pPr>
              <w:spacing w:line="240" w:lineRule="auto"/>
              <w:ind w:left="0"/>
              <w:rPr>
                <w:sz w:val="16"/>
                <w:szCs w:val="16"/>
              </w:rPr>
            </w:pPr>
            <w:r w:rsidRPr="007F1283">
              <w:rPr>
                <w:sz w:val="16"/>
                <w:szCs w:val="16"/>
              </w:rPr>
              <w:t>long-term disposal of waste that may cause harm to the environment;</w:t>
            </w:r>
          </w:p>
          <w:p w14:paraId="0CF1A3C2" w14:textId="77777777" w:rsidR="006F160C" w:rsidRPr="007F1283" w:rsidRDefault="006F160C">
            <w:pPr>
              <w:spacing w:line="240" w:lineRule="auto"/>
              <w:ind w:left="0"/>
              <w:rPr>
                <w:sz w:val="16"/>
                <w:szCs w:val="16"/>
              </w:rPr>
            </w:pPr>
            <w:r w:rsidRPr="007F1283">
              <w:rPr>
                <w:sz w:val="16"/>
                <w:szCs w:val="16"/>
              </w:rPr>
              <w:t>activities/assets under the EU ETS achieving projected GHG emissions that are not lower than the relevant benchmarks;</w:t>
            </w:r>
          </w:p>
        </w:tc>
      </w:tr>
      <w:tr w:rsidR="006F160C" w:rsidRPr="007F1283" w14:paraId="664C4831" w14:textId="77777777" w:rsidTr="232E7DD7">
        <w:trPr>
          <w:trHeight w:val="300"/>
        </w:trPr>
        <w:tc>
          <w:tcPr>
            <w:tcW w:w="1271" w:type="dxa"/>
            <w:vMerge/>
            <w:tcMar>
              <w:left w:w="105" w:type="dxa"/>
              <w:right w:w="105" w:type="dxa"/>
            </w:tcMar>
            <w:vAlign w:val="center"/>
          </w:tcPr>
          <w:p w14:paraId="07E3EF56" w14:textId="30061868" w:rsidR="006F160C" w:rsidRPr="007F1283" w:rsidRDefault="006F160C">
            <w:pPr>
              <w:spacing w:line="240" w:lineRule="auto"/>
              <w:ind w:left="0"/>
              <w:rPr>
                <w:sz w:val="16"/>
                <w:szCs w:val="16"/>
              </w:rPr>
            </w:pPr>
          </w:p>
        </w:tc>
        <w:tc>
          <w:tcPr>
            <w:tcW w:w="1985" w:type="dxa"/>
            <w:vMerge/>
            <w:vAlign w:val="center"/>
          </w:tcPr>
          <w:p w14:paraId="4E6164B2" w14:textId="77777777" w:rsidR="006F160C" w:rsidRPr="007F1283" w:rsidRDefault="006F160C">
            <w:pPr>
              <w:spacing w:line="240" w:lineRule="auto"/>
              <w:ind w:left="0"/>
              <w:rPr>
                <w:sz w:val="16"/>
                <w:szCs w:val="16"/>
              </w:rPr>
            </w:pPr>
          </w:p>
        </w:tc>
        <w:tc>
          <w:tcPr>
            <w:tcW w:w="6095" w:type="dxa"/>
            <w:tcMar>
              <w:left w:w="90" w:type="dxa"/>
              <w:right w:w="90" w:type="dxa"/>
            </w:tcMar>
          </w:tcPr>
          <w:p w14:paraId="0960F22F" w14:textId="77777777" w:rsidR="006F160C" w:rsidRPr="007F1283" w:rsidRDefault="006F160C">
            <w:pPr>
              <w:spacing w:line="240" w:lineRule="auto"/>
              <w:ind w:left="0"/>
              <w:rPr>
                <w:sz w:val="16"/>
                <w:szCs w:val="16"/>
              </w:rPr>
            </w:pPr>
            <w:r w:rsidRPr="007F1283">
              <w:rPr>
                <w:sz w:val="16"/>
                <w:szCs w:val="16"/>
              </w:rPr>
              <w:t>waste incinerators, mechanical biological treatment plants;</w:t>
            </w:r>
          </w:p>
          <w:p w14:paraId="6737AFAB" w14:textId="77777777" w:rsidR="006F160C" w:rsidRPr="007F1283" w:rsidRDefault="006F160C">
            <w:pPr>
              <w:spacing w:line="240" w:lineRule="auto"/>
              <w:ind w:left="0"/>
              <w:rPr>
                <w:sz w:val="16"/>
                <w:szCs w:val="16"/>
              </w:rPr>
            </w:pPr>
            <w:r w:rsidRPr="007F1283">
              <w:rPr>
                <w:sz w:val="16"/>
                <w:szCs w:val="16"/>
              </w:rPr>
              <w:t>activities/assets related to fossil fuels, including downstream use</w:t>
            </w:r>
          </w:p>
        </w:tc>
      </w:tr>
      <w:tr w:rsidR="006F160C" w:rsidRPr="007F1283" w14:paraId="34D5AFAB" w14:textId="77777777" w:rsidTr="232E7DD7">
        <w:trPr>
          <w:trHeight w:val="300"/>
        </w:trPr>
        <w:tc>
          <w:tcPr>
            <w:tcW w:w="1271" w:type="dxa"/>
            <w:vMerge/>
            <w:vAlign w:val="center"/>
          </w:tcPr>
          <w:p w14:paraId="177A719F" w14:textId="6F39406D" w:rsidR="006F160C" w:rsidRPr="007F1283" w:rsidRDefault="006F160C">
            <w:pPr>
              <w:spacing w:line="240" w:lineRule="auto"/>
              <w:ind w:left="0"/>
              <w:rPr>
                <w:sz w:val="16"/>
                <w:szCs w:val="16"/>
              </w:rPr>
            </w:pPr>
          </w:p>
        </w:tc>
        <w:tc>
          <w:tcPr>
            <w:tcW w:w="1985" w:type="dxa"/>
            <w:vMerge/>
            <w:vAlign w:val="center"/>
          </w:tcPr>
          <w:p w14:paraId="4F6590DD" w14:textId="77777777" w:rsidR="006F160C" w:rsidRPr="007F1283" w:rsidRDefault="006F160C">
            <w:pPr>
              <w:spacing w:line="240" w:lineRule="auto"/>
              <w:ind w:left="0"/>
              <w:rPr>
                <w:sz w:val="16"/>
                <w:szCs w:val="16"/>
              </w:rPr>
            </w:pPr>
          </w:p>
        </w:tc>
        <w:tc>
          <w:tcPr>
            <w:tcW w:w="6095" w:type="dxa"/>
            <w:tcMar>
              <w:left w:w="90" w:type="dxa"/>
              <w:right w:w="90" w:type="dxa"/>
            </w:tcMar>
          </w:tcPr>
          <w:p w14:paraId="06735FA8" w14:textId="77777777" w:rsidR="006F160C" w:rsidRPr="007F1283" w:rsidRDefault="006F160C">
            <w:pPr>
              <w:spacing w:line="240" w:lineRule="auto"/>
              <w:ind w:left="0"/>
              <w:rPr>
                <w:sz w:val="16"/>
                <w:szCs w:val="16"/>
              </w:rPr>
            </w:pPr>
            <w:r w:rsidRPr="007F1283">
              <w:rPr>
                <w:sz w:val="16"/>
                <w:szCs w:val="16"/>
              </w:rPr>
              <w:t>activities/assets under the EU ETS achieving projected GHG emissions that are not significantly lower than the relevant benchmarks</w:t>
            </w:r>
          </w:p>
        </w:tc>
      </w:tr>
      <w:tr w:rsidR="006F160C" w:rsidRPr="007F1283" w14:paraId="12714472" w14:textId="77777777" w:rsidTr="232E7DD7">
        <w:trPr>
          <w:trHeight w:val="300"/>
        </w:trPr>
        <w:tc>
          <w:tcPr>
            <w:tcW w:w="1271" w:type="dxa"/>
            <w:vMerge/>
            <w:vAlign w:val="center"/>
          </w:tcPr>
          <w:p w14:paraId="04C103E6" w14:textId="3D67868E" w:rsidR="006F160C" w:rsidRPr="007F1283" w:rsidRDefault="006F160C">
            <w:pPr>
              <w:spacing w:line="240" w:lineRule="auto"/>
              <w:ind w:left="0"/>
              <w:rPr>
                <w:sz w:val="16"/>
                <w:szCs w:val="16"/>
              </w:rPr>
            </w:pPr>
          </w:p>
        </w:tc>
        <w:tc>
          <w:tcPr>
            <w:tcW w:w="1985" w:type="dxa"/>
            <w:vMerge w:val="restart"/>
            <w:tcMar>
              <w:left w:w="90" w:type="dxa"/>
              <w:right w:w="90" w:type="dxa"/>
            </w:tcMar>
          </w:tcPr>
          <w:p w14:paraId="7BBF3AAF" w14:textId="77777777" w:rsidR="006F160C" w:rsidRPr="007F1283" w:rsidRDefault="006F160C">
            <w:pPr>
              <w:spacing w:line="240" w:lineRule="auto"/>
              <w:ind w:left="0"/>
              <w:rPr>
                <w:sz w:val="16"/>
                <w:szCs w:val="16"/>
              </w:rPr>
            </w:pPr>
            <w:r w:rsidRPr="007F1283">
              <w:rPr>
                <w:sz w:val="16"/>
                <w:szCs w:val="16"/>
              </w:rPr>
              <w:t xml:space="preserve">InvestEU sectoral specifics – </w:t>
            </w:r>
            <w:r w:rsidRPr="007F1283">
              <w:rPr>
                <w:i/>
                <w:iCs/>
                <w:sz w:val="16"/>
                <w:szCs w:val="16"/>
              </w:rPr>
              <w:t>according to Regulation 2021/523, Annex V (B.)</w:t>
            </w:r>
          </w:p>
        </w:tc>
        <w:tc>
          <w:tcPr>
            <w:tcW w:w="6095" w:type="dxa"/>
            <w:tcMar>
              <w:left w:w="90" w:type="dxa"/>
              <w:right w:w="90" w:type="dxa"/>
            </w:tcMar>
          </w:tcPr>
          <w:p w14:paraId="723B4B40" w14:textId="77777777" w:rsidR="006F160C" w:rsidRPr="007F1283" w:rsidRDefault="006F160C">
            <w:pPr>
              <w:spacing w:line="240" w:lineRule="auto"/>
              <w:ind w:left="0"/>
              <w:rPr>
                <w:sz w:val="16"/>
                <w:szCs w:val="16"/>
              </w:rPr>
            </w:pPr>
            <w:r w:rsidRPr="007F1283">
              <w:rPr>
                <w:sz w:val="16"/>
                <w:szCs w:val="16"/>
              </w:rPr>
              <w:t>activities which limit individual rights and freedoms or that violate human rights;</w:t>
            </w:r>
          </w:p>
          <w:p w14:paraId="67C2C3DE" w14:textId="77777777" w:rsidR="006F160C" w:rsidRPr="007F1283" w:rsidRDefault="006F160C">
            <w:pPr>
              <w:spacing w:line="240" w:lineRule="auto"/>
              <w:ind w:left="0"/>
              <w:rPr>
                <w:sz w:val="16"/>
                <w:szCs w:val="16"/>
              </w:rPr>
            </w:pPr>
            <w:r w:rsidRPr="007F1283">
              <w:rPr>
                <w:sz w:val="16"/>
                <w:szCs w:val="16"/>
              </w:rPr>
              <w:t>in the area of defence, the use, development, or production of products and technologies that are prohibited by applicable international law;</w:t>
            </w:r>
          </w:p>
          <w:p w14:paraId="35E111F6" w14:textId="77777777" w:rsidR="006F160C" w:rsidRPr="007F1283" w:rsidRDefault="006F160C">
            <w:pPr>
              <w:spacing w:line="240" w:lineRule="auto"/>
              <w:ind w:left="0"/>
              <w:rPr>
                <w:sz w:val="16"/>
                <w:szCs w:val="16"/>
              </w:rPr>
            </w:pPr>
            <w:r w:rsidRPr="007F1283">
              <w:rPr>
                <w:sz w:val="16"/>
                <w:szCs w:val="16"/>
              </w:rPr>
              <w:t>tobacco-related products and activities;</w:t>
            </w:r>
          </w:p>
          <w:p w14:paraId="167ADCF1" w14:textId="77777777" w:rsidR="006F160C" w:rsidRPr="007F1283" w:rsidRDefault="006F160C">
            <w:pPr>
              <w:spacing w:line="240" w:lineRule="auto"/>
              <w:ind w:left="0"/>
              <w:rPr>
                <w:sz w:val="16"/>
                <w:szCs w:val="16"/>
              </w:rPr>
            </w:pPr>
            <w:r w:rsidRPr="007F1283">
              <w:rPr>
                <w:sz w:val="16"/>
                <w:szCs w:val="16"/>
              </w:rPr>
              <w:t>activities excluded from financing pursuant to the relevant provisions of the Horizon Europe Regulation (selected human research areas);</w:t>
            </w:r>
          </w:p>
          <w:p w14:paraId="027AC379" w14:textId="4E28C726" w:rsidR="006F160C" w:rsidRPr="007F1283" w:rsidRDefault="006F160C">
            <w:pPr>
              <w:spacing w:line="240" w:lineRule="auto"/>
              <w:ind w:left="0"/>
              <w:rPr>
                <w:sz w:val="16"/>
                <w:szCs w:val="16"/>
              </w:rPr>
            </w:pPr>
            <w:r w:rsidRPr="007F1283">
              <w:rPr>
                <w:sz w:val="16"/>
                <w:szCs w:val="16"/>
              </w:rPr>
              <w:t>gambling; sex trade and related infrastructure, services</w:t>
            </w:r>
            <w:r w:rsidR="35AAAFE5" w:rsidRPr="007F1283">
              <w:rPr>
                <w:sz w:val="16"/>
                <w:szCs w:val="16"/>
              </w:rPr>
              <w:t>,</w:t>
            </w:r>
            <w:r w:rsidRPr="007F1283">
              <w:rPr>
                <w:sz w:val="16"/>
                <w:szCs w:val="16"/>
              </w:rPr>
              <w:t xml:space="preserve"> and media;</w:t>
            </w:r>
          </w:p>
          <w:p w14:paraId="3AA9BC18" w14:textId="77777777" w:rsidR="006F160C" w:rsidRPr="007F1283" w:rsidRDefault="006F160C">
            <w:pPr>
              <w:spacing w:line="240" w:lineRule="auto"/>
              <w:ind w:left="0"/>
              <w:rPr>
                <w:sz w:val="16"/>
                <w:szCs w:val="16"/>
              </w:rPr>
            </w:pPr>
            <w:r w:rsidRPr="007F1283">
              <w:rPr>
                <w:sz w:val="16"/>
                <w:szCs w:val="16"/>
              </w:rPr>
              <w:t>financial activities;</w:t>
            </w:r>
          </w:p>
          <w:p w14:paraId="1CA1B4F9" w14:textId="2BAE3F24" w:rsidR="006F160C" w:rsidRPr="007F1283" w:rsidRDefault="006F160C">
            <w:pPr>
              <w:spacing w:line="240" w:lineRule="auto"/>
              <w:ind w:left="0"/>
              <w:rPr>
                <w:sz w:val="16"/>
                <w:szCs w:val="16"/>
              </w:rPr>
            </w:pPr>
            <w:r w:rsidRPr="007F1283">
              <w:rPr>
                <w:sz w:val="16"/>
                <w:szCs w:val="16"/>
              </w:rPr>
              <w:t>decommissioning, operation, adaptation</w:t>
            </w:r>
            <w:r w:rsidR="63132EE3" w:rsidRPr="007F1283">
              <w:rPr>
                <w:sz w:val="16"/>
                <w:szCs w:val="16"/>
              </w:rPr>
              <w:t>,</w:t>
            </w:r>
            <w:r w:rsidRPr="007F1283">
              <w:rPr>
                <w:sz w:val="16"/>
                <w:szCs w:val="16"/>
              </w:rPr>
              <w:t xml:space="preserve"> or construction of nuclear power stations</w:t>
            </w:r>
          </w:p>
        </w:tc>
      </w:tr>
      <w:tr w:rsidR="006F160C" w:rsidRPr="007F1283" w14:paraId="7534F609" w14:textId="77777777" w:rsidTr="232E7DD7">
        <w:trPr>
          <w:trHeight w:val="300"/>
        </w:trPr>
        <w:tc>
          <w:tcPr>
            <w:tcW w:w="1271" w:type="dxa"/>
            <w:vMerge/>
            <w:vAlign w:val="center"/>
          </w:tcPr>
          <w:p w14:paraId="1E5B8EE1" w14:textId="46FD812D" w:rsidR="006F160C" w:rsidRPr="007F1283" w:rsidRDefault="006F160C">
            <w:pPr>
              <w:spacing w:line="240" w:lineRule="auto"/>
              <w:ind w:left="0"/>
              <w:rPr>
                <w:sz w:val="16"/>
                <w:szCs w:val="16"/>
              </w:rPr>
            </w:pPr>
          </w:p>
        </w:tc>
        <w:tc>
          <w:tcPr>
            <w:tcW w:w="1985" w:type="dxa"/>
            <w:vMerge/>
            <w:vAlign w:val="center"/>
          </w:tcPr>
          <w:p w14:paraId="39850077" w14:textId="77777777" w:rsidR="006F160C" w:rsidRPr="007F1283" w:rsidRDefault="006F160C">
            <w:pPr>
              <w:spacing w:line="240" w:lineRule="auto"/>
              <w:ind w:left="0"/>
              <w:rPr>
                <w:sz w:val="16"/>
                <w:szCs w:val="16"/>
              </w:rPr>
            </w:pPr>
          </w:p>
        </w:tc>
        <w:tc>
          <w:tcPr>
            <w:tcW w:w="6095" w:type="dxa"/>
            <w:tcMar>
              <w:left w:w="90" w:type="dxa"/>
              <w:right w:w="90" w:type="dxa"/>
            </w:tcMar>
          </w:tcPr>
          <w:p w14:paraId="3E6FADF2" w14:textId="77777777" w:rsidR="006F160C" w:rsidRPr="007F1283" w:rsidRDefault="006F160C">
            <w:pPr>
              <w:spacing w:line="240" w:lineRule="auto"/>
              <w:ind w:left="0"/>
              <w:rPr>
                <w:sz w:val="16"/>
                <w:szCs w:val="16"/>
              </w:rPr>
            </w:pPr>
            <w:r w:rsidRPr="007F1283">
              <w:rPr>
                <w:sz w:val="16"/>
                <w:szCs w:val="16"/>
              </w:rPr>
              <w:t>real estate development;</w:t>
            </w:r>
          </w:p>
          <w:p w14:paraId="5D70F926" w14:textId="77777777" w:rsidR="006F160C" w:rsidRPr="007F1283" w:rsidRDefault="006F160C">
            <w:pPr>
              <w:spacing w:line="240" w:lineRule="auto"/>
              <w:ind w:left="0"/>
              <w:rPr>
                <w:sz w:val="16"/>
                <w:szCs w:val="16"/>
              </w:rPr>
            </w:pPr>
            <w:r w:rsidRPr="007F1283">
              <w:rPr>
                <w:sz w:val="16"/>
                <w:szCs w:val="16"/>
              </w:rPr>
              <w:t>mining or extraction, processing, distribution, storage or combustion of solid fossil fuels and oil, as well as investments related to the extraction of gas;</w:t>
            </w:r>
          </w:p>
          <w:p w14:paraId="521317A5" w14:textId="77777777" w:rsidR="006F160C" w:rsidRPr="007F1283" w:rsidRDefault="006F160C">
            <w:pPr>
              <w:spacing w:line="240" w:lineRule="auto"/>
              <w:ind w:left="0"/>
              <w:rPr>
                <w:sz w:val="16"/>
                <w:szCs w:val="16"/>
              </w:rPr>
            </w:pPr>
            <w:r w:rsidRPr="007F1283">
              <w:rPr>
                <w:sz w:val="16"/>
                <w:szCs w:val="16"/>
              </w:rPr>
              <w:t>facilities for the disposal of waste in landfill;</w:t>
            </w:r>
          </w:p>
          <w:p w14:paraId="417F03E9" w14:textId="77777777" w:rsidR="006F160C" w:rsidRPr="007F1283" w:rsidRDefault="006F160C">
            <w:pPr>
              <w:spacing w:line="240" w:lineRule="auto"/>
              <w:ind w:left="0"/>
              <w:rPr>
                <w:sz w:val="16"/>
                <w:szCs w:val="16"/>
              </w:rPr>
            </w:pPr>
            <w:r w:rsidRPr="007F1283">
              <w:rPr>
                <w:sz w:val="16"/>
                <w:szCs w:val="16"/>
              </w:rPr>
              <w:t>mechanical biological treatment (MBT) plants;</w:t>
            </w:r>
          </w:p>
          <w:p w14:paraId="40C5DBDC" w14:textId="77777777" w:rsidR="006F160C" w:rsidRPr="007F1283" w:rsidRDefault="006F160C">
            <w:pPr>
              <w:spacing w:line="240" w:lineRule="auto"/>
              <w:ind w:left="0"/>
              <w:rPr>
                <w:sz w:val="16"/>
                <w:szCs w:val="16"/>
              </w:rPr>
            </w:pPr>
            <w:r w:rsidRPr="007F1283">
              <w:rPr>
                <w:sz w:val="16"/>
                <w:szCs w:val="16"/>
              </w:rPr>
              <w:t>incinerators for the treatment of waste;</w:t>
            </w:r>
          </w:p>
          <w:p w14:paraId="01905514" w14:textId="77777777" w:rsidR="006F160C" w:rsidRPr="007F1283" w:rsidRDefault="006F160C">
            <w:pPr>
              <w:spacing w:line="240" w:lineRule="auto"/>
              <w:ind w:left="0"/>
              <w:rPr>
                <w:sz w:val="16"/>
                <w:szCs w:val="16"/>
              </w:rPr>
            </w:pPr>
            <w:r w:rsidRPr="007F1283">
              <w:rPr>
                <w:sz w:val="16"/>
                <w:szCs w:val="16"/>
              </w:rPr>
              <w:t>activities involving live animals for experimental and scientific purposes</w:t>
            </w:r>
          </w:p>
        </w:tc>
      </w:tr>
      <w:tr w:rsidR="006F160C" w:rsidRPr="007F1283" w14:paraId="22AE35A4" w14:textId="77777777" w:rsidTr="232E7DD7">
        <w:trPr>
          <w:trHeight w:val="300"/>
        </w:trPr>
        <w:tc>
          <w:tcPr>
            <w:tcW w:w="1271" w:type="dxa"/>
            <w:vMerge/>
            <w:vAlign w:val="center"/>
          </w:tcPr>
          <w:p w14:paraId="0BCFA348" w14:textId="7016D99F" w:rsidR="006F160C" w:rsidRPr="007F1283" w:rsidRDefault="006F160C">
            <w:pPr>
              <w:spacing w:line="240" w:lineRule="auto"/>
              <w:ind w:left="0"/>
              <w:rPr>
                <w:sz w:val="16"/>
                <w:szCs w:val="16"/>
              </w:rPr>
            </w:pPr>
          </w:p>
        </w:tc>
        <w:tc>
          <w:tcPr>
            <w:tcW w:w="1985" w:type="dxa"/>
            <w:vMerge w:val="restart"/>
            <w:tcMar>
              <w:left w:w="90" w:type="dxa"/>
              <w:right w:w="90" w:type="dxa"/>
            </w:tcMar>
          </w:tcPr>
          <w:p w14:paraId="37B7C185" w14:textId="77777777" w:rsidR="006F160C" w:rsidRPr="007F1283" w:rsidRDefault="006F160C">
            <w:pPr>
              <w:spacing w:line="240" w:lineRule="auto"/>
              <w:ind w:left="0"/>
              <w:rPr>
                <w:sz w:val="16"/>
                <w:szCs w:val="16"/>
              </w:rPr>
            </w:pPr>
            <w:r w:rsidRPr="007F1283">
              <w:rPr>
                <w:sz w:val="16"/>
                <w:szCs w:val="16"/>
              </w:rPr>
              <w:t xml:space="preserve">InvestEU sectoral specifics – </w:t>
            </w:r>
            <w:r w:rsidRPr="007F1283">
              <w:rPr>
                <w:i/>
                <w:iCs/>
                <w:sz w:val="16"/>
                <w:szCs w:val="16"/>
              </w:rPr>
              <w:t>according to the Sustainability Proofing Technical Guidance, Article 1.4  (2021/C 280/01)</w:t>
            </w:r>
          </w:p>
        </w:tc>
        <w:tc>
          <w:tcPr>
            <w:tcW w:w="6095" w:type="dxa"/>
            <w:tcMar>
              <w:left w:w="90" w:type="dxa"/>
              <w:right w:w="90" w:type="dxa"/>
            </w:tcMar>
          </w:tcPr>
          <w:p w14:paraId="1F87E648" w14:textId="77777777" w:rsidR="006F160C" w:rsidRPr="007F1283" w:rsidRDefault="006F160C">
            <w:pPr>
              <w:spacing w:line="240" w:lineRule="auto"/>
              <w:ind w:left="0"/>
              <w:rPr>
                <w:sz w:val="16"/>
                <w:szCs w:val="16"/>
              </w:rPr>
            </w:pPr>
            <w:r w:rsidRPr="007F1283">
              <w:rPr>
                <w:sz w:val="16"/>
                <w:szCs w:val="16"/>
              </w:rPr>
              <w:t xml:space="preserve">anaerobic digestion of bio-waste, landfill gas capture and utilisation </w:t>
            </w:r>
          </w:p>
        </w:tc>
      </w:tr>
      <w:tr w:rsidR="006F160C" w:rsidRPr="007F1283" w14:paraId="41B87389" w14:textId="77777777" w:rsidTr="232E7DD7">
        <w:trPr>
          <w:trHeight w:val="300"/>
        </w:trPr>
        <w:tc>
          <w:tcPr>
            <w:tcW w:w="1271" w:type="dxa"/>
            <w:vMerge/>
            <w:vAlign w:val="center"/>
          </w:tcPr>
          <w:p w14:paraId="104CA86D" w14:textId="55974AD4" w:rsidR="006F160C" w:rsidRPr="007F1283" w:rsidRDefault="006F160C">
            <w:pPr>
              <w:spacing w:line="240" w:lineRule="auto"/>
              <w:ind w:left="0"/>
              <w:rPr>
                <w:sz w:val="16"/>
                <w:szCs w:val="16"/>
              </w:rPr>
            </w:pPr>
          </w:p>
        </w:tc>
        <w:tc>
          <w:tcPr>
            <w:tcW w:w="1985" w:type="dxa"/>
            <w:vMerge/>
            <w:vAlign w:val="center"/>
          </w:tcPr>
          <w:p w14:paraId="67E61AE3" w14:textId="77777777" w:rsidR="006F160C" w:rsidRPr="007F1283" w:rsidRDefault="006F160C">
            <w:pPr>
              <w:spacing w:line="240" w:lineRule="auto"/>
              <w:ind w:left="0"/>
              <w:rPr>
                <w:sz w:val="16"/>
                <w:szCs w:val="16"/>
              </w:rPr>
            </w:pPr>
          </w:p>
        </w:tc>
        <w:tc>
          <w:tcPr>
            <w:tcW w:w="6095" w:type="dxa"/>
            <w:tcMar>
              <w:left w:w="90" w:type="dxa"/>
              <w:right w:w="90" w:type="dxa"/>
            </w:tcMar>
          </w:tcPr>
          <w:p w14:paraId="01A266A3" w14:textId="77777777" w:rsidR="006F160C" w:rsidRPr="007F1283" w:rsidRDefault="006F160C">
            <w:pPr>
              <w:spacing w:line="240" w:lineRule="auto"/>
              <w:ind w:left="0"/>
              <w:rPr>
                <w:sz w:val="16"/>
                <w:szCs w:val="16"/>
              </w:rPr>
            </w:pPr>
            <w:r w:rsidRPr="007F1283">
              <w:rPr>
                <w:sz w:val="16"/>
                <w:szCs w:val="16"/>
              </w:rPr>
              <w:t>transport of CO2 and underground permanent geological storage of CO2</w:t>
            </w:r>
          </w:p>
        </w:tc>
      </w:tr>
      <w:tr w:rsidR="006F160C" w:rsidRPr="007F1283" w14:paraId="0E6BB838" w14:textId="77777777" w:rsidTr="232E7DD7">
        <w:trPr>
          <w:trHeight w:val="300"/>
        </w:trPr>
        <w:tc>
          <w:tcPr>
            <w:tcW w:w="1271" w:type="dxa"/>
            <w:vMerge/>
            <w:vAlign w:val="center"/>
          </w:tcPr>
          <w:p w14:paraId="5C352503" w14:textId="64CCA9D2" w:rsidR="006F160C" w:rsidRPr="007F1283" w:rsidRDefault="006F160C">
            <w:pPr>
              <w:spacing w:line="240" w:lineRule="auto"/>
              <w:ind w:left="0"/>
              <w:rPr>
                <w:sz w:val="16"/>
                <w:szCs w:val="16"/>
              </w:rPr>
            </w:pPr>
          </w:p>
        </w:tc>
        <w:tc>
          <w:tcPr>
            <w:tcW w:w="1985" w:type="dxa"/>
            <w:vMerge/>
            <w:vAlign w:val="center"/>
          </w:tcPr>
          <w:p w14:paraId="7DD9C08C" w14:textId="77777777" w:rsidR="006F160C" w:rsidRPr="007F1283" w:rsidRDefault="006F160C">
            <w:pPr>
              <w:spacing w:line="240" w:lineRule="auto"/>
              <w:ind w:left="0"/>
              <w:rPr>
                <w:sz w:val="16"/>
                <w:szCs w:val="16"/>
              </w:rPr>
            </w:pPr>
          </w:p>
        </w:tc>
        <w:tc>
          <w:tcPr>
            <w:tcW w:w="6095" w:type="dxa"/>
            <w:tcMar>
              <w:left w:w="90" w:type="dxa"/>
              <w:right w:w="90" w:type="dxa"/>
            </w:tcMar>
          </w:tcPr>
          <w:p w14:paraId="25BCC09C" w14:textId="77777777" w:rsidR="006F160C" w:rsidRPr="007F1283" w:rsidRDefault="006F160C">
            <w:pPr>
              <w:spacing w:line="240" w:lineRule="auto"/>
              <w:ind w:left="0"/>
              <w:rPr>
                <w:sz w:val="16"/>
                <w:szCs w:val="16"/>
              </w:rPr>
            </w:pPr>
            <w:r w:rsidRPr="007F1283">
              <w:rPr>
                <w:sz w:val="16"/>
                <w:szCs w:val="16"/>
              </w:rPr>
              <w:t>vessels, vehicles or rolling stock specifically dedicated to transport fossil fuels (rail, water, roads)</w:t>
            </w:r>
          </w:p>
        </w:tc>
      </w:tr>
      <w:tr w:rsidR="006F160C" w:rsidRPr="007F1283" w14:paraId="05F00C6A" w14:textId="77777777" w:rsidTr="232E7DD7">
        <w:trPr>
          <w:trHeight w:val="300"/>
        </w:trPr>
        <w:tc>
          <w:tcPr>
            <w:tcW w:w="1271" w:type="dxa"/>
            <w:vMerge/>
            <w:tcMar>
              <w:left w:w="105" w:type="dxa"/>
              <w:right w:w="105" w:type="dxa"/>
            </w:tcMar>
            <w:vAlign w:val="center"/>
          </w:tcPr>
          <w:p w14:paraId="5586FBCF" w14:textId="07D64C13" w:rsidR="006F160C" w:rsidRPr="007F1283" w:rsidRDefault="006F160C">
            <w:pPr>
              <w:spacing w:line="240" w:lineRule="auto"/>
              <w:ind w:left="0"/>
              <w:rPr>
                <w:b/>
                <w:bCs/>
                <w:sz w:val="16"/>
                <w:szCs w:val="16"/>
              </w:rPr>
            </w:pPr>
          </w:p>
        </w:tc>
        <w:tc>
          <w:tcPr>
            <w:tcW w:w="1985" w:type="dxa"/>
            <w:tcMar>
              <w:left w:w="90" w:type="dxa"/>
              <w:right w:w="90" w:type="dxa"/>
            </w:tcMar>
          </w:tcPr>
          <w:p w14:paraId="36770845" w14:textId="6A7A5DCF" w:rsidR="006F160C" w:rsidRPr="007F1283" w:rsidRDefault="006F160C">
            <w:pPr>
              <w:spacing w:line="240" w:lineRule="auto"/>
              <w:ind w:left="0"/>
              <w:rPr>
                <w:sz w:val="16"/>
                <w:szCs w:val="16"/>
              </w:rPr>
            </w:pPr>
            <w:r w:rsidRPr="007F1283">
              <w:rPr>
                <w:sz w:val="16"/>
                <w:szCs w:val="16"/>
              </w:rPr>
              <w:t>JTF/ERDF/CF</w:t>
            </w:r>
            <w:r w:rsidR="00E313FC" w:rsidRPr="007F1283">
              <w:rPr>
                <w:sz w:val="16"/>
                <w:szCs w:val="16"/>
              </w:rPr>
              <w:t xml:space="preserve"> </w:t>
            </w:r>
            <w:r w:rsidRPr="007F1283">
              <w:rPr>
                <w:sz w:val="16"/>
                <w:szCs w:val="16"/>
              </w:rPr>
              <w:t xml:space="preserve">specifics – </w:t>
            </w:r>
            <w:r w:rsidRPr="007F1283">
              <w:rPr>
                <w:i/>
                <w:iCs/>
                <w:sz w:val="16"/>
                <w:szCs w:val="16"/>
              </w:rPr>
              <w:t>according to Regulations 2021/1057</w:t>
            </w:r>
            <w:r w:rsidR="00E313FC" w:rsidRPr="007F1283">
              <w:rPr>
                <w:i/>
                <w:iCs/>
                <w:sz w:val="16"/>
                <w:szCs w:val="16"/>
              </w:rPr>
              <w:t xml:space="preserve"> (Article 9),</w:t>
            </w:r>
            <w:r w:rsidRPr="007F1283">
              <w:rPr>
                <w:i/>
                <w:iCs/>
                <w:sz w:val="16"/>
                <w:szCs w:val="16"/>
              </w:rPr>
              <w:t xml:space="preserve"> 2021/1058</w:t>
            </w:r>
            <w:r w:rsidR="00E313FC" w:rsidRPr="007F1283">
              <w:rPr>
                <w:i/>
                <w:iCs/>
                <w:sz w:val="16"/>
                <w:szCs w:val="16"/>
              </w:rPr>
              <w:t xml:space="preserve"> (Article 7.1.)</w:t>
            </w:r>
          </w:p>
        </w:tc>
        <w:tc>
          <w:tcPr>
            <w:tcW w:w="6095" w:type="dxa"/>
            <w:tcMar>
              <w:left w:w="90" w:type="dxa"/>
              <w:right w:w="90" w:type="dxa"/>
            </w:tcMar>
          </w:tcPr>
          <w:p w14:paraId="0F851144" w14:textId="77777777" w:rsidR="006F160C" w:rsidRPr="007F1283" w:rsidRDefault="006F160C">
            <w:pPr>
              <w:spacing w:line="240" w:lineRule="auto"/>
              <w:ind w:left="0"/>
              <w:rPr>
                <w:sz w:val="16"/>
                <w:szCs w:val="16"/>
              </w:rPr>
            </w:pPr>
            <w:r w:rsidRPr="007F1283">
              <w:rPr>
                <w:sz w:val="16"/>
                <w:szCs w:val="16"/>
              </w:rPr>
              <w:t>decommissioning or construction of nuclear power stations;</w:t>
            </w:r>
          </w:p>
          <w:p w14:paraId="7EF41B24" w14:textId="77777777" w:rsidR="006F160C" w:rsidRPr="007F1283" w:rsidRDefault="006F160C">
            <w:pPr>
              <w:spacing w:line="240" w:lineRule="auto"/>
              <w:ind w:left="0"/>
              <w:rPr>
                <w:sz w:val="16"/>
                <w:szCs w:val="16"/>
              </w:rPr>
            </w:pPr>
            <w:r w:rsidRPr="007F1283">
              <w:rPr>
                <w:sz w:val="16"/>
                <w:szCs w:val="16"/>
              </w:rPr>
              <w:t>manufacturing, processing and marketing of tobacco and tobacco products;</w:t>
            </w:r>
          </w:p>
          <w:p w14:paraId="75C2322E" w14:textId="77777777" w:rsidR="006F160C" w:rsidRPr="007F1283" w:rsidRDefault="006F160C">
            <w:pPr>
              <w:spacing w:line="240" w:lineRule="auto"/>
              <w:ind w:left="0"/>
              <w:rPr>
                <w:sz w:val="16"/>
                <w:szCs w:val="16"/>
              </w:rPr>
            </w:pPr>
          </w:p>
        </w:tc>
      </w:tr>
      <w:tr w:rsidR="006F160C" w:rsidRPr="007F1283" w14:paraId="2AC4C89A" w14:textId="77777777" w:rsidTr="232E7DD7">
        <w:trPr>
          <w:trHeight w:val="300"/>
        </w:trPr>
        <w:tc>
          <w:tcPr>
            <w:tcW w:w="1271" w:type="dxa"/>
            <w:vMerge/>
            <w:vAlign w:val="center"/>
          </w:tcPr>
          <w:p w14:paraId="65190517" w14:textId="77777777" w:rsidR="006F160C" w:rsidRPr="007F1283" w:rsidRDefault="006F160C">
            <w:pPr>
              <w:spacing w:line="240" w:lineRule="auto"/>
              <w:ind w:left="0"/>
              <w:rPr>
                <w:sz w:val="16"/>
                <w:szCs w:val="16"/>
              </w:rPr>
            </w:pPr>
          </w:p>
        </w:tc>
        <w:tc>
          <w:tcPr>
            <w:tcW w:w="1985" w:type="dxa"/>
            <w:tcMar>
              <w:left w:w="90" w:type="dxa"/>
              <w:right w:w="90" w:type="dxa"/>
            </w:tcMar>
          </w:tcPr>
          <w:p w14:paraId="0BE5213E" w14:textId="77777777" w:rsidR="006F160C" w:rsidRPr="007F1283" w:rsidRDefault="006F160C">
            <w:pPr>
              <w:spacing w:line="240" w:lineRule="auto"/>
              <w:ind w:left="0"/>
              <w:rPr>
                <w:sz w:val="16"/>
                <w:szCs w:val="16"/>
              </w:rPr>
            </w:pPr>
            <w:r w:rsidRPr="007F1283">
              <w:rPr>
                <w:sz w:val="16"/>
                <w:szCs w:val="16"/>
              </w:rPr>
              <w:t xml:space="preserve">JTF sectoral specifics – </w:t>
            </w:r>
            <w:r w:rsidRPr="007F1283">
              <w:rPr>
                <w:i/>
                <w:iCs/>
                <w:sz w:val="16"/>
                <w:szCs w:val="16"/>
              </w:rPr>
              <w:t>according to Regulation 2021/1057 (Article 9)</w:t>
            </w:r>
          </w:p>
        </w:tc>
        <w:tc>
          <w:tcPr>
            <w:tcW w:w="6095" w:type="dxa"/>
            <w:tcMar>
              <w:left w:w="90" w:type="dxa"/>
              <w:right w:w="90" w:type="dxa"/>
            </w:tcMar>
          </w:tcPr>
          <w:p w14:paraId="703911DA" w14:textId="77777777" w:rsidR="006F160C" w:rsidRPr="007F1283" w:rsidRDefault="006F160C">
            <w:pPr>
              <w:spacing w:line="240" w:lineRule="auto"/>
              <w:ind w:left="0"/>
              <w:rPr>
                <w:sz w:val="16"/>
                <w:szCs w:val="16"/>
              </w:rPr>
            </w:pPr>
            <w:r w:rsidRPr="007F1283">
              <w:rPr>
                <w:sz w:val="16"/>
                <w:szCs w:val="16"/>
              </w:rPr>
              <w:t>production, processing, transport, distribution, storage or combustion of fossil fuels</w:t>
            </w:r>
          </w:p>
        </w:tc>
      </w:tr>
      <w:tr w:rsidR="006F160C" w:rsidRPr="007F1283" w14:paraId="5A250CEF" w14:textId="77777777" w:rsidTr="232E7DD7">
        <w:trPr>
          <w:trHeight w:val="300"/>
        </w:trPr>
        <w:tc>
          <w:tcPr>
            <w:tcW w:w="1271" w:type="dxa"/>
            <w:vMerge/>
            <w:vAlign w:val="center"/>
          </w:tcPr>
          <w:p w14:paraId="5A509050" w14:textId="77777777" w:rsidR="006F160C" w:rsidRPr="007F1283" w:rsidRDefault="006F160C">
            <w:pPr>
              <w:spacing w:line="240" w:lineRule="auto"/>
              <w:ind w:left="0"/>
              <w:rPr>
                <w:sz w:val="16"/>
                <w:szCs w:val="16"/>
              </w:rPr>
            </w:pPr>
          </w:p>
        </w:tc>
        <w:tc>
          <w:tcPr>
            <w:tcW w:w="1985" w:type="dxa"/>
            <w:tcMar>
              <w:left w:w="90" w:type="dxa"/>
              <w:right w:w="90" w:type="dxa"/>
            </w:tcMar>
          </w:tcPr>
          <w:p w14:paraId="5FBD3B21" w14:textId="77777777" w:rsidR="006F160C" w:rsidRPr="007F1283" w:rsidRDefault="006F160C">
            <w:pPr>
              <w:spacing w:line="240" w:lineRule="auto"/>
              <w:ind w:left="0"/>
              <w:rPr>
                <w:sz w:val="16"/>
                <w:szCs w:val="16"/>
              </w:rPr>
            </w:pPr>
            <w:r w:rsidRPr="007F1283">
              <w:rPr>
                <w:sz w:val="16"/>
                <w:szCs w:val="16"/>
              </w:rPr>
              <w:t xml:space="preserve">CF sectoral specifics – </w:t>
            </w:r>
            <w:r w:rsidRPr="007F1283">
              <w:rPr>
                <w:i/>
                <w:iCs/>
                <w:sz w:val="16"/>
                <w:szCs w:val="16"/>
              </w:rPr>
              <w:t>according to Regulation 1300/2013 (Article 2)</w:t>
            </w:r>
          </w:p>
        </w:tc>
        <w:tc>
          <w:tcPr>
            <w:tcW w:w="6095" w:type="dxa"/>
            <w:tcMar>
              <w:left w:w="90" w:type="dxa"/>
              <w:right w:w="90" w:type="dxa"/>
            </w:tcMar>
          </w:tcPr>
          <w:p w14:paraId="79925AAB" w14:textId="77777777" w:rsidR="006F160C" w:rsidRPr="007F1283" w:rsidRDefault="006F160C">
            <w:pPr>
              <w:spacing w:line="240" w:lineRule="auto"/>
              <w:ind w:left="0"/>
              <w:rPr>
                <w:sz w:val="16"/>
                <w:szCs w:val="16"/>
              </w:rPr>
            </w:pPr>
            <w:r w:rsidRPr="007F1283">
              <w:rPr>
                <w:sz w:val="16"/>
                <w:szCs w:val="16"/>
              </w:rPr>
              <w:t>investment in housing unless related to the promotion of energy efficiency or renewable energy use;</w:t>
            </w:r>
          </w:p>
        </w:tc>
      </w:tr>
      <w:tr w:rsidR="006F160C" w:rsidRPr="007F1283" w14:paraId="3D239B64" w14:textId="77777777" w:rsidTr="232E7DD7">
        <w:trPr>
          <w:trHeight w:val="300"/>
        </w:trPr>
        <w:tc>
          <w:tcPr>
            <w:tcW w:w="1271" w:type="dxa"/>
            <w:vMerge/>
            <w:vAlign w:val="center"/>
          </w:tcPr>
          <w:p w14:paraId="5A6E07DC" w14:textId="77777777" w:rsidR="006F160C" w:rsidRPr="007F1283" w:rsidRDefault="006F160C">
            <w:pPr>
              <w:spacing w:line="240" w:lineRule="auto"/>
              <w:ind w:left="0"/>
              <w:rPr>
                <w:sz w:val="16"/>
                <w:szCs w:val="16"/>
              </w:rPr>
            </w:pPr>
          </w:p>
        </w:tc>
        <w:tc>
          <w:tcPr>
            <w:tcW w:w="1985" w:type="dxa"/>
            <w:vMerge w:val="restart"/>
            <w:tcMar>
              <w:left w:w="90" w:type="dxa"/>
              <w:right w:w="90" w:type="dxa"/>
            </w:tcMar>
          </w:tcPr>
          <w:p w14:paraId="4A30775C" w14:textId="77777777" w:rsidR="006F160C" w:rsidRPr="007F1283" w:rsidRDefault="006F160C">
            <w:pPr>
              <w:spacing w:line="240" w:lineRule="auto"/>
              <w:ind w:left="0"/>
              <w:rPr>
                <w:sz w:val="16"/>
                <w:szCs w:val="16"/>
              </w:rPr>
            </w:pPr>
            <w:r w:rsidRPr="007F1283">
              <w:rPr>
                <w:sz w:val="16"/>
                <w:szCs w:val="16"/>
              </w:rPr>
              <w:t xml:space="preserve">ERDF/CF sectoral specifics – </w:t>
            </w:r>
            <w:r w:rsidRPr="007F1283">
              <w:rPr>
                <w:i/>
                <w:iCs/>
                <w:sz w:val="16"/>
                <w:szCs w:val="16"/>
              </w:rPr>
              <w:t>according to Regulations 2021/1058 (Article 7.1.)</w:t>
            </w:r>
          </w:p>
        </w:tc>
        <w:tc>
          <w:tcPr>
            <w:tcW w:w="6095" w:type="dxa"/>
            <w:tcMar>
              <w:left w:w="90" w:type="dxa"/>
              <w:right w:w="90" w:type="dxa"/>
            </w:tcMar>
          </w:tcPr>
          <w:p w14:paraId="405FE89A" w14:textId="77777777" w:rsidR="006F160C" w:rsidRPr="007F1283" w:rsidRDefault="006F160C">
            <w:pPr>
              <w:spacing w:line="240" w:lineRule="auto"/>
              <w:ind w:left="0"/>
              <w:rPr>
                <w:sz w:val="16"/>
                <w:szCs w:val="16"/>
              </w:rPr>
            </w:pPr>
            <w:r w:rsidRPr="007F1283">
              <w:rPr>
                <w:sz w:val="16"/>
                <w:szCs w:val="16"/>
              </w:rPr>
              <w:t>investment to achieve the reduction of GHG emissions from activities listed in Annex I to Directive 2003/87/EC (ETS Directive)</w:t>
            </w:r>
          </w:p>
        </w:tc>
      </w:tr>
      <w:tr w:rsidR="006F160C" w:rsidRPr="007F1283" w14:paraId="45B1585E" w14:textId="77777777" w:rsidTr="232E7DD7">
        <w:trPr>
          <w:trHeight w:val="300"/>
        </w:trPr>
        <w:tc>
          <w:tcPr>
            <w:tcW w:w="1271" w:type="dxa"/>
            <w:vMerge/>
            <w:vAlign w:val="center"/>
          </w:tcPr>
          <w:p w14:paraId="1A0D26E5" w14:textId="77777777" w:rsidR="006F160C" w:rsidRPr="007F1283" w:rsidRDefault="006F160C">
            <w:pPr>
              <w:spacing w:line="240" w:lineRule="auto"/>
              <w:ind w:left="0"/>
              <w:rPr>
                <w:sz w:val="16"/>
                <w:szCs w:val="16"/>
              </w:rPr>
            </w:pPr>
          </w:p>
        </w:tc>
        <w:tc>
          <w:tcPr>
            <w:tcW w:w="1985" w:type="dxa"/>
            <w:vMerge/>
            <w:vAlign w:val="center"/>
          </w:tcPr>
          <w:p w14:paraId="0599D153" w14:textId="77777777" w:rsidR="006F160C" w:rsidRPr="007F1283" w:rsidRDefault="006F160C">
            <w:pPr>
              <w:spacing w:line="240" w:lineRule="auto"/>
              <w:ind w:left="0"/>
              <w:rPr>
                <w:sz w:val="16"/>
                <w:szCs w:val="16"/>
              </w:rPr>
            </w:pPr>
          </w:p>
        </w:tc>
        <w:tc>
          <w:tcPr>
            <w:tcW w:w="6095" w:type="dxa"/>
            <w:tcMar>
              <w:left w:w="90" w:type="dxa"/>
              <w:right w:w="90" w:type="dxa"/>
            </w:tcMar>
          </w:tcPr>
          <w:p w14:paraId="78FFFE1E" w14:textId="77777777" w:rsidR="006F160C" w:rsidRPr="007F1283" w:rsidRDefault="006F160C">
            <w:pPr>
              <w:spacing w:line="240" w:lineRule="auto"/>
              <w:ind w:left="0"/>
              <w:rPr>
                <w:sz w:val="16"/>
                <w:szCs w:val="16"/>
              </w:rPr>
            </w:pPr>
            <w:r w:rsidRPr="007F1283">
              <w:rPr>
                <w:sz w:val="16"/>
                <w:szCs w:val="16"/>
              </w:rPr>
              <w:t>airport infrastructure;</w:t>
            </w:r>
          </w:p>
          <w:p w14:paraId="0FC4C21B" w14:textId="77777777" w:rsidR="006F160C" w:rsidRPr="007F1283" w:rsidRDefault="006F160C">
            <w:pPr>
              <w:spacing w:line="240" w:lineRule="auto"/>
              <w:ind w:left="0"/>
              <w:rPr>
                <w:sz w:val="16"/>
                <w:szCs w:val="16"/>
              </w:rPr>
            </w:pPr>
            <w:r w:rsidRPr="007F1283">
              <w:rPr>
                <w:sz w:val="16"/>
                <w:szCs w:val="16"/>
              </w:rPr>
              <w:t>disposal of waste in landfill;</w:t>
            </w:r>
          </w:p>
          <w:p w14:paraId="0A574D5E" w14:textId="77777777" w:rsidR="006F160C" w:rsidRPr="007F1283" w:rsidRDefault="006F160C">
            <w:pPr>
              <w:spacing w:line="240" w:lineRule="auto"/>
              <w:ind w:left="0"/>
              <w:rPr>
                <w:sz w:val="16"/>
                <w:szCs w:val="16"/>
              </w:rPr>
            </w:pPr>
            <w:r w:rsidRPr="007F1283">
              <w:rPr>
                <w:sz w:val="16"/>
                <w:szCs w:val="16"/>
              </w:rPr>
              <w:t>increasing the capacity of facilities for the treatment of residual waste;</w:t>
            </w:r>
          </w:p>
          <w:p w14:paraId="523FD488" w14:textId="77777777" w:rsidR="006F160C" w:rsidRPr="007F1283" w:rsidRDefault="006F160C">
            <w:pPr>
              <w:spacing w:line="240" w:lineRule="auto"/>
              <w:ind w:left="0"/>
              <w:rPr>
                <w:sz w:val="16"/>
                <w:szCs w:val="16"/>
              </w:rPr>
            </w:pPr>
            <w:r w:rsidRPr="007F1283">
              <w:rPr>
                <w:sz w:val="16"/>
                <w:szCs w:val="16"/>
              </w:rPr>
              <w:t>production, processing, transport, distribution, storage or combustion of fossil fuels</w:t>
            </w:r>
          </w:p>
        </w:tc>
      </w:tr>
      <w:tr w:rsidR="006F160C" w:rsidRPr="007F1283" w14:paraId="49DCF527" w14:textId="77777777" w:rsidTr="232E7DD7">
        <w:trPr>
          <w:trHeight w:val="300"/>
        </w:trPr>
        <w:tc>
          <w:tcPr>
            <w:tcW w:w="1271" w:type="dxa"/>
            <w:vMerge/>
            <w:vAlign w:val="center"/>
          </w:tcPr>
          <w:p w14:paraId="3F97E930" w14:textId="77777777" w:rsidR="006F160C" w:rsidRPr="007F1283" w:rsidRDefault="006F160C">
            <w:pPr>
              <w:spacing w:line="240" w:lineRule="auto"/>
              <w:ind w:left="0"/>
              <w:rPr>
                <w:sz w:val="16"/>
                <w:szCs w:val="16"/>
              </w:rPr>
            </w:pPr>
          </w:p>
        </w:tc>
        <w:tc>
          <w:tcPr>
            <w:tcW w:w="1985" w:type="dxa"/>
            <w:tcMar>
              <w:left w:w="90" w:type="dxa"/>
              <w:right w:w="90" w:type="dxa"/>
            </w:tcMar>
          </w:tcPr>
          <w:p w14:paraId="41D9A483" w14:textId="5CD008D0" w:rsidR="006F160C" w:rsidRPr="007F1283" w:rsidRDefault="006F160C">
            <w:pPr>
              <w:spacing w:line="240" w:lineRule="auto"/>
              <w:ind w:left="0"/>
              <w:rPr>
                <w:sz w:val="16"/>
                <w:szCs w:val="16"/>
              </w:rPr>
            </w:pPr>
            <w:r w:rsidRPr="007F1283">
              <w:rPr>
                <w:sz w:val="16"/>
                <w:szCs w:val="16"/>
              </w:rPr>
              <w:t xml:space="preserve">Sectoral specifics </w:t>
            </w:r>
            <w:r w:rsidRPr="007F1283">
              <w:rPr>
                <w:i/>
                <w:iCs/>
                <w:sz w:val="16"/>
                <w:szCs w:val="16"/>
              </w:rPr>
              <w:t xml:space="preserve">according to the CP </w:t>
            </w:r>
            <w:r w:rsidRPr="007F1283">
              <w:rPr>
                <w:i/>
                <w:iCs/>
                <w:sz w:val="16"/>
                <w:szCs w:val="16"/>
              </w:rPr>
              <w:lastRenderedPageBreak/>
              <w:t>Technical Guidance, (2021/C 373/01)</w:t>
            </w:r>
          </w:p>
        </w:tc>
        <w:tc>
          <w:tcPr>
            <w:tcW w:w="6095" w:type="dxa"/>
            <w:tcMar>
              <w:left w:w="90" w:type="dxa"/>
              <w:right w:w="90" w:type="dxa"/>
            </w:tcMar>
          </w:tcPr>
          <w:p w14:paraId="558919C5" w14:textId="77777777" w:rsidR="006F160C" w:rsidRPr="007F1283" w:rsidRDefault="006F160C">
            <w:pPr>
              <w:spacing w:line="240" w:lineRule="auto"/>
              <w:ind w:left="0"/>
              <w:rPr>
                <w:sz w:val="16"/>
                <w:szCs w:val="16"/>
              </w:rPr>
            </w:pPr>
            <w:r w:rsidRPr="007F1283">
              <w:rPr>
                <w:sz w:val="16"/>
                <w:szCs w:val="16"/>
              </w:rPr>
              <w:lastRenderedPageBreak/>
              <w:t>infrastructure projects fuelled by or carrying fossil fuel</w:t>
            </w:r>
          </w:p>
        </w:tc>
      </w:tr>
      <w:tr w:rsidR="00962CAC" w:rsidRPr="007F1283" w14:paraId="2359FC7F" w14:textId="77777777" w:rsidTr="00962CAC">
        <w:trPr>
          <w:trHeight w:val="300"/>
        </w:trPr>
        <w:tc>
          <w:tcPr>
            <w:tcW w:w="1271" w:type="dxa"/>
            <w:shd w:val="clear" w:color="auto" w:fill="004242"/>
            <w:tcMar>
              <w:left w:w="90" w:type="dxa"/>
              <w:right w:w="90" w:type="dxa"/>
            </w:tcMar>
            <w:vAlign w:val="center"/>
          </w:tcPr>
          <w:p w14:paraId="4D4D8B4E" w14:textId="77777777" w:rsidR="00962CAC" w:rsidRPr="007F1283" w:rsidRDefault="00962CAC" w:rsidP="00962CAC">
            <w:pPr>
              <w:spacing w:line="240" w:lineRule="auto"/>
              <w:ind w:left="0"/>
              <w:rPr>
                <w:sz w:val="16"/>
                <w:szCs w:val="16"/>
              </w:rPr>
            </w:pPr>
            <w:r w:rsidRPr="007F1283">
              <w:rPr>
                <w:b/>
                <w:bCs/>
                <w:sz w:val="16"/>
                <w:szCs w:val="16"/>
              </w:rPr>
              <w:t>Category</w:t>
            </w:r>
          </w:p>
        </w:tc>
        <w:tc>
          <w:tcPr>
            <w:tcW w:w="1985" w:type="dxa"/>
            <w:shd w:val="clear" w:color="auto" w:fill="004242"/>
            <w:tcMar>
              <w:left w:w="90" w:type="dxa"/>
              <w:right w:w="90" w:type="dxa"/>
            </w:tcMar>
            <w:vAlign w:val="center"/>
          </w:tcPr>
          <w:p w14:paraId="32E61551" w14:textId="77777777" w:rsidR="00962CAC" w:rsidRPr="007F1283" w:rsidRDefault="00962CAC" w:rsidP="00962CAC">
            <w:pPr>
              <w:spacing w:line="240" w:lineRule="auto"/>
              <w:ind w:left="0"/>
              <w:rPr>
                <w:sz w:val="16"/>
                <w:szCs w:val="16"/>
              </w:rPr>
            </w:pPr>
            <w:r w:rsidRPr="007F1283">
              <w:rPr>
                <w:b/>
                <w:bCs/>
                <w:sz w:val="16"/>
                <w:szCs w:val="16"/>
              </w:rPr>
              <w:t>Category value</w:t>
            </w:r>
          </w:p>
        </w:tc>
        <w:tc>
          <w:tcPr>
            <w:tcW w:w="6095" w:type="dxa"/>
            <w:shd w:val="clear" w:color="auto" w:fill="004242"/>
            <w:tcMar>
              <w:left w:w="90" w:type="dxa"/>
              <w:right w:w="90" w:type="dxa"/>
            </w:tcMar>
            <w:vAlign w:val="center"/>
          </w:tcPr>
          <w:p w14:paraId="3FCC8012" w14:textId="77777777" w:rsidR="00962CAC" w:rsidRPr="007F1283" w:rsidRDefault="00962CAC" w:rsidP="00962CAC">
            <w:pPr>
              <w:spacing w:line="240" w:lineRule="auto"/>
              <w:ind w:left="0"/>
              <w:rPr>
                <w:sz w:val="16"/>
                <w:szCs w:val="16"/>
              </w:rPr>
            </w:pPr>
            <w:r w:rsidRPr="007F1283">
              <w:rPr>
                <w:b/>
                <w:bCs/>
                <w:sz w:val="16"/>
                <w:szCs w:val="16"/>
              </w:rPr>
              <w:t>Description</w:t>
            </w:r>
          </w:p>
        </w:tc>
      </w:tr>
      <w:tr w:rsidR="006F160C" w:rsidRPr="007F1283" w14:paraId="08698FD7" w14:textId="77777777" w:rsidTr="001C1FBF">
        <w:trPr>
          <w:trHeight w:val="300"/>
        </w:trPr>
        <w:tc>
          <w:tcPr>
            <w:tcW w:w="1271" w:type="dxa"/>
            <w:vMerge w:val="restart"/>
            <w:shd w:val="clear" w:color="auto" w:fill="EFF6F6"/>
            <w:tcMar>
              <w:left w:w="105" w:type="dxa"/>
              <w:right w:w="105" w:type="dxa"/>
            </w:tcMar>
            <w:vAlign w:val="center"/>
          </w:tcPr>
          <w:p w14:paraId="526154D6" w14:textId="77777777" w:rsidR="006F160C" w:rsidRPr="007F1283" w:rsidRDefault="006F160C">
            <w:pPr>
              <w:spacing w:line="240" w:lineRule="auto"/>
              <w:ind w:left="0"/>
              <w:rPr>
                <w:b/>
                <w:bCs/>
                <w:sz w:val="16"/>
                <w:szCs w:val="16"/>
              </w:rPr>
            </w:pPr>
            <w:r w:rsidRPr="007F1283">
              <w:rPr>
                <w:b/>
                <w:bCs/>
                <w:sz w:val="16"/>
                <w:szCs w:val="16"/>
              </w:rPr>
              <w:t>Assessment levels</w:t>
            </w:r>
          </w:p>
        </w:tc>
        <w:tc>
          <w:tcPr>
            <w:tcW w:w="1985" w:type="dxa"/>
            <w:tcMar>
              <w:left w:w="105" w:type="dxa"/>
              <w:right w:w="105" w:type="dxa"/>
            </w:tcMar>
          </w:tcPr>
          <w:p w14:paraId="7B00732D" w14:textId="77777777" w:rsidR="006F160C" w:rsidRPr="007F1283" w:rsidRDefault="006F160C">
            <w:pPr>
              <w:spacing w:line="240" w:lineRule="auto"/>
              <w:ind w:left="0"/>
              <w:rPr>
                <w:sz w:val="16"/>
                <w:szCs w:val="16"/>
              </w:rPr>
            </w:pPr>
            <w:r w:rsidRPr="007F1283">
              <w:rPr>
                <w:sz w:val="16"/>
                <w:szCs w:val="16"/>
              </w:rPr>
              <w:t>Measure</w:t>
            </w:r>
          </w:p>
        </w:tc>
        <w:tc>
          <w:tcPr>
            <w:tcW w:w="6095" w:type="dxa"/>
            <w:tcMar>
              <w:left w:w="105" w:type="dxa"/>
              <w:right w:w="105" w:type="dxa"/>
            </w:tcMar>
          </w:tcPr>
          <w:p w14:paraId="5B4F7297" w14:textId="77777777" w:rsidR="006F160C" w:rsidRPr="007F1283" w:rsidRDefault="006F160C">
            <w:pPr>
              <w:spacing w:line="240" w:lineRule="auto"/>
              <w:ind w:left="0"/>
              <w:rPr>
                <w:sz w:val="16"/>
                <w:szCs w:val="16"/>
              </w:rPr>
            </w:pPr>
            <w:r w:rsidRPr="007F1283">
              <w:rPr>
                <w:sz w:val="16"/>
                <w:szCs w:val="16"/>
              </w:rPr>
              <w:t xml:space="preserve">RRF – each measure, i.e. reforms or investments, </w:t>
            </w:r>
            <w:r w:rsidRPr="007F1283">
              <w:rPr>
                <w:i/>
                <w:iCs/>
                <w:sz w:val="16"/>
                <w:szCs w:val="16"/>
              </w:rPr>
              <w:t>according to Article 2.1 of the Guidance on the application of DNSH under the RRF Regulation (2021/C 58/01)</w:t>
            </w:r>
          </w:p>
        </w:tc>
      </w:tr>
      <w:tr w:rsidR="006F160C" w:rsidRPr="007F1283" w14:paraId="7711F918" w14:textId="77777777" w:rsidTr="232E7DD7">
        <w:trPr>
          <w:trHeight w:val="300"/>
        </w:trPr>
        <w:tc>
          <w:tcPr>
            <w:tcW w:w="1271" w:type="dxa"/>
            <w:vMerge/>
            <w:vAlign w:val="center"/>
          </w:tcPr>
          <w:p w14:paraId="54BFD9DC" w14:textId="77777777" w:rsidR="006F160C" w:rsidRPr="007F1283" w:rsidRDefault="006F160C">
            <w:pPr>
              <w:spacing w:line="240" w:lineRule="auto"/>
              <w:ind w:left="0"/>
              <w:rPr>
                <w:sz w:val="16"/>
                <w:szCs w:val="16"/>
              </w:rPr>
            </w:pPr>
          </w:p>
        </w:tc>
        <w:tc>
          <w:tcPr>
            <w:tcW w:w="1985" w:type="dxa"/>
            <w:tcMar>
              <w:left w:w="105" w:type="dxa"/>
              <w:right w:w="105" w:type="dxa"/>
            </w:tcMar>
          </w:tcPr>
          <w:p w14:paraId="5F15B3F2" w14:textId="0900C53A" w:rsidR="006F160C" w:rsidRPr="007F1283" w:rsidRDefault="006356E2">
            <w:pPr>
              <w:spacing w:line="240" w:lineRule="auto"/>
              <w:ind w:left="0"/>
              <w:rPr>
                <w:sz w:val="16"/>
                <w:szCs w:val="16"/>
              </w:rPr>
            </w:pPr>
            <w:r w:rsidRPr="007F1283">
              <w:rPr>
                <w:sz w:val="16"/>
                <w:szCs w:val="16"/>
              </w:rPr>
              <w:t>T</w:t>
            </w:r>
            <w:r w:rsidR="006F160C" w:rsidRPr="007F1283">
              <w:rPr>
                <w:sz w:val="16"/>
                <w:szCs w:val="16"/>
              </w:rPr>
              <w:t>ype of action</w:t>
            </w:r>
          </w:p>
        </w:tc>
        <w:tc>
          <w:tcPr>
            <w:tcW w:w="6095" w:type="dxa"/>
            <w:tcMar>
              <w:left w:w="105" w:type="dxa"/>
              <w:right w:w="105" w:type="dxa"/>
            </w:tcMar>
          </w:tcPr>
          <w:p w14:paraId="5EA541C0" w14:textId="77777777" w:rsidR="006F160C" w:rsidRPr="007F1283" w:rsidRDefault="006F160C">
            <w:pPr>
              <w:spacing w:line="240" w:lineRule="auto"/>
              <w:ind w:left="0"/>
              <w:rPr>
                <w:sz w:val="16"/>
                <w:szCs w:val="16"/>
              </w:rPr>
            </w:pPr>
            <w:r w:rsidRPr="007F1283">
              <w:rPr>
                <w:sz w:val="16"/>
                <w:szCs w:val="16"/>
              </w:rPr>
              <w:t xml:space="preserve">CPF – each programme’s type of actions, </w:t>
            </w:r>
            <w:r w:rsidRPr="007F1283">
              <w:rPr>
                <w:i/>
                <w:iCs/>
                <w:sz w:val="16"/>
                <w:szCs w:val="16"/>
              </w:rPr>
              <w:t>according to the Commission explanatory note on Application of the DNSH principle under cohesion policy from 27/09/2021</w:t>
            </w:r>
          </w:p>
        </w:tc>
      </w:tr>
      <w:tr w:rsidR="006F160C" w:rsidRPr="007F1283" w14:paraId="14E99DF4" w14:textId="77777777" w:rsidTr="232E7DD7">
        <w:trPr>
          <w:trHeight w:val="458"/>
        </w:trPr>
        <w:tc>
          <w:tcPr>
            <w:tcW w:w="1271" w:type="dxa"/>
            <w:vMerge/>
            <w:vAlign w:val="center"/>
          </w:tcPr>
          <w:p w14:paraId="078DF9D8" w14:textId="77777777" w:rsidR="006F160C" w:rsidRPr="007F1283" w:rsidRDefault="006F160C">
            <w:pPr>
              <w:spacing w:line="240" w:lineRule="auto"/>
              <w:ind w:left="0"/>
              <w:rPr>
                <w:sz w:val="16"/>
                <w:szCs w:val="16"/>
              </w:rPr>
            </w:pPr>
          </w:p>
        </w:tc>
        <w:tc>
          <w:tcPr>
            <w:tcW w:w="1985" w:type="dxa"/>
            <w:tcMar>
              <w:left w:w="105" w:type="dxa"/>
              <w:right w:w="105" w:type="dxa"/>
            </w:tcMar>
          </w:tcPr>
          <w:p w14:paraId="6CB68B23" w14:textId="77777777" w:rsidR="006F160C" w:rsidRPr="007F1283" w:rsidRDefault="006F160C">
            <w:pPr>
              <w:spacing w:line="240" w:lineRule="auto"/>
              <w:ind w:left="0"/>
              <w:rPr>
                <w:sz w:val="16"/>
                <w:szCs w:val="16"/>
              </w:rPr>
            </w:pPr>
            <w:r w:rsidRPr="007F1283">
              <w:rPr>
                <w:sz w:val="16"/>
                <w:szCs w:val="16"/>
              </w:rPr>
              <w:t>Project</w:t>
            </w:r>
          </w:p>
        </w:tc>
        <w:tc>
          <w:tcPr>
            <w:tcW w:w="6095" w:type="dxa"/>
            <w:tcMar>
              <w:left w:w="105" w:type="dxa"/>
              <w:right w:w="105" w:type="dxa"/>
            </w:tcMar>
          </w:tcPr>
          <w:p w14:paraId="3204BC58" w14:textId="77777777" w:rsidR="006F160C" w:rsidRPr="007F1283" w:rsidRDefault="006F160C">
            <w:pPr>
              <w:spacing w:line="240" w:lineRule="auto"/>
              <w:ind w:left="0"/>
              <w:rPr>
                <w:sz w:val="16"/>
                <w:szCs w:val="16"/>
              </w:rPr>
            </w:pPr>
            <w:r w:rsidRPr="007F1283">
              <w:rPr>
                <w:sz w:val="16"/>
                <w:szCs w:val="16"/>
              </w:rPr>
              <w:t>InvestEU – each project,</w:t>
            </w:r>
            <w:r w:rsidRPr="007F1283">
              <w:rPr>
                <w:i/>
                <w:iCs/>
                <w:sz w:val="16"/>
                <w:szCs w:val="16"/>
              </w:rPr>
              <w:t xml:space="preserve"> according to Article 1.4 of the Guidance on sustainability proofing (2021/C 280/01)</w:t>
            </w:r>
          </w:p>
        </w:tc>
      </w:tr>
      <w:tr w:rsidR="006F160C" w:rsidRPr="007F1283" w14:paraId="2E444309" w14:textId="77777777" w:rsidTr="009E708E">
        <w:trPr>
          <w:trHeight w:val="421"/>
        </w:trPr>
        <w:tc>
          <w:tcPr>
            <w:tcW w:w="1271" w:type="dxa"/>
            <w:vMerge w:val="restart"/>
            <w:shd w:val="clear" w:color="auto" w:fill="EFF6F6"/>
            <w:tcMar>
              <w:left w:w="105" w:type="dxa"/>
              <w:right w:w="105" w:type="dxa"/>
            </w:tcMar>
            <w:vAlign w:val="center"/>
          </w:tcPr>
          <w:p w14:paraId="35A342DC" w14:textId="77777777" w:rsidR="006F160C" w:rsidRPr="007F1283" w:rsidRDefault="006F160C">
            <w:pPr>
              <w:spacing w:line="240" w:lineRule="auto"/>
              <w:ind w:left="0"/>
              <w:rPr>
                <w:b/>
                <w:bCs/>
                <w:sz w:val="16"/>
                <w:szCs w:val="16"/>
              </w:rPr>
            </w:pPr>
            <w:r w:rsidRPr="007F1283">
              <w:rPr>
                <w:b/>
                <w:bCs/>
                <w:sz w:val="16"/>
                <w:szCs w:val="16"/>
              </w:rPr>
              <w:t>Assessment type</w:t>
            </w:r>
          </w:p>
        </w:tc>
        <w:tc>
          <w:tcPr>
            <w:tcW w:w="1985" w:type="dxa"/>
            <w:tcMar>
              <w:left w:w="105" w:type="dxa"/>
              <w:right w:w="105" w:type="dxa"/>
            </w:tcMar>
          </w:tcPr>
          <w:p w14:paraId="5348C1A5" w14:textId="77777777" w:rsidR="006F160C" w:rsidRPr="007F1283" w:rsidRDefault="006F160C">
            <w:pPr>
              <w:spacing w:line="240" w:lineRule="auto"/>
              <w:ind w:left="0"/>
              <w:rPr>
                <w:sz w:val="16"/>
                <w:szCs w:val="16"/>
              </w:rPr>
            </w:pPr>
            <w:r w:rsidRPr="007F1283">
              <w:rPr>
                <w:sz w:val="16"/>
                <w:szCs w:val="16"/>
              </w:rPr>
              <w:t>Simplified</w:t>
            </w:r>
          </w:p>
        </w:tc>
        <w:tc>
          <w:tcPr>
            <w:tcW w:w="6095" w:type="dxa"/>
            <w:tcMar>
              <w:left w:w="105" w:type="dxa"/>
              <w:right w:w="105" w:type="dxa"/>
            </w:tcMar>
          </w:tcPr>
          <w:p w14:paraId="2939BAF9" w14:textId="77777777" w:rsidR="006F160C" w:rsidRPr="007F1283" w:rsidRDefault="006F160C">
            <w:pPr>
              <w:spacing w:line="240" w:lineRule="auto"/>
              <w:ind w:left="0"/>
              <w:rPr>
                <w:sz w:val="16"/>
                <w:szCs w:val="16"/>
              </w:rPr>
            </w:pPr>
            <w:r w:rsidRPr="007F1283">
              <w:rPr>
                <w:sz w:val="16"/>
                <w:szCs w:val="16"/>
              </w:rPr>
              <w:t>a brief justification to be provided according to Part 1 of the DNSH Checklist in Annex 1 of the DNSH Technical Guidance</w:t>
            </w:r>
          </w:p>
        </w:tc>
      </w:tr>
      <w:tr w:rsidR="006F160C" w:rsidRPr="007F1283" w14:paraId="558D435A" w14:textId="77777777" w:rsidTr="232E7DD7">
        <w:trPr>
          <w:trHeight w:val="300"/>
        </w:trPr>
        <w:tc>
          <w:tcPr>
            <w:tcW w:w="1271" w:type="dxa"/>
            <w:vMerge/>
            <w:vAlign w:val="center"/>
          </w:tcPr>
          <w:p w14:paraId="0BCC8B16" w14:textId="77777777" w:rsidR="006F160C" w:rsidRPr="007F1283" w:rsidRDefault="006F160C">
            <w:pPr>
              <w:spacing w:line="240" w:lineRule="auto"/>
              <w:ind w:left="0"/>
              <w:rPr>
                <w:sz w:val="16"/>
                <w:szCs w:val="16"/>
              </w:rPr>
            </w:pPr>
          </w:p>
        </w:tc>
        <w:tc>
          <w:tcPr>
            <w:tcW w:w="1985" w:type="dxa"/>
            <w:tcMar>
              <w:left w:w="105" w:type="dxa"/>
              <w:right w:w="105" w:type="dxa"/>
            </w:tcMar>
          </w:tcPr>
          <w:p w14:paraId="4100842A" w14:textId="77777777" w:rsidR="006F160C" w:rsidRPr="007F1283" w:rsidRDefault="006F160C">
            <w:pPr>
              <w:spacing w:line="240" w:lineRule="auto"/>
              <w:ind w:left="0"/>
              <w:rPr>
                <w:sz w:val="16"/>
                <w:szCs w:val="16"/>
              </w:rPr>
            </w:pPr>
            <w:r w:rsidRPr="007F1283">
              <w:rPr>
                <w:sz w:val="16"/>
                <w:szCs w:val="16"/>
              </w:rPr>
              <w:t>Substantive – DNSH TSC available</w:t>
            </w:r>
          </w:p>
        </w:tc>
        <w:tc>
          <w:tcPr>
            <w:tcW w:w="6095" w:type="dxa"/>
            <w:tcMar>
              <w:left w:w="105" w:type="dxa"/>
              <w:right w:w="105" w:type="dxa"/>
            </w:tcMar>
          </w:tcPr>
          <w:p w14:paraId="4BDB0970" w14:textId="77777777" w:rsidR="006F160C" w:rsidRPr="007F1283" w:rsidRDefault="006F160C">
            <w:pPr>
              <w:spacing w:line="240" w:lineRule="auto"/>
              <w:ind w:left="0"/>
              <w:rPr>
                <w:sz w:val="16"/>
                <w:szCs w:val="16"/>
              </w:rPr>
            </w:pPr>
            <w:r w:rsidRPr="007F1283">
              <w:rPr>
                <w:sz w:val="16"/>
                <w:szCs w:val="16"/>
              </w:rPr>
              <w:t>a substantive justification needs to be provided according to Part 2 of the DNSH Checklist in Annex 1 + Annex 2 of the DNSH Technical Guidance, (possibly) subject to Technical screening criteria for DNSH</w:t>
            </w:r>
          </w:p>
        </w:tc>
      </w:tr>
      <w:tr w:rsidR="006F160C" w:rsidRPr="007F1283" w14:paraId="755BC686" w14:textId="77777777" w:rsidTr="232E7DD7">
        <w:trPr>
          <w:trHeight w:val="300"/>
        </w:trPr>
        <w:tc>
          <w:tcPr>
            <w:tcW w:w="1271" w:type="dxa"/>
            <w:vMerge/>
            <w:vAlign w:val="center"/>
          </w:tcPr>
          <w:p w14:paraId="275DC6B6" w14:textId="77777777" w:rsidR="006F160C" w:rsidRPr="007F1283" w:rsidRDefault="006F160C">
            <w:pPr>
              <w:spacing w:line="240" w:lineRule="auto"/>
              <w:ind w:left="0"/>
              <w:rPr>
                <w:sz w:val="16"/>
                <w:szCs w:val="16"/>
              </w:rPr>
            </w:pPr>
          </w:p>
        </w:tc>
        <w:tc>
          <w:tcPr>
            <w:tcW w:w="1985" w:type="dxa"/>
            <w:tcMar>
              <w:left w:w="105" w:type="dxa"/>
              <w:right w:w="105" w:type="dxa"/>
            </w:tcMar>
          </w:tcPr>
          <w:p w14:paraId="539D06FD" w14:textId="77777777" w:rsidR="006F160C" w:rsidRPr="007F1283" w:rsidRDefault="006F160C">
            <w:pPr>
              <w:spacing w:line="240" w:lineRule="auto"/>
              <w:ind w:left="0"/>
              <w:rPr>
                <w:sz w:val="16"/>
                <w:szCs w:val="16"/>
              </w:rPr>
            </w:pPr>
            <w:r w:rsidRPr="007F1283">
              <w:rPr>
                <w:sz w:val="16"/>
                <w:szCs w:val="16"/>
              </w:rPr>
              <w:t>Substantive – DNSH TSC not available</w:t>
            </w:r>
          </w:p>
        </w:tc>
        <w:tc>
          <w:tcPr>
            <w:tcW w:w="6095" w:type="dxa"/>
            <w:tcMar>
              <w:left w:w="105" w:type="dxa"/>
              <w:right w:w="105" w:type="dxa"/>
            </w:tcMar>
          </w:tcPr>
          <w:p w14:paraId="4A21EDB4" w14:textId="77777777" w:rsidR="006F160C" w:rsidRPr="007F1283" w:rsidRDefault="006F160C">
            <w:pPr>
              <w:spacing w:line="240" w:lineRule="auto"/>
              <w:ind w:left="0"/>
              <w:rPr>
                <w:sz w:val="16"/>
                <w:szCs w:val="16"/>
              </w:rPr>
            </w:pPr>
            <w:r w:rsidRPr="007F1283">
              <w:rPr>
                <w:sz w:val="16"/>
                <w:szCs w:val="16"/>
              </w:rPr>
              <w:t>a substantive justification needs to be provided; an economic activity is not included/described under the EU Taxonomy Climate Delegated Act (Delegated Regulation (EU) 2021/2139).</w:t>
            </w:r>
          </w:p>
        </w:tc>
      </w:tr>
      <w:tr w:rsidR="006F160C" w:rsidRPr="007F1283" w14:paraId="5C6D593A" w14:textId="77777777" w:rsidTr="001C1FBF">
        <w:trPr>
          <w:trHeight w:val="300"/>
        </w:trPr>
        <w:tc>
          <w:tcPr>
            <w:tcW w:w="1271" w:type="dxa"/>
            <w:vMerge w:val="restart"/>
            <w:shd w:val="clear" w:color="auto" w:fill="EFF6F6"/>
            <w:tcMar>
              <w:left w:w="105" w:type="dxa"/>
              <w:right w:w="105" w:type="dxa"/>
            </w:tcMar>
            <w:vAlign w:val="center"/>
          </w:tcPr>
          <w:p w14:paraId="6F966405" w14:textId="6F32FE82" w:rsidR="006F160C" w:rsidRPr="007F1283" w:rsidRDefault="006F160C">
            <w:pPr>
              <w:spacing w:line="240" w:lineRule="auto"/>
              <w:ind w:left="0"/>
              <w:rPr>
                <w:sz w:val="16"/>
                <w:szCs w:val="16"/>
              </w:rPr>
            </w:pPr>
            <w:r w:rsidRPr="007F1283">
              <w:rPr>
                <w:b/>
                <w:bCs/>
                <w:sz w:val="16"/>
                <w:szCs w:val="16"/>
              </w:rPr>
              <w:t>Interlinkages with climate/ sustainability proofing</w:t>
            </w:r>
          </w:p>
        </w:tc>
        <w:tc>
          <w:tcPr>
            <w:tcW w:w="1985" w:type="dxa"/>
            <w:tcMar>
              <w:left w:w="105" w:type="dxa"/>
              <w:right w:w="105" w:type="dxa"/>
            </w:tcMar>
          </w:tcPr>
          <w:p w14:paraId="7787F5AB" w14:textId="77777777" w:rsidR="006F160C" w:rsidRPr="007F1283" w:rsidRDefault="006F160C">
            <w:pPr>
              <w:spacing w:line="240" w:lineRule="auto"/>
              <w:ind w:left="0"/>
              <w:rPr>
                <w:sz w:val="16"/>
                <w:szCs w:val="16"/>
              </w:rPr>
            </w:pPr>
            <w:r w:rsidRPr="007F1283">
              <w:rPr>
                <w:sz w:val="16"/>
                <w:szCs w:val="16"/>
              </w:rPr>
              <w:t>Independent</w:t>
            </w:r>
          </w:p>
        </w:tc>
        <w:tc>
          <w:tcPr>
            <w:tcW w:w="6095" w:type="dxa"/>
            <w:tcMar>
              <w:left w:w="105" w:type="dxa"/>
              <w:right w:w="105" w:type="dxa"/>
            </w:tcMar>
          </w:tcPr>
          <w:p w14:paraId="35E8AA04" w14:textId="59DED634" w:rsidR="006F160C" w:rsidRPr="007F1283" w:rsidRDefault="003326FC">
            <w:pPr>
              <w:spacing w:line="240" w:lineRule="auto"/>
              <w:ind w:left="0"/>
              <w:rPr>
                <w:sz w:val="16"/>
                <w:szCs w:val="16"/>
              </w:rPr>
            </w:pPr>
            <w:r w:rsidRPr="007F1283">
              <w:rPr>
                <w:sz w:val="16"/>
                <w:szCs w:val="16"/>
              </w:rPr>
              <w:t>f</w:t>
            </w:r>
            <w:r w:rsidR="006F160C" w:rsidRPr="007F1283">
              <w:rPr>
                <w:sz w:val="16"/>
                <w:szCs w:val="16"/>
              </w:rPr>
              <w:t>or CPF, DNSH and climate/sustainability proofing are separate methodologies</w:t>
            </w:r>
          </w:p>
        </w:tc>
      </w:tr>
      <w:tr w:rsidR="006F160C" w:rsidRPr="007F1283" w14:paraId="15790F2C" w14:textId="77777777" w:rsidTr="232E7DD7">
        <w:trPr>
          <w:trHeight w:val="300"/>
        </w:trPr>
        <w:tc>
          <w:tcPr>
            <w:tcW w:w="1271" w:type="dxa"/>
            <w:vMerge/>
            <w:vAlign w:val="center"/>
          </w:tcPr>
          <w:p w14:paraId="6A04FBA1" w14:textId="77777777" w:rsidR="006F160C" w:rsidRPr="007F1283" w:rsidRDefault="006F160C">
            <w:pPr>
              <w:spacing w:line="240" w:lineRule="auto"/>
              <w:ind w:left="0"/>
              <w:rPr>
                <w:sz w:val="16"/>
                <w:szCs w:val="16"/>
              </w:rPr>
            </w:pPr>
          </w:p>
        </w:tc>
        <w:tc>
          <w:tcPr>
            <w:tcW w:w="1985" w:type="dxa"/>
            <w:tcMar>
              <w:left w:w="105" w:type="dxa"/>
              <w:right w:w="105" w:type="dxa"/>
            </w:tcMar>
          </w:tcPr>
          <w:p w14:paraId="5C364F77" w14:textId="77777777" w:rsidR="006F160C" w:rsidRPr="007F1283" w:rsidRDefault="006F160C">
            <w:pPr>
              <w:spacing w:line="240" w:lineRule="auto"/>
              <w:ind w:left="0"/>
              <w:rPr>
                <w:sz w:val="16"/>
                <w:szCs w:val="16"/>
              </w:rPr>
            </w:pPr>
            <w:r w:rsidRPr="007F1283">
              <w:rPr>
                <w:sz w:val="16"/>
                <w:szCs w:val="16"/>
              </w:rPr>
              <w:t xml:space="preserve">Recommended </w:t>
            </w:r>
          </w:p>
        </w:tc>
        <w:tc>
          <w:tcPr>
            <w:tcW w:w="6095" w:type="dxa"/>
            <w:tcMar>
              <w:left w:w="105" w:type="dxa"/>
              <w:right w:w="105" w:type="dxa"/>
            </w:tcMar>
          </w:tcPr>
          <w:p w14:paraId="2A936B5D" w14:textId="09D5204F" w:rsidR="006F160C" w:rsidRPr="007F1283" w:rsidRDefault="003326FC">
            <w:pPr>
              <w:spacing w:line="240" w:lineRule="auto"/>
              <w:ind w:left="0"/>
              <w:rPr>
                <w:sz w:val="16"/>
                <w:szCs w:val="16"/>
              </w:rPr>
            </w:pPr>
            <w:r w:rsidRPr="007F1283">
              <w:rPr>
                <w:sz w:val="16"/>
                <w:szCs w:val="16"/>
              </w:rPr>
              <w:t>f</w:t>
            </w:r>
            <w:r w:rsidR="006F160C" w:rsidRPr="007F1283">
              <w:rPr>
                <w:sz w:val="16"/>
                <w:szCs w:val="16"/>
              </w:rPr>
              <w:t>or RRF, climate/sustainability proofing is recommended for DNSH appraisal</w:t>
            </w:r>
          </w:p>
        </w:tc>
      </w:tr>
      <w:tr w:rsidR="006F160C" w:rsidRPr="007F1283" w14:paraId="0D03F8DB" w14:textId="77777777" w:rsidTr="232E7DD7">
        <w:trPr>
          <w:trHeight w:val="300"/>
        </w:trPr>
        <w:tc>
          <w:tcPr>
            <w:tcW w:w="1271" w:type="dxa"/>
            <w:vMerge/>
            <w:vAlign w:val="center"/>
          </w:tcPr>
          <w:p w14:paraId="6047CF05" w14:textId="77777777" w:rsidR="006F160C" w:rsidRPr="007F1283" w:rsidRDefault="006F160C">
            <w:pPr>
              <w:spacing w:line="240" w:lineRule="auto"/>
              <w:ind w:left="0"/>
              <w:rPr>
                <w:sz w:val="16"/>
                <w:szCs w:val="16"/>
              </w:rPr>
            </w:pPr>
          </w:p>
        </w:tc>
        <w:tc>
          <w:tcPr>
            <w:tcW w:w="1985" w:type="dxa"/>
            <w:tcMar>
              <w:left w:w="105" w:type="dxa"/>
              <w:right w:w="105" w:type="dxa"/>
            </w:tcMar>
          </w:tcPr>
          <w:p w14:paraId="3DDDE0F6" w14:textId="77777777" w:rsidR="006F160C" w:rsidRPr="007F1283" w:rsidRDefault="006F160C">
            <w:pPr>
              <w:spacing w:line="240" w:lineRule="auto"/>
              <w:ind w:left="0"/>
              <w:rPr>
                <w:sz w:val="16"/>
                <w:szCs w:val="16"/>
              </w:rPr>
            </w:pPr>
            <w:r w:rsidRPr="007F1283">
              <w:rPr>
                <w:sz w:val="16"/>
                <w:szCs w:val="16"/>
              </w:rPr>
              <w:t>Mandatory</w:t>
            </w:r>
          </w:p>
        </w:tc>
        <w:tc>
          <w:tcPr>
            <w:tcW w:w="6095" w:type="dxa"/>
            <w:tcMar>
              <w:left w:w="105" w:type="dxa"/>
              <w:right w:w="105" w:type="dxa"/>
            </w:tcMar>
          </w:tcPr>
          <w:p w14:paraId="040C17A9" w14:textId="21D00381" w:rsidR="006F160C" w:rsidRPr="007F1283" w:rsidRDefault="003326FC">
            <w:pPr>
              <w:spacing w:line="240" w:lineRule="auto"/>
              <w:ind w:left="0"/>
              <w:rPr>
                <w:sz w:val="16"/>
                <w:szCs w:val="16"/>
              </w:rPr>
            </w:pPr>
            <w:r w:rsidRPr="007F1283">
              <w:rPr>
                <w:sz w:val="16"/>
                <w:szCs w:val="16"/>
              </w:rPr>
              <w:t>f</w:t>
            </w:r>
            <w:r w:rsidR="006F160C" w:rsidRPr="007F1283">
              <w:rPr>
                <w:sz w:val="16"/>
                <w:szCs w:val="16"/>
              </w:rPr>
              <w:t>or InvestEU, DNSH application is fully integrated in climate/sustainability proofing</w:t>
            </w:r>
          </w:p>
        </w:tc>
      </w:tr>
    </w:tbl>
    <w:p w14:paraId="6C6EA02E" w14:textId="15941D52" w:rsidR="00D4662C" w:rsidRPr="007F1283" w:rsidRDefault="00D4662C" w:rsidP="00890600">
      <w:pPr>
        <w:ind w:left="0"/>
      </w:pPr>
    </w:p>
    <w:p w14:paraId="6E358853" w14:textId="77777777" w:rsidR="00D4662C" w:rsidRPr="007F1283" w:rsidRDefault="00D4662C">
      <w:pPr>
        <w:spacing w:after="200" w:line="276" w:lineRule="auto"/>
        <w:ind w:left="0"/>
      </w:pPr>
      <w:r w:rsidRPr="007F1283">
        <w:br w:type="page"/>
      </w:r>
    </w:p>
    <w:p w14:paraId="658A9BEE" w14:textId="6724933F" w:rsidR="00F43C6D" w:rsidRPr="007F1283" w:rsidRDefault="00DB699F" w:rsidP="00D4662C">
      <w:pPr>
        <w:pStyle w:val="Nadpis1"/>
        <w:numPr>
          <w:ilvl w:val="0"/>
          <w:numId w:val="0"/>
        </w:numPr>
      </w:pPr>
      <w:bookmarkStart w:id="36" w:name="_Toc133944269"/>
      <w:r w:rsidRPr="007F1283">
        <w:lastRenderedPageBreak/>
        <w:t>Annex C</w:t>
      </w:r>
      <w:r w:rsidR="000A5AB2" w:rsidRPr="007F1283">
        <w:t xml:space="preserve"> Example of </w:t>
      </w:r>
      <w:r w:rsidR="00090C63" w:rsidRPr="007F1283">
        <w:t xml:space="preserve">application of the </w:t>
      </w:r>
      <w:r w:rsidR="000A5AB2" w:rsidRPr="007F1283">
        <w:t>recommended approach</w:t>
      </w:r>
      <w:bookmarkEnd w:id="36"/>
    </w:p>
    <w:p w14:paraId="380DA591" w14:textId="7ACC5701" w:rsidR="00F43C6D" w:rsidRPr="007F1283" w:rsidRDefault="00F43C6D" w:rsidP="00D4662C">
      <w:pPr>
        <w:ind w:left="0"/>
        <w:rPr>
          <w:b/>
          <w:bCs/>
        </w:rPr>
      </w:pPr>
      <w:r w:rsidRPr="007F1283">
        <w:rPr>
          <w:b/>
          <w:bCs/>
        </w:rPr>
        <w:t xml:space="preserve">Intervention area: </w:t>
      </w:r>
      <w:r w:rsidRPr="007F1283">
        <w:rPr>
          <w:b/>
          <w:bCs/>
        </w:rPr>
        <w:tab/>
      </w:r>
      <w:r w:rsidRPr="007F1283">
        <w:rPr>
          <w:b/>
          <w:u w:val="single"/>
        </w:rPr>
        <w:t>Electrification of the railway network</w:t>
      </w:r>
    </w:p>
    <w:p w14:paraId="7E958057" w14:textId="77777777" w:rsidR="00F43C6D" w:rsidRPr="007F1283" w:rsidRDefault="00F43C6D" w:rsidP="00D4662C">
      <w:pPr>
        <w:ind w:left="0"/>
        <w:rPr>
          <w:b/>
          <w:bCs/>
        </w:rPr>
      </w:pPr>
      <w:r w:rsidRPr="007F1283">
        <w:rPr>
          <w:b/>
          <w:bCs/>
        </w:rPr>
        <w:t>Investment category:</w:t>
      </w:r>
      <w:r w:rsidRPr="007F1283">
        <w:rPr>
          <w:b/>
          <w:bCs/>
        </w:rPr>
        <w:tab/>
        <w:t>Infrastructure / Transport</w:t>
      </w:r>
    </w:p>
    <w:p w14:paraId="4869938C" w14:textId="4C78DA3E" w:rsidR="00F43C6D" w:rsidRPr="007F1283" w:rsidRDefault="00F43C6D" w:rsidP="00D4662C">
      <w:pPr>
        <w:ind w:left="0"/>
        <w:rPr>
          <w:b/>
          <w:bCs/>
        </w:rPr>
      </w:pPr>
      <w:r w:rsidRPr="007F1283">
        <w:rPr>
          <w:b/>
          <w:bCs/>
        </w:rPr>
        <w:t xml:space="preserve">Investment type: </w:t>
      </w:r>
      <w:r w:rsidRPr="007F1283">
        <w:tab/>
      </w:r>
      <w:r w:rsidRPr="007F1283">
        <w:rPr>
          <w:b/>
          <w:bCs/>
        </w:rPr>
        <w:t>Construction &amp; development of low-carbon transport infrastructure (e.g. rail, EVs)</w:t>
      </w:r>
    </w:p>
    <w:p w14:paraId="1B4C80DA" w14:textId="77777777" w:rsidR="00D4662C" w:rsidRPr="007F1283" w:rsidRDefault="00D4662C" w:rsidP="00D4662C">
      <w:pPr>
        <w:ind w:left="0"/>
        <w:rPr>
          <w:b/>
          <w:bCs/>
        </w:rPr>
      </w:pPr>
    </w:p>
    <w:tbl>
      <w:tblPr>
        <w:tblStyle w:val="Mkatabulky"/>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00"/>
        <w:gridCol w:w="7506"/>
      </w:tblGrid>
      <w:tr w:rsidR="00D4662C" w:rsidRPr="007F1283" w14:paraId="188AC8E5" w14:textId="77777777" w:rsidTr="00FE23D8">
        <w:trPr>
          <w:trHeight w:val="300"/>
        </w:trPr>
        <w:tc>
          <w:tcPr>
            <w:tcW w:w="5000" w:type="pct"/>
            <w:gridSpan w:val="2"/>
            <w:shd w:val="clear" w:color="auto" w:fill="FFE3A5" w:themeFill="accent4"/>
            <w:tcMar>
              <w:left w:w="90" w:type="dxa"/>
              <w:right w:w="90" w:type="dxa"/>
            </w:tcMar>
            <w:vAlign w:val="center"/>
          </w:tcPr>
          <w:p w14:paraId="77A5390E" w14:textId="435A1C0F" w:rsidR="00D4662C" w:rsidRPr="007F1283" w:rsidRDefault="00D4662C" w:rsidP="00FE23D8">
            <w:pPr>
              <w:spacing w:line="240" w:lineRule="auto"/>
              <w:ind w:left="0"/>
              <w:rPr>
                <w:sz w:val="17"/>
                <w:szCs w:val="17"/>
              </w:rPr>
            </w:pPr>
            <w:r w:rsidRPr="007F1283">
              <w:rPr>
                <w:b/>
                <w:bCs/>
                <w:sz w:val="17"/>
                <w:szCs w:val="17"/>
              </w:rPr>
              <w:t>Criterion 1</w:t>
            </w:r>
          </w:p>
        </w:tc>
      </w:tr>
      <w:tr w:rsidR="00F43C6D" w:rsidRPr="007F1283" w14:paraId="41DAEE56" w14:textId="77777777" w:rsidTr="00FE23D8">
        <w:trPr>
          <w:trHeight w:val="300"/>
        </w:trPr>
        <w:tc>
          <w:tcPr>
            <w:tcW w:w="833" w:type="pct"/>
            <w:tcMar>
              <w:left w:w="90" w:type="dxa"/>
              <w:right w:w="90" w:type="dxa"/>
            </w:tcMar>
            <w:vAlign w:val="center"/>
          </w:tcPr>
          <w:p w14:paraId="1F49C7F2" w14:textId="77777777" w:rsidR="00F43C6D" w:rsidRPr="007F1283" w:rsidRDefault="00F43C6D" w:rsidP="00FE23D8">
            <w:pPr>
              <w:spacing w:line="240" w:lineRule="auto"/>
              <w:ind w:left="0"/>
              <w:rPr>
                <w:sz w:val="17"/>
                <w:szCs w:val="17"/>
              </w:rPr>
            </w:pPr>
            <w:r w:rsidRPr="007F1283">
              <w:rPr>
                <w:b/>
                <w:bCs/>
                <w:sz w:val="17"/>
                <w:szCs w:val="17"/>
              </w:rPr>
              <w:t>EU fund</w:t>
            </w:r>
            <w:r w:rsidRPr="007F1283">
              <w:rPr>
                <w:sz w:val="17"/>
                <w:szCs w:val="17"/>
              </w:rPr>
              <w:t>:</w:t>
            </w:r>
          </w:p>
        </w:tc>
        <w:tc>
          <w:tcPr>
            <w:tcW w:w="4167" w:type="pct"/>
            <w:tcMar>
              <w:left w:w="90" w:type="dxa"/>
              <w:right w:w="90" w:type="dxa"/>
            </w:tcMar>
            <w:vAlign w:val="center"/>
          </w:tcPr>
          <w:p w14:paraId="6C883EB7" w14:textId="77777777" w:rsidR="00F43C6D" w:rsidRPr="007F1283" w:rsidRDefault="00F43C6D" w:rsidP="00FE23D8">
            <w:pPr>
              <w:spacing w:line="240" w:lineRule="auto"/>
              <w:ind w:left="0"/>
              <w:rPr>
                <w:sz w:val="17"/>
                <w:szCs w:val="17"/>
              </w:rPr>
            </w:pPr>
            <w:r w:rsidRPr="007F1283">
              <w:rPr>
                <w:sz w:val="17"/>
                <w:szCs w:val="17"/>
              </w:rPr>
              <w:t>Recovery and Resilience Facility (RRF)</w:t>
            </w:r>
          </w:p>
        </w:tc>
      </w:tr>
      <w:tr w:rsidR="00F43C6D" w:rsidRPr="007F1283" w14:paraId="1645EF27" w14:textId="77777777" w:rsidTr="00FE23D8">
        <w:trPr>
          <w:trHeight w:val="300"/>
        </w:trPr>
        <w:tc>
          <w:tcPr>
            <w:tcW w:w="833" w:type="pct"/>
            <w:tcMar>
              <w:left w:w="90" w:type="dxa"/>
              <w:right w:w="90" w:type="dxa"/>
            </w:tcMar>
            <w:vAlign w:val="center"/>
          </w:tcPr>
          <w:p w14:paraId="06F63CD3" w14:textId="77777777" w:rsidR="00F43C6D" w:rsidRPr="007F1283" w:rsidRDefault="00F43C6D" w:rsidP="00FE23D8">
            <w:pPr>
              <w:spacing w:line="240" w:lineRule="auto"/>
              <w:ind w:left="0"/>
              <w:rPr>
                <w:sz w:val="17"/>
                <w:szCs w:val="17"/>
              </w:rPr>
            </w:pPr>
            <w:r w:rsidRPr="007F1283">
              <w:rPr>
                <w:sz w:val="17"/>
                <w:szCs w:val="17"/>
              </w:rPr>
              <w:t>Implications:</w:t>
            </w:r>
          </w:p>
        </w:tc>
        <w:tc>
          <w:tcPr>
            <w:tcW w:w="4167" w:type="pct"/>
            <w:tcMar>
              <w:left w:w="90" w:type="dxa"/>
              <w:right w:w="90" w:type="dxa"/>
            </w:tcMar>
            <w:vAlign w:val="center"/>
          </w:tcPr>
          <w:p w14:paraId="2F882D7D" w14:textId="77777777" w:rsidR="00F43C6D" w:rsidRPr="007F1283" w:rsidRDefault="00F43C6D" w:rsidP="00FE23D8">
            <w:pPr>
              <w:spacing w:line="240" w:lineRule="auto"/>
              <w:ind w:left="0"/>
              <w:rPr>
                <w:sz w:val="17"/>
                <w:szCs w:val="17"/>
              </w:rPr>
            </w:pPr>
            <w:r w:rsidRPr="007F1283">
              <w:rPr>
                <w:sz w:val="17"/>
                <w:szCs w:val="17"/>
              </w:rPr>
              <w:t>DNSH is applied at the level of measures in the appraisal (ex-ante) to decommissioning phases according to the EU Taxonomy and the Member States´ methodology, with climate tagging mandatory for appraisal and sustainability/climate proofing, EIA and SEA recommended.</w:t>
            </w:r>
          </w:p>
        </w:tc>
      </w:tr>
      <w:tr w:rsidR="00D4662C" w:rsidRPr="007F1283" w14:paraId="36772E38" w14:textId="77777777" w:rsidTr="00FE23D8">
        <w:trPr>
          <w:trHeight w:val="300"/>
        </w:trPr>
        <w:tc>
          <w:tcPr>
            <w:tcW w:w="5000" w:type="pct"/>
            <w:gridSpan w:val="2"/>
            <w:shd w:val="clear" w:color="auto" w:fill="FFE3A5" w:themeFill="accent4"/>
            <w:tcMar>
              <w:left w:w="90" w:type="dxa"/>
              <w:right w:w="90" w:type="dxa"/>
            </w:tcMar>
            <w:vAlign w:val="center"/>
          </w:tcPr>
          <w:p w14:paraId="6B5BA934" w14:textId="3DD67148" w:rsidR="00D4662C" w:rsidRPr="007F1283" w:rsidRDefault="00D4662C" w:rsidP="00FE23D8">
            <w:pPr>
              <w:spacing w:line="240" w:lineRule="auto"/>
              <w:ind w:left="0"/>
              <w:rPr>
                <w:sz w:val="17"/>
                <w:szCs w:val="17"/>
              </w:rPr>
            </w:pPr>
            <w:r w:rsidRPr="007F1283">
              <w:rPr>
                <w:b/>
                <w:bCs/>
                <w:sz w:val="17"/>
                <w:szCs w:val="17"/>
              </w:rPr>
              <w:t>Criterion 2</w:t>
            </w:r>
          </w:p>
        </w:tc>
      </w:tr>
      <w:tr w:rsidR="00F43C6D" w:rsidRPr="007F1283" w14:paraId="3BDFD279" w14:textId="77777777" w:rsidTr="00FE23D8">
        <w:trPr>
          <w:trHeight w:val="300"/>
        </w:trPr>
        <w:tc>
          <w:tcPr>
            <w:tcW w:w="833" w:type="pct"/>
            <w:tcMar>
              <w:left w:w="90" w:type="dxa"/>
              <w:right w:w="90" w:type="dxa"/>
            </w:tcMar>
            <w:vAlign w:val="center"/>
          </w:tcPr>
          <w:p w14:paraId="1534FDC7" w14:textId="77777777" w:rsidR="00F43C6D" w:rsidRPr="007F1283" w:rsidRDefault="00F43C6D" w:rsidP="00FE23D8">
            <w:pPr>
              <w:spacing w:line="240" w:lineRule="auto"/>
              <w:ind w:left="0"/>
              <w:rPr>
                <w:sz w:val="17"/>
                <w:szCs w:val="17"/>
              </w:rPr>
            </w:pPr>
            <w:r w:rsidRPr="007F1283">
              <w:rPr>
                <w:b/>
                <w:bCs/>
                <w:sz w:val="17"/>
                <w:szCs w:val="17"/>
              </w:rPr>
              <w:t>Sectoral specifics</w:t>
            </w:r>
            <w:r w:rsidRPr="007F1283">
              <w:rPr>
                <w:sz w:val="17"/>
                <w:szCs w:val="17"/>
              </w:rPr>
              <w:t>:</w:t>
            </w:r>
          </w:p>
        </w:tc>
        <w:tc>
          <w:tcPr>
            <w:tcW w:w="4167" w:type="pct"/>
            <w:tcMar>
              <w:left w:w="90" w:type="dxa"/>
              <w:right w:w="90" w:type="dxa"/>
            </w:tcMar>
            <w:vAlign w:val="center"/>
          </w:tcPr>
          <w:p w14:paraId="51F4EAC8" w14:textId="44D946D9" w:rsidR="00F43C6D" w:rsidRPr="007F1283" w:rsidRDefault="00F43C6D" w:rsidP="00FE23D8">
            <w:pPr>
              <w:spacing w:line="240" w:lineRule="auto"/>
              <w:ind w:left="0"/>
              <w:rPr>
                <w:sz w:val="17"/>
                <w:szCs w:val="17"/>
              </w:rPr>
            </w:pPr>
            <w:r w:rsidRPr="007F1283">
              <w:rPr>
                <w:sz w:val="17"/>
                <w:szCs w:val="17"/>
              </w:rPr>
              <w:t>Electrification of the railway network does not fall within sectoral specifics applicable to RRF funding</w:t>
            </w:r>
            <w:r w:rsidR="00FE23D8" w:rsidRPr="007F1283">
              <w:rPr>
                <w:sz w:val="17"/>
                <w:szCs w:val="17"/>
              </w:rPr>
              <w:t xml:space="preserve"> </w:t>
            </w:r>
            <w:r w:rsidRPr="007F1283">
              <w:rPr>
                <w:sz w:val="17"/>
                <w:szCs w:val="17"/>
              </w:rPr>
              <w:t>(i.e.</w:t>
            </w:r>
            <w:r w:rsidRPr="007F1283">
              <w:rPr>
                <w:sz w:val="17"/>
                <w:szCs w:val="17"/>
                <w:lang w:val="en-US"/>
              </w:rPr>
              <w:t xml:space="preserve"> </w:t>
            </w:r>
            <w:r w:rsidRPr="007F1283">
              <w:rPr>
                <w:sz w:val="17"/>
                <w:szCs w:val="17"/>
              </w:rPr>
              <w:t>natural gas-based power and/or heat generation; natural gas-based generation facilities in district heating and cooling systems; district heating and cooling networks that obtain heat/cool from facilities using natural gas; natural gas-based boilers and heating systems (and related distribution infrastructure); transmission and distribution infrastructure of gaseous fuels; and sectoral exclusions according to a Council Implementing Decision on the RRP for Czechia (COM/2021/431))</w:t>
            </w:r>
          </w:p>
        </w:tc>
      </w:tr>
      <w:tr w:rsidR="00F43C6D" w:rsidRPr="007F1283" w14:paraId="1F30249C" w14:textId="77777777" w:rsidTr="00FE23D8">
        <w:trPr>
          <w:trHeight w:val="300"/>
        </w:trPr>
        <w:tc>
          <w:tcPr>
            <w:tcW w:w="833" w:type="pct"/>
            <w:tcMar>
              <w:left w:w="90" w:type="dxa"/>
              <w:right w:w="90" w:type="dxa"/>
            </w:tcMar>
            <w:vAlign w:val="center"/>
          </w:tcPr>
          <w:p w14:paraId="149A414E" w14:textId="77777777" w:rsidR="00F43C6D" w:rsidRPr="007F1283" w:rsidRDefault="00F43C6D" w:rsidP="00FE23D8">
            <w:pPr>
              <w:spacing w:line="240" w:lineRule="auto"/>
              <w:ind w:left="0"/>
              <w:rPr>
                <w:sz w:val="17"/>
                <w:szCs w:val="17"/>
              </w:rPr>
            </w:pPr>
            <w:r w:rsidRPr="007F1283">
              <w:rPr>
                <w:sz w:val="17"/>
                <w:szCs w:val="17"/>
              </w:rPr>
              <w:t>Implications:</w:t>
            </w:r>
          </w:p>
        </w:tc>
        <w:tc>
          <w:tcPr>
            <w:tcW w:w="4167" w:type="pct"/>
            <w:tcMar>
              <w:left w:w="90" w:type="dxa"/>
              <w:right w:w="90" w:type="dxa"/>
            </w:tcMar>
            <w:vAlign w:val="center"/>
          </w:tcPr>
          <w:p w14:paraId="7CC7FC8A" w14:textId="77777777" w:rsidR="00F43C6D" w:rsidRPr="007F1283" w:rsidRDefault="00F43C6D" w:rsidP="00FE23D8">
            <w:pPr>
              <w:spacing w:line="240" w:lineRule="auto"/>
              <w:ind w:left="0"/>
              <w:rPr>
                <w:sz w:val="17"/>
                <w:szCs w:val="17"/>
              </w:rPr>
            </w:pPr>
            <w:r w:rsidRPr="007F1283">
              <w:rPr>
                <w:sz w:val="17"/>
                <w:szCs w:val="17"/>
              </w:rPr>
              <w:t>No limitations</w:t>
            </w:r>
          </w:p>
        </w:tc>
      </w:tr>
      <w:tr w:rsidR="00D4662C" w:rsidRPr="007F1283" w14:paraId="1886F081" w14:textId="77777777" w:rsidTr="00FE23D8">
        <w:trPr>
          <w:trHeight w:val="300"/>
        </w:trPr>
        <w:tc>
          <w:tcPr>
            <w:tcW w:w="5000" w:type="pct"/>
            <w:gridSpan w:val="2"/>
            <w:shd w:val="clear" w:color="auto" w:fill="FFE3A5" w:themeFill="accent4"/>
            <w:tcMar>
              <w:left w:w="90" w:type="dxa"/>
              <w:right w:w="90" w:type="dxa"/>
            </w:tcMar>
            <w:vAlign w:val="center"/>
          </w:tcPr>
          <w:p w14:paraId="27162B46" w14:textId="6743C49D" w:rsidR="00D4662C" w:rsidRPr="007F1283" w:rsidRDefault="00D4662C" w:rsidP="00FE23D8">
            <w:pPr>
              <w:spacing w:line="240" w:lineRule="auto"/>
              <w:ind w:left="0"/>
              <w:rPr>
                <w:sz w:val="17"/>
                <w:szCs w:val="17"/>
              </w:rPr>
            </w:pPr>
            <w:r w:rsidRPr="007F1283">
              <w:rPr>
                <w:b/>
                <w:bCs/>
                <w:sz w:val="17"/>
                <w:szCs w:val="17"/>
              </w:rPr>
              <w:t>Criterion 3</w:t>
            </w:r>
          </w:p>
        </w:tc>
      </w:tr>
      <w:tr w:rsidR="00F43C6D" w:rsidRPr="007F1283" w14:paraId="7A20D355" w14:textId="77777777" w:rsidTr="00FE23D8">
        <w:trPr>
          <w:trHeight w:val="300"/>
        </w:trPr>
        <w:tc>
          <w:tcPr>
            <w:tcW w:w="833" w:type="pct"/>
            <w:tcMar>
              <w:left w:w="90" w:type="dxa"/>
              <w:right w:w="90" w:type="dxa"/>
            </w:tcMar>
            <w:vAlign w:val="center"/>
          </w:tcPr>
          <w:p w14:paraId="0BC530B3" w14:textId="77777777" w:rsidR="00F43C6D" w:rsidRPr="007F1283" w:rsidRDefault="00F43C6D" w:rsidP="00FE23D8">
            <w:pPr>
              <w:spacing w:line="240" w:lineRule="auto"/>
              <w:ind w:left="0"/>
              <w:rPr>
                <w:sz w:val="17"/>
                <w:szCs w:val="17"/>
              </w:rPr>
            </w:pPr>
            <w:r w:rsidRPr="007F1283">
              <w:rPr>
                <w:b/>
                <w:bCs/>
                <w:sz w:val="17"/>
                <w:szCs w:val="17"/>
              </w:rPr>
              <w:t>Assessment level</w:t>
            </w:r>
            <w:r w:rsidRPr="007F1283">
              <w:rPr>
                <w:sz w:val="17"/>
                <w:szCs w:val="17"/>
              </w:rPr>
              <w:t>:</w:t>
            </w:r>
          </w:p>
        </w:tc>
        <w:tc>
          <w:tcPr>
            <w:tcW w:w="4167" w:type="pct"/>
            <w:tcMar>
              <w:left w:w="90" w:type="dxa"/>
              <w:right w:w="90" w:type="dxa"/>
            </w:tcMar>
            <w:vAlign w:val="center"/>
          </w:tcPr>
          <w:p w14:paraId="26EA0078" w14:textId="77777777" w:rsidR="00F43C6D" w:rsidRPr="007F1283" w:rsidRDefault="00F43C6D" w:rsidP="00FE23D8">
            <w:pPr>
              <w:spacing w:line="240" w:lineRule="auto"/>
              <w:ind w:left="0"/>
              <w:rPr>
                <w:sz w:val="17"/>
                <w:szCs w:val="17"/>
              </w:rPr>
            </w:pPr>
            <w:r w:rsidRPr="007F1283">
              <w:rPr>
                <w:sz w:val="17"/>
                <w:szCs w:val="17"/>
              </w:rPr>
              <w:t>Measures (reforms/investments)</w:t>
            </w:r>
          </w:p>
        </w:tc>
      </w:tr>
      <w:tr w:rsidR="00F43C6D" w:rsidRPr="007F1283" w14:paraId="665A5FCA" w14:textId="77777777" w:rsidTr="00FE23D8">
        <w:trPr>
          <w:trHeight w:val="300"/>
        </w:trPr>
        <w:tc>
          <w:tcPr>
            <w:tcW w:w="833" w:type="pct"/>
            <w:tcMar>
              <w:left w:w="90" w:type="dxa"/>
              <w:right w:w="90" w:type="dxa"/>
            </w:tcMar>
            <w:vAlign w:val="center"/>
          </w:tcPr>
          <w:p w14:paraId="5858589E" w14:textId="77777777" w:rsidR="00F43C6D" w:rsidRPr="007F1283" w:rsidRDefault="00F43C6D" w:rsidP="00FE23D8">
            <w:pPr>
              <w:spacing w:line="240" w:lineRule="auto"/>
              <w:ind w:left="0"/>
              <w:rPr>
                <w:sz w:val="17"/>
                <w:szCs w:val="17"/>
              </w:rPr>
            </w:pPr>
            <w:r w:rsidRPr="007F1283">
              <w:rPr>
                <w:sz w:val="17"/>
                <w:szCs w:val="17"/>
              </w:rPr>
              <w:t>Implications:</w:t>
            </w:r>
          </w:p>
        </w:tc>
        <w:tc>
          <w:tcPr>
            <w:tcW w:w="4167" w:type="pct"/>
            <w:tcMar>
              <w:left w:w="90" w:type="dxa"/>
              <w:right w:w="90" w:type="dxa"/>
            </w:tcMar>
            <w:vAlign w:val="center"/>
          </w:tcPr>
          <w:p w14:paraId="504C7F3D" w14:textId="77777777" w:rsidR="00F43C6D" w:rsidRPr="007F1283" w:rsidRDefault="00F43C6D" w:rsidP="00FE23D8">
            <w:pPr>
              <w:spacing w:line="240" w:lineRule="auto"/>
              <w:ind w:left="0"/>
              <w:rPr>
                <w:sz w:val="17"/>
                <w:szCs w:val="17"/>
              </w:rPr>
            </w:pPr>
            <w:r w:rsidRPr="007F1283">
              <w:rPr>
                <w:sz w:val="17"/>
                <w:szCs w:val="17"/>
              </w:rPr>
              <w:t>Individual DNSH assessments is to be provided for each measure - reforms / investments (within each component of the plan), DNSH assessment is not to be carried out at the level of the plan or individual components of the plan.</w:t>
            </w:r>
          </w:p>
          <w:p w14:paraId="21BA18D6" w14:textId="77777777" w:rsidR="00F43C6D" w:rsidRPr="007F1283" w:rsidRDefault="00F43C6D" w:rsidP="00FE23D8">
            <w:pPr>
              <w:spacing w:line="240" w:lineRule="auto"/>
              <w:ind w:left="0"/>
              <w:rPr>
                <w:sz w:val="17"/>
                <w:szCs w:val="17"/>
              </w:rPr>
            </w:pPr>
            <w:r w:rsidRPr="007F1283">
              <w:rPr>
                <w:sz w:val="17"/>
                <w:szCs w:val="17"/>
              </w:rPr>
              <w:t xml:space="preserve">The results of the ex-ante screening stage are then used to identify any need for mitigative actions and commitments that will ensure compliance with the DNSH principle at the implementation stage. </w:t>
            </w:r>
          </w:p>
          <w:p w14:paraId="7B577CC4" w14:textId="77777777" w:rsidR="00F43C6D" w:rsidRPr="007F1283" w:rsidRDefault="00F43C6D" w:rsidP="00FE23D8">
            <w:pPr>
              <w:spacing w:line="240" w:lineRule="auto"/>
              <w:ind w:left="0"/>
              <w:rPr>
                <w:sz w:val="17"/>
                <w:szCs w:val="17"/>
              </w:rPr>
            </w:pPr>
            <w:r w:rsidRPr="007F1283">
              <w:rPr>
                <w:sz w:val="17"/>
                <w:szCs w:val="17"/>
              </w:rPr>
              <w:t>In the monitoring phase, it should be assured that the mitigative actions are indeed put in place, in line with the Operational Arrangement with the Commission and with the Council Implementing Decision. This may include actions at the decommissioning stage.</w:t>
            </w:r>
          </w:p>
        </w:tc>
      </w:tr>
      <w:tr w:rsidR="00D4662C" w:rsidRPr="007F1283" w14:paraId="4963AD89" w14:textId="77777777" w:rsidTr="00FE23D8">
        <w:trPr>
          <w:trHeight w:val="300"/>
        </w:trPr>
        <w:tc>
          <w:tcPr>
            <w:tcW w:w="5000" w:type="pct"/>
            <w:gridSpan w:val="2"/>
            <w:shd w:val="clear" w:color="auto" w:fill="FFE3A5" w:themeFill="accent4"/>
            <w:tcMar>
              <w:left w:w="90" w:type="dxa"/>
              <w:right w:w="90" w:type="dxa"/>
            </w:tcMar>
            <w:vAlign w:val="center"/>
          </w:tcPr>
          <w:p w14:paraId="18B741CA" w14:textId="69E013F9" w:rsidR="00D4662C" w:rsidRPr="007F1283" w:rsidRDefault="00D4662C" w:rsidP="00FE23D8">
            <w:pPr>
              <w:spacing w:line="240" w:lineRule="auto"/>
              <w:ind w:left="0"/>
              <w:rPr>
                <w:sz w:val="17"/>
                <w:szCs w:val="17"/>
              </w:rPr>
            </w:pPr>
            <w:r w:rsidRPr="007F1283">
              <w:rPr>
                <w:b/>
                <w:bCs/>
                <w:sz w:val="17"/>
                <w:szCs w:val="17"/>
              </w:rPr>
              <w:t>Criterion 4</w:t>
            </w:r>
          </w:p>
        </w:tc>
      </w:tr>
      <w:tr w:rsidR="00F43C6D" w:rsidRPr="007F1283" w14:paraId="13F703EA" w14:textId="77777777" w:rsidTr="00FE23D8">
        <w:trPr>
          <w:trHeight w:val="300"/>
        </w:trPr>
        <w:tc>
          <w:tcPr>
            <w:tcW w:w="833" w:type="pct"/>
            <w:tcMar>
              <w:left w:w="90" w:type="dxa"/>
              <w:right w:w="90" w:type="dxa"/>
            </w:tcMar>
            <w:vAlign w:val="center"/>
          </w:tcPr>
          <w:p w14:paraId="100541BB" w14:textId="77777777" w:rsidR="00F43C6D" w:rsidRPr="007F1283" w:rsidRDefault="00F43C6D" w:rsidP="00FE23D8">
            <w:pPr>
              <w:spacing w:line="240" w:lineRule="auto"/>
              <w:ind w:left="0"/>
              <w:rPr>
                <w:sz w:val="17"/>
                <w:szCs w:val="17"/>
              </w:rPr>
            </w:pPr>
            <w:r w:rsidRPr="007F1283">
              <w:rPr>
                <w:b/>
                <w:bCs/>
                <w:sz w:val="17"/>
                <w:szCs w:val="17"/>
              </w:rPr>
              <w:t>Assessment type</w:t>
            </w:r>
            <w:r w:rsidRPr="007F1283">
              <w:rPr>
                <w:sz w:val="17"/>
                <w:szCs w:val="17"/>
              </w:rPr>
              <w:t>:</w:t>
            </w:r>
          </w:p>
        </w:tc>
        <w:tc>
          <w:tcPr>
            <w:tcW w:w="4167" w:type="pct"/>
            <w:tcMar>
              <w:left w:w="90" w:type="dxa"/>
              <w:right w:w="90" w:type="dxa"/>
            </w:tcMar>
            <w:vAlign w:val="center"/>
          </w:tcPr>
          <w:p w14:paraId="78BA08F8" w14:textId="7FCB16DD" w:rsidR="00F43C6D" w:rsidRPr="007F1283" w:rsidRDefault="00F43C6D" w:rsidP="00FE23D8">
            <w:pPr>
              <w:spacing w:line="240" w:lineRule="auto"/>
              <w:ind w:left="0"/>
              <w:rPr>
                <w:sz w:val="17"/>
                <w:szCs w:val="17"/>
              </w:rPr>
            </w:pPr>
            <w:r w:rsidRPr="007F1283">
              <w:rPr>
                <w:sz w:val="17"/>
                <w:szCs w:val="17"/>
              </w:rPr>
              <w:t>Substantive</w:t>
            </w:r>
          </w:p>
        </w:tc>
      </w:tr>
      <w:tr w:rsidR="00F43C6D" w:rsidRPr="007F1283" w14:paraId="6F919C19" w14:textId="77777777" w:rsidTr="00FE23D8">
        <w:trPr>
          <w:trHeight w:val="300"/>
        </w:trPr>
        <w:tc>
          <w:tcPr>
            <w:tcW w:w="833" w:type="pct"/>
            <w:tcMar>
              <w:left w:w="90" w:type="dxa"/>
              <w:right w:w="90" w:type="dxa"/>
            </w:tcMar>
            <w:vAlign w:val="center"/>
          </w:tcPr>
          <w:p w14:paraId="065DD831" w14:textId="77777777" w:rsidR="00F43C6D" w:rsidRPr="007F1283" w:rsidRDefault="00F43C6D" w:rsidP="00FE23D8">
            <w:pPr>
              <w:spacing w:line="240" w:lineRule="auto"/>
              <w:ind w:left="0"/>
              <w:rPr>
                <w:sz w:val="17"/>
                <w:szCs w:val="17"/>
              </w:rPr>
            </w:pPr>
            <w:r w:rsidRPr="007F1283">
              <w:rPr>
                <w:sz w:val="17"/>
                <w:szCs w:val="17"/>
              </w:rPr>
              <w:t>Implications:</w:t>
            </w:r>
          </w:p>
        </w:tc>
        <w:tc>
          <w:tcPr>
            <w:tcW w:w="4167" w:type="pct"/>
            <w:tcMar>
              <w:left w:w="90" w:type="dxa"/>
              <w:right w:w="90" w:type="dxa"/>
            </w:tcMar>
            <w:vAlign w:val="center"/>
          </w:tcPr>
          <w:p w14:paraId="593B7B68" w14:textId="77777777" w:rsidR="00F43C6D" w:rsidRPr="007F1283" w:rsidRDefault="00F43C6D" w:rsidP="00FE23D8">
            <w:pPr>
              <w:spacing w:line="240" w:lineRule="auto"/>
              <w:ind w:left="0"/>
              <w:rPr>
                <w:sz w:val="17"/>
                <w:szCs w:val="17"/>
              </w:rPr>
            </w:pPr>
            <w:r w:rsidRPr="007F1283">
              <w:rPr>
                <w:sz w:val="17"/>
                <w:szCs w:val="17"/>
              </w:rPr>
              <w:t>A substantive justification needs to be provided with respect to most environmental objectives according to Part 2 of the DNSH Checklist in Annex 1 + Annex 2 of the DNSH Technical Guidance, subject to Technical screening criteria for DNSH.</w:t>
            </w:r>
          </w:p>
          <w:p w14:paraId="59FA3A0B" w14:textId="77777777" w:rsidR="00F43C6D" w:rsidRPr="007F1283" w:rsidRDefault="00F43C6D" w:rsidP="00FE23D8">
            <w:pPr>
              <w:spacing w:line="240" w:lineRule="auto"/>
              <w:ind w:left="0"/>
              <w:rPr>
                <w:sz w:val="17"/>
                <w:szCs w:val="17"/>
              </w:rPr>
            </w:pPr>
            <w:r w:rsidRPr="007F1283">
              <w:rPr>
                <w:sz w:val="17"/>
                <w:szCs w:val="17"/>
              </w:rPr>
              <w:t>As the measure substantially contributes to an environmental objective (the infrastructure is not dedicated to the transport of fossil fuels) and is 100% climate tracked under Annex VI of the RRF Regulation, and a brief justification can be provided with respect to the climate mitigation objective.</w:t>
            </w:r>
          </w:p>
        </w:tc>
      </w:tr>
      <w:tr w:rsidR="00D4662C" w:rsidRPr="007F1283" w14:paraId="0871D2AD" w14:textId="77777777" w:rsidTr="00FE23D8">
        <w:trPr>
          <w:trHeight w:val="300"/>
        </w:trPr>
        <w:tc>
          <w:tcPr>
            <w:tcW w:w="5000" w:type="pct"/>
            <w:gridSpan w:val="2"/>
            <w:shd w:val="clear" w:color="auto" w:fill="FFE3A5" w:themeFill="accent4"/>
            <w:tcMar>
              <w:left w:w="90" w:type="dxa"/>
              <w:right w:w="90" w:type="dxa"/>
            </w:tcMar>
            <w:vAlign w:val="center"/>
          </w:tcPr>
          <w:p w14:paraId="45B33E82" w14:textId="0EE62B5E" w:rsidR="00D4662C" w:rsidRPr="007F1283" w:rsidRDefault="00D4662C" w:rsidP="00FE23D8">
            <w:pPr>
              <w:spacing w:line="240" w:lineRule="auto"/>
              <w:ind w:left="0"/>
              <w:rPr>
                <w:sz w:val="17"/>
                <w:szCs w:val="17"/>
              </w:rPr>
            </w:pPr>
            <w:r w:rsidRPr="007F1283">
              <w:rPr>
                <w:b/>
                <w:bCs/>
                <w:sz w:val="17"/>
                <w:szCs w:val="17"/>
              </w:rPr>
              <w:t>Criterion 5</w:t>
            </w:r>
          </w:p>
        </w:tc>
      </w:tr>
      <w:tr w:rsidR="00F43C6D" w:rsidRPr="007F1283" w14:paraId="5D2BB439" w14:textId="77777777" w:rsidTr="00FE23D8">
        <w:trPr>
          <w:trHeight w:val="300"/>
        </w:trPr>
        <w:tc>
          <w:tcPr>
            <w:tcW w:w="833" w:type="pct"/>
            <w:tcMar>
              <w:left w:w="90" w:type="dxa"/>
              <w:right w:w="90" w:type="dxa"/>
            </w:tcMar>
            <w:vAlign w:val="center"/>
          </w:tcPr>
          <w:p w14:paraId="11ABFB56" w14:textId="77777777" w:rsidR="00F43C6D" w:rsidRPr="007F1283" w:rsidRDefault="00F43C6D" w:rsidP="00FE23D8">
            <w:pPr>
              <w:spacing w:line="240" w:lineRule="auto"/>
              <w:ind w:left="0"/>
              <w:rPr>
                <w:sz w:val="17"/>
                <w:szCs w:val="17"/>
              </w:rPr>
            </w:pPr>
            <w:r w:rsidRPr="007F1283">
              <w:rPr>
                <w:b/>
                <w:bCs/>
                <w:sz w:val="17"/>
                <w:szCs w:val="17"/>
              </w:rPr>
              <w:t>Interlinkages with CP/ SP</w:t>
            </w:r>
            <w:r w:rsidRPr="007F1283">
              <w:rPr>
                <w:sz w:val="17"/>
                <w:szCs w:val="17"/>
              </w:rPr>
              <w:t>:</w:t>
            </w:r>
          </w:p>
        </w:tc>
        <w:tc>
          <w:tcPr>
            <w:tcW w:w="4167" w:type="pct"/>
            <w:tcMar>
              <w:left w:w="90" w:type="dxa"/>
              <w:right w:w="90" w:type="dxa"/>
            </w:tcMar>
            <w:vAlign w:val="center"/>
          </w:tcPr>
          <w:p w14:paraId="0DD5C678" w14:textId="77777777" w:rsidR="00F43C6D" w:rsidRPr="007F1283" w:rsidRDefault="00F43C6D" w:rsidP="00FE23D8">
            <w:pPr>
              <w:spacing w:line="240" w:lineRule="auto"/>
              <w:ind w:left="0"/>
              <w:rPr>
                <w:sz w:val="17"/>
                <w:szCs w:val="17"/>
              </w:rPr>
            </w:pPr>
            <w:r w:rsidRPr="007F1283">
              <w:rPr>
                <w:sz w:val="17"/>
                <w:szCs w:val="17"/>
              </w:rPr>
              <w:t>Climate/sustainability proofing is recommended for DNSH appraisal</w:t>
            </w:r>
          </w:p>
        </w:tc>
      </w:tr>
      <w:tr w:rsidR="00F43C6D" w:rsidRPr="007F1283" w14:paraId="188B7D28" w14:textId="77777777" w:rsidTr="00FE23D8">
        <w:trPr>
          <w:trHeight w:val="300"/>
        </w:trPr>
        <w:tc>
          <w:tcPr>
            <w:tcW w:w="833" w:type="pct"/>
            <w:tcMar>
              <w:left w:w="90" w:type="dxa"/>
              <w:right w:w="90" w:type="dxa"/>
            </w:tcMar>
            <w:vAlign w:val="center"/>
          </w:tcPr>
          <w:p w14:paraId="70ADC53F" w14:textId="77777777" w:rsidR="00F43C6D" w:rsidRPr="007F1283" w:rsidRDefault="00F43C6D" w:rsidP="00FE23D8">
            <w:pPr>
              <w:spacing w:line="240" w:lineRule="auto"/>
              <w:ind w:left="0"/>
              <w:rPr>
                <w:sz w:val="17"/>
                <w:szCs w:val="17"/>
              </w:rPr>
            </w:pPr>
            <w:r w:rsidRPr="007F1283">
              <w:rPr>
                <w:sz w:val="17"/>
                <w:szCs w:val="17"/>
              </w:rPr>
              <w:t>Implications:</w:t>
            </w:r>
          </w:p>
        </w:tc>
        <w:tc>
          <w:tcPr>
            <w:tcW w:w="4167" w:type="pct"/>
            <w:tcMar>
              <w:left w:w="90" w:type="dxa"/>
              <w:right w:w="90" w:type="dxa"/>
            </w:tcMar>
            <w:vAlign w:val="center"/>
          </w:tcPr>
          <w:p w14:paraId="5574FA38" w14:textId="77777777" w:rsidR="00F43C6D" w:rsidRPr="007F1283" w:rsidRDefault="00F43C6D" w:rsidP="00FE23D8">
            <w:pPr>
              <w:spacing w:line="240" w:lineRule="auto"/>
              <w:ind w:left="0"/>
              <w:rPr>
                <w:sz w:val="17"/>
                <w:szCs w:val="17"/>
              </w:rPr>
            </w:pPr>
            <w:r w:rsidRPr="007F1283">
              <w:rPr>
                <w:sz w:val="17"/>
                <w:szCs w:val="17"/>
              </w:rPr>
              <w:t>SP and CP can support the DNSH assessment of a measure, by showing that risks have been identified, measured, and mitigated. In particular, the use of CP is recommended to support the DNSH assessment of infrastructure measures, and is supported by dedicated, sectoral guidelines. However, SP and CP cannot substitute DNSH assessments, insofar as the guidelines do not cover the same objectives than the DNSH principle.</w:t>
            </w:r>
          </w:p>
          <w:p w14:paraId="4E274A09" w14:textId="77777777" w:rsidR="00F43C6D" w:rsidRPr="007F1283" w:rsidRDefault="00F43C6D" w:rsidP="00FE23D8">
            <w:pPr>
              <w:spacing w:line="240" w:lineRule="auto"/>
              <w:ind w:left="0"/>
              <w:rPr>
                <w:sz w:val="17"/>
                <w:szCs w:val="17"/>
              </w:rPr>
            </w:pPr>
            <w:r w:rsidRPr="007F1283">
              <w:rPr>
                <w:sz w:val="17"/>
                <w:szCs w:val="17"/>
              </w:rPr>
              <w:t>In case SP and/or CP are used to support the justifications for the DNSH principle at the appraisal stage, any measure required by the SP and/or CP during the implementation and decommissioning stages must be applied to abide by the DNSH principle.</w:t>
            </w:r>
          </w:p>
          <w:p w14:paraId="03B02BC3" w14:textId="32CBC3E7" w:rsidR="001508DA" w:rsidRPr="007F1283" w:rsidRDefault="001508DA" w:rsidP="00FE23D8">
            <w:pPr>
              <w:spacing w:line="240" w:lineRule="auto"/>
              <w:ind w:left="0"/>
              <w:rPr>
                <w:sz w:val="17"/>
                <w:szCs w:val="17"/>
              </w:rPr>
            </w:pPr>
          </w:p>
        </w:tc>
      </w:tr>
    </w:tbl>
    <w:p w14:paraId="20CC0F19" w14:textId="063A6A87" w:rsidR="009976CE" w:rsidRPr="007F1283" w:rsidRDefault="009976CE" w:rsidP="008059BC"/>
    <w:p w14:paraId="4F6BE64E" w14:textId="77777777" w:rsidR="00A77E49" w:rsidRPr="007F1283" w:rsidRDefault="00A77E49" w:rsidP="008059BC"/>
    <w:p w14:paraId="796F2F53" w14:textId="77777777" w:rsidR="00A77E49" w:rsidRPr="007F1283" w:rsidRDefault="00A77E49" w:rsidP="008059BC"/>
    <w:p w14:paraId="3977800F" w14:textId="77777777" w:rsidR="00A77E49" w:rsidRPr="007F1283" w:rsidRDefault="00A77E49" w:rsidP="008059BC"/>
    <w:p w14:paraId="3878917F" w14:textId="77777777" w:rsidR="00A77E49" w:rsidRPr="007F1283" w:rsidRDefault="00A77E49" w:rsidP="008059BC"/>
    <w:p w14:paraId="04728B02" w14:textId="77777777" w:rsidR="00A77E49" w:rsidRPr="007F1283" w:rsidRDefault="00A77E49" w:rsidP="008059BC"/>
    <w:p w14:paraId="394B8559" w14:textId="77777777" w:rsidR="00A77E49" w:rsidRPr="007F1283" w:rsidRDefault="00A77E49" w:rsidP="008059BC"/>
    <w:p w14:paraId="214774F6" w14:textId="77777777" w:rsidR="00A77E49" w:rsidRPr="007F1283" w:rsidRDefault="00A77E49" w:rsidP="008059BC"/>
    <w:p w14:paraId="4D5EBBBC" w14:textId="77777777" w:rsidR="00A77E49" w:rsidRPr="007F1283" w:rsidRDefault="00A77E49" w:rsidP="008059BC"/>
    <w:p w14:paraId="4655083E" w14:textId="77777777" w:rsidR="00A77E49" w:rsidRPr="007F1283" w:rsidRDefault="00A77E49" w:rsidP="008059BC"/>
    <w:p w14:paraId="472A1069" w14:textId="77777777" w:rsidR="00A77E49" w:rsidRPr="007F1283" w:rsidRDefault="00A77E49" w:rsidP="008059BC"/>
    <w:p w14:paraId="33C45679" w14:textId="77777777" w:rsidR="00A77E49" w:rsidRPr="007F1283" w:rsidRDefault="00A77E49" w:rsidP="008059BC"/>
    <w:p w14:paraId="0E3640FE" w14:textId="77777777" w:rsidR="00A77E49" w:rsidRPr="007F1283" w:rsidRDefault="00A77E49" w:rsidP="008059BC"/>
    <w:p w14:paraId="52680C5D" w14:textId="77777777" w:rsidR="00A77E49" w:rsidRPr="007F1283" w:rsidRDefault="00A77E49" w:rsidP="008059BC"/>
    <w:p w14:paraId="7CAF3F8C" w14:textId="77777777" w:rsidR="00A77E49" w:rsidRPr="007F1283" w:rsidRDefault="00A77E49" w:rsidP="008059BC"/>
    <w:p w14:paraId="6A25D00C" w14:textId="77777777" w:rsidR="00A77E49" w:rsidRPr="007F1283" w:rsidRDefault="00A77E49" w:rsidP="008059BC"/>
    <w:p w14:paraId="47AB55AB" w14:textId="77777777" w:rsidR="00A77E49" w:rsidRPr="007F1283" w:rsidRDefault="00A77E49" w:rsidP="008059BC"/>
    <w:p w14:paraId="13025DE3" w14:textId="77777777" w:rsidR="00A77E49" w:rsidRPr="007F1283" w:rsidRDefault="00A77E49" w:rsidP="008059BC"/>
    <w:p w14:paraId="5CD87BFE" w14:textId="77777777" w:rsidR="00A77E49" w:rsidRPr="007F1283" w:rsidRDefault="00A77E49" w:rsidP="008059BC"/>
    <w:p w14:paraId="7819B7C1" w14:textId="77777777" w:rsidR="009976CE" w:rsidRPr="007F1283" w:rsidRDefault="009976CE" w:rsidP="008059BC"/>
    <w:p w14:paraId="0DAB6A51" w14:textId="77777777" w:rsidR="009976CE" w:rsidRPr="007F1283" w:rsidRDefault="009976CE" w:rsidP="008059BC"/>
    <w:p w14:paraId="041A5B01" w14:textId="77777777" w:rsidR="009976CE" w:rsidRPr="007F1283" w:rsidRDefault="009976CE" w:rsidP="008059BC"/>
    <w:p w14:paraId="0221E3F9" w14:textId="77777777" w:rsidR="009976CE" w:rsidRPr="007F1283" w:rsidRDefault="009976CE" w:rsidP="008059BC"/>
    <w:bookmarkStart w:id="37" w:name="_WNSectionTitle_5"/>
    <w:bookmarkStart w:id="38" w:name="_WNTabType_4"/>
    <w:p w14:paraId="69337A2E" w14:textId="38A0A72E" w:rsidR="009976CE" w:rsidRPr="007F1283" w:rsidRDefault="00FE72EF" w:rsidP="008059BC">
      <w:r w:rsidRPr="007F1283">
        <w:rPr>
          <w:noProof/>
          <w:lang w:val="cs-CZ" w:eastAsia="cs-CZ"/>
        </w:rPr>
        <mc:AlternateContent>
          <mc:Choice Requires="wps">
            <w:drawing>
              <wp:anchor distT="0" distB="0" distL="114300" distR="114300" simplePos="0" relativeHeight="251658243" behindDoc="0" locked="0" layoutInCell="1" allowOverlap="1" wp14:anchorId="00005D95" wp14:editId="55BDDCAE">
                <wp:simplePos x="0" y="0"/>
                <wp:positionH relativeFrom="column">
                  <wp:posOffset>597552</wp:posOffset>
                </wp:positionH>
                <wp:positionV relativeFrom="paragraph">
                  <wp:posOffset>0</wp:posOffset>
                </wp:positionV>
                <wp:extent cx="3883231" cy="206640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231" cy="2066400"/>
                        </a:xfrm>
                        <a:prstGeom prst="rect">
                          <a:avLst/>
                        </a:prstGeom>
                        <a:noFill/>
                        <a:ln w="9525">
                          <a:noFill/>
                          <a:miter lim="800000"/>
                          <a:headEnd/>
                          <a:tailEnd/>
                        </a:ln>
                      </wps:spPr>
                      <wps:txbx>
                        <w:txbxContent>
                          <w:p w14:paraId="6FCC56A5" w14:textId="77777777" w:rsidR="00ED53BC" w:rsidRPr="00062FC7" w:rsidRDefault="00ED53BC" w:rsidP="002F1771">
                            <w:pPr>
                              <w:ind w:left="0"/>
                              <w:rPr>
                                <w:lang w:val="nl-NL"/>
                              </w:rPr>
                            </w:pPr>
                            <w:r w:rsidRPr="00062FC7">
                              <w:rPr>
                                <w:lang w:val="nl-NL"/>
                              </w:rPr>
                              <w:t>Trinomics B.V.</w:t>
                            </w:r>
                          </w:p>
                          <w:p w14:paraId="0D24D8FA" w14:textId="77777777" w:rsidR="00ED53BC" w:rsidRPr="00062FC7" w:rsidRDefault="00ED53BC" w:rsidP="002F1771">
                            <w:pPr>
                              <w:ind w:left="0"/>
                              <w:rPr>
                                <w:lang w:val="nl-NL"/>
                              </w:rPr>
                            </w:pPr>
                            <w:r w:rsidRPr="00062FC7">
                              <w:rPr>
                                <w:lang w:val="nl-NL"/>
                              </w:rPr>
                              <w:t>Westersingel 34</w:t>
                            </w:r>
                          </w:p>
                          <w:p w14:paraId="59A4AAFD" w14:textId="77777777" w:rsidR="00ED53BC" w:rsidRPr="00062FC7" w:rsidRDefault="00ED53BC" w:rsidP="002F1771">
                            <w:pPr>
                              <w:ind w:left="0"/>
                              <w:rPr>
                                <w:lang w:val="nl-NL"/>
                              </w:rPr>
                            </w:pPr>
                            <w:r w:rsidRPr="00062FC7">
                              <w:rPr>
                                <w:lang w:val="nl-NL"/>
                              </w:rPr>
                              <w:t>3014 GS Rotterdam</w:t>
                            </w:r>
                          </w:p>
                          <w:p w14:paraId="1D408048" w14:textId="77777777" w:rsidR="00ED53BC" w:rsidRPr="00973270" w:rsidRDefault="00ED53BC" w:rsidP="002F1771">
                            <w:pPr>
                              <w:ind w:left="0"/>
                            </w:pPr>
                            <w:r w:rsidRPr="00973270">
                              <w:t>The Netherlands</w:t>
                            </w:r>
                          </w:p>
                          <w:p w14:paraId="4E8611DD" w14:textId="77777777" w:rsidR="00ED53BC" w:rsidRPr="00973270" w:rsidRDefault="00ED53BC" w:rsidP="002F1771">
                            <w:pPr>
                              <w:ind w:left="0"/>
                            </w:pPr>
                          </w:p>
                          <w:p w14:paraId="08681E9C" w14:textId="77777777" w:rsidR="00ED53BC" w:rsidRPr="00062FC7" w:rsidRDefault="00ED53BC" w:rsidP="002F1771">
                            <w:pPr>
                              <w:ind w:left="0"/>
                            </w:pPr>
                            <w:r w:rsidRPr="00062FC7">
                              <w:t>T +31 (0) 10 3414 592</w:t>
                            </w:r>
                          </w:p>
                          <w:p w14:paraId="1D6AF98D" w14:textId="77777777" w:rsidR="00ED53BC" w:rsidRDefault="00FE2873" w:rsidP="002F1771">
                            <w:pPr>
                              <w:ind w:left="0"/>
                              <w:rPr>
                                <w:szCs w:val="18"/>
                                <w:lang w:val="pt-PT"/>
                              </w:rPr>
                            </w:pPr>
                            <w:hyperlink r:id="rId23" w:history="1">
                              <w:r w:rsidR="00ED53BC" w:rsidRPr="00826B97">
                                <w:rPr>
                                  <w:rStyle w:val="Hypertextovodkaz"/>
                                  <w:szCs w:val="18"/>
                                  <w:lang w:val="pt-PT"/>
                                </w:rPr>
                                <w:t>www.trinomics.eu</w:t>
                              </w:r>
                            </w:hyperlink>
                          </w:p>
                          <w:p w14:paraId="2BF45683" w14:textId="77777777" w:rsidR="00ED53BC" w:rsidRPr="00750021" w:rsidRDefault="00ED53BC" w:rsidP="002F1771">
                            <w:pPr>
                              <w:ind w:left="0"/>
                              <w:rPr>
                                <w:lang w:val="pt-PT"/>
                              </w:rPr>
                            </w:pPr>
                          </w:p>
                          <w:p w14:paraId="57A7B395" w14:textId="77777777" w:rsidR="00ED53BC" w:rsidRPr="00750021" w:rsidRDefault="00ED53BC" w:rsidP="002F1771">
                            <w:pPr>
                              <w:ind w:left="0"/>
                              <w:rPr>
                                <w:lang w:val="pt-PT"/>
                              </w:rPr>
                            </w:pPr>
                            <w:r w:rsidRPr="00750021">
                              <w:rPr>
                                <w:lang w:val="pt-PT"/>
                              </w:rPr>
                              <w:t>KvK n°: 56028016</w:t>
                            </w:r>
                          </w:p>
                          <w:p w14:paraId="57A14CB8" w14:textId="77777777" w:rsidR="00ED53BC" w:rsidRPr="003247B6" w:rsidRDefault="00ED53BC" w:rsidP="002F1771">
                            <w:pPr>
                              <w:ind w:left="0"/>
                              <w:rPr>
                                <w:szCs w:val="18"/>
                                <w:lang w:val="nl-NL"/>
                              </w:rPr>
                            </w:pPr>
                            <w:r w:rsidRPr="003247B6">
                              <w:rPr>
                                <w:lang w:val="nl-NL"/>
                              </w:rPr>
                              <w:t>VAT n°: NL8519.48.662.B01</w:t>
                            </w:r>
                          </w:p>
                          <w:p w14:paraId="620916C4" w14:textId="77777777" w:rsidR="00ED53BC" w:rsidRPr="00062FC7" w:rsidRDefault="00ED53BC">
                            <w:pPr>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00005D95" id="Text Box 307" o:spid="_x0000_s1027" type="#_x0000_t202" style="position:absolute;left:0;text-align:left;margin-left:47.05pt;margin-top:0;width:305.75pt;height:16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" filled="f" stroked="f">
                <v:textbox>
                  <w:txbxContent>
                    <w:p w14:paraId="6FCC56A5" w14:textId="77777777" w:rsidR="00ED53BC" w:rsidRPr="00062FC7" w:rsidRDefault="00ED53BC" w:rsidP="002F1771">
                      <w:pPr>
                        <w:ind w:left="0"/>
                        <w:rPr>
                          <w:lang w:val="nl-NL"/>
                        </w:rPr>
                      </w:pPr>
                      <w:r w:rsidRPr="00062FC7">
                        <w:rPr>
                          <w:lang w:val="nl-NL"/>
                        </w:rPr>
                        <w:t>Trinomics B.V.</w:t>
                      </w:r>
                    </w:p>
                    <w:p w14:paraId="0D24D8FA" w14:textId="77777777" w:rsidR="00ED53BC" w:rsidRPr="00062FC7" w:rsidRDefault="00ED53BC" w:rsidP="002F1771">
                      <w:pPr>
                        <w:ind w:left="0"/>
                        <w:rPr>
                          <w:lang w:val="nl-NL"/>
                        </w:rPr>
                      </w:pPr>
                      <w:r w:rsidRPr="00062FC7">
                        <w:rPr>
                          <w:lang w:val="nl-NL"/>
                        </w:rPr>
                        <w:t>Westersingel 34</w:t>
                      </w:r>
                    </w:p>
                    <w:p w14:paraId="59A4AAFD" w14:textId="77777777" w:rsidR="00ED53BC" w:rsidRPr="00062FC7" w:rsidRDefault="00ED53BC" w:rsidP="002F1771">
                      <w:pPr>
                        <w:ind w:left="0"/>
                        <w:rPr>
                          <w:lang w:val="nl-NL"/>
                        </w:rPr>
                      </w:pPr>
                      <w:r w:rsidRPr="00062FC7">
                        <w:rPr>
                          <w:lang w:val="nl-NL"/>
                        </w:rPr>
                        <w:t>3014 GS Rotterdam</w:t>
                      </w:r>
                    </w:p>
                    <w:p w14:paraId="1D408048" w14:textId="77777777" w:rsidR="00ED53BC" w:rsidRPr="00973270" w:rsidRDefault="00ED53BC" w:rsidP="002F1771">
                      <w:pPr>
                        <w:ind w:left="0"/>
                      </w:pPr>
                      <w:r w:rsidRPr="00973270">
                        <w:t>The Netherlands</w:t>
                      </w:r>
                    </w:p>
                    <w:p w14:paraId="4E8611DD" w14:textId="77777777" w:rsidR="00ED53BC" w:rsidRPr="00973270" w:rsidRDefault="00ED53BC" w:rsidP="002F1771">
                      <w:pPr>
                        <w:ind w:left="0"/>
                      </w:pPr>
                    </w:p>
                    <w:p w14:paraId="08681E9C" w14:textId="77777777" w:rsidR="00ED53BC" w:rsidRPr="00062FC7" w:rsidRDefault="00ED53BC" w:rsidP="002F1771">
                      <w:pPr>
                        <w:ind w:left="0"/>
                      </w:pPr>
                      <w:r w:rsidRPr="00062FC7">
                        <w:t>T +31 (0) 10 3414 592</w:t>
                      </w:r>
                    </w:p>
                    <w:p w14:paraId="1D6AF98D" w14:textId="77777777" w:rsidR="00ED53BC" w:rsidRDefault="00923393" w:rsidP="002F1771">
                      <w:pPr>
                        <w:ind w:left="0"/>
                        <w:rPr>
                          <w:szCs w:val="18"/>
                          <w:lang w:val="pt-PT"/>
                        </w:rPr>
                      </w:pPr>
                      <w:hyperlink r:id="rId24" w:history="1">
                        <w:r w:rsidR="00ED53BC" w:rsidRPr="00826B97">
                          <w:rPr>
                            <w:rStyle w:val="Hyperlink"/>
                            <w:szCs w:val="18"/>
                            <w:lang w:val="pt-PT"/>
                          </w:rPr>
                          <w:t>www.trinomics.eu</w:t>
                        </w:r>
                      </w:hyperlink>
                    </w:p>
                    <w:p w14:paraId="2BF45683" w14:textId="77777777" w:rsidR="00ED53BC" w:rsidRPr="00750021" w:rsidRDefault="00ED53BC" w:rsidP="002F1771">
                      <w:pPr>
                        <w:ind w:left="0"/>
                        <w:rPr>
                          <w:lang w:val="pt-PT"/>
                        </w:rPr>
                      </w:pPr>
                    </w:p>
                    <w:p w14:paraId="57A7B395" w14:textId="77777777" w:rsidR="00ED53BC" w:rsidRPr="00750021" w:rsidRDefault="00ED53BC" w:rsidP="002F1771">
                      <w:pPr>
                        <w:ind w:left="0"/>
                        <w:rPr>
                          <w:lang w:val="pt-PT"/>
                        </w:rPr>
                      </w:pPr>
                      <w:proofErr w:type="spellStart"/>
                      <w:r w:rsidRPr="00750021">
                        <w:rPr>
                          <w:lang w:val="pt-PT"/>
                        </w:rPr>
                        <w:t>KvK</w:t>
                      </w:r>
                      <w:proofErr w:type="spellEnd"/>
                      <w:r w:rsidRPr="00750021">
                        <w:rPr>
                          <w:lang w:val="pt-PT"/>
                        </w:rPr>
                        <w:t xml:space="preserve"> n°: 56028016</w:t>
                      </w:r>
                    </w:p>
                    <w:p w14:paraId="57A14CB8" w14:textId="77777777" w:rsidR="00ED53BC" w:rsidRPr="003247B6" w:rsidRDefault="00ED53BC" w:rsidP="002F1771">
                      <w:pPr>
                        <w:ind w:left="0"/>
                        <w:rPr>
                          <w:szCs w:val="18"/>
                          <w:lang w:val="nl-NL"/>
                        </w:rPr>
                      </w:pPr>
                      <w:r w:rsidRPr="003247B6">
                        <w:rPr>
                          <w:lang w:val="nl-NL"/>
                        </w:rPr>
                        <w:t>VAT n°: NL8519.</w:t>
                      </w:r>
                      <w:proofErr w:type="gramStart"/>
                      <w:r w:rsidRPr="003247B6">
                        <w:rPr>
                          <w:lang w:val="nl-NL"/>
                        </w:rPr>
                        <w:t>48.662.B</w:t>
                      </w:r>
                      <w:proofErr w:type="gramEnd"/>
                      <w:r w:rsidRPr="003247B6">
                        <w:rPr>
                          <w:lang w:val="nl-NL"/>
                        </w:rPr>
                        <w:t>01</w:t>
                      </w:r>
                    </w:p>
                    <w:p w14:paraId="620916C4" w14:textId="77777777" w:rsidR="00ED53BC" w:rsidRPr="00062FC7" w:rsidRDefault="00ED53BC">
                      <w:pPr>
                        <w:rPr>
                          <w:lang w:val="nl-NL"/>
                        </w:rPr>
                      </w:pPr>
                    </w:p>
                  </w:txbxContent>
                </v:textbox>
              </v:shape>
            </w:pict>
          </mc:Fallback>
        </mc:AlternateContent>
      </w:r>
      <w:r w:rsidR="009976CE" w:rsidRPr="007F1283">
        <w:rPr>
          <w:noProof/>
          <w:lang w:val="cs-CZ" w:eastAsia="cs-CZ"/>
        </w:rPr>
        <mc:AlternateContent>
          <mc:Choice Requires="wps">
            <w:drawing>
              <wp:anchor distT="0" distB="0" distL="114300" distR="114300" simplePos="0" relativeHeight="251658242" behindDoc="1" locked="0" layoutInCell="1" allowOverlap="1" wp14:anchorId="528EB3D5" wp14:editId="7464E628">
                <wp:simplePos x="0" y="0"/>
                <wp:positionH relativeFrom="margin">
                  <wp:align>center</wp:align>
                </wp:positionH>
                <wp:positionV relativeFrom="page">
                  <wp:posOffset>381000</wp:posOffset>
                </wp:positionV>
                <wp:extent cx="7077075" cy="7543800"/>
                <wp:effectExtent l="0" t="0" r="9525" b="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7543800"/>
                        </a:xfrm>
                        <a:prstGeom prst="rect">
                          <a:avLst/>
                        </a:prstGeom>
                        <a:solidFill>
                          <a:srgbClr val="ECEBE1"/>
                        </a:solidFill>
                        <a:ln w="9525">
                          <a:no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36CA9DBD">
              <v:rect id="Rectangle 72" style="position:absolute;margin-left:0;margin-top:30pt;width:557.25pt;height:594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spid="_x0000_s1026" fillcolor="#ecebe1" stroked="f" w14:anchorId="4972A9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">
                <w10:wrap anchorx="margin" anchory="page"/>
              </v:rect>
            </w:pict>
          </mc:Fallback>
        </mc:AlternateContent>
      </w:r>
      <w:bookmarkEnd w:id="37"/>
      <w:bookmarkEnd w:id="38"/>
    </w:p>
    <w:p w14:paraId="76E335CA" w14:textId="77777777" w:rsidR="00DB019C" w:rsidRPr="007F1283" w:rsidRDefault="00DB019C" w:rsidP="008059BC"/>
    <w:p w14:paraId="059379A0" w14:textId="77777777" w:rsidR="00DB019C" w:rsidRPr="007F1283" w:rsidRDefault="00DB019C" w:rsidP="008059BC"/>
    <w:p w14:paraId="05ADB0B1" w14:textId="77777777" w:rsidR="00DB019C" w:rsidRPr="007F1283" w:rsidRDefault="00DB019C" w:rsidP="008059BC"/>
    <w:p w14:paraId="7360274D" w14:textId="77777777" w:rsidR="009976CE" w:rsidRPr="007F1283" w:rsidRDefault="009976CE" w:rsidP="008059BC"/>
    <w:p w14:paraId="4AD0AD3B" w14:textId="77777777" w:rsidR="009976CE" w:rsidRPr="007F1283" w:rsidRDefault="009976CE" w:rsidP="008059BC"/>
    <w:p w14:paraId="42929ECE" w14:textId="77777777" w:rsidR="009976CE" w:rsidRPr="007F1283" w:rsidRDefault="009976CE" w:rsidP="008059BC"/>
    <w:p w14:paraId="0DE30DAB" w14:textId="77777777" w:rsidR="009976CE" w:rsidRPr="007F1283" w:rsidRDefault="009976CE" w:rsidP="008059BC"/>
    <w:p w14:paraId="5A9021E0" w14:textId="77777777" w:rsidR="009976CE" w:rsidRPr="007F1283" w:rsidRDefault="009976CE" w:rsidP="008059BC"/>
    <w:p w14:paraId="66707686" w14:textId="77777777" w:rsidR="00A77E49" w:rsidRPr="007F1283" w:rsidRDefault="00A77E49" w:rsidP="008059BC"/>
    <w:p w14:paraId="037FDEF5" w14:textId="77777777" w:rsidR="00572DD4" w:rsidRPr="007F1283" w:rsidRDefault="00572DD4" w:rsidP="008059BC"/>
    <w:p w14:paraId="5B98FC2C" w14:textId="77777777" w:rsidR="00572DD4" w:rsidRPr="007F1283" w:rsidRDefault="00572DD4" w:rsidP="008059BC"/>
    <w:p w14:paraId="170F1368" w14:textId="77777777" w:rsidR="00572DD4" w:rsidRPr="007F1283" w:rsidRDefault="00572DD4" w:rsidP="008059BC"/>
    <w:p w14:paraId="38683414" w14:textId="77777777" w:rsidR="009976CE" w:rsidRPr="007F1283" w:rsidRDefault="009976CE" w:rsidP="008059BC"/>
    <w:p w14:paraId="10A2BF0E" w14:textId="77777777" w:rsidR="009976CE" w:rsidRPr="007F1283" w:rsidRDefault="009976CE" w:rsidP="008059BC"/>
    <w:p w14:paraId="4E88431E" w14:textId="77777777" w:rsidR="009976CE" w:rsidRPr="007F1283" w:rsidRDefault="009976CE" w:rsidP="008059BC"/>
    <w:p w14:paraId="5C83B73B" w14:textId="77777777" w:rsidR="009976CE" w:rsidRPr="007F1283" w:rsidRDefault="009976CE" w:rsidP="008059BC"/>
    <w:p w14:paraId="44192A66" w14:textId="3F6DC295" w:rsidR="009976CE" w:rsidRPr="007F1283" w:rsidRDefault="009976CE" w:rsidP="008059BC"/>
    <w:p w14:paraId="147C6E56" w14:textId="67B87DD9" w:rsidR="009976CE" w:rsidRPr="007F1283" w:rsidRDefault="00D803B9" w:rsidP="008059BC">
      <w:r w:rsidRPr="007F1283">
        <w:rPr>
          <w:noProof/>
          <w:lang w:val="cs-CZ" w:eastAsia="cs-CZ"/>
        </w:rPr>
        <w:drawing>
          <wp:anchor distT="0" distB="0" distL="114300" distR="114300" simplePos="0" relativeHeight="251658245" behindDoc="1" locked="0" layoutInCell="1" allowOverlap="1" wp14:anchorId="5C1E0B9B" wp14:editId="2C667FD7">
            <wp:simplePos x="0" y="0"/>
            <wp:positionH relativeFrom="margin">
              <wp:align>center</wp:align>
            </wp:positionH>
            <wp:positionV relativeFrom="paragraph">
              <wp:posOffset>-114935</wp:posOffset>
            </wp:positionV>
            <wp:extent cx="3247621" cy="1181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omics-log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47621" cy="1181100"/>
                    </a:xfrm>
                    <a:prstGeom prst="rect">
                      <a:avLst/>
                    </a:prstGeom>
                  </pic:spPr>
                </pic:pic>
              </a:graphicData>
            </a:graphic>
            <wp14:sizeRelH relativeFrom="page">
              <wp14:pctWidth>0</wp14:pctWidth>
            </wp14:sizeRelH>
            <wp14:sizeRelV relativeFrom="page">
              <wp14:pctHeight>0</wp14:pctHeight>
            </wp14:sizeRelV>
          </wp:anchor>
        </w:drawing>
      </w:r>
    </w:p>
    <w:sectPr w:rsidR="009976CE" w:rsidRPr="007F1283" w:rsidSect="001508DA">
      <w:footerReference w:type="default" r:id="rId25"/>
      <w:type w:val="evenPage"/>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C5E5C" w14:textId="77777777" w:rsidR="00F151B2" w:rsidRDefault="00F151B2" w:rsidP="008059BC">
      <w:r>
        <w:separator/>
      </w:r>
    </w:p>
  </w:endnote>
  <w:endnote w:type="continuationSeparator" w:id="0">
    <w:p w14:paraId="2AF48AF9" w14:textId="77777777" w:rsidR="00F151B2" w:rsidRDefault="00F151B2" w:rsidP="008059BC">
      <w:r>
        <w:continuationSeparator/>
      </w:r>
    </w:p>
  </w:endnote>
  <w:endnote w:type="continuationNotice" w:id="1">
    <w:p w14:paraId="242E624C" w14:textId="77777777" w:rsidR="00F151B2" w:rsidRDefault="00F151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ÍH_">
    <w:panose1 w:val="00000000000000000000"/>
    <w:charset w:val="00"/>
    <w:family w:val="roman"/>
    <w:notTrueType/>
    <w:pitch w:val="default"/>
  </w:font>
  <w:font w:name="EC Square Sans Pro">
    <w:altName w:val="Arial"/>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B8A6A" w14:textId="13A30F7D" w:rsidR="00ED53BC" w:rsidRDefault="00ED53BC" w:rsidP="00C53AC2">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p w14:paraId="7FC9C984" w14:textId="77777777" w:rsidR="00ED53BC" w:rsidRDefault="00ED53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F5CAE" w14:textId="77777777" w:rsidR="00ED53BC" w:rsidRDefault="00ED53BC" w:rsidP="008059BC">
    <w:pPr>
      <w:pStyle w:val="Pedmtkomente"/>
    </w:pPr>
    <w:r>
      <w:rPr>
        <w:noProof/>
        <w:lang w:eastAsia="en-GB"/>
      </w:rPr>
      <w:ptab w:relativeTo="margin" w:alignment="center" w:leader="none"/>
    </w:r>
    <w:r>
      <w:rPr>
        <w:noProof/>
        <w:lang w:val="cs-CZ" w:eastAsia="cs-CZ"/>
      </w:rPr>
      <w:drawing>
        <wp:anchor distT="0" distB="0" distL="114300" distR="114300" simplePos="0" relativeHeight="251658240" behindDoc="1" locked="0" layoutInCell="1" allowOverlap="1" wp14:anchorId="6702A20D" wp14:editId="6B0FACB4">
          <wp:simplePos x="0" y="0"/>
          <wp:positionH relativeFrom="margin">
            <wp:align>center</wp:align>
          </wp:positionH>
          <wp:positionV relativeFrom="paragraph">
            <wp:posOffset>-706120</wp:posOffset>
          </wp:positionV>
          <wp:extent cx="3247621" cy="1181100"/>
          <wp:effectExtent l="0" t="0" r="0" b="0"/>
          <wp:wrapNone/>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omic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7621" cy="11811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B5896" w14:textId="77777777" w:rsidR="00267A68" w:rsidRDefault="00267A68" w:rsidP="00267A68">
    <w:pPr>
      <w:spacing w:line="276" w:lineRule="auto"/>
      <w:ind w:left="0"/>
      <w:rPr>
        <w:rFonts w:cs="ÍH_"/>
      </w:rPr>
    </w:pPr>
  </w:p>
  <w:p w14:paraId="7ECAAB95" w14:textId="1AE2C7E5" w:rsidR="00267A68" w:rsidRPr="006D334E" w:rsidRDefault="00267A68" w:rsidP="00267A68">
    <w:pPr>
      <w:spacing w:line="276" w:lineRule="auto"/>
      <w:ind w:left="0"/>
    </w:pPr>
    <w:r>
      <w:rPr>
        <w:rFonts w:cs="ÍH_"/>
      </w:rPr>
      <w:t>The</w:t>
    </w:r>
    <w:r w:rsidRPr="09236018">
      <w:rPr>
        <w:rFonts w:cs="ÍH_"/>
      </w:rPr>
      <w:t xml:space="preserve"> contents</w:t>
    </w:r>
    <w:r>
      <w:rPr>
        <w:rFonts w:cs="ÍH_"/>
      </w:rPr>
      <w:t xml:space="preserve"> of this deliverable</w:t>
    </w:r>
    <w:r w:rsidRPr="09236018">
      <w:rPr>
        <w:rFonts w:cs="ÍH_"/>
      </w:rPr>
      <w:t xml:space="preserve"> are the sole responsibility of the author(s). The views expressed herein can in no way be taken to reflect the official opinion of the</w:t>
    </w:r>
    <w:r>
      <w:t xml:space="preserve"> </w:t>
    </w:r>
    <w:r w:rsidRPr="09236018">
      <w:rPr>
        <w:rFonts w:cs="ÍH_"/>
      </w:rPr>
      <w:t>European Union.</w:t>
    </w:r>
  </w:p>
  <w:p w14:paraId="62276F4A" w14:textId="4805A048" w:rsidR="00141FEC" w:rsidRPr="00141FEC" w:rsidRDefault="00141FEC" w:rsidP="00141FEC">
    <w:pPr>
      <w:pStyle w:val="Zpat"/>
      <w:ind w:left="0"/>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81B69" w14:textId="77777777" w:rsidR="00ED53BC" w:rsidRDefault="00ED53BC" w:rsidP="008059BC">
    <w:pPr>
      <w:pStyle w:val="Pedmtkoment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65085917"/>
      <w:docPartObj>
        <w:docPartGallery w:val="Page Numbers (Bottom of Page)"/>
        <w:docPartUnique/>
      </w:docPartObj>
    </w:sdtPr>
    <w:sdtEndPr>
      <w:rPr>
        <w:rStyle w:val="slostrnky"/>
      </w:rPr>
    </w:sdtEndPr>
    <w:sdtContent>
      <w:p w14:paraId="56AC233A" w14:textId="58E11A06" w:rsidR="00ED53BC" w:rsidRDefault="00ED53BC" w:rsidP="00C53AC2">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FE2873">
          <w:rPr>
            <w:rStyle w:val="slostrnky"/>
            <w:noProof/>
          </w:rPr>
          <w:t>5</w:t>
        </w:r>
        <w:r>
          <w:rPr>
            <w:rStyle w:val="slostrnky"/>
          </w:rPr>
          <w:fldChar w:fldCharType="end"/>
        </w:r>
      </w:p>
    </w:sdtContent>
  </w:sdt>
  <w:p w14:paraId="2DD2A911" w14:textId="77777777" w:rsidR="00ED53BC" w:rsidRPr="00CB7234" w:rsidRDefault="00ED53BC" w:rsidP="008059BC">
    <w:pPr>
      <w:pStyle w:val="Pedmtkomente"/>
    </w:pPr>
  </w:p>
  <w:p w14:paraId="05ACC4E0" w14:textId="77777777" w:rsidR="00ED53BC" w:rsidRDefault="00ED53BC" w:rsidP="008059BC">
    <w:pPr>
      <w:pStyle w:val="Pedmtkomen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28811" w14:textId="77777777" w:rsidR="00F151B2" w:rsidRDefault="00F151B2" w:rsidP="008059BC">
      <w:r>
        <w:separator/>
      </w:r>
    </w:p>
  </w:footnote>
  <w:footnote w:type="continuationSeparator" w:id="0">
    <w:p w14:paraId="32212B79" w14:textId="77777777" w:rsidR="00F151B2" w:rsidRDefault="00F151B2" w:rsidP="008059BC">
      <w:r>
        <w:continuationSeparator/>
      </w:r>
    </w:p>
  </w:footnote>
  <w:footnote w:type="continuationNotice" w:id="1">
    <w:p w14:paraId="7D2D6DA1" w14:textId="77777777" w:rsidR="00F151B2" w:rsidRPr="00447114" w:rsidRDefault="00F151B2">
      <w:pPr>
        <w:spacing w:line="240" w:lineRule="auto"/>
      </w:pPr>
    </w:p>
  </w:footnote>
  <w:footnote w:id="2">
    <w:p w14:paraId="0E727A6B" w14:textId="3AFA8325" w:rsidR="001F0D27" w:rsidRPr="00A06B68" w:rsidRDefault="001F0D27">
      <w:pPr>
        <w:pStyle w:val="Textpoznpodarou"/>
        <w:rPr>
          <w:lang w:val="sk-SK"/>
        </w:rPr>
      </w:pPr>
      <w:r w:rsidRPr="00A06B68">
        <w:rPr>
          <w:rStyle w:val="Znakapoznpodarou"/>
          <w:sz w:val="13"/>
          <w:szCs w:val="13"/>
        </w:rPr>
        <w:footnoteRef/>
      </w:r>
      <w:r w:rsidRPr="00A06B68">
        <w:rPr>
          <w:sz w:val="13"/>
          <w:szCs w:val="13"/>
        </w:rPr>
        <w:t xml:space="preserve"> </w:t>
      </w:r>
      <w:r w:rsidRPr="00A06B68">
        <w:rPr>
          <w:rFonts w:cs="Calibri"/>
          <w:color w:val="000000"/>
          <w:sz w:val="13"/>
          <w:szCs w:val="13"/>
        </w:rPr>
        <w:t>Investment refers to the economic term of 'capital expenditure', i.e. expenditure on the acquisition of fixed assets.</w:t>
      </w:r>
    </w:p>
  </w:footnote>
  <w:footnote w:id="3">
    <w:p w14:paraId="03175708" w14:textId="149687B3" w:rsidR="001F0D27" w:rsidRPr="00A06B68" w:rsidRDefault="001F0D27" w:rsidP="001F0D27">
      <w:pPr>
        <w:spacing w:line="240" w:lineRule="auto"/>
        <w:rPr>
          <w:rFonts w:eastAsia="Times New Roman" w:cstheme="minorHAnsi"/>
          <w:sz w:val="13"/>
          <w:szCs w:val="13"/>
          <w:lang w:eastAsia="en-GB"/>
        </w:rPr>
      </w:pPr>
      <w:r w:rsidRPr="00A06B68">
        <w:rPr>
          <w:rStyle w:val="Znakapoznpodarou"/>
          <w:rFonts w:cstheme="minorHAnsi"/>
          <w:sz w:val="13"/>
          <w:szCs w:val="13"/>
        </w:rPr>
        <w:footnoteRef/>
      </w:r>
      <w:r w:rsidRPr="00A06B68">
        <w:rPr>
          <w:rFonts w:cstheme="minorHAnsi"/>
          <w:sz w:val="13"/>
          <w:szCs w:val="13"/>
        </w:rPr>
        <w:t xml:space="preserve"> </w:t>
      </w:r>
      <w:r w:rsidRPr="00A06B68">
        <w:rPr>
          <w:rFonts w:eastAsia="Times New Roman" w:cstheme="minorHAnsi"/>
          <w:color w:val="000000"/>
          <w:sz w:val="13"/>
          <w:szCs w:val="13"/>
          <w:lang w:eastAsia="en-GB"/>
        </w:rPr>
        <w:t xml:space="preserve">Definition of Infrastructure as per the </w:t>
      </w:r>
      <w:hyperlink r:id="rId1" w:history="1">
        <w:r w:rsidRPr="00A06B68">
          <w:rPr>
            <w:rStyle w:val="Hypertextovodkaz"/>
            <w:rFonts w:eastAsia="Times New Roman" w:cstheme="minorHAnsi"/>
            <w:sz w:val="13"/>
            <w:szCs w:val="13"/>
            <w:lang w:eastAsia="en-GB"/>
          </w:rPr>
          <w:t>Technical guidance on the climate proofing of infrastructure in the period</w:t>
        </w:r>
      </w:hyperlink>
      <w:r w:rsidRPr="00A06B68">
        <w:rPr>
          <w:rFonts w:eastAsia="Times New Roman" w:cstheme="minorHAnsi"/>
          <w:color w:val="000000"/>
          <w:sz w:val="13"/>
          <w:szCs w:val="13"/>
          <w:lang w:eastAsia="en-GB"/>
        </w:rPr>
        <w:t xml:space="preserve"> 2021-2027, p.9 </w:t>
      </w:r>
    </w:p>
    <w:p w14:paraId="144D91AD" w14:textId="687EA6AB" w:rsidR="001F0D27" w:rsidRPr="001F0D27" w:rsidRDefault="001F0D27" w:rsidP="001F0D27">
      <w:pPr>
        <w:pStyle w:val="Textpoznpodarou"/>
        <w:tabs>
          <w:tab w:val="left" w:pos="7062"/>
        </w:tabs>
        <w:rPr>
          <w:lang w:val="sk-SK"/>
        </w:rPr>
      </w:pPr>
      <w:r>
        <w:rPr>
          <w:lang w:val="sk-SK"/>
        </w:rPr>
        <w:tab/>
      </w:r>
    </w:p>
  </w:footnote>
</w:footnotes>
</file>

<file path=word/intelligence2.xml><?xml version="1.0" encoding="utf-8"?>
<int2:intelligence xmlns:int2="http://schemas.microsoft.com/office/intelligence/2020/intelligence" xmlns:oel="http://schemas.microsoft.com/office/2019/extlst">
  <int2:observations>
    <int2:bookmark int2:bookmarkName="_Int_VDpjWiph" int2:invalidationBookmarkName="" int2:hashCode="PeUh02GRVekij4" int2:id="8AaWCJ4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DC8"/>
    <w:multiLevelType w:val="hybridMultilevel"/>
    <w:tmpl w:val="790AFF04"/>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1476202D"/>
    <w:multiLevelType w:val="hybridMultilevel"/>
    <w:tmpl w:val="07BC2D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33A335C"/>
    <w:multiLevelType w:val="hybridMultilevel"/>
    <w:tmpl w:val="8264AEFE"/>
    <w:lvl w:ilvl="0" w:tplc="DD92EBDA">
      <w:start w:val="1"/>
      <w:numFmt w:val="bullet"/>
      <w:pStyle w:val="ChecklistBulletpoint"/>
      <w:lvlText w:val=""/>
      <w:lvlJc w:val="left"/>
      <w:pPr>
        <w:ind w:left="1146" w:hanging="360"/>
      </w:pPr>
      <w:rPr>
        <w:rFonts w:ascii="Wingdings" w:hAnsi="Wingdings" w:hint="default"/>
        <w:b/>
        <w:color w:val="005962"/>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3F77E5C"/>
    <w:multiLevelType w:val="hybridMultilevel"/>
    <w:tmpl w:val="CE844C90"/>
    <w:lvl w:ilvl="0" w:tplc="B18E132A">
      <w:start w:val="1"/>
      <w:numFmt w:val="decimal"/>
      <w:pStyle w:val="Addingupnumeral"/>
      <w:lvlText w:val="%1."/>
      <w:lvlJc w:val="left"/>
      <w:pPr>
        <w:ind w:left="1069" w:hanging="360"/>
      </w:pPr>
      <w:rPr>
        <w:rFonts w:hint="default"/>
        <w:b/>
        <w:bCs/>
        <w:color w:val="005962" w:themeColor="accent1"/>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 w15:restartNumberingAfterBreak="0">
    <w:nsid w:val="241315FF"/>
    <w:multiLevelType w:val="hybridMultilevel"/>
    <w:tmpl w:val="2424BF32"/>
    <w:lvl w:ilvl="0" w:tplc="EC122A24">
      <w:start w:val="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85C9B"/>
    <w:multiLevelType w:val="hybridMultilevel"/>
    <w:tmpl w:val="AE1AA4D8"/>
    <w:lvl w:ilvl="0" w:tplc="FFFFFFFF">
      <w:start w:val="1"/>
      <w:numFmt w:val="decimal"/>
      <w:lvlText w:val="%1."/>
      <w:lvlJc w:val="left"/>
      <w:pPr>
        <w:ind w:left="1211" w:hanging="360"/>
      </w:pPr>
      <w:rPr>
        <w:rFonts w:hint="default"/>
      </w:rPr>
    </w:lvl>
    <w:lvl w:ilvl="1" w:tplc="BD66AB5E">
      <w:start w:val="1"/>
      <w:numFmt w:val="decimal"/>
      <w:lvlText w:val="%2)"/>
      <w:lvlJc w:val="left"/>
      <w:pPr>
        <w:ind w:left="1931" w:hanging="360"/>
      </w:pPr>
      <w:rPr>
        <w:rFonts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6" w15:restartNumberingAfterBreak="0">
    <w:nsid w:val="28DF3689"/>
    <w:multiLevelType w:val="hybridMultilevel"/>
    <w:tmpl w:val="AA80613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2C376400"/>
    <w:multiLevelType w:val="multilevel"/>
    <w:tmpl w:val="31B0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FE9D9"/>
    <w:multiLevelType w:val="hybridMultilevel"/>
    <w:tmpl w:val="0EE47EC6"/>
    <w:lvl w:ilvl="0" w:tplc="EB3608F4">
      <w:start w:val="2"/>
      <w:numFmt w:val="bullet"/>
      <w:lvlText w:val="-"/>
      <w:lvlJc w:val="left"/>
      <w:pPr>
        <w:ind w:left="720" w:hanging="360"/>
      </w:pPr>
      <w:rPr>
        <w:rFonts w:ascii="Trebuchet MS" w:hAnsi="Trebuchet MS" w:hint="default"/>
      </w:rPr>
    </w:lvl>
    <w:lvl w:ilvl="1" w:tplc="C7FE135C">
      <w:start w:val="1"/>
      <w:numFmt w:val="bullet"/>
      <w:lvlText w:val="o"/>
      <w:lvlJc w:val="left"/>
      <w:pPr>
        <w:ind w:left="1440" w:hanging="360"/>
      </w:pPr>
      <w:rPr>
        <w:rFonts w:ascii="Courier New" w:hAnsi="Courier New" w:hint="default"/>
      </w:rPr>
    </w:lvl>
    <w:lvl w:ilvl="2" w:tplc="0E900504">
      <w:start w:val="1"/>
      <w:numFmt w:val="bullet"/>
      <w:lvlText w:val=""/>
      <w:lvlJc w:val="left"/>
      <w:pPr>
        <w:ind w:left="2160" w:hanging="360"/>
      </w:pPr>
      <w:rPr>
        <w:rFonts w:ascii="Wingdings" w:hAnsi="Wingdings" w:hint="default"/>
      </w:rPr>
    </w:lvl>
    <w:lvl w:ilvl="3" w:tplc="A56C96CC">
      <w:start w:val="1"/>
      <w:numFmt w:val="bullet"/>
      <w:lvlText w:val=""/>
      <w:lvlJc w:val="left"/>
      <w:pPr>
        <w:ind w:left="2880" w:hanging="360"/>
      </w:pPr>
      <w:rPr>
        <w:rFonts w:ascii="Symbol" w:hAnsi="Symbol" w:hint="default"/>
      </w:rPr>
    </w:lvl>
    <w:lvl w:ilvl="4" w:tplc="7598BD90">
      <w:start w:val="1"/>
      <w:numFmt w:val="bullet"/>
      <w:lvlText w:val="o"/>
      <w:lvlJc w:val="left"/>
      <w:pPr>
        <w:ind w:left="3600" w:hanging="360"/>
      </w:pPr>
      <w:rPr>
        <w:rFonts w:ascii="Courier New" w:hAnsi="Courier New" w:hint="default"/>
      </w:rPr>
    </w:lvl>
    <w:lvl w:ilvl="5" w:tplc="CBE80180">
      <w:start w:val="1"/>
      <w:numFmt w:val="bullet"/>
      <w:lvlText w:val=""/>
      <w:lvlJc w:val="left"/>
      <w:pPr>
        <w:ind w:left="4320" w:hanging="360"/>
      </w:pPr>
      <w:rPr>
        <w:rFonts w:ascii="Wingdings" w:hAnsi="Wingdings" w:hint="default"/>
      </w:rPr>
    </w:lvl>
    <w:lvl w:ilvl="6" w:tplc="E93ADD62">
      <w:start w:val="1"/>
      <w:numFmt w:val="bullet"/>
      <w:lvlText w:val=""/>
      <w:lvlJc w:val="left"/>
      <w:pPr>
        <w:ind w:left="5040" w:hanging="360"/>
      </w:pPr>
      <w:rPr>
        <w:rFonts w:ascii="Symbol" w:hAnsi="Symbol" w:hint="default"/>
      </w:rPr>
    </w:lvl>
    <w:lvl w:ilvl="7" w:tplc="87E6ECD8">
      <w:start w:val="1"/>
      <w:numFmt w:val="bullet"/>
      <w:lvlText w:val="o"/>
      <w:lvlJc w:val="left"/>
      <w:pPr>
        <w:ind w:left="5760" w:hanging="360"/>
      </w:pPr>
      <w:rPr>
        <w:rFonts w:ascii="Courier New" w:hAnsi="Courier New" w:hint="default"/>
      </w:rPr>
    </w:lvl>
    <w:lvl w:ilvl="8" w:tplc="D6DC5ABC">
      <w:start w:val="1"/>
      <w:numFmt w:val="bullet"/>
      <w:lvlText w:val=""/>
      <w:lvlJc w:val="left"/>
      <w:pPr>
        <w:ind w:left="6480" w:hanging="360"/>
      </w:pPr>
      <w:rPr>
        <w:rFonts w:ascii="Wingdings" w:hAnsi="Wingdings" w:hint="default"/>
      </w:rPr>
    </w:lvl>
  </w:abstractNum>
  <w:abstractNum w:abstractNumId="9" w15:restartNumberingAfterBreak="0">
    <w:nsid w:val="37BD1346"/>
    <w:multiLevelType w:val="hybridMultilevel"/>
    <w:tmpl w:val="8C089FA4"/>
    <w:lvl w:ilvl="0" w:tplc="049E926C">
      <w:start w:val="1"/>
      <w:numFmt w:val="bullet"/>
      <w:pStyle w:val="Orangetabletext"/>
      <w:lvlText w:val=""/>
      <w:lvlJc w:val="left"/>
      <w:pPr>
        <w:ind w:left="720" w:hanging="360"/>
      </w:pPr>
      <w:rPr>
        <w:rFonts w:ascii="Symbol" w:hAnsi="Symbol" w:hint="default"/>
        <w:b w:val="0"/>
        <w:i w:val="0"/>
        <w:color w:val="FFFFFF" w:themeColor="background1"/>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99036A"/>
    <w:multiLevelType w:val="hybridMultilevel"/>
    <w:tmpl w:val="F4727AE4"/>
    <w:lvl w:ilvl="0" w:tplc="1A882842">
      <w:start w:val="1"/>
      <w:numFmt w:val="bullet"/>
      <w:pStyle w:val="Checklistbulletpoint0"/>
      <w:lvlText w:val=""/>
      <w:lvlJc w:val="left"/>
      <w:pPr>
        <w:ind w:left="1287" w:hanging="360"/>
      </w:pPr>
      <w:rPr>
        <w:rFonts w:ascii="Wingdings" w:hAnsi="Wingdings" w:cs="Wingdings" w:hint="default"/>
        <w:b/>
        <w:bCs/>
        <w:i w:val="0"/>
        <w:iCs w:val="0"/>
        <w:color w:val="F04E30"/>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D676B0F"/>
    <w:multiLevelType w:val="multilevel"/>
    <w:tmpl w:val="3EE8AD30"/>
    <w:styleLink w:val="Style1"/>
    <w:lvl w:ilvl="0">
      <w:start w:val="1"/>
      <w:numFmt w:val="decimal"/>
      <w:lvlText w:val="1.%1."/>
      <w:lvlJc w:val="left"/>
      <w:pPr>
        <w:ind w:left="360" w:hanging="360"/>
      </w:pPr>
      <w:rPr>
        <w:rFonts w:hint="default"/>
        <w:color w:val="00596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9326F5"/>
    <w:multiLevelType w:val="hybridMultilevel"/>
    <w:tmpl w:val="7BC82376"/>
    <w:lvl w:ilvl="0" w:tplc="0809000F">
      <w:start w:val="1"/>
      <w:numFmt w:val="decimal"/>
      <w:lvlText w:val="%1."/>
      <w:lvlJc w:val="left"/>
      <w:pPr>
        <w:ind w:left="1931"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3" w15:restartNumberingAfterBreak="0">
    <w:nsid w:val="41B57CC0"/>
    <w:multiLevelType w:val="hybridMultilevel"/>
    <w:tmpl w:val="1C8EE066"/>
    <w:lvl w:ilvl="0" w:tplc="8D52068A">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15:restartNumberingAfterBreak="0">
    <w:nsid w:val="42283882"/>
    <w:multiLevelType w:val="hybridMultilevel"/>
    <w:tmpl w:val="8234901E"/>
    <w:lvl w:ilvl="0" w:tplc="FFFFFFFF">
      <w:start w:val="1"/>
      <w:numFmt w:val="bullet"/>
      <w:lvlText w:val="-"/>
      <w:lvlJc w:val="left"/>
      <w:pPr>
        <w:ind w:left="927" w:hanging="360"/>
      </w:pPr>
      <w:rPr>
        <w:rFonts w:ascii="Trebuchet MS" w:hAnsi="Trebuchet MS"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49AF0F80"/>
    <w:multiLevelType w:val="multilevel"/>
    <w:tmpl w:val="960E3348"/>
    <w:lvl w:ilvl="0">
      <w:start w:val="1"/>
      <w:numFmt w:val="decimal"/>
      <w:pStyle w:val="Nadpis1"/>
      <w:lvlText w:val="%1"/>
      <w:lvlJc w:val="left"/>
      <w:pPr>
        <w:ind w:left="927" w:hanging="360"/>
      </w:pPr>
    </w:lvl>
    <w:lvl w:ilvl="1">
      <w:start w:val="1"/>
      <w:numFmt w:val="decimal"/>
      <w:pStyle w:val="Nadpis2"/>
      <w:lvlText w:val="%1.%2"/>
      <w:lvlJc w:val="left"/>
      <w:pPr>
        <w:ind w:left="1287" w:hanging="360"/>
      </w:pPr>
    </w:lvl>
    <w:lvl w:ilvl="2">
      <w:start w:val="1"/>
      <w:numFmt w:val="decimal"/>
      <w:pStyle w:val="Nadpis3"/>
      <w:lvlText w:val="%1.%2.%3"/>
      <w:lvlJc w:val="left"/>
      <w:pPr>
        <w:ind w:left="2007" w:hanging="720"/>
      </w:pPr>
    </w:lvl>
    <w:lvl w:ilvl="3">
      <w:start w:val="1"/>
      <w:numFmt w:val="decimal"/>
      <w:lvlText w:val="%1.%2.%3.%4"/>
      <w:lvlJc w:val="left"/>
      <w:pPr>
        <w:ind w:left="128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3807" w:hanging="1080"/>
      </w:pPr>
    </w:lvl>
    <w:lvl w:ilvl="7">
      <w:start w:val="1"/>
      <w:numFmt w:val="decimal"/>
      <w:lvlText w:val="%1.%2.%3.%4.%5.%6.%7.%8"/>
      <w:lvlJc w:val="left"/>
      <w:pPr>
        <w:ind w:left="4527" w:hanging="1440"/>
      </w:pPr>
    </w:lvl>
    <w:lvl w:ilvl="8">
      <w:start w:val="1"/>
      <w:numFmt w:val="decimal"/>
      <w:lvlText w:val="%1.%2.%3.%4.%5.%6.%7.%8.%9"/>
      <w:lvlJc w:val="left"/>
      <w:pPr>
        <w:ind w:left="4887" w:hanging="1440"/>
      </w:pPr>
    </w:lvl>
  </w:abstractNum>
  <w:abstractNum w:abstractNumId="16" w15:restartNumberingAfterBreak="0">
    <w:nsid w:val="5D26346D"/>
    <w:multiLevelType w:val="multilevel"/>
    <w:tmpl w:val="F934F8FE"/>
    <w:styleLink w:val="Style2"/>
    <w:lvl w:ilvl="0">
      <w:start w:val="1"/>
      <w:numFmt w:val="decimal"/>
      <w:lvlText w:val="%1.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7" w15:restartNumberingAfterBreak="0">
    <w:nsid w:val="626C2632"/>
    <w:multiLevelType w:val="multilevel"/>
    <w:tmpl w:val="140666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1522D0"/>
    <w:multiLevelType w:val="hybridMultilevel"/>
    <w:tmpl w:val="1C8EE066"/>
    <w:lvl w:ilvl="0" w:tplc="FFFFFFFF">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9" w15:restartNumberingAfterBreak="0">
    <w:nsid w:val="73710EB9"/>
    <w:multiLevelType w:val="multilevel"/>
    <w:tmpl w:val="F918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6"/>
  </w:num>
  <w:num w:numId="4">
    <w:abstractNumId w:val="15"/>
  </w:num>
  <w:num w:numId="5">
    <w:abstractNumId w:val="2"/>
  </w:num>
  <w:num w:numId="6">
    <w:abstractNumId w:val="10"/>
  </w:num>
  <w:num w:numId="7">
    <w:abstractNumId w:val="9"/>
  </w:num>
  <w:num w:numId="8">
    <w:abstractNumId w:val="3"/>
  </w:num>
  <w:num w:numId="9">
    <w:abstractNumId w:val="6"/>
  </w:num>
  <w:num w:numId="10">
    <w:abstractNumId w:val="5"/>
  </w:num>
  <w:num w:numId="11">
    <w:abstractNumId w:val="15"/>
  </w:num>
  <w:num w:numId="12">
    <w:abstractNumId w:val="4"/>
  </w:num>
  <w:num w:numId="13">
    <w:abstractNumId w:val="15"/>
  </w:num>
  <w:num w:numId="14">
    <w:abstractNumId w:val="13"/>
  </w:num>
  <w:num w:numId="15">
    <w:abstractNumId w:val="0"/>
  </w:num>
  <w:num w:numId="16">
    <w:abstractNumId w:val="18"/>
  </w:num>
  <w:num w:numId="17">
    <w:abstractNumId w:val="14"/>
  </w:num>
  <w:num w:numId="18">
    <w:abstractNumId w:val="1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2"/>
  </w:num>
  <w:num w:numId="22">
    <w:abstractNumId w:val="1"/>
  </w:num>
  <w:num w:numId="2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zMjQ3sDQzNTEyMDBX0lEKTi0uzszPAykwrAUAXa21HCwAAAA="/>
  </w:docVars>
  <w:rsids>
    <w:rsidRoot w:val="00AF6325"/>
    <w:rsid w:val="000001DC"/>
    <w:rsid w:val="0000098B"/>
    <w:rsid w:val="00001FF0"/>
    <w:rsid w:val="00003E0B"/>
    <w:rsid w:val="000045C8"/>
    <w:rsid w:val="0000491F"/>
    <w:rsid w:val="00004E78"/>
    <w:rsid w:val="0000527D"/>
    <w:rsid w:val="0000598A"/>
    <w:rsid w:val="00005D61"/>
    <w:rsid w:val="000061FB"/>
    <w:rsid w:val="0000735D"/>
    <w:rsid w:val="00007604"/>
    <w:rsid w:val="00007A67"/>
    <w:rsid w:val="00007DF2"/>
    <w:rsid w:val="00010281"/>
    <w:rsid w:val="00010891"/>
    <w:rsid w:val="000113BF"/>
    <w:rsid w:val="000116FA"/>
    <w:rsid w:val="00012F2B"/>
    <w:rsid w:val="000139FD"/>
    <w:rsid w:val="00013B3E"/>
    <w:rsid w:val="00013F73"/>
    <w:rsid w:val="0001475C"/>
    <w:rsid w:val="00014F1D"/>
    <w:rsid w:val="00014F2A"/>
    <w:rsid w:val="00014F7D"/>
    <w:rsid w:val="000159DA"/>
    <w:rsid w:val="0001620E"/>
    <w:rsid w:val="00017020"/>
    <w:rsid w:val="000170C9"/>
    <w:rsid w:val="00017313"/>
    <w:rsid w:val="00017EBE"/>
    <w:rsid w:val="0002175F"/>
    <w:rsid w:val="00021CA1"/>
    <w:rsid w:val="00024652"/>
    <w:rsid w:val="00024D3C"/>
    <w:rsid w:val="00024DBD"/>
    <w:rsid w:val="00024FDD"/>
    <w:rsid w:val="00025027"/>
    <w:rsid w:val="000252D9"/>
    <w:rsid w:val="00025506"/>
    <w:rsid w:val="000257C7"/>
    <w:rsid w:val="000262B0"/>
    <w:rsid w:val="00027612"/>
    <w:rsid w:val="00027BC2"/>
    <w:rsid w:val="00027DDE"/>
    <w:rsid w:val="000306F7"/>
    <w:rsid w:val="00030B12"/>
    <w:rsid w:val="00030BCF"/>
    <w:rsid w:val="00030E0D"/>
    <w:rsid w:val="00030EC0"/>
    <w:rsid w:val="00030F3A"/>
    <w:rsid w:val="000310DA"/>
    <w:rsid w:val="00031336"/>
    <w:rsid w:val="000313C4"/>
    <w:rsid w:val="000316B9"/>
    <w:rsid w:val="00031BF3"/>
    <w:rsid w:val="00032266"/>
    <w:rsid w:val="00032865"/>
    <w:rsid w:val="00032FDC"/>
    <w:rsid w:val="0003336A"/>
    <w:rsid w:val="00033E38"/>
    <w:rsid w:val="00034CBE"/>
    <w:rsid w:val="00034E01"/>
    <w:rsid w:val="000364BC"/>
    <w:rsid w:val="00037161"/>
    <w:rsid w:val="00040A92"/>
    <w:rsid w:val="000416C3"/>
    <w:rsid w:val="000419A4"/>
    <w:rsid w:val="00041ED8"/>
    <w:rsid w:val="00042F61"/>
    <w:rsid w:val="000430A7"/>
    <w:rsid w:val="0004336E"/>
    <w:rsid w:val="00043951"/>
    <w:rsid w:val="0004421D"/>
    <w:rsid w:val="0004425F"/>
    <w:rsid w:val="000449FD"/>
    <w:rsid w:val="00045609"/>
    <w:rsid w:val="00047771"/>
    <w:rsid w:val="00050634"/>
    <w:rsid w:val="00050974"/>
    <w:rsid w:val="00051733"/>
    <w:rsid w:val="00052527"/>
    <w:rsid w:val="0005330A"/>
    <w:rsid w:val="00053850"/>
    <w:rsid w:val="000543FF"/>
    <w:rsid w:val="000544EF"/>
    <w:rsid w:val="0005465C"/>
    <w:rsid w:val="00054BDF"/>
    <w:rsid w:val="000552E1"/>
    <w:rsid w:val="000557FB"/>
    <w:rsid w:val="00055E3D"/>
    <w:rsid w:val="000570B3"/>
    <w:rsid w:val="000574E4"/>
    <w:rsid w:val="00057749"/>
    <w:rsid w:val="00057AB0"/>
    <w:rsid w:val="00057B7A"/>
    <w:rsid w:val="0006064F"/>
    <w:rsid w:val="00061BC2"/>
    <w:rsid w:val="00061C4C"/>
    <w:rsid w:val="0006214E"/>
    <w:rsid w:val="0006236C"/>
    <w:rsid w:val="00062B75"/>
    <w:rsid w:val="00062FC7"/>
    <w:rsid w:val="0006325C"/>
    <w:rsid w:val="00063B70"/>
    <w:rsid w:val="00063ECA"/>
    <w:rsid w:val="0006489F"/>
    <w:rsid w:val="00064E58"/>
    <w:rsid w:val="0006556C"/>
    <w:rsid w:val="00065AC5"/>
    <w:rsid w:val="00066288"/>
    <w:rsid w:val="00066F89"/>
    <w:rsid w:val="00067185"/>
    <w:rsid w:val="000674BA"/>
    <w:rsid w:val="00070DA3"/>
    <w:rsid w:val="00071070"/>
    <w:rsid w:val="000727B0"/>
    <w:rsid w:val="00073BE8"/>
    <w:rsid w:val="0007402C"/>
    <w:rsid w:val="00074E3C"/>
    <w:rsid w:val="00075034"/>
    <w:rsid w:val="00075FF1"/>
    <w:rsid w:val="00076736"/>
    <w:rsid w:val="0007713E"/>
    <w:rsid w:val="00077A4A"/>
    <w:rsid w:val="00080780"/>
    <w:rsid w:val="0008157E"/>
    <w:rsid w:val="00082191"/>
    <w:rsid w:val="000821E0"/>
    <w:rsid w:val="000833AD"/>
    <w:rsid w:val="0008396C"/>
    <w:rsid w:val="00083972"/>
    <w:rsid w:val="000843B3"/>
    <w:rsid w:val="00084429"/>
    <w:rsid w:val="000847E0"/>
    <w:rsid w:val="00085292"/>
    <w:rsid w:val="0008664C"/>
    <w:rsid w:val="0008666E"/>
    <w:rsid w:val="00090515"/>
    <w:rsid w:val="00090520"/>
    <w:rsid w:val="00090C63"/>
    <w:rsid w:val="00091337"/>
    <w:rsid w:val="000925A0"/>
    <w:rsid w:val="00093AAB"/>
    <w:rsid w:val="00093C49"/>
    <w:rsid w:val="00093F08"/>
    <w:rsid w:val="0009419B"/>
    <w:rsid w:val="000944D3"/>
    <w:rsid w:val="0009523F"/>
    <w:rsid w:val="000956B5"/>
    <w:rsid w:val="00095C90"/>
    <w:rsid w:val="0009619D"/>
    <w:rsid w:val="00096845"/>
    <w:rsid w:val="00096DB0"/>
    <w:rsid w:val="000A0706"/>
    <w:rsid w:val="000A27C1"/>
    <w:rsid w:val="000A344F"/>
    <w:rsid w:val="000A37CC"/>
    <w:rsid w:val="000A3FCD"/>
    <w:rsid w:val="000A4C4B"/>
    <w:rsid w:val="000A596A"/>
    <w:rsid w:val="000A5AB2"/>
    <w:rsid w:val="000A5DCF"/>
    <w:rsid w:val="000A6116"/>
    <w:rsid w:val="000A6519"/>
    <w:rsid w:val="000A766E"/>
    <w:rsid w:val="000A77F2"/>
    <w:rsid w:val="000A7970"/>
    <w:rsid w:val="000A7FD7"/>
    <w:rsid w:val="000B0C22"/>
    <w:rsid w:val="000B1536"/>
    <w:rsid w:val="000B2E4E"/>
    <w:rsid w:val="000B2F51"/>
    <w:rsid w:val="000B3774"/>
    <w:rsid w:val="000B3908"/>
    <w:rsid w:val="000B4211"/>
    <w:rsid w:val="000B4481"/>
    <w:rsid w:val="000B4E32"/>
    <w:rsid w:val="000B54CB"/>
    <w:rsid w:val="000B78A4"/>
    <w:rsid w:val="000B7A22"/>
    <w:rsid w:val="000B7F36"/>
    <w:rsid w:val="000B7F42"/>
    <w:rsid w:val="000C00FD"/>
    <w:rsid w:val="000C0539"/>
    <w:rsid w:val="000C07BC"/>
    <w:rsid w:val="000C0AD0"/>
    <w:rsid w:val="000C1819"/>
    <w:rsid w:val="000C2680"/>
    <w:rsid w:val="000C26DA"/>
    <w:rsid w:val="000C5031"/>
    <w:rsid w:val="000C50B3"/>
    <w:rsid w:val="000C59D3"/>
    <w:rsid w:val="000C5E33"/>
    <w:rsid w:val="000C64DA"/>
    <w:rsid w:val="000C69CF"/>
    <w:rsid w:val="000C6B67"/>
    <w:rsid w:val="000C6D7B"/>
    <w:rsid w:val="000C708D"/>
    <w:rsid w:val="000C7140"/>
    <w:rsid w:val="000D00C4"/>
    <w:rsid w:val="000D0610"/>
    <w:rsid w:val="000D07B2"/>
    <w:rsid w:val="000D084E"/>
    <w:rsid w:val="000D16E3"/>
    <w:rsid w:val="000D30FA"/>
    <w:rsid w:val="000D3C62"/>
    <w:rsid w:val="000D44D9"/>
    <w:rsid w:val="000D48BD"/>
    <w:rsid w:val="000D4EB4"/>
    <w:rsid w:val="000D56ED"/>
    <w:rsid w:val="000D5E8A"/>
    <w:rsid w:val="000D5FFE"/>
    <w:rsid w:val="000D6C2C"/>
    <w:rsid w:val="000D768B"/>
    <w:rsid w:val="000D7839"/>
    <w:rsid w:val="000E12C3"/>
    <w:rsid w:val="000E1F1D"/>
    <w:rsid w:val="000E2664"/>
    <w:rsid w:val="000E3034"/>
    <w:rsid w:val="000E33AD"/>
    <w:rsid w:val="000E399F"/>
    <w:rsid w:val="000E39F0"/>
    <w:rsid w:val="000E51A3"/>
    <w:rsid w:val="000E585D"/>
    <w:rsid w:val="000E5AEC"/>
    <w:rsid w:val="000E5C38"/>
    <w:rsid w:val="000E63D4"/>
    <w:rsid w:val="000E7096"/>
    <w:rsid w:val="000E71FA"/>
    <w:rsid w:val="000E7428"/>
    <w:rsid w:val="000F0072"/>
    <w:rsid w:val="000F0767"/>
    <w:rsid w:val="000F0A85"/>
    <w:rsid w:val="000F0AD4"/>
    <w:rsid w:val="000F19CB"/>
    <w:rsid w:val="000F1A4D"/>
    <w:rsid w:val="000F1FBE"/>
    <w:rsid w:val="000F26CE"/>
    <w:rsid w:val="000F2F31"/>
    <w:rsid w:val="000F3747"/>
    <w:rsid w:val="000F4465"/>
    <w:rsid w:val="000F49E1"/>
    <w:rsid w:val="000F5CC1"/>
    <w:rsid w:val="000F60E6"/>
    <w:rsid w:val="000F658D"/>
    <w:rsid w:val="000F6868"/>
    <w:rsid w:val="000F691B"/>
    <w:rsid w:val="000F6A0C"/>
    <w:rsid w:val="000F7304"/>
    <w:rsid w:val="000F7404"/>
    <w:rsid w:val="000F7943"/>
    <w:rsid w:val="000F7CEF"/>
    <w:rsid w:val="000F7FE0"/>
    <w:rsid w:val="001002B1"/>
    <w:rsid w:val="00100B99"/>
    <w:rsid w:val="00100D22"/>
    <w:rsid w:val="00100FAA"/>
    <w:rsid w:val="001015A8"/>
    <w:rsid w:val="00101ED3"/>
    <w:rsid w:val="001028FA"/>
    <w:rsid w:val="001038FF"/>
    <w:rsid w:val="00103AFA"/>
    <w:rsid w:val="0010435A"/>
    <w:rsid w:val="00106417"/>
    <w:rsid w:val="00106D88"/>
    <w:rsid w:val="0011112D"/>
    <w:rsid w:val="00111FAA"/>
    <w:rsid w:val="00112B67"/>
    <w:rsid w:val="00112C7A"/>
    <w:rsid w:val="00114045"/>
    <w:rsid w:val="0011418A"/>
    <w:rsid w:val="00115AFF"/>
    <w:rsid w:val="00115C00"/>
    <w:rsid w:val="0011632B"/>
    <w:rsid w:val="0011632F"/>
    <w:rsid w:val="00116679"/>
    <w:rsid w:val="00117B00"/>
    <w:rsid w:val="001201F3"/>
    <w:rsid w:val="0012067F"/>
    <w:rsid w:val="00121FA0"/>
    <w:rsid w:val="00122924"/>
    <w:rsid w:val="001233BF"/>
    <w:rsid w:val="0012415F"/>
    <w:rsid w:val="00124845"/>
    <w:rsid w:val="001249AD"/>
    <w:rsid w:val="00124BCD"/>
    <w:rsid w:val="00124C0D"/>
    <w:rsid w:val="0012523D"/>
    <w:rsid w:val="00127756"/>
    <w:rsid w:val="00127EEC"/>
    <w:rsid w:val="001300A0"/>
    <w:rsid w:val="00130A2B"/>
    <w:rsid w:val="00130F6C"/>
    <w:rsid w:val="00131C0D"/>
    <w:rsid w:val="00131ECA"/>
    <w:rsid w:val="00132FFC"/>
    <w:rsid w:val="001344C8"/>
    <w:rsid w:val="00134B17"/>
    <w:rsid w:val="001356A9"/>
    <w:rsid w:val="00135ADD"/>
    <w:rsid w:val="00135BA1"/>
    <w:rsid w:val="0013798F"/>
    <w:rsid w:val="0014021F"/>
    <w:rsid w:val="00140D7A"/>
    <w:rsid w:val="00140F20"/>
    <w:rsid w:val="00141FEC"/>
    <w:rsid w:val="00142A25"/>
    <w:rsid w:val="00143EF2"/>
    <w:rsid w:val="001440C2"/>
    <w:rsid w:val="001449B4"/>
    <w:rsid w:val="0014529C"/>
    <w:rsid w:val="00146D7D"/>
    <w:rsid w:val="00147226"/>
    <w:rsid w:val="00147417"/>
    <w:rsid w:val="00147B64"/>
    <w:rsid w:val="001505A8"/>
    <w:rsid w:val="001508DA"/>
    <w:rsid w:val="00150A30"/>
    <w:rsid w:val="00151272"/>
    <w:rsid w:val="00152F7C"/>
    <w:rsid w:val="00153873"/>
    <w:rsid w:val="00154206"/>
    <w:rsid w:val="00154C91"/>
    <w:rsid w:val="0015537E"/>
    <w:rsid w:val="00155DDA"/>
    <w:rsid w:val="0015639B"/>
    <w:rsid w:val="001563EE"/>
    <w:rsid w:val="0015654C"/>
    <w:rsid w:val="0015696D"/>
    <w:rsid w:val="00156F9C"/>
    <w:rsid w:val="0015728F"/>
    <w:rsid w:val="00157FF9"/>
    <w:rsid w:val="0016003F"/>
    <w:rsid w:val="0016020F"/>
    <w:rsid w:val="001609F4"/>
    <w:rsid w:val="00161323"/>
    <w:rsid w:val="001618A0"/>
    <w:rsid w:val="00161C09"/>
    <w:rsid w:val="00161F06"/>
    <w:rsid w:val="0016301B"/>
    <w:rsid w:val="00163E8F"/>
    <w:rsid w:val="00163FCB"/>
    <w:rsid w:val="001642E6"/>
    <w:rsid w:val="001646BD"/>
    <w:rsid w:val="00164791"/>
    <w:rsid w:val="0016530D"/>
    <w:rsid w:val="001658A9"/>
    <w:rsid w:val="00167682"/>
    <w:rsid w:val="001708FF"/>
    <w:rsid w:val="00170CAE"/>
    <w:rsid w:val="00171789"/>
    <w:rsid w:val="00171C96"/>
    <w:rsid w:val="00171DCD"/>
    <w:rsid w:val="00172762"/>
    <w:rsid w:val="00172B20"/>
    <w:rsid w:val="001730F7"/>
    <w:rsid w:val="0017321E"/>
    <w:rsid w:val="00174195"/>
    <w:rsid w:val="0017447A"/>
    <w:rsid w:val="0017482C"/>
    <w:rsid w:val="00174D0A"/>
    <w:rsid w:val="001750FC"/>
    <w:rsid w:val="00175EA0"/>
    <w:rsid w:val="00175F08"/>
    <w:rsid w:val="001762B6"/>
    <w:rsid w:val="0017659D"/>
    <w:rsid w:val="00177A8F"/>
    <w:rsid w:val="00180488"/>
    <w:rsid w:val="001809A8"/>
    <w:rsid w:val="00180D73"/>
    <w:rsid w:val="0018156D"/>
    <w:rsid w:val="001815B2"/>
    <w:rsid w:val="001818CA"/>
    <w:rsid w:val="00182F88"/>
    <w:rsid w:val="00183CFD"/>
    <w:rsid w:val="00184313"/>
    <w:rsid w:val="00184ABA"/>
    <w:rsid w:val="00184E24"/>
    <w:rsid w:val="001850A8"/>
    <w:rsid w:val="0018513E"/>
    <w:rsid w:val="001854E4"/>
    <w:rsid w:val="00185967"/>
    <w:rsid w:val="00185C7C"/>
    <w:rsid w:val="00185DCA"/>
    <w:rsid w:val="00185DE5"/>
    <w:rsid w:val="001866B5"/>
    <w:rsid w:val="00186996"/>
    <w:rsid w:val="00187479"/>
    <w:rsid w:val="00187F39"/>
    <w:rsid w:val="0019182C"/>
    <w:rsid w:val="001918CE"/>
    <w:rsid w:val="00191AAD"/>
    <w:rsid w:val="00192223"/>
    <w:rsid w:val="001926A5"/>
    <w:rsid w:val="0019417C"/>
    <w:rsid w:val="00194259"/>
    <w:rsid w:val="001945DB"/>
    <w:rsid w:val="00194AAD"/>
    <w:rsid w:val="001956FB"/>
    <w:rsid w:val="001A04A8"/>
    <w:rsid w:val="001A113D"/>
    <w:rsid w:val="001A1449"/>
    <w:rsid w:val="001A2105"/>
    <w:rsid w:val="001A31B8"/>
    <w:rsid w:val="001A348C"/>
    <w:rsid w:val="001A406E"/>
    <w:rsid w:val="001A4A39"/>
    <w:rsid w:val="001A4D44"/>
    <w:rsid w:val="001A7ABF"/>
    <w:rsid w:val="001A7CB1"/>
    <w:rsid w:val="001B1278"/>
    <w:rsid w:val="001B1363"/>
    <w:rsid w:val="001B19FE"/>
    <w:rsid w:val="001B1D57"/>
    <w:rsid w:val="001B22A7"/>
    <w:rsid w:val="001B26D6"/>
    <w:rsid w:val="001B2755"/>
    <w:rsid w:val="001B2DA8"/>
    <w:rsid w:val="001B2DD6"/>
    <w:rsid w:val="001B2F1D"/>
    <w:rsid w:val="001B4014"/>
    <w:rsid w:val="001B44A2"/>
    <w:rsid w:val="001B49A7"/>
    <w:rsid w:val="001B54D1"/>
    <w:rsid w:val="001B5798"/>
    <w:rsid w:val="001B6761"/>
    <w:rsid w:val="001B6B86"/>
    <w:rsid w:val="001B6C2A"/>
    <w:rsid w:val="001B6F24"/>
    <w:rsid w:val="001C0BB0"/>
    <w:rsid w:val="001C0C51"/>
    <w:rsid w:val="001C12C1"/>
    <w:rsid w:val="001C13B6"/>
    <w:rsid w:val="001C1FBF"/>
    <w:rsid w:val="001C210B"/>
    <w:rsid w:val="001C2410"/>
    <w:rsid w:val="001C424B"/>
    <w:rsid w:val="001C4864"/>
    <w:rsid w:val="001C4D4A"/>
    <w:rsid w:val="001C50FA"/>
    <w:rsid w:val="001C5302"/>
    <w:rsid w:val="001C6357"/>
    <w:rsid w:val="001C73EF"/>
    <w:rsid w:val="001C762B"/>
    <w:rsid w:val="001C7CDC"/>
    <w:rsid w:val="001D082A"/>
    <w:rsid w:val="001D0DBD"/>
    <w:rsid w:val="001D30D3"/>
    <w:rsid w:val="001D328D"/>
    <w:rsid w:val="001D38BE"/>
    <w:rsid w:val="001D3F6E"/>
    <w:rsid w:val="001D4A11"/>
    <w:rsid w:val="001D4AA8"/>
    <w:rsid w:val="001D519B"/>
    <w:rsid w:val="001D5644"/>
    <w:rsid w:val="001D58D1"/>
    <w:rsid w:val="001D5A56"/>
    <w:rsid w:val="001D5D22"/>
    <w:rsid w:val="001D626E"/>
    <w:rsid w:val="001E00A6"/>
    <w:rsid w:val="001E0254"/>
    <w:rsid w:val="001E11A7"/>
    <w:rsid w:val="001E18AC"/>
    <w:rsid w:val="001E1B2F"/>
    <w:rsid w:val="001E38E7"/>
    <w:rsid w:val="001E3DA2"/>
    <w:rsid w:val="001E3E10"/>
    <w:rsid w:val="001E4A6B"/>
    <w:rsid w:val="001E4D45"/>
    <w:rsid w:val="001E5014"/>
    <w:rsid w:val="001E5920"/>
    <w:rsid w:val="001E6264"/>
    <w:rsid w:val="001E659C"/>
    <w:rsid w:val="001E6693"/>
    <w:rsid w:val="001E6709"/>
    <w:rsid w:val="001E6DD4"/>
    <w:rsid w:val="001E7709"/>
    <w:rsid w:val="001E7A28"/>
    <w:rsid w:val="001E7D50"/>
    <w:rsid w:val="001F0482"/>
    <w:rsid w:val="001F07C5"/>
    <w:rsid w:val="001F0D27"/>
    <w:rsid w:val="001F11B1"/>
    <w:rsid w:val="001F12EB"/>
    <w:rsid w:val="001F28CD"/>
    <w:rsid w:val="001F2AE7"/>
    <w:rsid w:val="001F2C42"/>
    <w:rsid w:val="001F3CFC"/>
    <w:rsid w:val="001F4433"/>
    <w:rsid w:val="001F4618"/>
    <w:rsid w:val="001F506F"/>
    <w:rsid w:val="001F5369"/>
    <w:rsid w:val="001F562A"/>
    <w:rsid w:val="001F5968"/>
    <w:rsid w:val="001F6CFA"/>
    <w:rsid w:val="001F7055"/>
    <w:rsid w:val="001F789F"/>
    <w:rsid w:val="001F79BE"/>
    <w:rsid w:val="001F7A9F"/>
    <w:rsid w:val="00201545"/>
    <w:rsid w:val="00201DA3"/>
    <w:rsid w:val="00202179"/>
    <w:rsid w:val="0020220B"/>
    <w:rsid w:val="002022F4"/>
    <w:rsid w:val="00202385"/>
    <w:rsid w:val="00202BFB"/>
    <w:rsid w:val="00202F19"/>
    <w:rsid w:val="00202F69"/>
    <w:rsid w:val="00204ED4"/>
    <w:rsid w:val="00205014"/>
    <w:rsid w:val="00205810"/>
    <w:rsid w:val="00205D7D"/>
    <w:rsid w:val="00206719"/>
    <w:rsid w:val="0020687D"/>
    <w:rsid w:val="00206887"/>
    <w:rsid w:val="00206A4D"/>
    <w:rsid w:val="002105B9"/>
    <w:rsid w:val="00212885"/>
    <w:rsid w:val="00213BBF"/>
    <w:rsid w:val="00213E5B"/>
    <w:rsid w:val="002148F9"/>
    <w:rsid w:val="00214C5A"/>
    <w:rsid w:val="00214EB4"/>
    <w:rsid w:val="002155BB"/>
    <w:rsid w:val="00215A6E"/>
    <w:rsid w:val="002161B4"/>
    <w:rsid w:val="00217356"/>
    <w:rsid w:val="0021780D"/>
    <w:rsid w:val="0022241C"/>
    <w:rsid w:val="00222995"/>
    <w:rsid w:val="002237B5"/>
    <w:rsid w:val="0022498B"/>
    <w:rsid w:val="0022653D"/>
    <w:rsid w:val="00226D0D"/>
    <w:rsid w:val="002270AF"/>
    <w:rsid w:val="002279E2"/>
    <w:rsid w:val="00227E0C"/>
    <w:rsid w:val="00230CE0"/>
    <w:rsid w:val="002314B0"/>
    <w:rsid w:val="002315DA"/>
    <w:rsid w:val="00232967"/>
    <w:rsid w:val="00232DBF"/>
    <w:rsid w:val="00232F87"/>
    <w:rsid w:val="002331BA"/>
    <w:rsid w:val="00234B65"/>
    <w:rsid w:val="00235B52"/>
    <w:rsid w:val="00235FB4"/>
    <w:rsid w:val="00236707"/>
    <w:rsid w:val="00237122"/>
    <w:rsid w:val="002373AD"/>
    <w:rsid w:val="0023760E"/>
    <w:rsid w:val="0024020A"/>
    <w:rsid w:val="00240213"/>
    <w:rsid w:val="00241049"/>
    <w:rsid w:val="002418B0"/>
    <w:rsid w:val="00241A61"/>
    <w:rsid w:val="00241CC7"/>
    <w:rsid w:val="00242B09"/>
    <w:rsid w:val="00242CA4"/>
    <w:rsid w:val="00242D09"/>
    <w:rsid w:val="00242DFC"/>
    <w:rsid w:val="00243404"/>
    <w:rsid w:val="00243653"/>
    <w:rsid w:val="00244A13"/>
    <w:rsid w:val="00245349"/>
    <w:rsid w:val="00246791"/>
    <w:rsid w:val="00246DC0"/>
    <w:rsid w:val="00247493"/>
    <w:rsid w:val="00247A28"/>
    <w:rsid w:val="00250740"/>
    <w:rsid w:val="0025176A"/>
    <w:rsid w:val="00251948"/>
    <w:rsid w:val="00252BA5"/>
    <w:rsid w:val="0025375E"/>
    <w:rsid w:val="00253C80"/>
    <w:rsid w:val="00253CEB"/>
    <w:rsid w:val="00253ED7"/>
    <w:rsid w:val="0025481F"/>
    <w:rsid w:val="00254A69"/>
    <w:rsid w:val="00255563"/>
    <w:rsid w:val="0025598E"/>
    <w:rsid w:val="002565B4"/>
    <w:rsid w:val="00256F51"/>
    <w:rsid w:val="00257714"/>
    <w:rsid w:val="00257E0D"/>
    <w:rsid w:val="00257EF8"/>
    <w:rsid w:val="002608D4"/>
    <w:rsid w:val="0026157F"/>
    <w:rsid w:val="00261EB1"/>
    <w:rsid w:val="00263045"/>
    <w:rsid w:val="002630A2"/>
    <w:rsid w:val="00263C51"/>
    <w:rsid w:val="002648B4"/>
    <w:rsid w:val="00264DF8"/>
    <w:rsid w:val="00264F58"/>
    <w:rsid w:val="00264FAB"/>
    <w:rsid w:val="00265561"/>
    <w:rsid w:val="00265674"/>
    <w:rsid w:val="0026625E"/>
    <w:rsid w:val="00266A16"/>
    <w:rsid w:val="00266CAC"/>
    <w:rsid w:val="002670A4"/>
    <w:rsid w:val="002672C3"/>
    <w:rsid w:val="00267A68"/>
    <w:rsid w:val="002704B0"/>
    <w:rsid w:val="00270CE6"/>
    <w:rsid w:val="00272C59"/>
    <w:rsid w:val="00273105"/>
    <w:rsid w:val="0027321D"/>
    <w:rsid w:val="002735FA"/>
    <w:rsid w:val="00274908"/>
    <w:rsid w:val="00274D29"/>
    <w:rsid w:val="00275CD6"/>
    <w:rsid w:val="00276744"/>
    <w:rsid w:val="00277725"/>
    <w:rsid w:val="002778E6"/>
    <w:rsid w:val="00280719"/>
    <w:rsid w:val="00281184"/>
    <w:rsid w:val="00281535"/>
    <w:rsid w:val="00282493"/>
    <w:rsid w:val="002826B6"/>
    <w:rsid w:val="00282763"/>
    <w:rsid w:val="00282DA2"/>
    <w:rsid w:val="00282DCE"/>
    <w:rsid w:val="0028433D"/>
    <w:rsid w:val="0028563F"/>
    <w:rsid w:val="0028566E"/>
    <w:rsid w:val="0028597F"/>
    <w:rsid w:val="00285C25"/>
    <w:rsid w:val="002869A8"/>
    <w:rsid w:val="00286A6E"/>
    <w:rsid w:val="002874AD"/>
    <w:rsid w:val="0029079A"/>
    <w:rsid w:val="00290C31"/>
    <w:rsid w:val="00291C79"/>
    <w:rsid w:val="00291D7E"/>
    <w:rsid w:val="00291F6F"/>
    <w:rsid w:val="00292087"/>
    <w:rsid w:val="002920F1"/>
    <w:rsid w:val="0029213A"/>
    <w:rsid w:val="00292337"/>
    <w:rsid w:val="00293EDF"/>
    <w:rsid w:val="00295ADA"/>
    <w:rsid w:val="00295CF7"/>
    <w:rsid w:val="002972C6"/>
    <w:rsid w:val="002A03EA"/>
    <w:rsid w:val="002A240D"/>
    <w:rsid w:val="002A259B"/>
    <w:rsid w:val="002A41AB"/>
    <w:rsid w:val="002A4BF0"/>
    <w:rsid w:val="002A4CEE"/>
    <w:rsid w:val="002A4DFD"/>
    <w:rsid w:val="002A4F79"/>
    <w:rsid w:val="002A50B8"/>
    <w:rsid w:val="002A50DE"/>
    <w:rsid w:val="002A5107"/>
    <w:rsid w:val="002A58EF"/>
    <w:rsid w:val="002A5E24"/>
    <w:rsid w:val="002A6803"/>
    <w:rsid w:val="002A6C0D"/>
    <w:rsid w:val="002A705E"/>
    <w:rsid w:val="002A74FC"/>
    <w:rsid w:val="002A7514"/>
    <w:rsid w:val="002B011A"/>
    <w:rsid w:val="002B125A"/>
    <w:rsid w:val="002B1916"/>
    <w:rsid w:val="002B19A5"/>
    <w:rsid w:val="002B1BB9"/>
    <w:rsid w:val="002B1CFE"/>
    <w:rsid w:val="002B2237"/>
    <w:rsid w:val="002B23B5"/>
    <w:rsid w:val="002B2DC3"/>
    <w:rsid w:val="002B2E50"/>
    <w:rsid w:val="002B3321"/>
    <w:rsid w:val="002B3D8C"/>
    <w:rsid w:val="002B3D9A"/>
    <w:rsid w:val="002B423C"/>
    <w:rsid w:val="002B4574"/>
    <w:rsid w:val="002B47EC"/>
    <w:rsid w:val="002B4D0E"/>
    <w:rsid w:val="002B5230"/>
    <w:rsid w:val="002B5E38"/>
    <w:rsid w:val="002B74F3"/>
    <w:rsid w:val="002B7514"/>
    <w:rsid w:val="002B7CA8"/>
    <w:rsid w:val="002C0A97"/>
    <w:rsid w:val="002C1427"/>
    <w:rsid w:val="002C2439"/>
    <w:rsid w:val="002C35F8"/>
    <w:rsid w:val="002C36F3"/>
    <w:rsid w:val="002C4299"/>
    <w:rsid w:val="002C4D6D"/>
    <w:rsid w:val="002C4EB2"/>
    <w:rsid w:val="002C67BA"/>
    <w:rsid w:val="002C71BB"/>
    <w:rsid w:val="002D023B"/>
    <w:rsid w:val="002D0A92"/>
    <w:rsid w:val="002D1675"/>
    <w:rsid w:val="002D1945"/>
    <w:rsid w:val="002D284A"/>
    <w:rsid w:val="002D407F"/>
    <w:rsid w:val="002D4A74"/>
    <w:rsid w:val="002D4BF3"/>
    <w:rsid w:val="002D5ABF"/>
    <w:rsid w:val="002D5FE4"/>
    <w:rsid w:val="002D60CD"/>
    <w:rsid w:val="002D6337"/>
    <w:rsid w:val="002D6914"/>
    <w:rsid w:val="002D6B86"/>
    <w:rsid w:val="002D6CB1"/>
    <w:rsid w:val="002D6FE2"/>
    <w:rsid w:val="002D714F"/>
    <w:rsid w:val="002D75A7"/>
    <w:rsid w:val="002D7696"/>
    <w:rsid w:val="002D7F54"/>
    <w:rsid w:val="002E0160"/>
    <w:rsid w:val="002E059E"/>
    <w:rsid w:val="002E0C54"/>
    <w:rsid w:val="002E0E7A"/>
    <w:rsid w:val="002E1560"/>
    <w:rsid w:val="002E168B"/>
    <w:rsid w:val="002E1CA3"/>
    <w:rsid w:val="002E20C5"/>
    <w:rsid w:val="002E2624"/>
    <w:rsid w:val="002E3330"/>
    <w:rsid w:val="002E3621"/>
    <w:rsid w:val="002E4CB1"/>
    <w:rsid w:val="002E5087"/>
    <w:rsid w:val="002E52EA"/>
    <w:rsid w:val="002E5433"/>
    <w:rsid w:val="002E54C2"/>
    <w:rsid w:val="002E59AC"/>
    <w:rsid w:val="002E5D06"/>
    <w:rsid w:val="002E5F37"/>
    <w:rsid w:val="002E789F"/>
    <w:rsid w:val="002E7C43"/>
    <w:rsid w:val="002F1771"/>
    <w:rsid w:val="002F1904"/>
    <w:rsid w:val="002F1AD6"/>
    <w:rsid w:val="002F1CFC"/>
    <w:rsid w:val="002F1EB9"/>
    <w:rsid w:val="002F2665"/>
    <w:rsid w:val="002F3DF6"/>
    <w:rsid w:val="002F4DC3"/>
    <w:rsid w:val="002F67C4"/>
    <w:rsid w:val="002F6C57"/>
    <w:rsid w:val="002F6F87"/>
    <w:rsid w:val="002F6FF5"/>
    <w:rsid w:val="002F735B"/>
    <w:rsid w:val="00300463"/>
    <w:rsid w:val="0030079B"/>
    <w:rsid w:val="003010C9"/>
    <w:rsid w:val="0030277C"/>
    <w:rsid w:val="00302794"/>
    <w:rsid w:val="00303217"/>
    <w:rsid w:val="00303B25"/>
    <w:rsid w:val="00303E01"/>
    <w:rsid w:val="00304919"/>
    <w:rsid w:val="00304B02"/>
    <w:rsid w:val="00304D6B"/>
    <w:rsid w:val="003055E8"/>
    <w:rsid w:val="00305AC4"/>
    <w:rsid w:val="00305C44"/>
    <w:rsid w:val="00306165"/>
    <w:rsid w:val="003069B2"/>
    <w:rsid w:val="00306D47"/>
    <w:rsid w:val="00307A8C"/>
    <w:rsid w:val="00307BA1"/>
    <w:rsid w:val="00310593"/>
    <w:rsid w:val="00310626"/>
    <w:rsid w:val="00310DE0"/>
    <w:rsid w:val="00311819"/>
    <w:rsid w:val="00311FE2"/>
    <w:rsid w:val="00312A42"/>
    <w:rsid w:val="00312F3C"/>
    <w:rsid w:val="003136AD"/>
    <w:rsid w:val="003148C9"/>
    <w:rsid w:val="003150A4"/>
    <w:rsid w:val="0031531F"/>
    <w:rsid w:val="00315B19"/>
    <w:rsid w:val="0031629A"/>
    <w:rsid w:val="00316603"/>
    <w:rsid w:val="00316ADA"/>
    <w:rsid w:val="00316D60"/>
    <w:rsid w:val="003176AE"/>
    <w:rsid w:val="00317A82"/>
    <w:rsid w:val="00317BCC"/>
    <w:rsid w:val="00320816"/>
    <w:rsid w:val="00321497"/>
    <w:rsid w:val="00321872"/>
    <w:rsid w:val="0032219B"/>
    <w:rsid w:val="003226E3"/>
    <w:rsid w:val="00322B6C"/>
    <w:rsid w:val="00324128"/>
    <w:rsid w:val="003247B6"/>
    <w:rsid w:val="0032486D"/>
    <w:rsid w:val="00325360"/>
    <w:rsid w:val="00325BAB"/>
    <w:rsid w:val="003263E7"/>
    <w:rsid w:val="00326962"/>
    <w:rsid w:val="00326B8B"/>
    <w:rsid w:val="00326D93"/>
    <w:rsid w:val="00326FDD"/>
    <w:rsid w:val="003273BC"/>
    <w:rsid w:val="003307EE"/>
    <w:rsid w:val="00330BB1"/>
    <w:rsid w:val="00331057"/>
    <w:rsid w:val="00331A0C"/>
    <w:rsid w:val="00331D8C"/>
    <w:rsid w:val="00331F7D"/>
    <w:rsid w:val="003326FC"/>
    <w:rsid w:val="00332778"/>
    <w:rsid w:val="00333175"/>
    <w:rsid w:val="0033367D"/>
    <w:rsid w:val="00333A87"/>
    <w:rsid w:val="00334B3F"/>
    <w:rsid w:val="00334B9A"/>
    <w:rsid w:val="00334CE7"/>
    <w:rsid w:val="0033554D"/>
    <w:rsid w:val="00335EFC"/>
    <w:rsid w:val="00336016"/>
    <w:rsid w:val="00336623"/>
    <w:rsid w:val="00336717"/>
    <w:rsid w:val="003367E5"/>
    <w:rsid w:val="00336AA4"/>
    <w:rsid w:val="00337702"/>
    <w:rsid w:val="00337DB3"/>
    <w:rsid w:val="00340038"/>
    <w:rsid w:val="00340616"/>
    <w:rsid w:val="003410AF"/>
    <w:rsid w:val="0034182F"/>
    <w:rsid w:val="0034187D"/>
    <w:rsid w:val="00342587"/>
    <w:rsid w:val="003427CB"/>
    <w:rsid w:val="003429CA"/>
    <w:rsid w:val="00342EFF"/>
    <w:rsid w:val="00343B5B"/>
    <w:rsid w:val="003444D7"/>
    <w:rsid w:val="0034511A"/>
    <w:rsid w:val="003454B0"/>
    <w:rsid w:val="0034580E"/>
    <w:rsid w:val="00345CA9"/>
    <w:rsid w:val="0034649A"/>
    <w:rsid w:val="00346A32"/>
    <w:rsid w:val="00346AB8"/>
    <w:rsid w:val="0035129E"/>
    <w:rsid w:val="003524A0"/>
    <w:rsid w:val="0035377E"/>
    <w:rsid w:val="00353849"/>
    <w:rsid w:val="00353964"/>
    <w:rsid w:val="00353E49"/>
    <w:rsid w:val="00353F94"/>
    <w:rsid w:val="003546AC"/>
    <w:rsid w:val="003559C2"/>
    <w:rsid w:val="00355BB0"/>
    <w:rsid w:val="00355FC1"/>
    <w:rsid w:val="0035649C"/>
    <w:rsid w:val="00356A7B"/>
    <w:rsid w:val="003578F6"/>
    <w:rsid w:val="00357ED0"/>
    <w:rsid w:val="00357ED5"/>
    <w:rsid w:val="0036011C"/>
    <w:rsid w:val="0036073B"/>
    <w:rsid w:val="0036076D"/>
    <w:rsid w:val="00360AC8"/>
    <w:rsid w:val="00361C5A"/>
    <w:rsid w:val="00362D33"/>
    <w:rsid w:val="00363B6A"/>
    <w:rsid w:val="003643F7"/>
    <w:rsid w:val="00364FD3"/>
    <w:rsid w:val="00365A0C"/>
    <w:rsid w:val="00365CA7"/>
    <w:rsid w:val="003669E9"/>
    <w:rsid w:val="00366AA6"/>
    <w:rsid w:val="00367368"/>
    <w:rsid w:val="0036768C"/>
    <w:rsid w:val="003678F3"/>
    <w:rsid w:val="0037012F"/>
    <w:rsid w:val="00370B60"/>
    <w:rsid w:val="00370DA2"/>
    <w:rsid w:val="00371356"/>
    <w:rsid w:val="00371417"/>
    <w:rsid w:val="003719B6"/>
    <w:rsid w:val="00371E2C"/>
    <w:rsid w:val="00373133"/>
    <w:rsid w:val="003731D1"/>
    <w:rsid w:val="0037332F"/>
    <w:rsid w:val="00374325"/>
    <w:rsid w:val="003748A6"/>
    <w:rsid w:val="003769E7"/>
    <w:rsid w:val="00376A25"/>
    <w:rsid w:val="0037702A"/>
    <w:rsid w:val="003773EC"/>
    <w:rsid w:val="00377602"/>
    <w:rsid w:val="003803B2"/>
    <w:rsid w:val="003803CA"/>
    <w:rsid w:val="003808B9"/>
    <w:rsid w:val="00381452"/>
    <w:rsid w:val="00381FD1"/>
    <w:rsid w:val="003820A6"/>
    <w:rsid w:val="0038340B"/>
    <w:rsid w:val="003837B8"/>
    <w:rsid w:val="003837EA"/>
    <w:rsid w:val="00383803"/>
    <w:rsid w:val="00383D0D"/>
    <w:rsid w:val="003845FD"/>
    <w:rsid w:val="00384775"/>
    <w:rsid w:val="00386B96"/>
    <w:rsid w:val="003871F5"/>
    <w:rsid w:val="0038722D"/>
    <w:rsid w:val="003878E5"/>
    <w:rsid w:val="00387949"/>
    <w:rsid w:val="00390EBB"/>
    <w:rsid w:val="003912D5"/>
    <w:rsid w:val="00391A13"/>
    <w:rsid w:val="00391CD5"/>
    <w:rsid w:val="00391FEA"/>
    <w:rsid w:val="00392632"/>
    <w:rsid w:val="00393951"/>
    <w:rsid w:val="00393B15"/>
    <w:rsid w:val="003940AB"/>
    <w:rsid w:val="00394D08"/>
    <w:rsid w:val="00395174"/>
    <w:rsid w:val="00395329"/>
    <w:rsid w:val="00395993"/>
    <w:rsid w:val="00396472"/>
    <w:rsid w:val="00396B4C"/>
    <w:rsid w:val="00397B71"/>
    <w:rsid w:val="00397C0A"/>
    <w:rsid w:val="003A039E"/>
    <w:rsid w:val="003A045A"/>
    <w:rsid w:val="003A0FE3"/>
    <w:rsid w:val="003A14E6"/>
    <w:rsid w:val="003A172D"/>
    <w:rsid w:val="003A1BDA"/>
    <w:rsid w:val="003A1D96"/>
    <w:rsid w:val="003A35E6"/>
    <w:rsid w:val="003A3956"/>
    <w:rsid w:val="003A50E2"/>
    <w:rsid w:val="003A5BAB"/>
    <w:rsid w:val="003A61E0"/>
    <w:rsid w:val="003A6FDB"/>
    <w:rsid w:val="003A7169"/>
    <w:rsid w:val="003A72B1"/>
    <w:rsid w:val="003B174F"/>
    <w:rsid w:val="003B1A1D"/>
    <w:rsid w:val="003B250F"/>
    <w:rsid w:val="003B2958"/>
    <w:rsid w:val="003B29E8"/>
    <w:rsid w:val="003B2F2F"/>
    <w:rsid w:val="003B335F"/>
    <w:rsid w:val="003B356B"/>
    <w:rsid w:val="003B3DCC"/>
    <w:rsid w:val="003B456C"/>
    <w:rsid w:val="003B50E3"/>
    <w:rsid w:val="003B59B2"/>
    <w:rsid w:val="003B63AA"/>
    <w:rsid w:val="003B653B"/>
    <w:rsid w:val="003B684B"/>
    <w:rsid w:val="003B6B11"/>
    <w:rsid w:val="003B744C"/>
    <w:rsid w:val="003B759D"/>
    <w:rsid w:val="003C03F3"/>
    <w:rsid w:val="003C0A1D"/>
    <w:rsid w:val="003C0C07"/>
    <w:rsid w:val="003C0CF7"/>
    <w:rsid w:val="003C192C"/>
    <w:rsid w:val="003C1D76"/>
    <w:rsid w:val="003C2796"/>
    <w:rsid w:val="003C2C90"/>
    <w:rsid w:val="003C53A4"/>
    <w:rsid w:val="003C5B4E"/>
    <w:rsid w:val="003C67EA"/>
    <w:rsid w:val="003C68D5"/>
    <w:rsid w:val="003C6DE8"/>
    <w:rsid w:val="003C7509"/>
    <w:rsid w:val="003C79A5"/>
    <w:rsid w:val="003D0098"/>
    <w:rsid w:val="003D05A4"/>
    <w:rsid w:val="003D07E4"/>
    <w:rsid w:val="003D0850"/>
    <w:rsid w:val="003D08AE"/>
    <w:rsid w:val="003D09DB"/>
    <w:rsid w:val="003D0BF5"/>
    <w:rsid w:val="003D10CE"/>
    <w:rsid w:val="003D1515"/>
    <w:rsid w:val="003D1A60"/>
    <w:rsid w:val="003D2310"/>
    <w:rsid w:val="003D299A"/>
    <w:rsid w:val="003D2E14"/>
    <w:rsid w:val="003D3B16"/>
    <w:rsid w:val="003D46D0"/>
    <w:rsid w:val="003D5884"/>
    <w:rsid w:val="003D6151"/>
    <w:rsid w:val="003D6C6F"/>
    <w:rsid w:val="003D6C7D"/>
    <w:rsid w:val="003D769F"/>
    <w:rsid w:val="003E0186"/>
    <w:rsid w:val="003E2259"/>
    <w:rsid w:val="003E2791"/>
    <w:rsid w:val="003E2B92"/>
    <w:rsid w:val="003E3313"/>
    <w:rsid w:val="003E34C8"/>
    <w:rsid w:val="003E3A5E"/>
    <w:rsid w:val="003E422C"/>
    <w:rsid w:val="003E7862"/>
    <w:rsid w:val="003E7C53"/>
    <w:rsid w:val="003F06DF"/>
    <w:rsid w:val="003F29DD"/>
    <w:rsid w:val="003F4987"/>
    <w:rsid w:val="003F4DE1"/>
    <w:rsid w:val="003F54C3"/>
    <w:rsid w:val="003F578A"/>
    <w:rsid w:val="003F595C"/>
    <w:rsid w:val="003F59E0"/>
    <w:rsid w:val="003F5A77"/>
    <w:rsid w:val="003F5A8A"/>
    <w:rsid w:val="003F6B97"/>
    <w:rsid w:val="003F764C"/>
    <w:rsid w:val="0040005B"/>
    <w:rsid w:val="004000CE"/>
    <w:rsid w:val="004001F8"/>
    <w:rsid w:val="00400707"/>
    <w:rsid w:val="00402948"/>
    <w:rsid w:val="00402B10"/>
    <w:rsid w:val="00402B72"/>
    <w:rsid w:val="00403A06"/>
    <w:rsid w:val="00403A2F"/>
    <w:rsid w:val="004043B0"/>
    <w:rsid w:val="00404807"/>
    <w:rsid w:val="00405056"/>
    <w:rsid w:val="00406BBB"/>
    <w:rsid w:val="00407C3A"/>
    <w:rsid w:val="004103B8"/>
    <w:rsid w:val="00410440"/>
    <w:rsid w:val="00412311"/>
    <w:rsid w:val="0041283F"/>
    <w:rsid w:val="00413B67"/>
    <w:rsid w:val="00413BE3"/>
    <w:rsid w:val="0041556E"/>
    <w:rsid w:val="0041596C"/>
    <w:rsid w:val="00415D2D"/>
    <w:rsid w:val="00416864"/>
    <w:rsid w:val="004173FE"/>
    <w:rsid w:val="0041740B"/>
    <w:rsid w:val="0041791C"/>
    <w:rsid w:val="00417F1C"/>
    <w:rsid w:val="00420297"/>
    <w:rsid w:val="00420A59"/>
    <w:rsid w:val="00420FC3"/>
    <w:rsid w:val="004215A3"/>
    <w:rsid w:val="00422F89"/>
    <w:rsid w:val="004247FB"/>
    <w:rsid w:val="00424BA1"/>
    <w:rsid w:val="00424D30"/>
    <w:rsid w:val="004264F0"/>
    <w:rsid w:val="00427BDD"/>
    <w:rsid w:val="00427CDF"/>
    <w:rsid w:val="004301DF"/>
    <w:rsid w:val="00430C4F"/>
    <w:rsid w:val="00430E8A"/>
    <w:rsid w:val="00430FEB"/>
    <w:rsid w:val="004316AB"/>
    <w:rsid w:val="00431DC2"/>
    <w:rsid w:val="0043211E"/>
    <w:rsid w:val="00433059"/>
    <w:rsid w:val="00433B82"/>
    <w:rsid w:val="00433C54"/>
    <w:rsid w:val="00433CD8"/>
    <w:rsid w:val="00433DEB"/>
    <w:rsid w:val="0043483B"/>
    <w:rsid w:val="004354D7"/>
    <w:rsid w:val="00436403"/>
    <w:rsid w:val="00436779"/>
    <w:rsid w:val="00437D2E"/>
    <w:rsid w:val="00440348"/>
    <w:rsid w:val="00440654"/>
    <w:rsid w:val="00440918"/>
    <w:rsid w:val="00440C1A"/>
    <w:rsid w:val="004411FD"/>
    <w:rsid w:val="00441E23"/>
    <w:rsid w:val="0044218B"/>
    <w:rsid w:val="00442FEF"/>
    <w:rsid w:val="00443AD3"/>
    <w:rsid w:val="00443F22"/>
    <w:rsid w:val="00444AE7"/>
    <w:rsid w:val="00446270"/>
    <w:rsid w:val="004468D3"/>
    <w:rsid w:val="00446BC1"/>
    <w:rsid w:val="00446BD3"/>
    <w:rsid w:val="00446DB1"/>
    <w:rsid w:val="00446E33"/>
    <w:rsid w:val="00447114"/>
    <w:rsid w:val="00451065"/>
    <w:rsid w:val="00452041"/>
    <w:rsid w:val="00452646"/>
    <w:rsid w:val="00452808"/>
    <w:rsid w:val="00452AAB"/>
    <w:rsid w:val="00452B76"/>
    <w:rsid w:val="00452C35"/>
    <w:rsid w:val="00453076"/>
    <w:rsid w:val="00453C5F"/>
    <w:rsid w:val="00453E20"/>
    <w:rsid w:val="00454529"/>
    <w:rsid w:val="004547EF"/>
    <w:rsid w:val="00454C0F"/>
    <w:rsid w:val="00455300"/>
    <w:rsid w:val="004553E6"/>
    <w:rsid w:val="0045542C"/>
    <w:rsid w:val="00455678"/>
    <w:rsid w:val="00456CCB"/>
    <w:rsid w:val="00456F11"/>
    <w:rsid w:val="004572EA"/>
    <w:rsid w:val="0045769F"/>
    <w:rsid w:val="00460083"/>
    <w:rsid w:val="0046028E"/>
    <w:rsid w:val="00461B62"/>
    <w:rsid w:val="0046212A"/>
    <w:rsid w:val="004625F8"/>
    <w:rsid w:val="004626D5"/>
    <w:rsid w:val="0046272B"/>
    <w:rsid w:val="00462B60"/>
    <w:rsid w:val="00463374"/>
    <w:rsid w:val="00464D64"/>
    <w:rsid w:val="00464EB3"/>
    <w:rsid w:val="004659F6"/>
    <w:rsid w:val="00466308"/>
    <w:rsid w:val="00466BAC"/>
    <w:rsid w:val="0046736B"/>
    <w:rsid w:val="00470D0D"/>
    <w:rsid w:val="004714DA"/>
    <w:rsid w:val="0047208B"/>
    <w:rsid w:val="00472682"/>
    <w:rsid w:val="00473346"/>
    <w:rsid w:val="00473FFE"/>
    <w:rsid w:val="004743DC"/>
    <w:rsid w:val="0047606E"/>
    <w:rsid w:val="004760AD"/>
    <w:rsid w:val="004761F3"/>
    <w:rsid w:val="0047631D"/>
    <w:rsid w:val="00477123"/>
    <w:rsid w:val="004818BF"/>
    <w:rsid w:val="00482400"/>
    <w:rsid w:val="00483690"/>
    <w:rsid w:val="00483AE5"/>
    <w:rsid w:val="00483BC7"/>
    <w:rsid w:val="00484180"/>
    <w:rsid w:val="00484403"/>
    <w:rsid w:val="00484A88"/>
    <w:rsid w:val="0048513D"/>
    <w:rsid w:val="004852CC"/>
    <w:rsid w:val="00485354"/>
    <w:rsid w:val="00485650"/>
    <w:rsid w:val="00485927"/>
    <w:rsid w:val="00485DE0"/>
    <w:rsid w:val="00485DEE"/>
    <w:rsid w:val="00486BA1"/>
    <w:rsid w:val="0049000A"/>
    <w:rsid w:val="004904BC"/>
    <w:rsid w:val="004908D5"/>
    <w:rsid w:val="00490B52"/>
    <w:rsid w:val="00490EB2"/>
    <w:rsid w:val="00491159"/>
    <w:rsid w:val="004914C7"/>
    <w:rsid w:val="004917A5"/>
    <w:rsid w:val="00491AEA"/>
    <w:rsid w:val="00492206"/>
    <w:rsid w:val="00492C3F"/>
    <w:rsid w:val="00493CCE"/>
    <w:rsid w:val="0049424B"/>
    <w:rsid w:val="00497AA3"/>
    <w:rsid w:val="004A08E3"/>
    <w:rsid w:val="004A0F95"/>
    <w:rsid w:val="004A230F"/>
    <w:rsid w:val="004A231F"/>
    <w:rsid w:val="004A3111"/>
    <w:rsid w:val="004A54C6"/>
    <w:rsid w:val="004A57C3"/>
    <w:rsid w:val="004A5A73"/>
    <w:rsid w:val="004A63A6"/>
    <w:rsid w:val="004A662D"/>
    <w:rsid w:val="004A6916"/>
    <w:rsid w:val="004A6E20"/>
    <w:rsid w:val="004A6E77"/>
    <w:rsid w:val="004A6F5B"/>
    <w:rsid w:val="004A75BE"/>
    <w:rsid w:val="004A7AB1"/>
    <w:rsid w:val="004B0205"/>
    <w:rsid w:val="004B141E"/>
    <w:rsid w:val="004B1997"/>
    <w:rsid w:val="004B2E73"/>
    <w:rsid w:val="004B32BE"/>
    <w:rsid w:val="004B39B1"/>
    <w:rsid w:val="004B3C6F"/>
    <w:rsid w:val="004B46E7"/>
    <w:rsid w:val="004B5494"/>
    <w:rsid w:val="004B6775"/>
    <w:rsid w:val="004B796E"/>
    <w:rsid w:val="004C046D"/>
    <w:rsid w:val="004C0C97"/>
    <w:rsid w:val="004C0F2A"/>
    <w:rsid w:val="004C13EF"/>
    <w:rsid w:val="004C1925"/>
    <w:rsid w:val="004C1A29"/>
    <w:rsid w:val="004C1F63"/>
    <w:rsid w:val="004C2238"/>
    <w:rsid w:val="004C3970"/>
    <w:rsid w:val="004C5EED"/>
    <w:rsid w:val="004C5FBB"/>
    <w:rsid w:val="004C64B7"/>
    <w:rsid w:val="004C7306"/>
    <w:rsid w:val="004C74CB"/>
    <w:rsid w:val="004C7D2F"/>
    <w:rsid w:val="004D1CB5"/>
    <w:rsid w:val="004D2210"/>
    <w:rsid w:val="004D2FFF"/>
    <w:rsid w:val="004D364A"/>
    <w:rsid w:val="004D391B"/>
    <w:rsid w:val="004D4439"/>
    <w:rsid w:val="004D46A9"/>
    <w:rsid w:val="004D4BA6"/>
    <w:rsid w:val="004D4F5A"/>
    <w:rsid w:val="004D6450"/>
    <w:rsid w:val="004D78D3"/>
    <w:rsid w:val="004D7AC4"/>
    <w:rsid w:val="004E05B9"/>
    <w:rsid w:val="004E07A6"/>
    <w:rsid w:val="004E1282"/>
    <w:rsid w:val="004E1FE2"/>
    <w:rsid w:val="004E20F1"/>
    <w:rsid w:val="004E22C9"/>
    <w:rsid w:val="004E53CF"/>
    <w:rsid w:val="004E630A"/>
    <w:rsid w:val="004E6D40"/>
    <w:rsid w:val="004E6D6D"/>
    <w:rsid w:val="004E6E8F"/>
    <w:rsid w:val="004E7D12"/>
    <w:rsid w:val="004F1532"/>
    <w:rsid w:val="004F1669"/>
    <w:rsid w:val="004F1827"/>
    <w:rsid w:val="004F4F7A"/>
    <w:rsid w:val="004F510D"/>
    <w:rsid w:val="004F5383"/>
    <w:rsid w:val="004F59BE"/>
    <w:rsid w:val="004F5C88"/>
    <w:rsid w:val="004F5E53"/>
    <w:rsid w:val="004F679E"/>
    <w:rsid w:val="004F7506"/>
    <w:rsid w:val="004F7A8F"/>
    <w:rsid w:val="00500683"/>
    <w:rsid w:val="00500B73"/>
    <w:rsid w:val="005020EF"/>
    <w:rsid w:val="00502EBE"/>
    <w:rsid w:val="0050394E"/>
    <w:rsid w:val="00503D9C"/>
    <w:rsid w:val="00503EBF"/>
    <w:rsid w:val="005040F0"/>
    <w:rsid w:val="00504507"/>
    <w:rsid w:val="00504967"/>
    <w:rsid w:val="00505793"/>
    <w:rsid w:val="00505794"/>
    <w:rsid w:val="00505977"/>
    <w:rsid w:val="00505B97"/>
    <w:rsid w:val="00505CBF"/>
    <w:rsid w:val="00506552"/>
    <w:rsid w:val="00506A12"/>
    <w:rsid w:val="00507383"/>
    <w:rsid w:val="00507511"/>
    <w:rsid w:val="0051050E"/>
    <w:rsid w:val="00510ABD"/>
    <w:rsid w:val="005112E9"/>
    <w:rsid w:val="005119F2"/>
    <w:rsid w:val="00512381"/>
    <w:rsid w:val="00512B6A"/>
    <w:rsid w:val="00512D4D"/>
    <w:rsid w:val="00513230"/>
    <w:rsid w:val="00513584"/>
    <w:rsid w:val="00513705"/>
    <w:rsid w:val="00514B18"/>
    <w:rsid w:val="00514FA0"/>
    <w:rsid w:val="00515106"/>
    <w:rsid w:val="0051547E"/>
    <w:rsid w:val="00515A8F"/>
    <w:rsid w:val="00515B30"/>
    <w:rsid w:val="00515EAA"/>
    <w:rsid w:val="00516324"/>
    <w:rsid w:val="005168D4"/>
    <w:rsid w:val="0051730D"/>
    <w:rsid w:val="005174AE"/>
    <w:rsid w:val="00517650"/>
    <w:rsid w:val="00517B48"/>
    <w:rsid w:val="00520DA6"/>
    <w:rsid w:val="00520E97"/>
    <w:rsid w:val="005213F6"/>
    <w:rsid w:val="00521587"/>
    <w:rsid w:val="00521EF1"/>
    <w:rsid w:val="0052249F"/>
    <w:rsid w:val="00522725"/>
    <w:rsid w:val="005228E8"/>
    <w:rsid w:val="00522A1A"/>
    <w:rsid w:val="00523261"/>
    <w:rsid w:val="00523EF6"/>
    <w:rsid w:val="00524842"/>
    <w:rsid w:val="00524EA5"/>
    <w:rsid w:val="00525446"/>
    <w:rsid w:val="005254C0"/>
    <w:rsid w:val="00525AA9"/>
    <w:rsid w:val="00526DBB"/>
    <w:rsid w:val="0052717D"/>
    <w:rsid w:val="00527C43"/>
    <w:rsid w:val="00530049"/>
    <w:rsid w:val="00530519"/>
    <w:rsid w:val="00530B63"/>
    <w:rsid w:val="00531024"/>
    <w:rsid w:val="0053111C"/>
    <w:rsid w:val="00531842"/>
    <w:rsid w:val="005318F0"/>
    <w:rsid w:val="00532A15"/>
    <w:rsid w:val="00532A34"/>
    <w:rsid w:val="00532C2C"/>
    <w:rsid w:val="00533534"/>
    <w:rsid w:val="005338C2"/>
    <w:rsid w:val="00533AC8"/>
    <w:rsid w:val="00534298"/>
    <w:rsid w:val="005349F1"/>
    <w:rsid w:val="00534E1C"/>
    <w:rsid w:val="00534FB4"/>
    <w:rsid w:val="00535F9E"/>
    <w:rsid w:val="00537440"/>
    <w:rsid w:val="005377DB"/>
    <w:rsid w:val="00541764"/>
    <w:rsid w:val="0054193F"/>
    <w:rsid w:val="00542134"/>
    <w:rsid w:val="005422B1"/>
    <w:rsid w:val="00542E83"/>
    <w:rsid w:val="0054378D"/>
    <w:rsid w:val="00543B4F"/>
    <w:rsid w:val="00544BAE"/>
    <w:rsid w:val="0054525E"/>
    <w:rsid w:val="0054602B"/>
    <w:rsid w:val="00547518"/>
    <w:rsid w:val="00547781"/>
    <w:rsid w:val="00550224"/>
    <w:rsid w:val="005511D4"/>
    <w:rsid w:val="00551B50"/>
    <w:rsid w:val="00551C87"/>
    <w:rsid w:val="00551E98"/>
    <w:rsid w:val="00551FC9"/>
    <w:rsid w:val="00552DB1"/>
    <w:rsid w:val="0055310B"/>
    <w:rsid w:val="0055499A"/>
    <w:rsid w:val="005552B1"/>
    <w:rsid w:val="00556A27"/>
    <w:rsid w:val="0055720E"/>
    <w:rsid w:val="00557810"/>
    <w:rsid w:val="00557A3E"/>
    <w:rsid w:val="00557A91"/>
    <w:rsid w:val="00557D51"/>
    <w:rsid w:val="005624C5"/>
    <w:rsid w:val="005625E2"/>
    <w:rsid w:val="00564473"/>
    <w:rsid w:val="0056482C"/>
    <w:rsid w:val="00565685"/>
    <w:rsid w:val="005671F5"/>
    <w:rsid w:val="00567633"/>
    <w:rsid w:val="005678BE"/>
    <w:rsid w:val="005679D2"/>
    <w:rsid w:val="00571802"/>
    <w:rsid w:val="00572023"/>
    <w:rsid w:val="0057231B"/>
    <w:rsid w:val="0057252E"/>
    <w:rsid w:val="00572716"/>
    <w:rsid w:val="00572DD4"/>
    <w:rsid w:val="00572E4B"/>
    <w:rsid w:val="00573CD8"/>
    <w:rsid w:val="00574336"/>
    <w:rsid w:val="00574B93"/>
    <w:rsid w:val="00574F0D"/>
    <w:rsid w:val="0057548A"/>
    <w:rsid w:val="00577098"/>
    <w:rsid w:val="00577C9E"/>
    <w:rsid w:val="00577CA5"/>
    <w:rsid w:val="0058000D"/>
    <w:rsid w:val="0058080F"/>
    <w:rsid w:val="00580F35"/>
    <w:rsid w:val="00581860"/>
    <w:rsid w:val="0058372F"/>
    <w:rsid w:val="00583FC7"/>
    <w:rsid w:val="00585187"/>
    <w:rsid w:val="005853C5"/>
    <w:rsid w:val="00585BE4"/>
    <w:rsid w:val="00585C96"/>
    <w:rsid w:val="00586030"/>
    <w:rsid w:val="00586223"/>
    <w:rsid w:val="005865E7"/>
    <w:rsid w:val="00586881"/>
    <w:rsid w:val="00586B81"/>
    <w:rsid w:val="00586E52"/>
    <w:rsid w:val="005872BF"/>
    <w:rsid w:val="0059024A"/>
    <w:rsid w:val="0059051D"/>
    <w:rsid w:val="00590BBC"/>
    <w:rsid w:val="00590D6B"/>
    <w:rsid w:val="00590E87"/>
    <w:rsid w:val="0059101E"/>
    <w:rsid w:val="0059136B"/>
    <w:rsid w:val="00591985"/>
    <w:rsid w:val="00592302"/>
    <w:rsid w:val="0059258B"/>
    <w:rsid w:val="00592597"/>
    <w:rsid w:val="0059354F"/>
    <w:rsid w:val="005936A3"/>
    <w:rsid w:val="00594321"/>
    <w:rsid w:val="00594342"/>
    <w:rsid w:val="00594531"/>
    <w:rsid w:val="00594656"/>
    <w:rsid w:val="00594F73"/>
    <w:rsid w:val="00594FB9"/>
    <w:rsid w:val="005952C7"/>
    <w:rsid w:val="00595B25"/>
    <w:rsid w:val="00595E96"/>
    <w:rsid w:val="00596CD7"/>
    <w:rsid w:val="005971E7"/>
    <w:rsid w:val="005A077E"/>
    <w:rsid w:val="005A09C4"/>
    <w:rsid w:val="005A21EF"/>
    <w:rsid w:val="005A29C0"/>
    <w:rsid w:val="005A3101"/>
    <w:rsid w:val="005A35B5"/>
    <w:rsid w:val="005A40C0"/>
    <w:rsid w:val="005A444D"/>
    <w:rsid w:val="005A4520"/>
    <w:rsid w:val="005A48CE"/>
    <w:rsid w:val="005A4BA1"/>
    <w:rsid w:val="005A69B5"/>
    <w:rsid w:val="005A75FF"/>
    <w:rsid w:val="005B0BAC"/>
    <w:rsid w:val="005B0DF1"/>
    <w:rsid w:val="005B0F94"/>
    <w:rsid w:val="005B166B"/>
    <w:rsid w:val="005B34F3"/>
    <w:rsid w:val="005B3534"/>
    <w:rsid w:val="005B375B"/>
    <w:rsid w:val="005B3BEF"/>
    <w:rsid w:val="005B3C73"/>
    <w:rsid w:val="005B3D91"/>
    <w:rsid w:val="005B40BE"/>
    <w:rsid w:val="005B4132"/>
    <w:rsid w:val="005B4632"/>
    <w:rsid w:val="005B6C41"/>
    <w:rsid w:val="005B7533"/>
    <w:rsid w:val="005C04FD"/>
    <w:rsid w:val="005C0D1D"/>
    <w:rsid w:val="005C1783"/>
    <w:rsid w:val="005C27E2"/>
    <w:rsid w:val="005C3258"/>
    <w:rsid w:val="005C332F"/>
    <w:rsid w:val="005C393E"/>
    <w:rsid w:val="005C4630"/>
    <w:rsid w:val="005C50B2"/>
    <w:rsid w:val="005C5468"/>
    <w:rsid w:val="005C6860"/>
    <w:rsid w:val="005C7819"/>
    <w:rsid w:val="005D036E"/>
    <w:rsid w:val="005D0977"/>
    <w:rsid w:val="005D19A4"/>
    <w:rsid w:val="005D264E"/>
    <w:rsid w:val="005D27FF"/>
    <w:rsid w:val="005D2A28"/>
    <w:rsid w:val="005D2CC3"/>
    <w:rsid w:val="005D3A56"/>
    <w:rsid w:val="005D502A"/>
    <w:rsid w:val="005D5776"/>
    <w:rsid w:val="005D5CBD"/>
    <w:rsid w:val="005D5DAF"/>
    <w:rsid w:val="005E036A"/>
    <w:rsid w:val="005E105F"/>
    <w:rsid w:val="005E11CA"/>
    <w:rsid w:val="005E1517"/>
    <w:rsid w:val="005E15E9"/>
    <w:rsid w:val="005E195C"/>
    <w:rsid w:val="005E1E93"/>
    <w:rsid w:val="005E2FD0"/>
    <w:rsid w:val="005E35B3"/>
    <w:rsid w:val="005E3906"/>
    <w:rsid w:val="005E3BF5"/>
    <w:rsid w:val="005E4B0A"/>
    <w:rsid w:val="005E4B14"/>
    <w:rsid w:val="005E4DA5"/>
    <w:rsid w:val="005E520E"/>
    <w:rsid w:val="005E5705"/>
    <w:rsid w:val="005E5B9A"/>
    <w:rsid w:val="005E5C5A"/>
    <w:rsid w:val="005E5D06"/>
    <w:rsid w:val="005E60DC"/>
    <w:rsid w:val="005E61EC"/>
    <w:rsid w:val="005E7131"/>
    <w:rsid w:val="005E741D"/>
    <w:rsid w:val="005E7D9E"/>
    <w:rsid w:val="005F0AA4"/>
    <w:rsid w:val="005F14D8"/>
    <w:rsid w:val="005F2621"/>
    <w:rsid w:val="005F2783"/>
    <w:rsid w:val="005F2B83"/>
    <w:rsid w:val="005F34A3"/>
    <w:rsid w:val="005F4191"/>
    <w:rsid w:val="005F4386"/>
    <w:rsid w:val="005F498A"/>
    <w:rsid w:val="005F4F68"/>
    <w:rsid w:val="005F59A7"/>
    <w:rsid w:val="005F5E23"/>
    <w:rsid w:val="005F62E8"/>
    <w:rsid w:val="005F6407"/>
    <w:rsid w:val="005F6776"/>
    <w:rsid w:val="005F7057"/>
    <w:rsid w:val="005F7469"/>
    <w:rsid w:val="006011D4"/>
    <w:rsid w:val="00602B54"/>
    <w:rsid w:val="0060395F"/>
    <w:rsid w:val="006044BF"/>
    <w:rsid w:val="00604839"/>
    <w:rsid w:val="006049E0"/>
    <w:rsid w:val="00604E93"/>
    <w:rsid w:val="00604F05"/>
    <w:rsid w:val="00605387"/>
    <w:rsid w:val="0060597D"/>
    <w:rsid w:val="00605FF4"/>
    <w:rsid w:val="00606174"/>
    <w:rsid w:val="006062D8"/>
    <w:rsid w:val="00606648"/>
    <w:rsid w:val="00606922"/>
    <w:rsid w:val="00606FF5"/>
    <w:rsid w:val="00607F20"/>
    <w:rsid w:val="00611896"/>
    <w:rsid w:val="00613A37"/>
    <w:rsid w:val="0061487A"/>
    <w:rsid w:val="00615538"/>
    <w:rsid w:val="0061588F"/>
    <w:rsid w:val="00615B1A"/>
    <w:rsid w:val="00615E03"/>
    <w:rsid w:val="006165D9"/>
    <w:rsid w:val="006166C6"/>
    <w:rsid w:val="0061718D"/>
    <w:rsid w:val="00617EF5"/>
    <w:rsid w:val="006235E7"/>
    <w:rsid w:val="0062375F"/>
    <w:rsid w:val="00623D52"/>
    <w:rsid w:val="006246DD"/>
    <w:rsid w:val="006248B2"/>
    <w:rsid w:val="006248DC"/>
    <w:rsid w:val="00624945"/>
    <w:rsid w:val="00625020"/>
    <w:rsid w:val="0062525A"/>
    <w:rsid w:val="006254F1"/>
    <w:rsid w:val="00625B65"/>
    <w:rsid w:val="00626021"/>
    <w:rsid w:val="006260CB"/>
    <w:rsid w:val="00626171"/>
    <w:rsid w:val="006264A9"/>
    <w:rsid w:val="00626560"/>
    <w:rsid w:val="00627071"/>
    <w:rsid w:val="00627189"/>
    <w:rsid w:val="00627558"/>
    <w:rsid w:val="00627833"/>
    <w:rsid w:val="00627B84"/>
    <w:rsid w:val="00631C9D"/>
    <w:rsid w:val="00631EA4"/>
    <w:rsid w:val="00632196"/>
    <w:rsid w:val="00632A31"/>
    <w:rsid w:val="00633485"/>
    <w:rsid w:val="00633EC2"/>
    <w:rsid w:val="006345DE"/>
    <w:rsid w:val="00634921"/>
    <w:rsid w:val="00634C4E"/>
    <w:rsid w:val="00634CC2"/>
    <w:rsid w:val="00635287"/>
    <w:rsid w:val="006356E2"/>
    <w:rsid w:val="00635819"/>
    <w:rsid w:val="006359E3"/>
    <w:rsid w:val="006363BE"/>
    <w:rsid w:val="0063649B"/>
    <w:rsid w:val="0063665D"/>
    <w:rsid w:val="006375F1"/>
    <w:rsid w:val="00640836"/>
    <w:rsid w:val="00640892"/>
    <w:rsid w:val="0064096B"/>
    <w:rsid w:val="00640F30"/>
    <w:rsid w:val="00641774"/>
    <w:rsid w:val="00641E62"/>
    <w:rsid w:val="00642325"/>
    <w:rsid w:val="00643431"/>
    <w:rsid w:val="0064367C"/>
    <w:rsid w:val="006447A9"/>
    <w:rsid w:val="00644E2E"/>
    <w:rsid w:val="00645C15"/>
    <w:rsid w:val="00645DD6"/>
    <w:rsid w:val="00646299"/>
    <w:rsid w:val="00646D26"/>
    <w:rsid w:val="00647648"/>
    <w:rsid w:val="00650A06"/>
    <w:rsid w:val="00652480"/>
    <w:rsid w:val="00652652"/>
    <w:rsid w:val="006526A8"/>
    <w:rsid w:val="006532D1"/>
    <w:rsid w:val="0065354F"/>
    <w:rsid w:val="00653BBC"/>
    <w:rsid w:val="006549A0"/>
    <w:rsid w:val="00654E2F"/>
    <w:rsid w:val="00655822"/>
    <w:rsid w:val="00655D59"/>
    <w:rsid w:val="00656C2F"/>
    <w:rsid w:val="00656EF8"/>
    <w:rsid w:val="00657885"/>
    <w:rsid w:val="00660518"/>
    <w:rsid w:val="00660DF2"/>
    <w:rsid w:val="00661DB6"/>
    <w:rsid w:val="00661F84"/>
    <w:rsid w:val="00663568"/>
    <w:rsid w:val="00664196"/>
    <w:rsid w:val="0066489E"/>
    <w:rsid w:val="0066566F"/>
    <w:rsid w:val="00665BDE"/>
    <w:rsid w:val="00665EE9"/>
    <w:rsid w:val="006665A0"/>
    <w:rsid w:val="00666EEB"/>
    <w:rsid w:val="00670F56"/>
    <w:rsid w:val="0067178A"/>
    <w:rsid w:val="006719A7"/>
    <w:rsid w:val="00671CA0"/>
    <w:rsid w:val="00671D45"/>
    <w:rsid w:val="006727ED"/>
    <w:rsid w:val="00672FB1"/>
    <w:rsid w:val="006738AC"/>
    <w:rsid w:val="00673D31"/>
    <w:rsid w:val="006746B9"/>
    <w:rsid w:val="00674F50"/>
    <w:rsid w:val="006761CB"/>
    <w:rsid w:val="00676317"/>
    <w:rsid w:val="00677E79"/>
    <w:rsid w:val="00677F48"/>
    <w:rsid w:val="00680183"/>
    <w:rsid w:val="006802AE"/>
    <w:rsid w:val="00680354"/>
    <w:rsid w:val="00681574"/>
    <w:rsid w:val="006829B8"/>
    <w:rsid w:val="00682A2D"/>
    <w:rsid w:val="00682FF6"/>
    <w:rsid w:val="0068333D"/>
    <w:rsid w:val="006838CA"/>
    <w:rsid w:val="006840DE"/>
    <w:rsid w:val="0068455D"/>
    <w:rsid w:val="006859AD"/>
    <w:rsid w:val="00685F24"/>
    <w:rsid w:val="00686E15"/>
    <w:rsid w:val="00687664"/>
    <w:rsid w:val="0068786A"/>
    <w:rsid w:val="0069006C"/>
    <w:rsid w:val="00690480"/>
    <w:rsid w:val="006910C8"/>
    <w:rsid w:val="006920E6"/>
    <w:rsid w:val="0069280F"/>
    <w:rsid w:val="00692E4E"/>
    <w:rsid w:val="00693401"/>
    <w:rsid w:val="00694279"/>
    <w:rsid w:val="0069445A"/>
    <w:rsid w:val="00694BC3"/>
    <w:rsid w:val="00696F85"/>
    <w:rsid w:val="00697918"/>
    <w:rsid w:val="00697A80"/>
    <w:rsid w:val="006A0495"/>
    <w:rsid w:val="006A0CCF"/>
    <w:rsid w:val="006A218F"/>
    <w:rsid w:val="006A2355"/>
    <w:rsid w:val="006A2F43"/>
    <w:rsid w:val="006A3190"/>
    <w:rsid w:val="006A3CB3"/>
    <w:rsid w:val="006A4BD1"/>
    <w:rsid w:val="006A4D14"/>
    <w:rsid w:val="006A542A"/>
    <w:rsid w:val="006A7BDA"/>
    <w:rsid w:val="006A7ED8"/>
    <w:rsid w:val="006B12CF"/>
    <w:rsid w:val="006B1919"/>
    <w:rsid w:val="006B1D67"/>
    <w:rsid w:val="006B3116"/>
    <w:rsid w:val="006B32A7"/>
    <w:rsid w:val="006B4A34"/>
    <w:rsid w:val="006B4D9F"/>
    <w:rsid w:val="006B5C67"/>
    <w:rsid w:val="006B5CEC"/>
    <w:rsid w:val="006B601F"/>
    <w:rsid w:val="006B615C"/>
    <w:rsid w:val="006B6196"/>
    <w:rsid w:val="006B6217"/>
    <w:rsid w:val="006B769D"/>
    <w:rsid w:val="006C01C2"/>
    <w:rsid w:val="006C0306"/>
    <w:rsid w:val="006C05E3"/>
    <w:rsid w:val="006C13F1"/>
    <w:rsid w:val="006C1D95"/>
    <w:rsid w:val="006C1EF1"/>
    <w:rsid w:val="006C254D"/>
    <w:rsid w:val="006C2842"/>
    <w:rsid w:val="006C2BDF"/>
    <w:rsid w:val="006C327A"/>
    <w:rsid w:val="006C49BB"/>
    <w:rsid w:val="006C4C02"/>
    <w:rsid w:val="006C6DB7"/>
    <w:rsid w:val="006C6E1D"/>
    <w:rsid w:val="006C7748"/>
    <w:rsid w:val="006C7F23"/>
    <w:rsid w:val="006D0891"/>
    <w:rsid w:val="006D0C51"/>
    <w:rsid w:val="006D0D8B"/>
    <w:rsid w:val="006D1157"/>
    <w:rsid w:val="006D1896"/>
    <w:rsid w:val="006D2853"/>
    <w:rsid w:val="006D3186"/>
    <w:rsid w:val="006D334E"/>
    <w:rsid w:val="006D3881"/>
    <w:rsid w:val="006D394F"/>
    <w:rsid w:val="006D4B0B"/>
    <w:rsid w:val="006D4FEF"/>
    <w:rsid w:val="006D59E6"/>
    <w:rsid w:val="006D5C39"/>
    <w:rsid w:val="006D5F42"/>
    <w:rsid w:val="006D69ED"/>
    <w:rsid w:val="006D6A8A"/>
    <w:rsid w:val="006D74FB"/>
    <w:rsid w:val="006D7DFD"/>
    <w:rsid w:val="006D7E5C"/>
    <w:rsid w:val="006E02FA"/>
    <w:rsid w:val="006E0971"/>
    <w:rsid w:val="006E0DC3"/>
    <w:rsid w:val="006E14E7"/>
    <w:rsid w:val="006E18FF"/>
    <w:rsid w:val="006E5DFF"/>
    <w:rsid w:val="006E6452"/>
    <w:rsid w:val="006E6847"/>
    <w:rsid w:val="006E7FAD"/>
    <w:rsid w:val="006F0760"/>
    <w:rsid w:val="006F0DA1"/>
    <w:rsid w:val="006F0DA3"/>
    <w:rsid w:val="006F12F0"/>
    <w:rsid w:val="006F160C"/>
    <w:rsid w:val="006F25A3"/>
    <w:rsid w:val="006F2641"/>
    <w:rsid w:val="006F273B"/>
    <w:rsid w:val="006F3313"/>
    <w:rsid w:val="006F3A03"/>
    <w:rsid w:val="006F3E3D"/>
    <w:rsid w:val="006F40EC"/>
    <w:rsid w:val="006F44F7"/>
    <w:rsid w:val="006F4681"/>
    <w:rsid w:val="006F4D06"/>
    <w:rsid w:val="006F57D8"/>
    <w:rsid w:val="006F60E0"/>
    <w:rsid w:val="006F6764"/>
    <w:rsid w:val="006F6959"/>
    <w:rsid w:val="006F6F0E"/>
    <w:rsid w:val="006F782C"/>
    <w:rsid w:val="006F7945"/>
    <w:rsid w:val="006F7BA9"/>
    <w:rsid w:val="006F7C38"/>
    <w:rsid w:val="00701024"/>
    <w:rsid w:val="00701EC5"/>
    <w:rsid w:val="00701F22"/>
    <w:rsid w:val="00702452"/>
    <w:rsid w:val="00702B27"/>
    <w:rsid w:val="007031A8"/>
    <w:rsid w:val="007031D5"/>
    <w:rsid w:val="0070363B"/>
    <w:rsid w:val="0070368D"/>
    <w:rsid w:val="00703B53"/>
    <w:rsid w:val="00704404"/>
    <w:rsid w:val="0070489D"/>
    <w:rsid w:val="00705B78"/>
    <w:rsid w:val="00705C40"/>
    <w:rsid w:val="00706576"/>
    <w:rsid w:val="007074BF"/>
    <w:rsid w:val="00707910"/>
    <w:rsid w:val="00707A2D"/>
    <w:rsid w:val="00707B82"/>
    <w:rsid w:val="007102C5"/>
    <w:rsid w:val="007109C7"/>
    <w:rsid w:val="00710BC5"/>
    <w:rsid w:val="0071152C"/>
    <w:rsid w:val="007121ED"/>
    <w:rsid w:val="007131A7"/>
    <w:rsid w:val="0071470F"/>
    <w:rsid w:val="00714CE7"/>
    <w:rsid w:val="00714D26"/>
    <w:rsid w:val="0071657F"/>
    <w:rsid w:val="00716809"/>
    <w:rsid w:val="00716B22"/>
    <w:rsid w:val="00717770"/>
    <w:rsid w:val="00720644"/>
    <w:rsid w:val="00720934"/>
    <w:rsid w:val="00721179"/>
    <w:rsid w:val="007216C6"/>
    <w:rsid w:val="00721E27"/>
    <w:rsid w:val="00722202"/>
    <w:rsid w:val="00722239"/>
    <w:rsid w:val="00722BEB"/>
    <w:rsid w:val="007235E1"/>
    <w:rsid w:val="0072379E"/>
    <w:rsid w:val="00724E54"/>
    <w:rsid w:val="00724F32"/>
    <w:rsid w:val="00725618"/>
    <w:rsid w:val="00726667"/>
    <w:rsid w:val="00726DC2"/>
    <w:rsid w:val="007271D4"/>
    <w:rsid w:val="007273BC"/>
    <w:rsid w:val="007273F7"/>
    <w:rsid w:val="007279C1"/>
    <w:rsid w:val="00730203"/>
    <w:rsid w:val="00730DD5"/>
    <w:rsid w:val="00731093"/>
    <w:rsid w:val="00731853"/>
    <w:rsid w:val="00732C30"/>
    <w:rsid w:val="00733453"/>
    <w:rsid w:val="007339ED"/>
    <w:rsid w:val="00733AFF"/>
    <w:rsid w:val="0073406B"/>
    <w:rsid w:val="00734354"/>
    <w:rsid w:val="00735892"/>
    <w:rsid w:val="0073608E"/>
    <w:rsid w:val="007377DB"/>
    <w:rsid w:val="00740BE0"/>
    <w:rsid w:val="00741A7A"/>
    <w:rsid w:val="00743CB9"/>
    <w:rsid w:val="00743D5F"/>
    <w:rsid w:val="00744436"/>
    <w:rsid w:val="00745439"/>
    <w:rsid w:val="00745C31"/>
    <w:rsid w:val="00745F19"/>
    <w:rsid w:val="00745F32"/>
    <w:rsid w:val="0074684A"/>
    <w:rsid w:val="00746907"/>
    <w:rsid w:val="00750021"/>
    <w:rsid w:val="00750789"/>
    <w:rsid w:val="00750A08"/>
    <w:rsid w:val="00751B37"/>
    <w:rsid w:val="007529F7"/>
    <w:rsid w:val="007536D0"/>
    <w:rsid w:val="00753D86"/>
    <w:rsid w:val="0075473A"/>
    <w:rsid w:val="00754753"/>
    <w:rsid w:val="0075548E"/>
    <w:rsid w:val="007557B1"/>
    <w:rsid w:val="007569A4"/>
    <w:rsid w:val="007577E4"/>
    <w:rsid w:val="00760CD6"/>
    <w:rsid w:val="007613EF"/>
    <w:rsid w:val="007617E8"/>
    <w:rsid w:val="00761BD2"/>
    <w:rsid w:val="0076222D"/>
    <w:rsid w:val="0076267F"/>
    <w:rsid w:val="00763369"/>
    <w:rsid w:val="007641B2"/>
    <w:rsid w:val="00764496"/>
    <w:rsid w:val="00764702"/>
    <w:rsid w:val="00764D59"/>
    <w:rsid w:val="00764F22"/>
    <w:rsid w:val="0076522B"/>
    <w:rsid w:val="00765759"/>
    <w:rsid w:val="00765F30"/>
    <w:rsid w:val="00766A01"/>
    <w:rsid w:val="00766C5E"/>
    <w:rsid w:val="0077026E"/>
    <w:rsid w:val="00770AF1"/>
    <w:rsid w:val="00770C9F"/>
    <w:rsid w:val="007715C1"/>
    <w:rsid w:val="00771972"/>
    <w:rsid w:val="00771ABF"/>
    <w:rsid w:val="00772F86"/>
    <w:rsid w:val="00773965"/>
    <w:rsid w:val="00773B39"/>
    <w:rsid w:val="00774C15"/>
    <w:rsid w:val="00774CB3"/>
    <w:rsid w:val="00774EF3"/>
    <w:rsid w:val="00775229"/>
    <w:rsid w:val="007767C5"/>
    <w:rsid w:val="00777390"/>
    <w:rsid w:val="00777463"/>
    <w:rsid w:val="00777CAB"/>
    <w:rsid w:val="007800EF"/>
    <w:rsid w:val="007802A0"/>
    <w:rsid w:val="00781D8F"/>
    <w:rsid w:val="007824A2"/>
    <w:rsid w:val="00782BC6"/>
    <w:rsid w:val="007835EF"/>
    <w:rsid w:val="00783744"/>
    <w:rsid w:val="00783A04"/>
    <w:rsid w:val="007843BD"/>
    <w:rsid w:val="00785D61"/>
    <w:rsid w:val="00785EC0"/>
    <w:rsid w:val="0078667C"/>
    <w:rsid w:val="00787628"/>
    <w:rsid w:val="0078771F"/>
    <w:rsid w:val="00790D99"/>
    <w:rsid w:val="00791525"/>
    <w:rsid w:val="00791B39"/>
    <w:rsid w:val="00791EB0"/>
    <w:rsid w:val="00791EB3"/>
    <w:rsid w:val="007923A1"/>
    <w:rsid w:val="00792815"/>
    <w:rsid w:val="00793675"/>
    <w:rsid w:val="00793C5B"/>
    <w:rsid w:val="00793DD9"/>
    <w:rsid w:val="00793FF7"/>
    <w:rsid w:val="00794EB7"/>
    <w:rsid w:val="007957C4"/>
    <w:rsid w:val="00795BB1"/>
    <w:rsid w:val="007973BE"/>
    <w:rsid w:val="007A00EA"/>
    <w:rsid w:val="007A06AD"/>
    <w:rsid w:val="007A0A38"/>
    <w:rsid w:val="007A0B7E"/>
    <w:rsid w:val="007A0BC6"/>
    <w:rsid w:val="007A0EE1"/>
    <w:rsid w:val="007A1139"/>
    <w:rsid w:val="007A1359"/>
    <w:rsid w:val="007A144F"/>
    <w:rsid w:val="007A18EF"/>
    <w:rsid w:val="007A264B"/>
    <w:rsid w:val="007A2842"/>
    <w:rsid w:val="007A365A"/>
    <w:rsid w:val="007A408D"/>
    <w:rsid w:val="007A4C23"/>
    <w:rsid w:val="007A5C6D"/>
    <w:rsid w:val="007A6AC0"/>
    <w:rsid w:val="007A6F56"/>
    <w:rsid w:val="007B066C"/>
    <w:rsid w:val="007B0899"/>
    <w:rsid w:val="007B0C45"/>
    <w:rsid w:val="007B11DE"/>
    <w:rsid w:val="007B1418"/>
    <w:rsid w:val="007B188C"/>
    <w:rsid w:val="007B1AD1"/>
    <w:rsid w:val="007B1E2D"/>
    <w:rsid w:val="007B27D1"/>
    <w:rsid w:val="007B2964"/>
    <w:rsid w:val="007B2D4D"/>
    <w:rsid w:val="007B4CCC"/>
    <w:rsid w:val="007B56F8"/>
    <w:rsid w:val="007B59A6"/>
    <w:rsid w:val="007B5DCD"/>
    <w:rsid w:val="007B64C6"/>
    <w:rsid w:val="007B6762"/>
    <w:rsid w:val="007B6BF9"/>
    <w:rsid w:val="007B7668"/>
    <w:rsid w:val="007C0342"/>
    <w:rsid w:val="007C0C26"/>
    <w:rsid w:val="007C3075"/>
    <w:rsid w:val="007C3AF2"/>
    <w:rsid w:val="007C424E"/>
    <w:rsid w:val="007C5D47"/>
    <w:rsid w:val="007C5EF1"/>
    <w:rsid w:val="007C6208"/>
    <w:rsid w:val="007C6463"/>
    <w:rsid w:val="007C7AB5"/>
    <w:rsid w:val="007C7CE9"/>
    <w:rsid w:val="007C7F07"/>
    <w:rsid w:val="007D0A20"/>
    <w:rsid w:val="007D1168"/>
    <w:rsid w:val="007D1182"/>
    <w:rsid w:val="007D1B51"/>
    <w:rsid w:val="007D29C8"/>
    <w:rsid w:val="007D36C5"/>
    <w:rsid w:val="007D3AC8"/>
    <w:rsid w:val="007D418D"/>
    <w:rsid w:val="007D435A"/>
    <w:rsid w:val="007D4461"/>
    <w:rsid w:val="007D47CB"/>
    <w:rsid w:val="007D5150"/>
    <w:rsid w:val="007D5FD1"/>
    <w:rsid w:val="007D63A3"/>
    <w:rsid w:val="007D69BD"/>
    <w:rsid w:val="007D6B27"/>
    <w:rsid w:val="007D773F"/>
    <w:rsid w:val="007D7CDC"/>
    <w:rsid w:val="007D7D60"/>
    <w:rsid w:val="007E1A4B"/>
    <w:rsid w:val="007E1ABD"/>
    <w:rsid w:val="007E1EF6"/>
    <w:rsid w:val="007E2231"/>
    <w:rsid w:val="007E270B"/>
    <w:rsid w:val="007E3638"/>
    <w:rsid w:val="007E3B11"/>
    <w:rsid w:val="007E3BC4"/>
    <w:rsid w:val="007E3EDF"/>
    <w:rsid w:val="007E479A"/>
    <w:rsid w:val="007E50AD"/>
    <w:rsid w:val="007E5743"/>
    <w:rsid w:val="007E5BD9"/>
    <w:rsid w:val="007E5ED7"/>
    <w:rsid w:val="007E5FEC"/>
    <w:rsid w:val="007E6173"/>
    <w:rsid w:val="007E75D0"/>
    <w:rsid w:val="007E7A58"/>
    <w:rsid w:val="007F0483"/>
    <w:rsid w:val="007F06FE"/>
    <w:rsid w:val="007F074D"/>
    <w:rsid w:val="007F0797"/>
    <w:rsid w:val="007F0990"/>
    <w:rsid w:val="007F0A41"/>
    <w:rsid w:val="007F1283"/>
    <w:rsid w:val="007F173A"/>
    <w:rsid w:val="007F1A33"/>
    <w:rsid w:val="007F2258"/>
    <w:rsid w:val="007F22F2"/>
    <w:rsid w:val="007F37A4"/>
    <w:rsid w:val="007F3F50"/>
    <w:rsid w:val="007F4AA8"/>
    <w:rsid w:val="007F4AE4"/>
    <w:rsid w:val="007F4AF5"/>
    <w:rsid w:val="007F4B1E"/>
    <w:rsid w:val="007F4DB3"/>
    <w:rsid w:val="007F552D"/>
    <w:rsid w:val="007F58D6"/>
    <w:rsid w:val="007F5B88"/>
    <w:rsid w:val="007F5BA6"/>
    <w:rsid w:val="007F5EFF"/>
    <w:rsid w:val="007F607D"/>
    <w:rsid w:val="007F60D1"/>
    <w:rsid w:val="007F6496"/>
    <w:rsid w:val="007F68D6"/>
    <w:rsid w:val="007F7387"/>
    <w:rsid w:val="007F7D7B"/>
    <w:rsid w:val="008006F4"/>
    <w:rsid w:val="00800BB0"/>
    <w:rsid w:val="00801420"/>
    <w:rsid w:val="008016BA"/>
    <w:rsid w:val="008018ED"/>
    <w:rsid w:val="00801E2A"/>
    <w:rsid w:val="008024DA"/>
    <w:rsid w:val="00802784"/>
    <w:rsid w:val="00802FDC"/>
    <w:rsid w:val="00803208"/>
    <w:rsid w:val="00804849"/>
    <w:rsid w:val="00804A97"/>
    <w:rsid w:val="00804BCA"/>
    <w:rsid w:val="008059BC"/>
    <w:rsid w:val="00805EFF"/>
    <w:rsid w:val="008068B0"/>
    <w:rsid w:val="008068F4"/>
    <w:rsid w:val="00806FE5"/>
    <w:rsid w:val="00807270"/>
    <w:rsid w:val="0080776B"/>
    <w:rsid w:val="008077FA"/>
    <w:rsid w:val="00807A70"/>
    <w:rsid w:val="00807E89"/>
    <w:rsid w:val="0081189C"/>
    <w:rsid w:val="008118BB"/>
    <w:rsid w:val="00811DFB"/>
    <w:rsid w:val="00811F79"/>
    <w:rsid w:val="00812394"/>
    <w:rsid w:val="00813063"/>
    <w:rsid w:val="00813604"/>
    <w:rsid w:val="00814224"/>
    <w:rsid w:val="00814435"/>
    <w:rsid w:val="00814A5C"/>
    <w:rsid w:val="00814E60"/>
    <w:rsid w:val="00814EC5"/>
    <w:rsid w:val="00816F98"/>
    <w:rsid w:val="00817601"/>
    <w:rsid w:val="008177CE"/>
    <w:rsid w:val="00820200"/>
    <w:rsid w:val="0082083A"/>
    <w:rsid w:val="0082111E"/>
    <w:rsid w:val="0082123A"/>
    <w:rsid w:val="0082169E"/>
    <w:rsid w:val="00821815"/>
    <w:rsid w:val="00821FD5"/>
    <w:rsid w:val="008224D0"/>
    <w:rsid w:val="00822870"/>
    <w:rsid w:val="008234BE"/>
    <w:rsid w:val="008236D4"/>
    <w:rsid w:val="00823D42"/>
    <w:rsid w:val="00824142"/>
    <w:rsid w:val="00824D91"/>
    <w:rsid w:val="008277C6"/>
    <w:rsid w:val="00830B2C"/>
    <w:rsid w:val="0083126D"/>
    <w:rsid w:val="0083147C"/>
    <w:rsid w:val="008319AD"/>
    <w:rsid w:val="008329F1"/>
    <w:rsid w:val="00833237"/>
    <w:rsid w:val="00833BB1"/>
    <w:rsid w:val="00833D2E"/>
    <w:rsid w:val="00834829"/>
    <w:rsid w:val="00835A72"/>
    <w:rsid w:val="0083645A"/>
    <w:rsid w:val="00836C30"/>
    <w:rsid w:val="00836CED"/>
    <w:rsid w:val="00837504"/>
    <w:rsid w:val="00837E35"/>
    <w:rsid w:val="00840451"/>
    <w:rsid w:val="00841824"/>
    <w:rsid w:val="00841BA4"/>
    <w:rsid w:val="00842FE2"/>
    <w:rsid w:val="00843589"/>
    <w:rsid w:val="00843FAF"/>
    <w:rsid w:val="00845FA9"/>
    <w:rsid w:val="0084666B"/>
    <w:rsid w:val="0084761E"/>
    <w:rsid w:val="008478BE"/>
    <w:rsid w:val="00847AD6"/>
    <w:rsid w:val="008506D6"/>
    <w:rsid w:val="0085075B"/>
    <w:rsid w:val="00850AD9"/>
    <w:rsid w:val="00850DC4"/>
    <w:rsid w:val="0085142B"/>
    <w:rsid w:val="00851AB2"/>
    <w:rsid w:val="00853E79"/>
    <w:rsid w:val="00853F0E"/>
    <w:rsid w:val="00855511"/>
    <w:rsid w:val="0085676E"/>
    <w:rsid w:val="00857847"/>
    <w:rsid w:val="00860046"/>
    <w:rsid w:val="00860282"/>
    <w:rsid w:val="00860959"/>
    <w:rsid w:val="00860ACB"/>
    <w:rsid w:val="00861484"/>
    <w:rsid w:val="00862277"/>
    <w:rsid w:val="008637C0"/>
    <w:rsid w:val="008637C9"/>
    <w:rsid w:val="00863A7F"/>
    <w:rsid w:val="00867947"/>
    <w:rsid w:val="00867EA4"/>
    <w:rsid w:val="00870310"/>
    <w:rsid w:val="00870497"/>
    <w:rsid w:val="00870AEC"/>
    <w:rsid w:val="00871643"/>
    <w:rsid w:val="00871660"/>
    <w:rsid w:val="008730A6"/>
    <w:rsid w:val="00873615"/>
    <w:rsid w:val="0087376E"/>
    <w:rsid w:val="0087428A"/>
    <w:rsid w:val="0087453D"/>
    <w:rsid w:val="00874835"/>
    <w:rsid w:val="00874F64"/>
    <w:rsid w:val="008758FE"/>
    <w:rsid w:val="00875FD5"/>
    <w:rsid w:val="00876049"/>
    <w:rsid w:val="0087642E"/>
    <w:rsid w:val="008807E3"/>
    <w:rsid w:val="00880CCA"/>
    <w:rsid w:val="008818F0"/>
    <w:rsid w:val="00881C62"/>
    <w:rsid w:val="00883372"/>
    <w:rsid w:val="00883555"/>
    <w:rsid w:val="0088359C"/>
    <w:rsid w:val="00884B32"/>
    <w:rsid w:val="00884DF2"/>
    <w:rsid w:val="00885083"/>
    <w:rsid w:val="008852DF"/>
    <w:rsid w:val="008866CF"/>
    <w:rsid w:val="0088690E"/>
    <w:rsid w:val="0088706C"/>
    <w:rsid w:val="00887BCB"/>
    <w:rsid w:val="00890341"/>
    <w:rsid w:val="008903E2"/>
    <w:rsid w:val="008904E2"/>
    <w:rsid w:val="00890600"/>
    <w:rsid w:val="00891998"/>
    <w:rsid w:val="00892319"/>
    <w:rsid w:val="00893078"/>
    <w:rsid w:val="00894BCD"/>
    <w:rsid w:val="00895F94"/>
    <w:rsid w:val="00896B8F"/>
    <w:rsid w:val="00896C70"/>
    <w:rsid w:val="00897EE4"/>
    <w:rsid w:val="00897F89"/>
    <w:rsid w:val="008A16AC"/>
    <w:rsid w:val="008A2A05"/>
    <w:rsid w:val="008A36A2"/>
    <w:rsid w:val="008A4ED7"/>
    <w:rsid w:val="008A77A7"/>
    <w:rsid w:val="008A7ABD"/>
    <w:rsid w:val="008A7E90"/>
    <w:rsid w:val="008B0535"/>
    <w:rsid w:val="008B069A"/>
    <w:rsid w:val="008B0867"/>
    <w:rsid w:val="008B1143"/>
    <w:rsid w:val="008B1253"/>
    <w:rsid w:val="008B1366"/>
    <w:rsid w:val="008B1EBF"/>
    <w:rsid w:val="008B2619"/>
    <w:rsid w:val="008B2822"/>
    <w:rsid w:val="008B30F2"/>
    <w:rsid w:val="008B434B"/>
    <w:rsid w:val="008B4C7A"/>
    <w:rsid w:val="008B4FD3"/>
    <w:rsid w:val="008B5038"/>
    <w:rsid w:val="008B52F6"/>
    <w:rsid w:val="008B5A19"/>
    <w:rsid w:val="008B61C9"/>
    <w:rsid w:val="008B629B"/>
    <w:rsid w:val="008B7524"/>
    <w:rsid w:val="008C0ACD"/>
    <w:rsid w:val="008C0E21"/>
    <w:rsid w:val="008C115C"/>
    <w:rsid w:val="008C12B9"/>
    <w:rsid w:val="008C1478"/>
    <w:rsid w:val="008C3677"/>
    <w:rsid w:val="008C37F7"/>
    <w:rsid w:val="008C49C2"/>
    <w:rsid w:val="008C4D32"/>
    <w:rsid w:val="008C5399"/>
    <w:rsid w:val="008C53FC"/>
    <w:rsid w:val="008C5A64"/>
    <w:rsid w:val="008C5CDD"/>
    <w:rsid w:val="008C60AE"/>
    <w:rsid w:val="008C67A6"/>
    <w:rsid w:val="008C691A"/>
    <w:rsid w:val="008C72E6"/>
    <w:rsid w:val="008D07A0"/>
    <w:rsid w:val="008D0888"/>
    <w:rsid w:val="008D08A1"/>
    <w:rsid w:val="008D1138"/>
    <w:rsid w:val="008D1838"/>
    <w:rsid w:val="008D1D94"/>
    <w:rsid w:val="008D1E50"/>
    <w:rsid w:val="008D1F48"/>
    <w:rsid w:val="008D3BDE"/>
    <w:rsid w:val="008D3C9B"/>
    <w:rsid w:val="008D4867"/>
    <w:rsid w:val="008D5AA2"/>
    <w:rsid w:val="008D61EF"/>
    <w:rsid w:val="008D63C2"/>
    <w:rsid w:val="008D65B7"/>
    <w:rsid w:val="008D68BA"/>
    <w:rsid w:val="008D6CF1"/>
    <w:rsid w:val="008D783C"/>
    <w:rsid w:val="008E006D"/>
    <w:rsid w:val="008E0120"/>
    <w:rsid w:val="008E0312"/>
    <w:rsid w:val="008E133E"/>
    <w:rsid w:val="008E1739"/>
    <w:rsid w:val="008E27D3"/>
    <w:rsid w:val="008E35BB"/>
    <w:rsid w:val="008E38C7"/>
    <w:rsid w:val="008E3CAC"/>
    <w:rsid w:val="008E4A2D"/>
    <w:rsid w:val="008E4CFA"/>
    <w:rsid w:val="008E4F19"/>
    <w:rsid w:val="008E7357"/>
    <w:rsid w:val="008E7690"/>
    <w:rsid w:val="008E782A"/>
    <w:rsid w:val="008E7B31"/>
    <w:rsid w:val="008F00AF"/>
    <w:rsid w:val="008F22E2"/>
    <w:rsid w:val="008F39D5"/>
    <w:rsid w:val="008F3D68"/>
    <w:rsid w:val="008F3E3D"/>
    <w:rsid w:val="008F428E"/>
    <w:rsid w:val="008F4C40"/>
    <w:rsid w:val="008F6152"/>
    <w:rsid w:val="008F68B1"/>
    <w:rsid w:val="008F6957"/>
    <w:rsid w:val="008F78C8"/>
    <w:rsid w:val="008F78D3"/>
    <w:rsid w:val="008F7AA6"/>
    <w:rsid w:val="009000C6"/>
    <w:rsid w:val="00900C7D"/>
    <w:rsid w:val="00900F00"/>
    <w:rsid w:val="00901B9D"/>
    <w:rsid w:val="009033AD"/>
    <w:rsid w:val="00903883"/>
    <w:rsid w:val="00903BE5"/>
    <w:rsid w:val="009059F5"/>
    <w:rsid w:val="009075AF"/>
    <w:rsid w:val="009102EF"/>
    <w:rsid w:val="009111D0"/>
    <w:rsid w:val="00911917"/>
    <w:rsid w:val="00911DBC"/>
    <w:rsid w:val="00912347"/>
    <w:rsid w:val="00912A6D"/>
    <w:rsid w:val="00913193"/>
    <w:rsid w:val="0091320C"/>
    <w:rsid w:val="00913600"/>
    <w:rsid w:val="0091377B"/>
    <w:rsid w:val="00913BB1"/>
    <w:rsid w:val="00913E9C"/>
    <w:rsid w:val="00915515"/>
    <w:rsid w:val="00915A51"/>
    <w:rsid w:val="00916AB0"/>
    <w:rsid w:val="00916CB2"/>
    <w:rsid w:val="009172D1"/>
    <w:rsid w:val="00917DF9"/>
    <w:rsid w:val="00920EE0"/>
    <w:rsid w:val="00921147"/>
    <w:rsid w:val="009211DB"/>
    <w:rsid w:val="0092142E"/>
    <w:rsid w:val="0092217D"/>
    <w:rsid w:val="009245DF"/>
    <w:rsid w:val="00924685"/>
    <w:rsid w:val="00924745"/>
    <w:rsid w:val="00925D94"/>
    <w:rsid w:val="00925DEF"/>
    <w:rsid w:val="009268DA"/>
    <w:rsid w:val="00926A94"/>
    <w:rsid w:val="00927726"/>
    <w:rsid w:val="009301E0"/>
    <w:rsid w:val="00931BEB"/>
    <w:rsid w:val="009336A6"/>
    <w:rsid w:val="009345B3"/>
    <w:rsid w:val="00934AE5"/>
    <w:rsid w:val="009351C6"/>
    <w:rsid w:val="009351D8"/>
    <w:rsid w:val="0093539D"/>
    <w:rsid w:val="0093544E"/>
    <w:rsid w:val="00935D09"/>
    <w:rsid w:val="00936988"/>
    <w:rsid w:val="00936F37"/>
    <w:rsid w:val="00937DA5"/>
    <w:rsid w:val="00940271"/>
    <w:rsid w:val="00940E94"/>
    <w:rsid w:val="00941456"/>
    <w:rsid w:val="00942D2C"/>
    <w:rsid w:val="0094308F"/>
    <w:rsid w:val="009433E3"/>
    <w:rsid w:val="00943E67"/>
    <w:rsid w:val="00944213"/>
    <w:rsid w:val="009443CB"/>
    <w:rsid w:val="009453DA"/>
    <w:rsid w:val="00946882"/>
    <w:rsid w:val="00946D3D"/>
    <w:rsid w:val="00947669"/>
    <w:rsid w:val="00947E38"/>
    <w:rsid w:val="00950373"/>
    <w:rsid w:val="00950D1E"/>
    <w:rsid w:val="00950EDA"/>
    <w:rsid w:val="009511BE"/>
    <w:rsid w:val="00951714"/>
    <w:rsid w:val="0095281E"/>
    <w:rsid w:val="00952A1B"/>
    <w:rsid w:val="0095310E"/>
    <w:rsid w:val="00953620"/>
    <w:rsid w:val="0095460B"/>
    <w:rsid w:val="00954782"/>
    <w:rsid w:val="009555DA"/>
    <w:rsid w:val="00955E17"/>
    <w:rsid w:val="00956240"/>
    <w:rsid w:val="00956AFB"/>
    <w:rsid w:val="009572E2"/>
    <w:rsid w:val="009600B3"/>
    <w:rsid w:val="0096022E"/>
    <w:rsid w:val="009608F3"/>
    <w:rsid w:val="00960C07"/>
    <w:rsid w:val="00961385"/>
    <w:rsid w:val="009625B4"/>
    <w:rsid w:val="00962A8E"/>
    <w:rsid w:val="00962C80"/>
    <w:rsid w:val="00962CAC"/>
    <w:rsid w:val="00962FEC"/>
    <w:rsid w:val="00963008"/>
    <w:rsid w:val="00964605"/>
    <w:rsid w:val="00964861"/>
    <w:rsid w:val="00964C50"/>
    <w:rsid w:val="00965397"/>
    <w:rsid w:val="009657E7"/>
    <w:rsid w:val="0096647A"/>
    <w:rsid w:val="00966490"/>
    <w:rsid w:val="00966794"/>
    <w:rsid w:val="00966C50"/>
    <w:rsid w:val="00966FDB"/>
    <w:rsid w:val="00967D2F"/>
    <w:rsid w:val="00967E03"/>
    <w:rsid w:val="0097028A"/>
    <w:rsid w:val="0097034A"/>
    <w:rsid w:val="00971501"/>
    <w:rsid w:val="00973087"/>
    <w:rsid w:val="00973270"/>
    <w:rsid w:val="00973BE7"/>
    <w:rsid w:val="00974FA0"/>
    <w:rsid w:val="00975036"/>
    <w:rsid w:val="009759D7"/>
    <w:rsid w:val="00975A24"/>
    <w:rsid w:val="00975EF3"/>
    <w:rsid w:val="009767B7"/>
    <w:rsid w:val="00976EA2"/>
    <w:rsid w:val="00976F1D"/>
    <w:rsid w:val="00977189"/>
    <w:rsid w:val="0097752E"/>
    <w:rsid w:val="00981282"/>
    <w:rsid w:val="00981D9E"/>
    <w:rsid w:val="00981ECD"/>
    <w:rsid w:val="00982536"/>
    <w:rsid w:val="0098359B"/>
    <w:rsid w:val="0098376C"/>
    <w:rsid w:val="00985671"/>
    <w:rsid w:val="009857AD"/>
    <w:rsid w:val="009860C1"/>
    <w:rsid w:val="009865E3"/>
    <w:rsid w:val="00986C97"/>
    <w:rsid w:val="00986EDE"/>
    <w:rsid w:val="00986F3E"/>
    <w:rsid w:val="009872EC"/>
    <w:rsid w:val="009900C9"/>
    <w:rsid w:val="00990439"/>
    <w:rsid w:val="00991311"/>
    <w:rsid w:val="0099176B"/>
    <w:rsid w:val="00991802"/>
    <w:rsid w:val="00992E0F"/>
    <w:rsid w:val="00992E50"/>
    <w:rsid w:val="00992F8C"/>
    <w:rsid w:val="0099316A"/>
    <w:rsid w:val="009940FD"/>
    <w:rsid w:val="009942AC"/>
    <w:rsid w:val="00994434"/>
    <w:rsid w:val="00994D03"/>
    <w:rsid w:val="009953DF"/>
    <w:rsid w:val="009957B4"/>
    <w:rsid w:val="00995C24"/>
    <w:rsid w:val="009960AD"/>
    <w:rsid w:val="00997313"/>
    <w:rsid w:val="0099736E"/>
    <w:rsid w:val="00997678"/>
    <w:rsid w:val="009976CE"/>
    <w:rsid w:val="009978AD"/>
    <w:rsid w:val="0099792B"/>
    <w:rsid w:val="00997A55"/>
    <w:rsid w:val="00997BDC"/>
    <w:rsid w:val="00997DA0"/>
    <w:rsid w:val="009A1332"/>
    <w:rsid w:val="009A186E"/>
    <w:rsid w:val="009A2039"/>
    <w:rsid w:val="009A3018"/>
    <w:rsid w:val="009A379C"/>
    <w:rsid w:val="009A3C5F"/>
    <w:rsid w:val="009A3E3A"/>
    <w:rsid w:val="009A42B4"/>
    <w:rsid w:val="009A5077"/>
    <w:rsid w:val="009A57DA"/>
    <w:rsid w:val="009A6254"/>
    <w:rsid w:val="009A6BAF"/>
    <w:rsid w:val="009B037D"/>
    <w:rsid w:val="009B03B3"/>
    <w:rsid w:val="009B0846"/>
    <w:rsid w:val="009B0A89"/>
    <w:rsid w:val="009B0DC4"/>
    <w:rsid w:val="009B10C2"/>
    <w:rsid w:val="009B140C"/>
    <w:rsid w:val="009B1D82"/>
    <w:rsid w:val="009B2C21"/>
    <w:rsid w:val="009B31FA"/>
    <w:rsid w:val="009B3A17"/>
    <w:rsid w:val="009B473B"/>
    <w:rsid w:val="009B47FD"/>
    <w:rsid w:val="009B51C0"/>
    <w:rsid w:val="009B549A"/>
    <w:rsid w:val="009B5953"/>
    <w:rsid w:val="009B6A4D"/>
    <w:rsid w:val="009C0426"/>
    <w:rsid w:val="009C04D3"/>
    <w:rsid w:val="009C0AB3"/>
    <w:rsid w:val="009C1134"/>
    <w:rsid w:val="009C1BD9"/>
    <w:rsid w:val="009C2C3F"/>
    <w:rsid w:val="009C2FDF"/>
    <w:rsid w:val="009C3AAE"/>
    <w:rsid w:val="009C4430"/>
    <w:rsid w:val="009C695C"/>
    <w:rsid w:val="009C6A74"/>
    <w:rsid w:val="009C71B7"/>
    <w:rsid w:val="009C7DC5"/>
    <w:rsid w:val="009C7E36"/>
    <w:rsid w:val="009D0122"/>
    <w:rsid w:val="009D120F"/>
    <w:rsid w:val="009D1BDC"/>
    <w:rsid w:val="009D204F"/>
    <w:rsid w:val="009D232E"/>
    <w:rsid w:val="009D2F0E"/>
    <w:rsid w:val="009D2F7B"/>
    <w:rsid w:val="009D3579"/>
    <w:rsid w:val="009D3B6B"/>
    <w:rsid w:val="009D3B88"/>
    <w:rsid w:val="009D40C1"/>
    <w:rsid w:val="009D48D6"/>
    <w:rsid w:val="009D5C6E"/>
    <w:rsid w:val="009D6848"/>
    <w:rsid w:val="009D7D6F"/>
    <w:rsid w:val="009E00CE"/>
    <w:rsid w:val="009E0363"/>
    <w:rsid w:val="009E0485"/>
    <w:rsid w:val="009E2FDC"/>
    <w:rsid w:val="009E3100"/>
    <w:rsid w:val="009E337C"/>
    <w:rsid w:val="009E3617"/>
    <w:rsid w:val="009E3942"/>
    <w:rsid w:val="009E3E42"/>
    <w:rsid w:val="009E423A"/>
    <w:rsid w:val="009E5399"/>
    <w:rsid w:val="009E66ED"/>
    <w:rsid w:val="009E6B2A"/>
    <w:rsid w:val="009E6B6A"/>
    <w:rsid w:val="009E7066"/>
    <w:rsid w:val="009E708E"/>
    <w:rsid w:val="009E7473"/>
    <w:rsid w:val="009E7C1A"/>
    <w:rsid w:val="009F03C5"/>
    <w:rsid w:val="009F092F"/>
    <w:rsid w:val="009F1033"/>
    <w:rsid w:val="009F1BE0"/>
    <w:rsid w:val="009F20C1"/>
    <w:rsid w:val="009F38B0"/>
    <w:rsid w:val="009F3A97"/>
    <w:rsid w:val="009F3D0D"/>
    <w:rsid w:val="009F3E80"/>
    <w:rsid w:val="009F4A71"/>
    <w:rsid w:val="009F4FEB"/>
    <w:rsid w:val="009F53CA"/>
    <w:rsid w:val="009F5586"/>
    <w:rsid w:val="009F6008"/>
    <w:rsid w:val="009F69FD"/>
    <w:rsid w:val="009F6A68"/>
    <w:rsid w:val="009F7750"/>
    <w:rsid w:val="009F7964"/>
    <w:rsid w:val="009F7D35"/>
    <w:rsid w:val="009F7E84"/>
    <w:rsid w:val="00A0050F"/>
    <w:rsid w:val="00A00825"/>
    <w:rsid w:val="00A01456"/>
    <w:rsid w:val="00A0236D"/>
    <w:rsid w:val="00A0243E"/>
    <w:rsid w:val="00A02468"/>
    <w:rsid w:val="00A02B36"/>
    <w:rsid w:val="00A02E3F"/>
    <w:rsid w:val="00A04D4B"/>
    <w:rsid w:val="00A050EB"/>
    <w:rsid w:val="00A05ABC"/>
    <w:rsid w:val="00A06852"/>
    <w:rsid w:val="00A06B68"/>
    <w:rsid w:val="00A06F71"/>
    <w:rsid w:val="00A07136"/>
    <w:rsid w:val="00A07786"/>
    <w:rsid w:val="00A07C53"/>
    <w:rsid w:val="00A11006"/>
    <w:rsid w:val="00A1156A"/>
    <w:rsid w:val="00A120C1"/>
    <w:rsid w:val="00A121A7"/>
    <w:rsid w:val="00A12933"/>
    <w:rsid w:val="00A12E60"/>
    <w:rsid w:val="00A13A08"/>
    <w:rsid w:val="00A13AFA"/>
    <w:rsid w:val="00A1408F"/>
    <w:rsid w:val="00A140C9"/>
    <w:rsid w:val="00A14193"/>
    <w:rsid w:val="00A14EE4"/>
    <w:rsid w:val="00A15801"/>
    <w:rsid w:val="00A169D3"/>
    <w:rsid w:val="00A17ADB"/>
    <w:rsid w:val="00A20089"/>
    <w:rsid w:val="00A20440"/>
    <w:rsid w:val="00A207C5"/>
    <w:rsid w:val="00A20A04"/>
    <w:rsid w:val="00A20E89"/>
    <w:rsid w:val="00A2182D"/>
    <w:rsid w:val="00A2213D"/>
    <w:rsid w:val="00A23AC1"/>
    <w:rsid w:val="00A2555F"/>
    <w:rsid w:val="00A2668C"/>
    <w:rsid w:val="00A27FD0"/>
    <w:rsid w:val="00A30D34"/>
    <w:rsid w:val="00A31231"/>
    <w:rsid w:val="00A313BD"/>
    <w:rsid w:val="00A32982"/>
    <w:rsid w:val="00A32992"/>
    <w:rsid w:val="00A32C81"/>
    <w:rsid w:val="00A32F84"/>
    <w:rsid w:val="00A331BC"/>
    <w:rsid w:val="00A336A1"/>
    <w:rsid w:val="00A3462D"/>
    <w:rsid w:val="00A34986"/>
    <w:rsid w:val="00A37900"/>
    <w:rsid w:val="00A37B92"/>
    <w:rsid w:val="00A40530"/>
    <w:rsid w:val="00A415B7"/>
    <w:rsid w:val="00A42629"/>
    <w:rsid w:val="00A42AA5"/>
    <w:rsid w:val="00A42C31"/>
    <w:rsid w:val="00A42FF0"/>
    <w:rsid w:val="00A4386C"/>
    <w:rsid w:val="00A43A8E"/>
    <w:rsid w:val="00A443DA"/>
    <w:rsid w:val="00A4456C"/>
    <w:rsid w:val="00A44CC0"/>
    <w:rsid w:val="00A45709"/>
    <w:rsid w:val="00A46100"/>
    <w:rsid w:val="00A502BE"/>
    <w:rsid w:val="00A50D95"/>
    <w:rsid w:val="00A50F1F"/>
    <w:rsid w:val="00A51D8A"/>
    <w:rsid w:val="00A51F99"/>
    <w:rsid w:val="00A52AAE"/>
    <w:rsid w:val="00A52F38"/>
    <w:rsid w:val="00A532C3"/>
    <w:rsid w:val="00A53A93"/>
    <w:rsid w:val="00A53DB1"/>
    <w:rsid w:val="00A5409F"/>
    <w:rsid w:val="00A544DD"/>
    <w:rsid w:val="00A549D8"/>
    <w:rsid w:val="00A55FEE"/>
    <w:rsid w:val="00A577E2"/>
    <w:rsid w:val="00A606CC"/>
    <w:rsid w:val="00A6154A"/>
    <w:rsid w:val="00A61879"/>
    <w:rsid w:val="00A62083"/>
    <w:rsid w:val="00A62DFF"/>
    <w:rsid w:val="00A630ED"/>
    <w:rsid w:val="00A63697"/>
    <w:rsid w:val="00A6384A"/>
    <w:rsid w:val="00A64163"/>
    <w:rsid w:val="00A648B8"/>
    <w:rsid w:val="00A64A4D"/>
    <w:rsid w:val="00A65731"/>
    <w:rsid w:val="00A6649F"/>
    <w:rsid w:val="00A669D4"/>
    <w:rsid w:val="00A6752C"/>
    <w:rsid w:val="00A70117"/>
    <w:rsid w:val="00A70FDC"/>
    <w:rsid w:val="00A71E14"/>
    <w:rsid w:val="00A7228F"/>
    <w:rsid w:val="00A7282B"/>
    <w:rsid w:val="00A728EE"/>
    <w:rsid w:val="00A729B4"/>
    <w:rsid w:val="00A730DC"/>
    <w:rsid w:val="00A73478"/>
    <w:rsid w:val="00A73499"/>
    <w:rsid w:val="00A73870"/>
    <w:rsid w:val="00A73A8A"/>
    <w:rsid w:val="00A7532B"/>
    <w:rsid w:val="00A75C33"/>
    <w:rsid w:val="00A772F3"/>
    <w:rsid w:val="00A773FF"/>
    <w:rsid w:val="00A77649"/>
    <w:rsid w:val="00A77CA8"/>
    <w:rsid w:val="00A77E49"/>
    <w:rsid w:val="00A77E6B"/>
    <w:rsid w:val="00A77F9B"/>
    <w:rsid w:val="00A80FA6"/>
    <w:rsid w:val="00A81960"/>
    <w:rsid w:val="00A81F1F"/>
    <w:rsid w:val="00A826F8"/>
    <w:rsid w:val="00A827C1"/>
    <w:rsid w:val="00A83238"/>
    <w:rsid w:val="00A83AC8"/>
    <w:rsid w:val="00A840BB"/>
    <w:rsid w:val="00A84331"/>
    <w:rsid w:val="00A84B14"/>
    <w:rsid w:val="00A852E8"/>
    <w:rsid w:val="00A856E8"/>
    <w:rsid w:val="00A8576B"/>
    <w:rsid w:val="00A85C23"/>
    <w:rsid w:val="00A85EA4"/>
    <w:rsid w:val="00A85EEF"/>
    <w:rsid w:val="00A86335"/>
    <w:rsid w:val="00A86A2E"/>
    <w:rsid w:val="00A86D1E"/>
    <w:rsid w:val="00A87140"/>
    <w:rsid w:val="00A87226"/>
    <w:rsid w:val="00A874CD"/>
    <w:rsid w:val="00A87726"/>
    <w:rsid w:val="00A879C6"/>
    <w:rsid w:val="00A90661"/>
    <w:rsid w:val="00A90BB7"/>
    <w:rsid w:val="00A911B7"/>
    <w:rsid w:val="00A91BAC"/>
    <w:rsid w:val="00A927D9"/>
    <w:rsid w:val="00A93B58"/>
    <w:rsid w:val="00A940B4"/>
    <w:rsid w:val="00A94808"/>
    <w:rsid w:val="00A95256"/>
    <w:rsid w:val="00A95A0B"/>
    <w:rsid w:val="00A96015"/>
    <w:rsid w:val="00A9725C"/>
    <w:rsid w:val="00A97DC3"/>
    <w:rsid w:val="00AA0896"/>
    <w:rsid w:val="00AA1731"/>
    <w:rsid w:val="00AA1D30"/>
    <w:rsid w:val="00AA1F64"/>
    <w:rsid w:val="00AA2556"/>
    <w:rsid w:val="00AA272D"/>
    <w:rsid w:val="00AA361E"/>
    <w:rsid w:val="00AA41C7"/>
    <w:rsid w:val="00AA4B35"/>
    <w:rsid w:val="00AA4B4C"/>
    <w:rsid w:val="00AA52C3"/>
    <w:rsid w:val="00AA53F0"/>
    <w:rsid w:val="00AA61C6"/>
    <w:rsid w:val="00AA6607"/>
    <w:rsid w:val="00AA7787"/>
    <w:rsid w:val="00AB033A"/>
    <w:rsid w:val="00AB0B68"/>
    <w:rsid w:val="00AB1B15"/>
    <w:rsid w:val="00AB1C3D"/>
    <w:rsid w:val="00AB284A"/>
    <w:rsid w:val="00AB37B9"/>
    <w:rsid w:val="00AB3B09"/>
    <w:rsid w:val="00AB4070"/>
    <w:rsid w:val="00AB40D0"/>
    <w:rsid w:val="00AB4658"/>
    <w:rsid w:val="00AB5F84"/>
    <w:rsid w:val="00AB7302"/>
    <w:rsid w:val="00AB7C78"/>
    <w:rsid w:val="00AC0E99"/>
    <w:rsid w:val="00AC149C"/>
    <w:rsid w:val="00AC3AF8"/>
    <w:rsid w:val="00AC3CEC"/>
    <w:rsid w:val="00AC4123"/>
    <w:rsid w:val="00AC4EC8"/>
    <w:rsid w:val="00AC522C"/>
    <w:rsid w:val="00AC56CF"/>
    <w:rsid w:val="00AC6062"/>
    <w:rsid w:val="00AC71FB"/>
    <w:rsid w:val="00AC744E"/>
    <w:rsid w:val="00AC78A0"/>
    <w:rsid w:val="00AC7A22"/>
    <w:rsid w:val="00ACE9C8"/>
    <w:rsid w:val="00AD106C"/>
    <w:rsid w:val="00AD1480"/>
    <w:rsid w:val="00AD18AC"/>
    <w:rsid w:val="00AD1AC3"/>
    <w:rsid w:val="00AD2332"/>
    <w:rsid w:val="00AD284F"/>
    <w:rsid w:val="00AD30D9"/>
    <w:rsid w:val="00AD322B"/>
    <w:rsid w:val="00AD3985"/>
    <w:rsid w:val="00AD6412"/>
    <w:rsid w:val="00AD6549"/>
    <w:rsid w:val="00AD6E09"/>
    <w:rsid w:val="00AD70AE"/>
    <w:rsid w:val="00AD7B2E"/>
    <w:rsid w:val="00AE0B5A"/>
    <w:rsid w:val="00AE1B75"/>
    <w:rsid w:val="00AE1CCA"/>
    <w:rsid w:val="00AE1D0B"/>
    <w:rsid w:val="00AE270A"/>
    <w:rsid w:val="00AE3712"/>
    <w:rsid w:val="00AE3763"/>
    <w:rsid w:val="00AE3821"/>
    <w:rsid w:val="00AE428F"/>
    <w:rsid w:val="00AE5078"/>
    <w:rsid w:val="00AE6141"/>
    <w:rsid w:val="00AE6A6E"/>
    <w:rsid w:val="00AE7050"/>
    <w:rsid w:val="00AE711D"/>
    <w:rsid w:val="00AF1063"/>
    <w:rsid w:val="00AF1F2A"/>
    <w:rsid w:val="00AF1F56"/>
    <w:rsid w:val="00AF3C71"/>
    <w:rsid w:val="00AF3CE2"/>
    <w:rsid w:val="00AF4A3A"/>
    <w:rsid w:val="00AF4F67"/>
    <w:rsid w:val="00AF5C16"/>
    <w:rsid w:val="00AF5F32"/>
    <w:rsid w:val="00AF60E0"/>
    <w:rsid w:val="00AF6266"/>
    <w:rsid w:val="00AF6325"/>
    <w:rsid w:val="00AF63D4"/>
    <w:rsid w:val="00AF6959"/>
    <w:rsid w:val="00AF7646"/>
    <w:rsid w:val="00AF79FA"/>
    <w:rsid w:val="00B00100"/>
    <w:rsid w:val="00B004A4"/>
    <w:rsid w:val="00B006EA"/>
    <w:rsid w:val="00B00D8A"/>
    <w:rsid w:val="00B01CF3"/>
    <w:rsid w:val="00B01F2F"/>
    <w:rsid w:val="00B025F4"/>
    <w:rsid w:val="00B02EEC"/>
    <w:rsid w:val="00B030B9"/>
    <w:rsid w:val="00B03275"/>
    <w:rsid w:val="00B04013"/>
    <w:rsid w:val="00B046D6"/>
    <w:rsid w:val="00B0487A"/>
    <w:rsid w:val="00B05E45"/>
    <w:rsid w:val="00B06C45"/>
    <w:rsid w:val="00B06DFF"/>
    <w:rsid w:val="00B10388"/>
    <w:rsid w:val="00B11C05"/>
    <w:rsid w:val="00B11D69"/>
    <w:rsid w:val="00B12886"/>
    <w:rsid w:val="00B12F84"/>
    <w:rsid w:val="00B131CA"/>
    <w:rsid w:val="00B1419F"/>
    <w:rsid w:val="00B147F2"/>
    <w:rsid w:val="00B1500D"/>
    <w:rsid w:val="00B151BB"/>
    <w:rsid w:val="00B16EBF"/>
    <w:rsid w:val="00B17044"/>
    <w:rsid w:val="00B17758"/>
    <w:rsid w:val="00B205FF"/>
    <w:rsid w:val="00B21605"/>
    <w:rsid w:val="00B21A83"/>
    <w:rsid w:val="00B21C58"/>
    <w:rsid w:val="00B229E4"/>
    <w:rsid w:val="00B22BC0"/>
    <w:rsid w:val="00B236D3"/>
    <w:rsid w:val="00B23A17"/>
    <w:rsid w:val="00B241E9"/>
    <w:rsid w:val="00B246BF"/>
    <w:rsid w:val="00B2505A"/>
    <w:rsid w:val="00B262EC"/>
    <w:rsid w:val="00B26B58"/>
    <w:rsid w:val="00B26FB7"/>
    <w:rsid w:val="00B27AC3"/>
    <w:rsid w:val="00B30368"/>
    <w:rsid w:val="00B304D3"/>
    <w:rsid w:val="00B31122"/>
    <w:rsid w:val="00B311A7"/>
    <w:rsid w:val="00B32029"/>
    <w:rsid w:val="00B3310E"/>
    <w:rsid w:val="00B3325F"/>
    <w:rsid w:val="00B3326F"/>
    <w:rsid w:val="00B33D14"/>
    <w:rsid w:val="00B34C02"/>
    <w:rsid w:val="00B34D49"/>
    <w:rsid w:val="00B3545A"/>
    <w:rsid w:val="00B356F3"/>
    <w:rsid w:val="00B35B29"/>
    <w:rsid w:val="00B35B40"/>
    <w:rsid w:val="00B36510"/>
    <w:rsid w:val="00B36B6B"/>
    <w:rsid w:val="00B40179"/>
    <w:rsid w:val="00B401DD"/>
    <w:rsid w:val="00B404E7"/>
    <w:rsid w:val="00B406B4"/>
    <w:rsid w:val="00B414FF"/>
    <w:rsid w:val="00B41630"/>
    <w:rsid w:val="00B4181F"/>
    <w:rsid w:val="00B41CDE"/>
    <w:rsid w:val="00B43442"/>
    <w:rsid w:val="00B436FF"/>
    <w:rsid w:val="00B43827"/>
    <w:rsid w:val="00B44613"/>
    <w:rsid w:val="00B45452"/>
    <w:rsid w:val="00B45715"/>
    <w:rsid w:val="00B45AA3"/>
    <w:rsid w:val="00B466CC"/>
    <w:rsid w:val="00B46DE2"/>
    <w:rsid w:val="00B470FD"/>
    <w:rsid w:val="00B50AB7"/>
    <w:rsid w:val="00B53EF1"/>
    <w:rsid w:val="00B54786"/>
    <w:rsid w:val="00B550BD"/>
    <w:rsid w:val="00B551DE"/>
    <w:rsid w:val="00B55574"/>
    <w:rsid w:val="00B55E06"/>
    <w:rsid w:val="00B561E8"/>
    <w:rsid w:val="00B564CC"/>
    <w:rsid w:val="00B567BC"/>
    <w:rsid w:val="00B57E86"/>
    <w:rsid w:val="00B601BF"/>
    <w:rsid w:val="00B6041F"/>
    <w:rsid w:val="00B60E00"/>
    <w:rsid w:val="00B60EF8"/>
    <w:rsid w:val="00B62454"/>
    <w:rsid w:val="00B626D4"/>
    <w:rsid w:val="00B63151"/>
    <w:rsid w:val="00B6458D"/>
    <w:rsid w:val="00B6521E"/>
    <w:rsid w:val="00B652B2"/>
    <w:rsid w:val="00B6767B"/>
    <w:rsid w:val="00B67870"/>
    <w:rsid w:val="00B706C8"/>
    <w:rsid w:val="00B707A2"/>
    <w:rsid w:val="00B71CB6"/>
    <w:rsid w:val="00B726DB"/>
    <w:rsid w:val="00B727F4"/>
    <w:rsid w:val="00B74096"/>
    <w:rsid w:val="00B7429A"/>
    <w:rsid w:val="00B7448B"/>
    <w:rsid w:val="00B74AA5"/>
    <w:rsid w:val="00B74E8D"/>
    <w:rsid w:val="00B75357"/>
    <w:rsid w:val="00B75375"/>
    <w:rsid w:val="00B75640"/>
    <w:rsid w:val="00B75B24"/>
    <w:rsid w:val="00B75F27"/>
    <w:rsid w:val="00B76359"/>
    <w:rsid w:val="00B76683"/>
    <w:rsid w:val="00B770B7"/>
    <w:rsid w:val="00B7726B"/>
    <w:rsid w:val="00B77C73"/>
    <w:rsid w:val="00B804D9"/>
    <w:rsid w:val="00B8050A"/>
    <w:rsid w:val="00B81152"/>
    <w:rsid w:val="00B816F7"/>
    <w:rsid w:val="00B81955"/>
    <w:rsid w:val="00B81F12"/>
    <w:rsid w:val="00B84403"/>
    <w:rsid w:val="00B85252"/>
    <w:rsid w:val="00B8528D"/>
    <w:rsid w:val="00B85CB0"/>
    <w:rsid w:val="00B86132"/>
    <w:rsid w:val="00B86326"/>
    <w:rsid w:val="00B8668A"/>
    <w:rsid w:val="00B87026"/>
    <w:rsid w:val="00B87697"/>
    <w:rsid w:val="00B87CDF"/>
    <w:rsid w:val="00B87DF4"/>
    <w:rsid w:val="00B91CC9"/>
    <w:rsid w:val="00B91F35"/>
    <w:rsid w:val="00B920FC"/>
    <w:rsid w:val="00B923B6"/>
    <w:rsid w:val="00B92BAA"/>
    <w:rsid w:val="00B93186"/>
    <w:rsid w:val="00B941DD"/>
    <w:rsid w:val="00B9493B"/>
    <w:rsid w:val="00B94CFB"/>
    <w:rsid w:val="00B94D1D"/>
    <w:rsid w:val="00B94D23"/>
    <w:rsid w:val="00B95A49"/>
    <w:rsid w:val="00B962A0"/>
    <w:rsid w:val="00B97521"/>
    <w:rsid w:val="00BA09FB"/>
    <w:rsid w:val="00BA1C93"/>
    <w:rsid w:val="00BA26C9"/>
    <w:rsid w:val="00BA2EB2"/>
    <w:rsid w:val="00BA4F94"/>
    <w:rsid w:val="00BA5A56"/>
    <w:rsid w:val="00BA6FA0"/>
    <w:rsid w:val="00BB0434"/>
    <w:rsid w:val="00BB1842"/>
    <w:rsid w:val="00BB18BE"/>
    <w:rsid w:val="00BB30C5"/>
    <w:rsid w:val="00BB3BF6"/>
    <w:rsid w:val="00BB43B8"/>
    <w:rsid w:val="00BB5011"/>
    <w:rsid w:val="00BB5569"/>
    <w:rsid w:val="00BB5EAE"/>
    <w:rsid w:val="00BB605B"/>
    <w:rsid w:val="00BB6AD8"/>
    <w:rsid w:val="00BB6BC3"/>
    <w:rsid w:val="00BB6FC8"/>
    <w:rsid w:val="00BC0586"/>
    <w:rsid w:val="00BC06AA"/>
    <w:rsid w:val="00BC0C73"/>
    <w:rsid w:val="00BC171D"/>
    <w:rsid w:val="00BC3C25"/>
    <w:rsid w:val="00BC3C79"/>
    <w:rsid w:val="00BC496A"/>
    <w:rsid w:val="00BC4BDA"/>
    <w:rsid w:val="00BC4D2D"/>
    <w:rsid w:val="00BC4D69"/>
    <w:rsid w:val="00BC54C8"/>
    <w:rsid w:val="00BC5796"/>
    <w:rsid w:val="00BC6069"/>
    <w:rsid w:val="00BC7029"/>
    <w:rsid w:val="00BC704F"/>
    <w:rsid w:val="00BC7288"/>
    <w:rsid w:val="00BC78E3"/>
    <w:rsid w:val="00BD030A"/>
    <w:rsid w:val="00BD0373"/>
    <w:rsid w:val="00BD0560"/>
    <w:rsid w:val="00BD0659"/>
    <w:rsid w:val="00BD13F6"/>
    <w:rsid w:val="00BD1665"/>
    <w:rsid w:val="00BD18EF"/>
    <w:rsid w:val="00BD1BB3"/>
    <w:rsid w:val="00BD3E2F"/>
    <w:rsid w:val="00BD4443"/>
    <w:rsid w:val="00BD44BE"/>
    <w:rsid w:val="00BD4B0A"/>
    <w:rsid w:val="00BD4DA8"/>
    <w:rsid w:val="00BD4EA2"/>
    <w:rsid w:val="00BD4F32"/>
    <w:rsid w:val="00BD5315"/>
    <w:rsid w:val="00BD544A"/>
    <w:rsid w:val="00BD552F"/>
    <w:rsid w:val="00BD76DF"/>
    <w:rsid w:val="00BD77AF"/>
    <w:rsid w:val="00BE054F"/>
    <w:rsid w:val="00BE0A68"/>
    <w:rsid w:val="00BE17E2"/>
    <w:rsid w:val="00BE1A52"/>
    <w:rsid w:val="00BE22AA"/>
    <w:rsid w:val="00BE30EF"/>
    <w:rsid w:val="00BE31CF"/>
    <w:rsid w:val="00BE4A16"/>
    <w:rsid w:val="00BE6180"/>
    <w:rsid w:val="00BE657D"/>
    <w:rsid w:val="00BE6B13"/>
    <w:rsid w:val="00BE70B4"/>
    <w:rsid w:val="00BE76F9"/>
    <w:rsid w:val="00BE78E5"/>
    <w:rsid w:val="00BE7C4E"/>
    <w:rsid w:val="00BF0214"/>
    <w:rsid w:val="00BF0C3B"/>
    <w:rsid w:val="00BF1743"/>
    <w:rsid w:val="00BF2BA5"/>
    <w:rsid w:val="00BF318C"/>
    <w:rsid w:val="00BF3A6C"/>
    <w:rsid w:val="00BF414B"/>
    <w:rsid w:val="00BF49C6"/>
    <w:rsid w:val="00BF4C37"/>
    <w:rsid w:val="00BF50A6"/>
    <w:rsid w:val="00BF55E4"/>
    <w:rsid w:val="00BF5702"/>
    <w:rsid w:val="00BF587B"/>
    <w:rsid w:val="00BF5C2E"/>
    <w:rsid w:val="00BF5C95"/>
    <w:rsid w:val="00BF5F5B"/>
    <w:rsid w:val="00BF7910"/>
    <w:rsid w:val="00BF7A68"/>
    <w:rsid w:val="00C03274"/>
    <w:rsid w:val="00C03FDE"/>
    <w:rsid w:val="00C049B4"/>
    <w:rsid w:val="00C05565"/>
    <w:rsid w:val="00C076B3"/>
    <w:rsid w:val="00C07979"/>
    <w:rsid w:val="00C07D53"/>
    <w:rsid w:val="00C101E6"/>
    <w:rsid w:val="00C1075B"/>
    <w:rsid w:val="00C12A38"/>
    <w:rsid w:val="00C12EEB"/>
    <w:rsid w:val="00C138DE"/>
    <w:rsid w:val="00C147E4"/>
    <w:rsid w:val="00C14BA6"/>
    <w:rsid w:val="00C1590F"/>
    <w:rsid w:val="00C16267"/>
    <w:rsid w:val="00C1675A"/>
    <w:rsid w:val="00C168BD"/>
    <w:rsid w:val="00C16931"/>
    <w:rsid w:val="00C17337"/>
    <w:rsid w:val="00C17472"/>
    <w:rsid w:val="00C17F3C"/>
    <w:rsid w:val="00C20C30"/>
    <w:rsid w:val="00C20D09"/>
    <w:rsid w:val="00C21119"/>
    <w:rsid w:val="00C2187F"/>
    <w:rsid w:val="00C219D4"/>
    <w:rsid w:val="00C23FD6"/>
    <w:rsid w:val="00C24C67"/>
    <w:rsid w:val="00C25725"/>
    <w:rsid w:val="00C25B52"/>
    <w:rsid w:val="00C26BDC"/>
    <w:rsid w:val="00C27D9A"/>
    <w:rsid w:val="00C30021"/>
    <w:rsid w:val="00C30DF9"/>
    <w:rsid w:val="00C3151F"/>
    <w:rsid w:val="00C32A7C"/>
    <w:rsid w:val="00C32B95"/>
    <w:rsid w:val="00C339AB"/>
    <w:rsid w:val="00C3462C"/>
    <w:rsid w:val="00C3470B"/>
    <w:rsid w:val="00C34990"/>
    <w:rsid w:val="00C35106"/>
    <w:rsid w:val="00C35DF8"/>
    <w:rsid w:val="00C36872"/>
    <w:rsid w:val="00C36E8A"/>
    <w:rsid w:val="00C374B2"/>
    <w:rsid w:val="00C37A6C"/>
    <w:rsid w:val="00C402D4"/>
    <w:rsid w:val="00C41989"/>
    <w:rsid w:val="00C41C0D"/>
    <w:rsid w:val="00C42BD1"/>
    <w:rsid w:val="00C43276"/>
    <w:rsid w:val="00C43879"/>
    <w:rsid w:val="00C44182"/>
    <w:rsid w:val="00C457AA"/>
    <w:rsid w:val="00C502A5"/>
    <w:rsid w:val="00C51BAE"/>
    <w:rsid w:val="00C51DDC"/>
    <w:rsid w:val="00C51FE6"/>
    <w:rsid w:val="00C52ECA"/>
    <w:rsid w:val="00C533F3"/>
    <w:rsid w:val="00C535B4"/>
    <w:rsid w:val="00C53AC2"/>
    <w:rsid w:val="00C54563"/>
    <w:rsid w:val="00C54960"/>
    <w:rsid w:val="00C55491"/>
    <w:rsid w:val="00C554F4"/>
    <w:rsid w:val="00C55AB4"/>
    <w:rsid w:val="00C55B30"/>
    <w:rsid w:val="00C56317"/>
    <w:rsid w:val="00C56A55"/>
    <w:rsid w:val="00C56BC5"/>
    <w:rsid w:val="00C57F67"/>
    <w:rsid w:val="00C633D9"/>
    <w:rsid w:val="00C64C24"/>
    <w:rsid w:val="00C656D0"/>
    <w:rsid w:val="00C6664C"/>
    <w:rsid w:val="00C66F41"/>
    <w:rsid w:val="00C67748"/>
    <w:rsid w:val="00C67F2B"/>
    <w:rsid w:val="00C7057E"/>
    <w:rsid w:val="00C70CFD"/>
    <w:rsid w:val="00C70FB4"/>
    <w:rsid w:val="00C71220"/>
    <w:rsid w:val="00C71587"/>
    <w:rsid w:val="00C71CE9"/>
    <w:rsid w:val="00C721E7"/>
    <w:rsid w:val="00C724A0"/>
    <w:rsid w:val="00C73146"/>
    <w:rsid w:val="00C7315F"/>
    <w:rsid w:val="00C739F7"/>
    <w:rsid w:val="00C743B2"/>
    <w:rsid w:val="00C7469F"/>
    <w:rsid w:val="00C74CB3"/>
    <w:rsid w:val="00C75FE9"/>
    <w:rsid w:val="00C804F1"/>
    <w:rsid w:val="00C8148C"/>
    <w:rsid w:val="00C81495"/>
    <w:rsid w:val="00C81F54"/>
    <w:rsid w:val="00C8380C"/>
    <w:rsid w:val="00C83977"/>
    <w:rsid w:val="00C841B1"/>
    <w:rsid w:val="00C84F11"/>
    <w:rsid w:val="00C85E10"/>
    <w:rsid w:val="00C86FCE"/>
    <w:rsid w:val="00C87E46"/>
    <w:rsid w:val="00C90375"/>
    <w:rsid w:val="00C9054E"/>
    <w:rsid w:val="00C90C2B"/>
    <w:rsid w:val="00C90CCB"/>
    <w:rsid w:val="00C9137C"/>
    <w:rsid w:val="00C91F17"/>
    <w:rsid w:val="00C9347F"/>
    <w:rsid w:val="00C936F4"/>
    <w:rsid w:val="00C946CF"/>
    <w:rsid w:val="00C9495D"/>
    <w:rsid w:val="00C95132"/>
    <w:rsid w:val="00C95D8B"/>
    <w:rsid w:val="00C96673"/>
    <w:rsid w:val="00C9695B"/>
    <w:rsid w:val="00C96960"/>
    <w:rsid w:val="00C96A33"/>
    <w:rsid w:val="00C96ACF"/>
    <w:rsid w:val="00C97080"/>
    <w:rsid w:val="00C97A83"/>
    <w:rsid w:val="00CA0DCC"/>
    <w:rsid w:val="00CA11EA"/>
    <w:rsid w:val="00CA330D"/>
    <w:rsid w:val="00CA33B6"/>
    <w:rsid w:val="00CA370A"/>
    <w:rsid w:val="00CA3F79"/>
    <w:rsid w:val="00CA479F"/>
    <w:rsid w:val="00CA52CB"/>
    <w:rsid w:val="00CA580A"/>
    <w:rsid w:val="00CA6E02"/>
    <w:rsid w:val="00CA7AB0"/>
    <w:rsid w:val="00CB0040"/>
    <w:rsid w:val="00CB087A"/>
    <w:rsid w:val="00CB1111"/>
    <w:rsid w:val="00CB117D"/>
    <w:rsid w:val="00CB1420"/>
    <w:rsid w:val="00CB1BA5"/>
    <w:rsid w:val="00CB23CC"/>
    <w:rsid w:val="00CB28C7"/>
    <w:rsid w:val="00CB2CE5"/>
    <w:rsid w:val="00CB2F17"/>
    <w:rsid w:val="00CB408D"/>
    <w:rsid w:val="00CB5059"/>
    <w:rsid w:val="00CB5AF2"/>
    <w:rsid w:val="00CB633D"/>
    <w:rsid w:val="00CB69A2"/>
    <w:rsid w:val="00CB6ADC"/>
    <w:rsid w:val="00CB7234"/>
    <w:rsid w:val="00CB7933"/>
    <w:rsid w:val="00CB7A5D"/>
    <w:rsid w:val="00CB7AB1"/>
    <w:rsid w:val="00CC0AFB"/>
    <w:rsid w:val="00CC14D8"/>
    <w:rsid w:val="00CC2384"/>
    <w:rsid w:val="00CC2402"/>
    <w:rsid w:val="00CC2A13"/>
    <w:rsid w:val="00CC2BFE"/>
    <w:rsid w:val="00CC2DFF"/>
    <w:rsid w:val="00CC3289"/>
    <w:rsid w:val="00CC336F"/>
    <w:rsid w:val="00CC3640"/>
    <w:rsid w:val="00CC36FD"/>
    <w:rsid w:val="00CC3FC9"/>
    <w:rsid w:val="00CC43B2"/>
    <w:rsid w:val="00CC488A"/>
    <w:rsid w:val="00CC4AE1"/>
    <w:rsid w:val="00CC5CD4"/>
    <w:rsid w:val="00CC648E"/>
    <w:rsid w:val="00CD0012"/>
    <w:rsid w:val="00CD11E7"/>
    <w:rsid w:val="00CD1220"/>
    <w:rsid w:val="00CD1472"/>
    <w:rsid w:val="00CD1506"/>
    <w:rsid w:val="00CD15CA"/>
    <w:rsid w:val="00CD181F"/>
    <w:rsid w:val="00CD183F"/>
    <w:rsid w:val="00CD20F4"/>
    <w:rsid w:val="00CD2892"/>
    <w:rsid w:val="00CD2ABE"/>
    <w:rsid w:val="00CD3171"/>
    <w:rsid w:val="00CD39EB"/>
    <w:rsid w:val="00CD3FEF"/>
    <w:rsid w:val="00CD454E"/>
    <w:rsid w:val="00CD4559"/>
    <w:rsid w:val="00CD477E"/>
    <w:rsid w:val="00CD5D23"/>
    <w:rsid w:val="00CD5F2C"/>
    <w:rsid w:val="00CD69FF"/>
    <w:rsid w:val="00CD6CA2"/>
    <w:rsid w:val="00CD7373"/>
    <w:rsid w:val="00CD7E8F"/>
    <w:rsid w:val="00CE1278"/>
    <w:rsid w:val="00CE14A1"/>
    <w:rsid w:val="00CE1C34"/>
    <w:rsid w:val="00CE1ED6"/>
    <w:rsid w:val="00CE1FF8"/>
    <w:rsid w:val="00CE2222"/>
    <w:rsid w:val="00CE24BB"/>
    <w:rsid w:val="00CE24DD"/>
    <w:rsid w:val="00CE3261"/>
    <w:rsid w:val="00CE3287"/>
    <w:rsid w:val="00CE33C8"/>
    <w:rsid w:val="00CE40C5"/>
    <w:rsid w:val="00CE420E"/>
    <w:rsid w:val="00CE42F9"/>
    <w:rsid w:val="00CE46FA"/>
    <w:rsid w:val="00CE4DEF"/>
    <w:rsid w:val="00CE5781"/>
    <w:rsid w:val="00CE5FCD"/>
    <w:rsid w:val="00CE6A36"/>
    <w:rsid w:val="00CE7089"/>
    <w:rsid w:val="00CE7C8F"/>
    <w:rsid w:val="00CF064A"/>
    <w:rsid w:val="00CF0CA5"/>
    <w:rsid w:val="00CF1106"/>
    <w:rsid w:val="00CF1A60"/>
    <w:rsid w:val="00CF289E"/>
    <w:rsid w:val="00CF28DC"/>
    <w:rsid w:val="00CF2D33"/>
    <w:rsid w:val="00CF3109"/>
    <w:rsid w:val="00CF32DC"/>
    <w:rsid w:val="00CF35B7"/>
    <w:rsid w:val="00CF3E31"/>
    <w:rsid w:val="00CF447E"/>
    <w:rsid w:val="00CF44A9"/>
    <w:rsid w:val="00CF4980"/>
    <w:rsid w:val="00CF6078"/>
    <w:rsid w:val="00CF66F6"/>
    <w:rsid w:val="00CF68A0"/>
    <w:rsid w:val="00CF6BA4"/>
    <w:rsid w:val="00CF6F91"/>
    <w:rsid w:val="00D000C3"/>
    <w:rsid w:val="00D00150"/>
    <w:rsid w:val="00D007AF"/>
    <w:rsid w:val="00D00F43"/>
    <w:rsid w:val="00D012FD"/>
    <w:rsid w:val="00D02224"/>
    <w:rsid w:val="00D031B4"/>
    <w:rsid w:val="00D03650"/>
    <w:rsid w:val="00D03666"/>
    <w:rsid w:val="00D041B5"/>
    <w:rsid w:val="00D04AF4"/>
    <w:rsid w:val="00D05AAA"/>
    <w:rsid w:val="00D068BE"/>
    <w:rsid w:val="00D06B2C"/>
    <w:rsid w:val="00D07574"/>
    <w:rsid w:val="00D10148"/>
    <w:rsid w:val="00D101EC"/>
    <w:rsid w:val="00D106D7"/>
    <w:rsid w:val="00D11205"/>
    <w:rsid w:val="00D124C6"/>
    <w:rsid w:val="00D12904"/>
    <w:rsid w:val="00D1337C"/>
    <w:rsid w:val="00D135BC"/>
    <w:rsid w:val="00D13A76"/>
    <w:rsid w:val="00D1506A"/>
    <w:rsid w:val="00D151C7"/>
    <w:rsid w:val="00D154A1"/>
    <w:rsid w:val="00D15C5F"/>
    <w:rsid w:val="00D16CF9"/>
    <w:rsid w:val="00D16D2A"/>
    <w:rsid w:val="00D171A2"/>
    <w:rsid w:val="00D2104D"/>
    <w:rsid w:val="00D21A45"/>
    <w:rsid w:val="00D22761"/>
    <w:rsid w:val="00D25102"/>
    <w:rsid w:val="00D25EBE"/>
    <w:rsid w:val="00D265D4"/>
    <w:rsid w:val="00D2705D"/>
    <w:rsid w:val="00D276D0"/>
    <w:rsid w:val="00D27B3A"/>
    <w:rsid w:val="00D30035"/>
    <w:rsid w:val="00D3045B"/>
    <w:rsid w:val="00D304AB"/>
    <w:rsid w:val="00D30BF1"/>
    <w:rsid w:val="00D30ED1"/>
    <w:rsid w:val="00D31D83"/>
    <w:rsid w:val="00D3382C"/>
    <w:rsid w:val="00D33CBF"/>
    <w:rsid w:val="00D34EC2"/>
    <w:rsid w:val="00D34F46"/>
    <w:rsid w:val="00D350A4"/>
    <w:rsid w:val="00D3561C"/>
    <w:rsid w:val="00D35B53"/>
    <w:rsid w:val="00D3637F"/>
    <w:rsid w:val="00D369EE"/>
    <w:rsid w:val="00D3793B"/>
    <w:rsid w:val="00D37D45"/>
    <w:rsid w:val="00D37E78"/>
    <w:rsid w:val="00D40148"/>
    <w:rsid w:val="00D4095C"/>
    <w:rsid w:val="00D40A02"/>
    <w:rsid w:val="00D40A81"/>
    <w:rsid w:val="00D40B14"/>
    <w:rsid w:val="00D410A4"/>
    <w:rsid w:val="00D414FF"/>
    <w:rsid w:val="00D41C00"/>
    <w:rsid w:val="00D41CBF"/>
    <w:rsid w:val="00D42356"/>
    <w:rsid w:val="00D43BCF"/>
    <w:rsid w:val="00D457A4"/>
    <w:rsid w:val="00D45EA4"/>
    <w:rsid w:val="00D4606C"/>
    <w:rsid w:val="00D460D1"/>
    <w:rsid w:val="00D46298"/>
    <w:rsid w:val="00D4662C"/>
    <w:rsid w:val="00D46664"/>
    <w:rsid w:val="00D471A8"/>
    <w:rsid w:val="00D47F63"/>
    <w:rsid w:val="00D5016D"/>
    <w:rsid w:val="00D50361"/>
    <w:rsid w:val="00D518AE"/>
    <w:rsid w:val="00D52F14"/>
    <w:rsid w:val="00D56563"/>
    <w:rsid w:val="00D56A5F"/>
    <w:rsid w:val="00D56DFC"/>
    <w:rsid w:val="00D5737D"/>
    <w:rsid w:val="00D57E8F"/>
    <w:rsid w:val="00D6085F"/>
    <w:rsid w:val="00D60881"/>
    <w:rsid w:val="00D60B2F"/>
    <w:rsid w:val="00D61089"/>
    <w:rsid w:val="00D615E8"/>
    <w:rsid w:val="00D61680"/>
    <w:rsid w:val="00D61D4E"/>
    <w:rsid w:val="00D61D9A"/>
    <w:rsid w:val="00D61E1F"/>
    <w:rsid w:val="00D62A56"/>
    <w:rsid w:val="00D63817"/>
    <w:rsid w:val="00D63971"/>
    <w:rsid w:val="00D65FA9"/>
    <w:rsid w:val="00D662B0"/>
    <w:rsid w:val="00D664B8"/>
    <w:rsid w:val="00D66DF6"/>
    <w:rsid w:val="00D7072C"/>
    <w:rsid w:val="00D70934"/>
    <w:rsid w:val="00D71576"/>
    <w:rsid w:val="00D71678"/>
    <w:rsid w:val="00D71E69"/>
    <w:rsid w:val="00D72F16"/>
    <w:rsid w:val="00D73D2F"/>
    <w:rsid w:val="00D7411D"/>
    <w:rsid w:val="00D75085"/>
    <w:rsid w:val="00D7649D"/>
    <w:rsid w:val="00D77109"/>
    <w:rsid w:val="00D7756D"/>
    <w:rsid w:val="00D77F81"/>
    <w:rsid w:val="00D8012F"/>
    <w:rsid w:val="00D803B9"/>
    <w:rsid w:val="00D80820"/>
    <w:rsid w:val="00D80B71"/>
    <w:rsid w:val="00D81297"/>
    <w:rsid w:val="00D81AEB"/>
    <w:rsid w:val="00D81C41"/>
    <w:rsid w:val="00D821AF"/>
    <w:rsid w:val="00D8264B"/>
    <w:rsid w:val="00D82C12"/>
    <w:rsid w:val="00D83F18"/>
    <w:rsid w:val="00D84A05"/>
    <w:rsid w:val="00D861F3"/>
    <w:rsid w:val="00D86703"/>
    <w:rsid w:val="00D87051"/>
    <w:rsid w:val="00D87AC0"/>
    <w:rsid w:val="00D900DC"/>
    <w:rsid w:val="00D90F2C"/>
    <w:rsid w:val="00D9138D"/>
    <w:rsid w:val="00D91CA4"/>
    <w:rsid w:val="00D92564"/>
    <w:rsid w:val="00D92EC9"/>
    <w:rsid w:val="00D93A90"/>
    <w:rsid w:val="00D9429E"/>
    <w:rsid w:val="00D943DB"/>
    <w:rsid w:val="00D94468"/>
    <w:rsid w:val="00D94B06"/>
    <w:rsid w:val="00D94E4F"/>
    <w:rsid w:val="00D95BB0"/>
    <w:rsid w:val="00D975AD"/>
    <w:rsid w:val="00DA08CD"/>
    <w:rsid w:val="00DA0BE2"/>
    <w:rsid w:val="00DA2258"/>
    <w:rsid w:val="00DA2AA8"/>
    <w:rsid w:val="00DA2D18"/>
    <w:rsid w:val="00DA351E"/>
    <w:rsid w:val="00DA3DB6"/>
    <w:rsid w:val="00DA4112"/>
    <w:rsid w:val="00DA4841"/>
    <w:rsid w:val="00DA4AF9"/>
    <w:rsid w:val="00DA50DB"/>
    <w:rsid w:val="00DA5BF3"/>
    <w:rsid w:val="00DA6212"/>
    <w:rsid w:val="00DA6487"/>
    <w:rsid w:val="00DA6F88"/>
    <w:rsid w:val="00DA76CB"/>
    <w:rsid w:val="00DB019C"/>
    <w:rsid w:val="00DB0337"/>
    <w:rsid w:val="00DB0947"/>
    <w:rsid w:val="00DB0C02"/>
    <w:rsid w:val="00DB136E"/>
    <w:rsid w:val="00DB1AFC"/>
    <w:rsid w:val="00DB1D77"/>
    <w:rsid w:val="00DB2303"/>
    <w:rsid w:val="00DB2551"/>
    <w:rsid w:val="00DB25B6"/>
    <w:rsid w:val="00DB295C"/>
    <w:rsid w:val="00DB4F79"/>
    <w:rsid w:val="00DB51A2"/>
    <w:rsid w:val="00DB5607"/>
    <w:rsid w:val="00DB56DC"/>
    <w:rsid w:val="00DB5DD1"/>
    <w:rsid w:val="00DB6050"/>
    <w:rsid w:val="00DB64DD"/>
    <w:rsid w:val="00DB699F"/>
    <w:rsid w:val="00DB6EC6"/>
    <w:rsid w:val="00DB76A0"/>
    <w:rsid w:val="00DB772F"/>
    <w:rsid w:val="00DB7AA5"/>
    <w:rsid w:val="00DB7C6E"/>
    <w:rsid w:val="00DC011F"/>
    <w:rsid w:val="00DC0190"/>
    <w:rsid w:val="00DC09AC"/>
    <w:rsid w:val="00DC0C19"/>
    <w:rsid w:val="00DC15B5"/>
    <w:rsid w:val="00DC21B2"/>
    <w:rsid w:val="00DC2EB1"/>
    <w:rsid w:val="00DC31E6"/>
    <w:rsid w:val="00DC3322"/>
    <w:rsid w:val="00DC3B25"/>
    <w:rsid w:val="00DC3CF7"/>
    <w:rsid w:val="00DC4629"/>
    <w:rsid w:val="00DC55CF"/>
    <w:rsid w:val="00DC58EE"/>
    <w:rsid w:val="00DC5EF1"/>
    <w:rsid w:val="00DC6BF2"/>
    <w:rsid w:val="00DC7ECA"/>
    <w:rsid w:val="00DD030F"/>
    <w:rsid w:val="00DD0F6F"/>
    <w:rsid w:val="00DD40E8"/>
    <w:rsid w:val="00DD4298"/>
    <w:rsid w:val="00DD4589"/>
    <w:rsid w:val="00DD7E4C"/>
    <w:rsid w:val="00DE0239"/>
    <w:rsid w:val="00DE0ACD"/>
    <w:rsid w:val="00DE0B4F"/>
    <w:rsid w:val="00DE0E97"/>
    <w:rsid w:val="00DE1299"/>
    <w:rsid w:val="00DE1491"/>
    <w:rsid w:val="00DE1DFC"/>
    <w:rsid w:val="00DE2196"/>
    <w:rsid w:val="00DE267E"/>
    <w:rsid w:val="00DE2F30"/>
    <w:rsid w:val="00DE2F5A"/>
    <w:rsid w:val="00DE3564"/>
    <w:rsid w:val="00DE3877"/>
    <w:rsid w:val="00DE4B3E"/>
    <w:rsid w:val="00DE4D75"/>
    <w:rsid w:val="00DE5FDA"/>
    <w:rsid w:val="00DE61F3"/>
    <w:rsid w:val="00DE6E8D"/>
    <w:rsid w:val="00DED0FA"/>
    <w:rsid w:val="00DF0AE4"/>
    <w:rsid w:val="00DF0B8A"/>
    <w:rsid w:val="00DF0C0B"/>
    <w:rsid w:val="00DF11A9"/>
    <w:rsid w:val="00DF2ECC"/>
    <w:rsid w:val="00DF3F70"/>
    <w:rsid w:val="00DF4061"/>
    <w:rsid w:val="00DF44BD"/>
    <w:rsid w:val="00DF5AF0"/>
    <w:rsid w:val="00DF5CB5"/>
    <w:rsid w:val="00DF6C2E"/>
    <w:rsid w:val="00DF6C41"/>
    <w:rsid w:val="00DF7515"/>
    <w:rsid w:val="00E002EA"/>
    <w:rsid w:val="00E00BF9"/>
    <w:rsid w:val="00E01910"/>
    <w:rsid w:val="00E01AB1"/>
    <w:rsid w:val="00E02074"/>
    <w:rsid w:val="00E031FA"/>
    <w:rsid w:val="00E0393E"/>
    <w:rsid w:val="00E03FC1"/>
    <w:rsid w:val="00E04C9A"/>
    <w:rsid w:val="00E04EA0"/>
    <w:rsid w:val="00E05E5A"/>
    <w:rsid w:val="00E070C9"/>
    <w:rsid w:val="00E070E4"/>
    <w:rsid w:val="00E07338"/>
    <w:rsid w:val="00E07653"/>
    <w:rsid w:val="00E108CB"/>
    <w:rsid w:val="00E10D23"/>
    <w:rsid w:val="00E10EF0"/>
    <w:rsid w:val="00E11637"/>
    <w:rsid w:val="00E1326D"/>
    <w:rsid w:val="00E13301"/>
    <w:rsid w:val="00E13D14"/>
    <w:rsid w:val="00E15201"/>
    <w:rsid w:val="00E1551A"/>
    <w:rsid w:val="00E155A5"/>
    <w:rsid w:val="00E15897"/>
    <w:rsid w:val="00E15B7A"/>
    <w:rsid w:val="00E173CE"/>
    <w:rsid w:val="00E17604"/>
    <w:rsid w:val="00E17EC4"/>
    <w:rsid w:val="00E208C9"/>
    <w:rsid w:val="00E20AC9"/>
    <w:rsid w:val="00E20CDF"/>
    <w:rsid w:val="00E2103E"/>
    <w:rsid w:val="00E2106C"/>
    <w:rsid w:val="00E21374"/>
    <w:rsid w:val="00E23564"/>
    <w:rsid w:val="00E24536"/>
    <w:rsid w:val="00E2525A"/>
    <w:rsid w:val="00E25558"/>
    <w:rsid w:val="00E26426"/>
    <w:rsid w:val="00E26C87"/>
    <w:rsid w:val="00E300B5"/>
    <w:rsid w:val="00E3029F"/>
    <w:rsid w:val="00E304B3"/>
    <w:rsid w:val="00E305F2"/>
    <w:rsid w:val="00E30D03"/>
    <w:rsid w:val="00E313FC"/>
    <w:rsid w:val="00E3157C"/>
    <w:rsid w:val="00E318E6"/>
    <w:rsid w:val="00E31B89"/>
    <w:rsid w:val="00E32AC2"/>
    <w:rsid w:val="00E33807"/>
    <w:rsid w:val="00E33A2E"/>
    <w:rsid w:val="00E33E7E"/>
    <w:rsid w:val="00E34179"/>
    <w:rsid w:val="00E35060"/>
    <w:rsid w:val="00E35169"/>
    <w:rsid w:val="00E3550C"/>
    <w:rsid w:val="00E35DA6"/>
    <w:rsid w:val="00E35E5F"/>
    <w:rsid w:val="00E36637"/>
    <w:rsid w:val="00E36C1E"/>
    <w:rsid w:val="00E37454"/>
    <w:rsid w:val="00E3783C"/>
    <w:rsid w:val="00E37FAF"/>
    <w:rsid w:val="00E40168"/>
    <w:rsid w:val="00E4042F"/>
    <w:rsid w:val="00E4051C"/>
    <w:rsid w:val="00E40EB4"/>
    <w:rsid w:val="00E41A96"/>
    <w:rsid w:val="00E42CA5"/>
    <w:rsid w:val="00E42CFA"/>
    <w:rsid w:val="00E43081"/>
    <w:rsid w:val="00E4308E"/>
    <w:rsid w:val="00E433DA"/>
    <w:rsid w:val="00E443F7"/>
    <w:rsid w:val="00E44A71"/>
    <w:rsid w:val="00E44BBD"/>
    <w:rsid w:val="00E45CBE"/>
    <w:rsid w:val="00E475BB"/>
    <w:rsid w:val="00E500C7"/>
    <w:rsid w:val="00E52913"/>
    <w:rsid w:val="00E53733"/>
    <w:rsid w:val="00E53A33"/>
    <w:rsid w:val="00E5442D"/>
    <w:rsid w:val="00E54575"/>
    <w:rsid w:val="00E54A1A"/>
    <w:rsid w:val="00E55D3E"/>
    <w:rsid w:val="00E55F7F"/>
    <w:rsid w:val="00E5673B"/>
    <w:rsid w:val="00E57303"/>
    <w:rsid w:val="00E60438"/>
    <w:rsid w:val="00E60DD9"/>
    <w:rsid w:val="00E61E3A"/>
    <w:rsid w:val="00E621F2"/>
    <w:rsid w:val="00E625D1"/>
    <w:rsid w:val="00E62C52"/>
    <w:rsid w:val="00E62EB1"/>
    <w:rsid w:val="00E64B7C"/>
    <w:rsid w:val="00E65321"/>
    <w:rsid w:val="00E65585"/>
    <w:rsid w:val="00E65AB4"/>
    <w:rsid w:val="00E65AD2"/>
    <w:rsid w:val="00E65F80"/>
    <w:rsid w:val="00E676D9"/>
    <w:rsid w:val="00E7049B"/>
    <w:rsid w:val="00E727D4"/>
    <w:rsid w:val="00E73FFE"/>
    <w:rsid w:val="00E74EA7"/>
    <w:rsid w:val="00E7558D"/>
    <w:rsid w:val="00E76087"/>
    <w:rsid w:val="00E76FB6"/>
    <w:rsid w:val="00E77367"/>
    <w:rsid w:val="00E7778D"/>
    <w:rsid w:val="00E80A34"/>
    <w:rsid w:val="00E817DC"/>
    <w:rsid w:val="00E81E40"/>
    <w:rsid w:val="00E82148"/>
    <w:rsid w:val="00E83C64"/>
    <w:rsid w:val="00E85064"/>
    <w:rsid w:val="00E85284"/>
    <w:rsid w:val="00E85AB2"/>
    <w:rsid w:val="00E85B99"/>
    <w:rsid w:val="00E85EEB"/>
    <w:rsid w:val="00E86264"/>
    <w:rsid w:val="00E86538"/>
    <w:rsid w:val="00E8791D"/>
    <w:rsid w:val="00E90896"/>
    <w:rsid w:val="00E91BA6"/>
    <w:rsid w:val="00E92266"/>
    <w:rsid w:val="00E922B6"/>
    <w:rsid w:val="00E93523"/>
    <w:rsid w:val="00E93674"/>
    <w:rsid w:val="00E93E2D"/>
    <w:rsid w:val="00E95A50"/>
    <w:rsid w:val="00E964EF"/>
    <w:rsid w:val="00E96A27"/>
    <w:rsid w:val="00E978B1"/>
    <w:rsid w:val="00E97D9A"/>
    <w:rsid w:val="00EA02D0"/>
    <w:rsid w:val="00EA03A5"/>
    <w:rsid w:val="00EA265E"/>
    <w:rsid w:val="00EA353A"/>
    <w:rsid w:val="00EA394E"/>
    <w:rsid w:val="00EA39BE"/>
    <w:rsid w:val="00EA3B2E"/>
    <w:rsid w:val="00EA61D7"/>
    <w:rsid w:val="00EA6A9D"/>
    <w:rsid w:val="00EA6C3C"/>
    <w:rsid w:val="00EA6DB4"/>
    <w:rsid w:val="00EA70F0"/>
    <w:rsid w:val="00EA7A87"/>
    <w:rsid w:val="00EA7D8F"/>
    <w:rsid w:val="00EB0046"/>
    <w:rsid w:val="00EB09CB"/>
    <w:rsid w:val="00EB0F57"/>
    <w:rsid w:val="00EB2069"/>
    <w:rsid w:val="00EB2B22"/>
    <w:rsid w:val="00EB3958"/>
    <w:rsid w:val="00EB3B51"/>
    <w:rsid w:val="00EB42AF"/>
    <w:rsid w:val="00EB42E6"/>
    <w:rsid w:val="00EB4A8D"/>
    <w:rsid w:val="00EB54CD"/>
    <w:rsid w:val="00EB5DE2"/>
    <w:rsid w:val="00EB6186"/>
    <w:rsid w:val="00EB698B"/>
    <w:rsid w:val="00EB6AAC"/>
    <w:rsid w:val="00EB6CA4"/>
    <w:rsid w:val="00EB769C"/>
    <w:rsid w:val="00EB7B3D"/>
    <w:rsid w:val="00EC0CCC"/>
    <w:rsid w:val="00EC0E45"/>
    <w:rsid w:val="00EC1DE5"/>
    <w:rsid w:val="00EC1E45"/>
    <w:rsid w:val="00EC264F"/>
    <w:rsid w:val="00EC328F"/>
    <w:rsid w:val="00EC3BBA"/>
    <w:rsid w:val="00EC4473"/>
    <w:rsid w:val="00EC5260"/>
    <w:rsid w:val="00EC58A3"/>
    <w:rsid w:val="00EC5DE1"/>
    <w:rsid w:val="00EC5F0F"/>
    <w:rsid w:val="00EC657C"/>
    <w:rsid w:val="00EC6894"/>
    <w:rsid w:val="00EC6E66"/>
    <w:rsid w:val="00EC6E6A"/>
    <w:rsid w:val="00EC7760"/>
    <w:rsid w:val="00EC7952"/>
    <w:rsid w:val="00ED064F"/>
    <w:rsid w:val="00ED0E17"/>
    <w:rsid w:val="00ED2691"/>
    <w:rsid w:val="00ED3296"/>
    <w:rsid w:val="00ED4B63"/>
    <w:rsid w:val="00ED53BC"/>
    <w:rsid w:val="00ED5494"/>
    <w:rsid w:val="00ED5605"/>
    <w:rsid w:val="00ED5804"/>
    <w:rsid w:val="00ED6057"/>
    <w:rsid w:val="00ED608C"/>
    <w:rsid w:val="00ED7474"/>
    <w:rsid w:val="00ED79C7"/>
    <w:rsid w:val="00ED7BFA"/>
    <w:rsid w:val="00EE04EC"/>
    <w:rsid w:val="00EE0A33"/>
    <w:rsid w:val="00EE15D7"/>
    <w:rsid w:val="00EE1A76"/>
    <w:rsid w:val="00EE1EF2"/>
    <w:rsid w:val="00EE1F8D"/>
    <w:rsid w:val="00EE234E"/>
    <w:rsid w:val="00EE3B7E"/>
    <w:rsid w:val="00EE41E0"/>
    <w:rsid w:val="00EE444A"/>
    <w:rsid w:val="00EE4B7E"/>
    <w:rsid w:val="00EE4BC1"/>
    <w:rsid w:val="00EE5CF8"/>
    <w:rsid w:val="00EE6E78"/>
    <w:rsid w:val="00EE6E86"/>
    <w:rsid w:val="00EF1C13"/>
    <w:rsid w:val="00EF1F8C"/>
    <w:rsid w:val="00EF213C"/>
    <w:rsid w:val="00EF2277"/>
    <w:rsid w:val="00EF25D3"/>
    <w:rsid w:val="00EF2B67"/>
    <w:rsid w:val="00EF2FD9"/>
    <w:rsid w:val="00EF30D1"/>
    <w:rsid w:val="00EF33BD"/>
    <w:rsid w:val="00EF364B"/>
    <w:rsid w:val="00EF42CD"/>
    <w:rsid w:val="00EF4587"/>
    <w:rsid w:val="00EF4E09"/>
    <w:rsid w:val="00EF5D79"/>
    <w:rsid w:val="00EF5F9A"/>
    <w:rsid w:val="00EF6EB6"/>
    <w:rsid w:val="00EF7405"/>
    <w:rsid w:val="00F00E4F"/>
    <w:rsid w:val="00F019CF"/>
    <w:rsid w:val="00F01C5A"/>
    <w:rsid w:val="00F02828"/>
    <w:rsid w:val="00F03E63"/>
    <w:rsid w:val="00F063AE"/>
    <w:rsid w:val="00F06866"/>
    <w:rsid w:val="00F06CD8"/>
    <w:rsid w:val="00F070F7"/>
    <w:rsid w:val="00F071B7"/>
    <w:rsid w:val="00F07EDB"/>
    <w:rsid w:val="00F10374"/>
    <w:rsid w:val="00F10456"/>
    <w:rsid w:val="00F10678"/>
    <w:rsid w:val="00F10C28"/>
    <w:rsid w:val="00F1179F"/>
    <w:rsid w:val="00F117C4"/>
    <w:rsid w:val="00F121C4"/>
    <w:rsid w:val="00F12716"/>
    <w:rsid w:val="00F12CB4"/>
    <w:rsid w:val="00F1366D"/>
    <w:rsid w:val="00F13711"/>
    <w:rsid w:val="00F151B2"/>
    <w:rsid w:val="00F153D6"/>
    <w:rsid w:val="00F167DD"/>
    <w:rsid w:val="00F17232"/>
    <w:rsid w:val="00F21D39"/>
    <w:rsid w:val="00F23851"/>
    <w:rsid w:val="00F23E60"/>
    <w:rsid w:val="00F2475C"/>
    <w:rsid w:val="00F263E6"/>
    <w:rsid w:val="00F267C7"/>
    <w:rsid w:val="00F26AEF"/>
    <w:rsid w:val="00F26F9C"/>
    <w:rsid w:val="00F273BE"/>
    <w:rsid w:val="00F27831"/>
    <w:rsid w:val="00F30D3B"/>
    <w:rsid w:val="00F30E9F"/>
    <w:rsid w:val="00F320C8"/>
    <w:rsid w:val="00F323C8"/>
    <w:rsid w:val="00F32474"/>
    <w:rsid w:val="00F32B88"/>
    <w:rsid w:val="00F32CDE"/>
    <w:rsid w:val="00F33643"/>
    <w:rsid w:val="00F336AA"/>
    <w:rsid w:val="00F33C49"/>
    <w:rsid w:val="00F33D86"/>
    <w:rsid w:val="00F354ED"/>
    <w:rsid w:val="00F3550E"/>
    <w:rsid w:val="00F3762B"/>
    <w:rsid w:val="00F37CBA"/>
    <w:rsid w:val="00F40A09"/>
    <w:rsid w:val="00F40FC3"/>
    <w:rsid w:val="00F41384"/>
    <w:rsid w:val="00F41644"/>
    <w:rsid w:val="00F418FA"/>
    <w:rsid w:val="00F41B17"/>
    <w:rsid w:val="00F42065"/>
    <w:rsid w:val="00F42301"/>
    <w:rsid w:val="00F43086"/>
    <w:rsid w:val="00F43B5D"/>
    <w:rsid w:val="00F43C6D"/>
    <w:rsid w:val="00F43E42"/>
    <w:rsid w:val="00F44E6B"/>
    <w:rsid w:val="00F4507B"/>
    <w:rsid w:val="00F45779"/>
    <w:rsid w:val="00F45C35"/>
    <w:rsid w:val="00F467B6"/>
    <w:rsid w:val="00F46B72"/>
    <w:rsid w:val="00F4759F"/>
    <w:rsid w:val="00F47B8E"/>
    <w:rsid w:val="00F5072B"/>
    <w:rsid w:val="00F508D0"/>
    <w:rsid w:val="00F50A26"/>
    <w:rsid w:val="00F50AF6"/>
    <w:rsid w:val="00F50FA5"/>
    <w:rsid w:val="00F516AE"/>
    <w:rsid w:val="00F517EB"/>
    <w:rsid w:val="00F520B5"/>
    <w:rsid w:val="00F525B4"/>
    <w:rsid w:val="00F52866"/>
    <w:rsid w:val="00F5291F"/>
    <w:rsid w:val="00F52F09"/>
    <w:rsid w:val="00F5333D"/>
    <w:rsid w:val="00F53ACE"/>
    <w:rsid w:val="00F53B7A"/>
    <w:rsid w:val="00F542BA"/>
    <w:rsid w:val="00F55225"/>
    <w:rsid w:val="00F55863"/>
    <w:rsid w:val="00F55919"/>
    <w:rsid w:val="00F55AE3"/>
    <w:rsid w:val="00F561DD"/>
    <w:rsid w:val="00F56391"/>
    <w:rsid w:val="00F56495"/>
    <w:rsid w:val="00F564E4"/>
    <w:rsid w:val="00F565AC"/>
    <w:rsid w:val="00F574F0"/>
    <w:rsid w:val="00F578B1"/>
    <w:rsid w:val="00F6095E"/>
    <w:rsid w:val="00F60DEB"/>
    <w:rsid w:val="00F6230B"/>
    <w:rsid w:val="00F624B1"/>
    <w:rsid w:val="00F625D6"/>
    <w:rsid w:val="00F633BC"/>
    <w:rsid w:val="00F636D2"/>
    <w:rsid w:val="00F63B89"/>
    <w:rsid w:val="00F63DA0"/>
    <w:rsid w:val="00F64562"/>
    <w:rsid w:val="00F64ACD"/>
    <w:rsid w:val="00F65EB5"/>
    <w:rsid w:val="00F660A0"/>
    <w:rsid w:val="00F663D7"/>
    <w:rsid w:val="00F667E7"/>
    <w:rsid w:val="00F70054"/>
    <w:rsid w:val="00F707DF"/>
    <w:rsid w:val="00F707EB"/>
    <w:rsid w:val="00F71867"/>
    <w:rsid w:val="00F72851"/>
    <w:rsid w:val="00F72880"/>
    <w:rsid w:val="00F735BA"/>
    <w:rsid w:val="00F74567"/>
    <w:rsid w:val="00F757F1"/>
    <w:rsid w:val="00F75CFC"/>
    <w:rsid w:val="00F7604B"/>
    <w:rsid w:val="00F7606F"/>
    <w:rsid w:val="00F76511"/>
    <w:rsid w:val="00F776E0"/>
    <w:rsid w:val="00F8019D"/>
    <w:rsid w:val="00F80250"/>
    <w:rsid w:val="00F80486"/>
    <w:rsid w:val="00F80F10"/>
    <w:rsid w:val="00F81334"/>
    <w:rsid w:val="00F8149A"/>
    <w:rsid w:val="00F81ED4"/>
    <w:rsid w:val="00F8242C"/>
    <w:rsid w:val="00F82952"/>
    <w:rsid w:val="00F84603"/>
    <w:rsid w:val="00F84845"/>
    <w:rsid w:val="00F8519B"/>
    <w:rsid w:val="00F86140"/>
    <w:rsid w:val="00F86E12"/>
    <w:rsid w:val="00F8775C"/>
    <w:rsid w:val="00F87A18"/>
    <w:rsid w:val="00F91377"/>
    <w:rsid w:val="00F91EDE"/>
    <w:rsid w:val="00F92143"/>
    <w:rsid w:val="00F927C9"/>
    <w:rsid w:val="00F927F0"/>
    <w:rsid w:val="00F929D3"/>
    <w:rsid w:val="00F92CBB"/>
    <w:rsid w:val="00F93481"/>
    <w:rsid w:val="00F94826"/>
    <w:rsid w:val="00F951B2"/>
    <w:rsid w:val="00F953A2"/>
    <w:rsid w:val="00F95604"/>
    <w:rsid w:val="00F95FDC"/>
    <w:rsid w:val="00F960BA"/>
    <w:rsid w:val="00F96D76"/>
    <w:rsid w:val="00FA0275"/>
    <w:rsid w:val="00FA0EB1"/>
    <w:rsid w:val="00FA1A6D"/>
    <w:rsid w:val="00FA1CBD"/>
    <w:rsid w:val="00FA1E55"/>
    <w:rsid w:val="00FA291A"/>
    <w:rsid w:val="00FA2AF2"/>
    <w:rsid w:val="00FA416A"/>
    <w:rsid w:val="00FA46B9"/>
    <w:rsid w:val="00FA58CD"/>
    <w:rsid w:val="00FA5D0D"/>
    <w:rsid w:val="00FA61F8"/>
    <w:rsid w:val="00FA7021"/>
    <w:rsid w:val="00FA72F0"/>
    <w:rsid w:val="00FB0165"/>
    <w:rsid w:val="00FB05CA"/>
    <w:rsid w:val="00FB0987"/>
    <w:rsid w:val="00FB1718"/>
    <w:rsid w:val="00FB21B3"/>
    <w:rsid w:val="00FB21DF"/>
    <w:rsid w:val="00FB3387"/>
    <w:rsid w:val="00FB3812"/>
    <w:rsid w:val="00FB49AA"/>
    <w:rsid w:val="00FB4B7C"/>
    <w:rsid w:val="00FB63B8"/>
    <w:rsid w:val="00FB6984"/>
    <w:rsid w:val="00FB6B3D"/>
    <w:rsid w:val="00FB744E"/>
    <w:rsid w:val="00FB74F6"/>
    <w:rsid w:val="00FB7C6C"/>
    <w:rsid w:val="00FC2F11"/>
    <w:rsid w:val="00FC5834"/>
    <w:rsid w:val="00FC60E0"/>
    <w:rsid w:val="00FC6310"/>
    <w:rsid w:val="00FC6662"/>
    <w:rsid w:val="00FC6B15"/>
    <w:rsid w:val="00FC6F5B"/>
    <w:rsid w:val="00FC73D8"/>
    <w:rsid w:val="00FC7728"/>
    <w:rsid w:val="00FC7980"/>
    <w:rsid w:val="00FD03A1"/>
    <w:rsid w:val="00FD05EB"/>
    <w:rsid w:val="00FD0975"/>
    <w:rsid w:val="00FD1172"/>
    <w:rsid w:val="00FD14A4"/>
    <w:rsid w:val="00FD1889"/>
    <w:rsid w:val="00FD1E4D"/>
    <w:rsid w:val="00FD20DB"/>
    <w:rsid w:val="00FD2558"/>
    <w:rsid w:val="00FD2960"/>
    <w:rsid w:val="00FD2D38"/>
    <w:rsid w:val="00FD3047"/>
    <w:rsid w:val="00FD4808"/>
    <w:rsid w:val="00FD49DD"/>
    <w:rsid w:val="00FD4F6A"/>
    <w:rsid w:val="00FD58E7"/>
    <w:rsid w:val="00FD5F2F"/>
    <w:rsid w:val="00FD6A90"/>
    <w:rsid w:val="00FD72F7"/>
    <w:rsid w:val="00FD74B5"/>
    <w:rsid w:val="00FD787F"/>
    <w:rsid w:val="00FD7BBB"/>
    <w:rsid w:val="00FE095C"/>
    <w:rsid w:val="00FE23D8"/>
    <w:rsid w:val="00FE2873"/>
    <w:rsid w:val="00FE37E4"/>
    <w:rsid w:val="00FE432E"/>
    <w:rsid w:val="00FE5B41"/>
    <w:rsid w:val="00FE5F2C"/>
    <w:rsid w:val="00FE5F95"/>
    <w:rsid w:val="00FE6212"/>
    <w:rsid w:val="00FE6463"/>
    <w:rsid w:val="00FE6DD8"/>
    <w:rsid w:val="00FE72EF"/>
    <w:rsid w:val="00FE73D7"/>
    <w:rsid w:val="00FF026C"/>
    <w:rsid w:val="00FF0310"/>
    <w:rsid w:val="00FF0A14"/>
    <w:rsid w:val="00FF0BAD"/>
    <w:rsid w:val="00FF133D"/>
    <w:rsid w:val="00FF2526"/>
    <w:rsid w:val="00FF3218"/>
    <w:rsid w:val="00FF3FF4"/>
    <w:rsid w:val="00FF49AA"/>
    <w:rsid w:val="00FF4C48"/>
    <w:rsid w:val="00FF5243"/>
    <w:rsid w:val="00FF5352"/>
    <w:rsid w:val="00FF5DD4"/>
    <w:rsid w:val="00FF69B7"/>
    <w:rsid w:val="00FF7653"/>
    <w:rsid w:val="00FF76A7"/>
    <w:rsid w:val="00FF7F65"/>
    <w:rsid w:val="01775F62"/>
    <w:rsid w:val="019B1656"/>
    <w:rsid w:val="01D76702"/>
    <w:rsid w:val="0202F45C"/>
    <w:rsid w:val="02056ED2"/>
    <w:rsid w:val="020FE895"/>
    <w:rsid w:val="0210A1BC"/>
    <w:rsid w:val="0223CCC0"/>
    <w:rsid w:val="022B6F45"/>
    <w:rsid w:val="0255D8F8"/>
    <w:rsid w:val="0272C75A"/>
    <w:rsid w:val="02907795"/>
    <w:rsid w:val="02B8BD19"/>
    <w:rsid w:val="02D4A911"/>
    <w:rsid w:val="02DD02AE"/>
    <w:rsid w:val="03049CD8"/>
    <w:rsid w:val="0341EAFD"/>
    <w:rsid w:val="03A1BF71"/>
    <w:rsid w:val="03D03312"/>
    <w:rsid w:val="03D39C7D"/>
    <w:rsid w:val="03ED3774"/>
    <w:rsid w:val="042621EA"/>
    <w:rsid w:val="0430B499"/>
    <w:rsid w:val="0441D785"/>
    <w:rsid w:val="0448BF4B"/>
    <w:rsid w:val="04700379"/>
    <w:rsid w:val="047ACB50"/>
    <w:rsid w:val="0494B7BB"/>
    <w:rsid w:val="04963E6B"/>
    <w:rsid w:val="04A89876"/>
    <w:rsid w:val="0504EBFF"/>
    <w:rsid w:val="050D5D26"/>
    <w:rsid w:val="051EABFF"/>
    <w:rsid w:val="052E3B41"/>
    <w:rsid w:val="05300C1D"/>
    <w:rsid w:val="05377D57"/>
    <w:rsid w:val="05490FA9"/>
    <w:rsid w:val="0560B5F2"/>
    <w:rsid w:val="056DAECA"/>
    <w:rsid w:val="057D3758"/>
    <w:rsid w:val="05861ABA"/>
    <w:rsid w:val="05FBE0BC"/>
    <w:rsid w:val="063E7283"/>
    <w:rsid w:val="0691FCC7"/>
    <w:rsid w:val="06B6ED80"/>
    <w:rsid w:val="06ED108B"/>
    <w:rsid w:val="07323B43"/>
    <w:rsid w:val="0745315F"/>
    <w:rsid w:val="07618396"/>
    <w:rsid w:val="07725529"/>
    <w:rsid w:val="0783A91E"/>
    <w:rsid w:val="078DDF08"/>
    <w:rsid w:val="07A6704A"/>
    <w:rsid w:val="07AA86D6"/>
    <w:rsid w:val="0804A113"/>
    <w:rsid w:val="080F9C39"/>
    <w:rsid w:val="081D667A"/>
    <w:rsid w:val="081D6B41"/>
    <w:rsid w:val="086ED25A"/>
    <w:rsid w:val="08869789"/>
    <w:rsid w:val="08ABA0B0"/>
    <w:rsid w:val="08C90CB5"/>
    <w:rsid w:val="091023EE"/>
    <w:rsid w:val="09236018"/>
    <w:rsid w:val="0928CE34"/>
    <w:rsid w:val="09370218"/>
    <w:rsid w:val="09469D70"/>
    <w:rsid w:val="0951A04E"/>
    <w:rsid w:val="09770B1E"/>
    <w:rsid w:val="098D9646"/>
    <w:rsid w:val="09A87701"/>
    <w:rsid w:val="09D8F79B"/>
    <w:rsid w:val="09D95169"/>
    <w:rsid w:val="09ECA27F"/>
    <w:rsid w:val="09F5755C"/>
    <w:rsid w:val="09F9E331"/>
    <w:rsid w:val="0A132719"/>
    <w:rsid w:val="0A16BEBF"/>
    <w:rsid w:val="0A493104"/>
    <w:rsid w:val="0A49E617"/>
    <w:rsid w:val="0A7BEA2C"/>
    <w:rsid w:val="0ABFA5BF"/>
    <w:rsid w:val="0AEB036D"/>
    <w:rsid w:val="0AFC189B"/>
    <w:rsid w:val="0AFD3236"/>
    <w:rsid w:val="0B1696FC"/>
    <w:rsid w:val="0B1F94E4"/>
    <w:rsid w:val="0B5C9C11"/>
    <w:rsid w:val="0B85EBD6"/>
    <w:rsid w:val="0B94DBA3"/>
    <w:rsid w:val="0BAA85E2"/>
    <w:rsid w:val="0BC1C9DD"/>
    <w:rsid w:val="0BD0E535"/>
    <w:rsid w:val="0C10CDE5"/>
    <w:rsid w:val="0C1DEE9B"/>
    <w:rsid w:val="0C2D040B"/>
    <w:rsid w:val="0C370A37"/>
    <w:rsid w:val="0C3B5DA3"/>
    <w:rsid w:val="0C8D390E"/>
    <w:rsid w:val="0C9A086F"/>
    <w:rsid w:val="0CCCBBB0"/>
    <w:rsid w:val="0CD9F073"/>
    <w:rsid w:val="0D11244F"/>
    <w:rsid w:val="0D32131D"/>
    <w:rsid w:val="0D407D9E"/>
    <w:rsid w:val="0D561FF7"/>
    <w:rsid w:val="0D7B83E1"/>
    <w:rsid w:val="0D7E9660"/>
    <w:rsid w:val="0D952FB8"/>
    <w:rsid w:val="0D9C3BD2"/>
    <w:rsid w:val="0E5A6784"/>
    <w:rsid w:val="0EAD0BD2"/>
    <w:rsid w:val="0EC0BC2F"/>
    <w:rsid w:val="0EE194C6"/>
    <w:rsid w:val="0EEB30A8"/>
    <w:rsid w:val="0EEECA9C"/>
    <w:rsid w:val="0EF2F8C4"/>
    <w:rsid w:val="0EF54255"/>
    <w:rsid w:val="0F314A3D"/>
    <w:rsid w:val="0F329CB1"/>
    <w:rsid w:val="0F4B4C79"/>
    <w:rsid w:val="0F72C45B"/>
    <w:rsid w:val="0F7CF2C3"/>
    <w:rsid w:val="0F8040FF"/>
    <w:rsid w:val="0F953A33"/>
    <w:rsid w:val="0FA592A3"/>
    <w:rsid w:val="0FA8119F"/>
    <w:rsid w:val="0FE48378"/>
    <w:rsid w:val="100EF582"/>
    <w:rsid w:val="107344B7"/>
    <w:rsid w:val="10A64F89"/>
    <w:rsid w:val="10B81D27"/>
    <w:rsid w:val="10BD9E51"/>
    <w:rsid w:val="10C34DBA"/>
    <w:rsid w:val="10D4436A"/>
    <w:rsid w:val="11026096"/>
    <w:rsid w:val="111E4FEF"/>
    <w:rsid w:val="115BD376"/>
    <w:rsid w:val="11A6594E"/>
    <w:rsid w:val="11EF77BF"/>
    <w:rsid w:val="12228EC7"/>
    <w:rsid w:val="12509903"/>
    <w:rsid w:val="125F33F5"/>
    <w:rsid w:val="12762F3A"/>
    <w:rsid w:val="12C7AB63"/>
    <w:rsid w:val="12E06E8C"/>
    <w:rsid w:val="12E3C583"/>
    <w:rsid w:val="1303131E"/>
    <w:rsid w:val="134850EB"/>
    <w:rsid w:val="1367DF41"/>
    <w:rsid w:val="139D5386"/>
    <w:rsid w:val="13F65C23"/>
    <w:rsid w:val="14028B99"/>
    <w:rsid w:val="1417210D"/>
    <w:rsid w:val="1436B30B"/>
    <w:rsid w:val="14547B3F"/>
    <w:rsid w:val="146B553A"/>
    <w:rsid w:val="146C30C1"/>
    <w:rsid w:val="14A6F83D"/>
    <w:rsid w:val="14ACD6E7"/>
    <w:rsid w:val="14C66158"/>
    <w:rsid w:val="14D6B281"/>
    <w:rsid w:val="14E64141"/>
    <w:rsid w:val="14EC7EB0"/>
    <w:rsid w:val="15047DFF"/>
    <w:rsid w:val="1521CB35"/>
    <w:rsid w:val="1528554A"/>
    <w:rsid w:val="15292839"/>
    <w:rsid w:val="15342C93"/>
    <w:rsid w:val="154A8CC0"/>
    <w:rsid w:val="1557B555"/>
    <w:rsid w:val="156A83E7"/>
    <w:rsid w:val="157AC71F"/>
    <w:rsid w:val="15810F6E"/>
    <w:rsid w:val="15EC1B33"/>
    <w:rsid w:val="163BA0C1"/>
    <w:rsid w:val="164D39CD"/>
    <w:rsid w:val="1678269D"/>
    <w:rsid w:val="16A55900"/>
    <w:rsid w:val="16A7C1F8"/>
    <w:rsid w:val="16A819F5"/>
    <w:rsid w:val="170793B5"/>
    <w:rsid w:val="17939770"/>
    <w:rsid w:val="17CA2DEA"/>
    <w:rsid w:val="17D4D568"/>
    <w:rsid w:val="17E639EB"/>
    <w:rsid w:val="1835E24B"/>
    <w:rsid w:val="18B99EFC"/>
    <w:rsid w:val="18C0960F"/>
    <w:rsid w:val="18CB258A"/>
    <w:rsid w:val="18E05A63"/>
    <w:rsid w:val="18F602FB"/>
    <w:rsid w:val="1901446B"/>
    <w:rsid w:val="1909849B"/>
    <w:rsid w:val="190AF43D"/>
    <w:rsid w:val="191CDF12"/>
    <w:rsid w:val="193F352B"/>
    <w:rsid w:val="1952A7E9"/>
    <w:rsid w:val="196F5240"/>
    <w:rsid w:val="19885737"/>
    <w:rsid w:val="19D0A06B"/>
    <w:rsid w:val="19D692FB"/>
    <w:rsid w:val="19FDC385"/>
    <w:rsid w:val="1A5949BF"/>
    <w:rsid w:val="1A8A885E"/>
    <w:rsid w:val="1A942787"/>
    <w:rsid w:val="1AAB782D"/>
    <w:rsid w:val="1AC4B5AD"/>
    <w:rsid w:val="1AF9ABA5"/>
    <w:rsid w:val="1B1330F0"/>
    <w:rsid w:val="1B33D96B"/>
    <w:rsid w:val="1B43FCC2"/>
    <w:rsid w:val="1B5ECF00"/>
    <w:rsid w:val="1B6D71F6"/>
    <w:rsid w:val="1B70574C"/>
    <w:rsid w:val="1B7A9283"/>
    <w:rsid w:val="1B827680"/>
    <w:rsid w:val="1BC156CD"/>
    <w:rsid w:val="1C1AB8F8"/>
    <w:rsid w:val="1C56E565"/>
    <w:rsid w:val="1C581932"/>
    <w:rsid w:val="1C6B4424"/>
    <w:rsid w:val="1C722499"/>
    <w:rsid w:val="1C75BC15"/>
    <w:rsid w:val="1CACC0DA"/>
    <w:rsid w:val="1CB426C7"/>
    <w:rsid w:val="1CEC47D7"/>
    <w:rsid w:val="1D22264F"/>
    <w:rsid w:val="1D712102"/>
    <w:rsid w:val="1D792DD8"/>
    <w:rsid w:val="1D84976C"/>
    <w:rsid w:val="1E256CEB"/>
    <w:rsid w:val="1E44325A"/>
    <w:rsid w:val="1E6F8FE9"/>
    <w:rsid w:val="1E78919D"/>
    <w:rsid w:val="1E80A25D"/>
    <w:rsid w:val="1EB542FA"/>
    <w:rsid w:val="1EBDFA6C"/>
    <w:rsid w:val="1EEFA28A"/>
    <w:rsid w:val="1F306D71"/>
    <w:rsid w:val="1F319360"/>
    <w:rsid w:val="1F686166"/>
    <w:rsid w:val="1FAA66DF"/>
    <w:rsid w:val="1FAD9D0B"/>
    <w:rsid w:val="1FBA3C57"/>
    <w:rsid w:val="1FBE8757"/>
    <w:rsid w:val="1FC5E805"/>
    <w:rsid w:val="1FCB326E"/>
    <w:rsid w:val="1FFED2D3"/>
    <w:rsid w:val="2087E8C9"/>
    <w:rsid w:val="20B2085C"/>
    <w:rsid w:val="20CF1B82"/>
    <w:rsid w:val="21298F65"/>
    <w:rsid w:val="213144D3"/>
    <w:rsid w:val="213A22DE"/>
    <w:rsid w:val="213D6075"/>
    <w:rsid w:val="2165A7B2"/>
    <w:rsid w:val="21681E95"/>
    <w:rsid w:val="2189F023"/>
    <w:rsid w:val="2193353D"/>
    <w:rsid w:val="21967E3C"/>
    <w:rsid w:val="219DBC7E"/>
    <w:rsid w:val="21A3ED66"/>
    <w:rsid w:val="21BC0BFF"/>
    <w:rsid w:val="21C158C9"/>
    <w:rsid w:val="21F7A1A6"/>
    <w:rsid w:val="224CFF2C"/>
    <w:rsid w:val="22906570"/>
    <w:rsid w:val="231059DE"/>
    <w:rsid w:val="2317D279"/>
    <w:rsid w:val="2321CEFC"/>
    <w:rsid w:val="232E7DD7"/>
    <w:rsid w:val="235AB2A9"/>
    <w:rsid w:val="23A8FD1F"/>
    <w:rsid w:val="240D8794"/>
    <w:rsid w:val="241D03CE"/>
    <w:rsid w:val="243C7B69"/>
    <w:rsid w:val="244754B3"/>
    <w:rsid w:val="24577AB6"/>
    <w:rsid w:val="2502CC03"/>
    <w:rsid w:val="2514B14D"/>
    <w:rsid w:val="25179B58"/>
    <w:rsid w:val="251B7E77"/>
    <w:rsid w:val="253D6C73"/>
    <w:rsid w:val="256229CD"/>
    <w:rsid w:val="2576DA48"/>
    <w:rsid w:val="25991748"/>
    <w:rsid w:val="25D34F4F"/>
    <w:rsid w:val="25D979C7"/>
    <w:rsid w:val="25E1608E"/>
    <w:rsid w:val="26460F4F"/>
    <w:rsid w:val="267FD9AD"/>
    <w:rsid w:val="26C79B8C"/>
    <w:rsid w:val="26C90C4E"/>
    <w:rsid w:val="26CA36FC"/>
    <w:rsid w:val="26E721EA"/>
    <w:rsid w:val="271AC689"/>
    <w:rsid w:val="27220D49"/>
    <w:rsid w:val="274A2CC0"/>
    <w:rsid w:val="27ADCC3F"/>
    <w:rsid w:val="27C3EC0C"/>
    <w:rsid w:val="27C4B6C4"/>
    <w:rsid w:val="27C8DEDA"/>
    <w:rsid w:val="27DB55CF"/>
    <w:rsid w:val="282847B4"/>
    <w:rsid w:val="2872C042"/>
    <w:rsid w:val="2878C301"/>
    <w:rsid w:val="287E3634"/>
    <w:rsid w:val="289836B1"/>
    <w:rsid w:val="28B35067"/>
    <w:rsid w:val="28C41BB7"/>
    <w:rsid w:val="28ECA402"/>
    <w:rsid w:val="2920A67D"/>
    <w:rsid w:val="2923B78F"/>
    <w:rsid w:val="292C21AC"/>
    <w:rsid w:val="297023A1"/>
    <w:rsid w:val="2972C034"/>
    <w:rsid w:val="29C1ECE3"/>
    <w:rsid w:val="29D27172"/>
    <w:rsid w:val="2A02AC25"/>
    <w:rsid w:val="2A4E3CF2"/>
    <w:rsid w:val="2A865A5F"/>
    <w:rsid w:val="2A935A95"/>
    <w:rsid w:val="2AB51816"/>
    <w:rsid w:val="2ADA4B4C"/>
    <w:rsid w:val="2AFDF0B5"/>
    <w:rsid w:val="2B068AE5"/>
    <w:rsid w:val="2B3863E7"/>
    <w:rsid w:val="2B3DF9D2"/>
    <w:rsid w:val="2B46A8F6"/>
    <w:rsid w:val="2B610FFD"/>
    <w:rsid w:val="2B79A0FD"/>
    <w:rsid w:val="2BA46A60"/>
    <w:rsid w:val="2C010D78"/>
    <w:rsid w:val="2C36A52C"/>
    <w:rsid w:val="2C45C824"/>
    <w:rsid w:val="2C486C30"/>
    <w:rsid w:val="2C79A762"/>
    <w:rsid w:val="2CA735C1"/>
    <w:rsid w:val="2CAF495D"/>
    <w:rsid w:val="2CCCF9CF"/>
    <w:rsid w:val="2CD0537C"/>
    <w:rsid w:val="2CD1F32A"/>
    <w:rsid w:val="2CEB7EEF"/>
    <w:rsid w:val="2CF04AAC"/>
    <w:rsid w:val="2D340E77"/>
    <w:rsid w:val="2D363651"/>
    <w:rsid w:val="2D419403"/>
    <w:rsid w:val="2D4F598A"/>
    <w:rsid w:val="2D76F401"/>
    <w:rsid w:val="2D869F02"/>
    <w:rsid w:val="2DB8DD68"/>
    <w:rsid w:val="2DC70F7B"/>
    <w:rsid w:val="2DCEC4BE"/>
    <w:rsid w:val="2E0DFCCD"/>
    <w:rsid w:val="2E1EDAD5"/>
    <w:rsid w:val="2E24CBC7"/>
    <w:rsid w:val="2E26F9B9"/>
    <w:rsid w:val="2E3AB3B4"/>
    <w:rsid w:val="2E468DC1"/>
    <w:rsid w:val="2E8CA0F1"/>
    <w:rsid w:val="2F09F55B"/>
    <w:rsid w:val="2F3C9ABA"/>
    <w:rsid w:val="2F40783B"/>
    <w:rsid w:val="2F57DF17"/>
    <w:rsid w:val="2F6BBE2A"/>
    <w:rsid w:val="2F785400"/>
    <w:rsid w:val="300D4F00"/>
    <w:rsid w:val="301BB1D3"/>
    <w:rsid w:val="303FCF83"/>
    <w:rsid w:val="305C42AB"/>
    <w:rsid w:val="3091FB32"/>
    <w:rsid w:val="30ACA2DA"/>
    <w:rsid w:val="30B472FB"/>
    <w:rsid w:val="30B5BB6D"/>
    <w:rsid w:val="30C63073"/>
    <w:rsid w:val="30DA273F"/>
    <w:rsid w:val="30DA63F3"/>
    <w:rsid w:val="30F97CFB"/>
    <w:rsid w:val="310B06EA"/>
    <w:rsid w:val="31291775"/>
    <w:rsid w:val="314935ED"/>
    <w:rsid w:val="3161DDBF"/>
    <w:rsid w:val="31A31EA1"/>
    <w:rsid w:val="31A35FCB"/>
    <w:rsid w:val="31CE1D53"/>
    <w:rsid w:val="3217E535"/>
    <w:rsid w:val="3227AA02"/>
    <w:rsid w:val="3228A59D"/>
    <w:rsid w:val="322ADC88"/>
    <w:rsid w:val="32349480"/>
    <w:rsid w:val="3236D51C"/>
    <w:rsid w:val="3267E296"/>
    <w:rsid w:val="32683D39"/>
    <w:rsid w:val="32776B52"/>
    <w:rsid w:val="32A85E4D"/>
    <w:rsid w:val="32B9E1F4"/>
    <w:rsid w:val="32EE172C"/>
    <w:rsid w:val="32F20A07"/>
    <w:rsid w:val="3309568B"/>
    <w:rsid w:val="332275EF"/>
    <w:rsid w:val="3323F845"/>
    <w:rsid w:val="333C6B1F"/>
    <w:rsid w:val="337ED226"/>
    <w:rsid w:val="3390F595"/>
    <w:rsid w:val="339A4F79"/>
    <w:rsid w:val="33A2A714"/>
    <w:rsid w:val="33EE9249"/>
    <w:rsid w:val="33F518C4"/>
    <w:rsid w:val="33FA3A89"/>
    <w:rsid w:val="33FFBF89"/>
    <w:rsid w:val="341E344D"/>
    <w:rsid w:val="34561988"/>
    <w:rsid w:val="346147DA"/>
    <w:rsid w:val="346D7065"/>
    <w:rsid w:val="34A449AC"/>
    <w:rsid w:val="34A80999"/>
    <w:rsid w:val="34B46985"/>
    <w:rsid w:val="34BE278A"/>
    <w:rsid w:val="34C0900E"/>
    <w:rsid w:val="34F49301"/>
    <w:rsid w:val="350586FD"/>
    <w:rsid w:val="350C96A5"/>
    <w:rsid w:val="350D4088"/>
    <w:rsid w:val="35339009"/>
    <w:rsid w:val="35871E87"/>
    <w:rsid w:val="35AAAFE5"/>
    <w:rsid w:val="35CF9037"/>
    <w:rsid w:val="35E5CB74"/>
    <w:rsid w:val="3601D5C3"/>
    <w:rsid w:val="360D15DE"/>
    <w:rsid w:val="3644D00B"/>
    <w:rsid w:val="365C18A4"/>
    <w:rsid w:val="366BC231"/>
    <w:rsid w:val="3684F878"/>
    <w:rsid w:val="36C5D6C8"/>
    <w:rsid w:val="36CF0C78"/>
    <w:rsid w:val="36D202BB"/>
    <w:rsid w:val="3710FFC4"/>
    <w:rsid w:val="371DD796"/>
    <w:rsid w:val="372166F7"/>
    <w:rsid w:val="373A47CA"/>
    <w:rsid w:val="3751099C"/>
    <w:rsid w:val="37560C7E"/>
    <w:rsid w:val="3769FC90"/>
    <w:rsid w:val="37BB7218"/>
    <w:rsid w:val="37F5317F"/>
    <w:rsid w:val="37FB5E7C"/>
    <w:rsid w:val="387EB667"/>
    <w:rsid w:val="38C1D851"/>
    <w:rsid w:val="38F429F3"/>
    <w:rsid w:val="39436618"/>
    <w:rsid w:val="3952D83D"/>
    <w:rsid w:val="397C78E1"/>
    <w:rsid w:val="39B976CF"/>
    <w:rsid w:val="39E7A3E0"/>
    <w:rsid w:val="39EF6CCB"/>
    <w:rsid w:val="39F457A5"/>
    <w:rsid w:val="3A0253EC"/>
    <w:rsid w:val="3A65FC22"/>
    <w:rsid w:val="3A767427"/>
    <w:rsid w:val="3A84E848"/>
    <w:rsid w:val="3A852D50"/>
    <w:rsid w:val="3AA8FFC4"/>
    <w:rsid w:val="3AB3E429"/>
    <w:rsid w:val="3ADA0B19"/>
    <w:rsid w:val="3AF0FFCD"/>
    <w:rsid w:val="3AF58D1C"/>
    <w:rsid w:val="3B2D4129"/>
    <w:rsid w:val="3B4C4138"/>
    <w:rsid w:val="3B717D80"/>
    <w:rsid w:val="3BD3A58A"/>
    <w:rsid w:val="3BD79B6E"/>
    <w:rsid w:val="3BF1040E"/>
    <w:rsid w:val="3BFE303E"/>
    <w:rsid w:val="3C048211"/>
    <w:rsid w:val="3C051E7A"/>
    <w:rsid w:val="3C2DFD8E"/>
    <w:rsid w:val="3C416827"/>
    <w:rsid w:val="3C549480"/>
    <w:rsid w:val="3C56B582"/>
    <w:rsid w:val="3C717253"/>
    <w:rsid w:val="3C862FE4"/>
    <w:rsid w:val="3C8D610A"/>
    <w:rsid w:val="3C9B2B5A"/>
    <w:rsid w:val="3CCF2EDA"/>
    <w:rsid w:val="3D04972C"/>
    <w:rsid w:val="3D24C54C"/>
    <w:rsid w:val="3D4FD98C"/>
    <w:rsid w:val="3D5C5D74"/>
    <w:rsid w:val="3D9E09FA"/>
    <w:rsid w:val="3D9EA426"/>
    <w:rsid w:val="3DA4A9CE"/>
    <w:rsid w:val="3DFCB0AA"/>
    <w:rsid w:val="3E38F670"/>
    <w:rsid w:val="3E5B444F"/>
    <w:rsid w:val="3E72466D"/>
    <w:rsid w:val="3EA7EAA6"/>
    <w:rsid w:val="3EEF50FA"/>
    <w:rsid w:val="3F07DE6E"/>
    <w:rsid w:val="3F156BAB"/>
    <w:rsid w:val="3F3ADF2E"/>
    <w:rsid w:val="3F538C1D"/>
    <w:rsid w:val="3F883248"/>
    <w:rsid w:val="3F8F2D10"/>
    <w:rsid w:val="40205C2D"/>
    <w:rsid w:val="4072BDEF"/>
    <w:rsid w:val="407E4994"/>
    <w:rsid w:val="40A3017A"/>
    <w:rsid w:val="40C06B91"/>
    <w:rsid w:val="40DD1C08"/>
    <w:rsid w:val="41035CD6"/>
    <w:rsid w:val="412E7382"/>
    <w:rsid w:val="4172CB1A"/>
    <w:rsid w:val="419F1E4D"/>
    <w:rsid w:val="41C65DD9"/>
    <w:rsid w:val="41DB78FA"/>
    <w:rsid w:val="41E5C695"/>
    <w:rsid w:val="41F7D669"/>
    <w:rsid w:val="420D4A4F"/>
    <w:rsid w:val="4224866E"/>
    <w:rsid w:val="423D3F4D"/>
    <w:rsid w:val="4253664B"/>
    <w:rsid w:val="429A5DED"/>
    <w:rsid w:val="429D3851"/>
    <w:rsid w:val="42AD9A94"/>
    <w:rsid w:val="42DE5457"/>
    <w:rsid w:val="42FA6E8B"/>
    <w:rsid w:val="433D3981"/>
    <w:rsid w:val="4352FFE3"/>
    <w:rsid w:val="4357FCEF"/>
    <w:rsid w:val="43CC535F"/>
    <w:rsid w:val="43CC841C"/>
    <w:rsid w:val="43F6B2D9"/>
    <w:rsid w:val="441BE7E8"/>
    <w:rsid w:val="4427709A"/>
    <w:rsid w:val="44417831"/>
    <w:rsid w:val="445C5293"/>
    <w:rsid w:val="44770884"/>
    <w:rsid w:val="448F5755"/>
    <w:rsid w:val="44BD7DD7"/>
    <w:rsid w:val="44BF667D"/>
    <w:rsid w:val="44D79CAC"/>
    <w:rsid w:val="44E62942"/>
    <w:rsid w:val="44F3CD50"/>
    <w:rsid w:val="44F889AB"/>
    <w:rsid w:val="450121FA"/>
    <w:rsid w:val="4521BABD"/>
    <w:rsid w:val="45356712"/>
    <w:rsid w:val="457183E5"/>
    <w:rsid w:val="45983E39"/>
    <w:rsid w:val="45BA4F6D"/>
    <w:rsid w:val="45CAE6BA"/>
    <w:rsid w:val="46604883"/>
    <w:rsid w:val="46CCE26E"/>
    <w:rsid w:val="472F8BF6"/>
    <w:rsid w:val="474703E8"/>
    <w:rsid w:val="47888B06"/>
    <w:rsid w:val="479141BF"/>
    <w:rsid w:val="47D14D97"/>
    <w:rsid w:val="47DDBF43"/>
    <w:rsid w:val="4803D61E"/>
    <w:rsid w:val="482B63E9"/>
    <w:rsid w:val="4839913D"/>
    <w:rsid w:val="4869F817"/>
    <w:rsid w:val="48AAF961"/>
    <w:rsid w:val="48CA1E81"/>
    <w:rsid w:val="48DBF90F"/>
    <w:rsid w:val="48FC0EF1"/>
    <w:rsid w:val="4965076A"/>
    <w:rsid w:val="4975F212"/>
    <w:rsid w:val="498BC803"/>
    <w:rsid w:val="49CB5DD0"/>
    <w:rsid w:val="49EA883B"/>
    <w:rsid w:val="4A092888"/>
    <w:rsid w:val="4A371C97"/>
    <w:rsid w:val="4AAFECB2"/>
    <w:rsid w:val="4AB3CBB2"/>
    <w:rsid w:val="4ADE5C66"/>
    <w:rsid w:val="4AE90499"/>
    <w:rsid w:val="4AF4893B"/>
    <w:rsid w:val="4B38EBCD"/>
    <w:rsid w:val="4B5E1EBD"/>
    <w:rsid w:val="4B70828F"/>
    <w:rsid w:val="4BBCC652"/>
    <w:rsid w:val="4BCD5A2B"/>
    <w:rsid w:val="4BD29319"/>
    <w:rsid w:val="4BF058E3"/>
    <w:rsid w:val="4BFAF551"/>
    <w:rsid w:val="4C1660AD"/>
    <w:rsid w:val="4C2ADA64"/>
    <w:rsid w:val="4C633057"/>
    <w:rsid w:val="4C6CACBA"/>
    <w:rsid w:val="4C8E18AB"/>
    <w:rsid w:val="4CC03F1D"/>
    <w:rsid w:val="4CC77593"/>
    <w:rsid w:val="4CFAD52E"/>
    <w:rsid w:val="4DA74D17"/>
    <w:rsid w:val="4DB1FBF5"/>
    <w:rsid w:val="4DF05226"/>
    <w:rsid w:val="4DF090F9"/>
    <w:rsid w:val="4E182ECF"/>
    <w:rsid w:val="4E235A5D"/>
    <w:rsid w:val="4E312261"/>
    <w:rsid w:val="4E51E0B2"/>
    <w:rsid w:val="4E57E291"/>
    <w:rsid w:val="4E744A4B"/>
    <w:rsid w:val="4E9E42AC"/>
    <w:rsid w:val="4EBAB8FD"/>
    <w:rsid w:val="4EC799C6"/>
    <w:rsid w:val="4EE91F24"/>
    <w:rsid w:val="4F1AC081"/>
    <w:rsid w:val="4F383CB2"/>
    <w:rsid w:val="4F49ED02"/>
    <w:rsid w:val="4F6D135C"/>
    <w:rsid w:val="4FC7FE33"/>
    <w:rsid w:val="501FA0BC"/>
    <w:rsid w:val="502CD4AA"/>
    <w:rsid w:val="50336CF3"/>
    <w:rsid w:val="5033C4B6"/>
    <w:rsid w:val="506F974A"/>
    <w:rsid w:val="50735100"/>
    <w:rsid w:val="5080EAB0"/>
    <w:rsid w:val="509F3F47"/>
    <w:rsid w:val="50B135AA"/>
    <w:rsid w:val="511A63E9"/>
    <w:rsid w:val="51201010"/>
    <w:rsid w:val="513886E7"/>
    <w:rsid w:val="51445D74"/>
    <w:rsid w:val="517487E6"/>
    <w:rsid w:val="5190CE96"/>
    <w:rsid w:val="51E3B6C0"/>
    <w:rsid w:val="51FD81FF"/>
    <w:rsid w:val="5205D303"/>
    <w:rsid w:val="520D6BEE"/>
    <w:rsid w:val="52760493"/>
    <w:rsid w:val="527F9B2C"/>
    <w:rsid w:val="52D087A2"/>
    <w:rsid w:val="53014DEC"/>
    <w:rsid w:val="53543EAF"/>
    <w:rsid w:val="5368F77F"/>
    <w:rsid w:val="5379C944"/>
    <w:rsid w:val="53815818"/>
    <w:rsid w:val="538AE29C"/>
    <w:rsid w:val="539214CF"/>
    <w:rsid w:val="53E5E2EF"/>
    <w:rsid w:val="53FFAD2D"/>
    <w:rsid w:val="541D2672"/>
    <w:rsid w:val="541EDE8E"/>
    <w:rsid w:val="54263339"/>
    <w:rsid w:val="547EC533"/>
    <w:rsid w:val="5482DC89"/>
    <w:rsid w:val="549124CE"/>
    <w:rsid w:val="549B47E9"/>
    <w:rsid w:val="54B4E2DA"/>
    <w:rsid w:val="54FE26EA"/>
    <w:rsid w:val="552D2B69"/>
    <w:rsid w:val="558FE57D"/>
    <w:rsid w:val="55D8714B"/>
    <w:rsid w:val="55DD49D6"/>
    <w:rsid w:val="55EA6F5F"/>
    <w:rsid w:val="560E40B0"/>
    <w:rsid w:val="560E4617"/>
    <w:rsid w:val="562C6021"/>
    <w:rsid w:val="56326B1F"/>
    <w:rsid w:val="56555308"/>
    <w:rsid w:val="56657E50"/>
    <w:rsid w:val="56886571"/>
    <w:rsid w:val="56CB0FDB"/>
    <w:rsid w:val="56EC6580"/>
    <w:rsid w:val="56F03CC3"/>
    <w:rsid w:val="57040AB7"/>
    <w:rsid w:val="5729D6A7"/>
    <w:rsid w:val="572AA3CF"/>
    <w:rsid w:val="57815665"/>
    <w:rsid w:val="57BEFE1F"/>
    <w:rsid w:val="57E399E9"/>
    <w:rsid w:val="5812A615"/>
    <w:rsid w:val="58194329"/>
    <w:rsid w:val="582142F7"/>
    <w:rsid w:val="5888F497"/>
    <w:rsid w:val="58ACE136"/>
    <w:rsid w:val="590ECD97"/>
    <w:rsid w:val="592F963D"/>
    <w:rsid w:val="597AD21F"/>
    <w:rsid w:val="59C0C5A0"/>
    <w:rsid w:val="59D5B34B"/>
    <w:rsid w:val="5A05ECBE"/>
    <w:rsid w:val="5A3C89CD"/>
    <w:rsid w:val="5A744E7E"/>
    <w:rsid w:val="5A8D74B8"/>
    <w:rsid w:val="5A9486F9"/>
    <w:rsid w:val="5ABB8312"/>
    <w:rsid w:val="5AEAEEA2"/>
    <w:rsid w:val="5B109F8C"/>
    <w:rsid w:val="5B2E017C"/>
    <w:rsid w:val="5B7028B8"/>
    <w:rsid w:val="5B90E8D7"/>
    <w:rsid w:val="5B995B78"/>
    <w:rsid w:val="5BC0CE11"/>
    <w:rsid w:val="5BD22F1D"/>
    <w:rsid w:val="5BD31015"/>
    <w:rsid w:val="5C38C34F"/>
    <w:rsid w:val="5C4B0F02"/>
    <w:rsid w:val="5C609049"/>
    <w:rsid w:val="5CC40FB3"/>
    <w:rsid w:val="5CEB69C8"/>
    <w:rsid w:val="5CFD036F"/>
    <w:rsid w:val="5D09C70E"/>
    <w:rsid w:val="5D09C754"/>
    <w:rsid w:val="5D133C0F"/>
    <w:rsid w:val="5D28D453"/>
    <w:rsid w:val="5D5083C5"/>
    <w:rsid w:val="5DC45FC4"/>
    <w:rsid w:val="5E12D5B8"/>
    <w:rsid w:val="5E1CC303"/>
    <w:rsid w:val="5E221DFA"/>
    <w:rsid w:val="5E50ED2D"/>
    <w:rsid w:val="5E834C63"/>
    <w:rsid w:val="5EE185CB"/>
    <w:rsid w:val="5EEE4574"/>
    <w:rsid w:val="5EF718B7"/>
    <w:rsid w:val="5EFD9FBE"/>
    <w:rsid w:val="5F5575FA"/>
    <w:rsid w:val="5F914690"/>
    <w:rsid w:val="5FB5C083"/>
    <w:rsid w:val="5FE8D9AE"/>
    <w:rsid w:val="6011422B"/>
    <w:rsid w:val="6016F70A"/>
    <w:rsid w:val="601E8074"/>
    <w:rsid w:val="606D0A80"/>
    <w:rsid w:val="606D4AE5"/>
    <w:rsid w:val="609DB61B"/>
    <w:rsid w:val="60A1EF93"/>
    <w:rsid w:val="60D9BC7C"/>
    <w:rsid w:val="60F8D53C"/>
    <w:rsid w:val="61A303DE"/>
    <w:rsid w:val="61B40BE8"/>
    <w:rsid w:val="61C326F9"/>
    <w:rsid w:val="61D17941"/>
    <w:rsid w:val="61D728E0"/>
    <w:rsid w:val="6200D66B"/>
    <w:rsid w:val="620CC8AA"/>
    <w:rsid w:val="62A99F5F"/>
    <w:rsid w:val="62BD7EC9"/>
    <w:rsid w:val="62D2C3AB"/>
    <w:rsid w:val="62F3D64B"/>
    <w:rsid w:val="630326F8"/>
    <w:rsid w:val="63132EE3"/>
    <w:rsid w:val="638C51E3"/>
    <w:rsid w:val="63A17A6D"/>
    <w:rsid w:val="63D55BDB"/>
    <w:rsid w:val="63E30BCE"/>
    <w:rsid w:val="63F3D096"/>
    <w:rsid w:val="64003837"/>
    <w:rsid w:val="640EE733"/>
    <w:rsid w:val="6442C829"/>
    <w:rsid w:val="64585EE7"/>
    <w:rsid w:val="6467A085"/>
    <w:rsid w:val="6472A97C"/>
    <w:rsid w:val="64A29AA6"/>
    <w:rsid w:val="64ABC293"/>
    <w:rsid w:val="64E4FFC5"/>
    <w:rsid w:val="64E66072"/>
    <w:rsid w:val="64F2FE44"/>
    <w:rsid w:val="6512C0C4"/>
    <w:rsid w:val="651D2297"/>
    <w:rsid w:val="6571FB8E"/>
    <w:rsid w:val="6576074F"/>
    <w:rsid w:val="657B5DE7"/>
    <w:rsid w:val="65892B43"/>
    <w:rsid w:val="65A01CFE"/>
    <w:rsid w:val="65A6401D"/>
    <w:rsid w:val="65C3030F"/>
    <w:rsid w:val="65CA16F3"/>
    <w:rsid w:val="65F8A925"/>
    <w:rsid w:val="662DB51E"/>
    <w:rsid w:val="665B9BED"/>
    <w:rsid w:val="66812210"/>
    <w:rsid w:val="668FFC75"/>
    <w:rsid w:val="66918A42"/>
    <w:rsid w:val="66B1DFD8"/>
    <w:rsid w:val="66B6360B"/>
    <w:rsid w:val="66EAF3E1"/>
    <w:rsid w:val="66FEEC45"/>
    <w:rsid w:val="670D5C51"/>
    <w:rsid w:val="6732139D"/>
    <w:rsid w:val="675F37EE"/>
    <w:rsid w:val="677E3E95"/>
    <w:rsid w:val="679D9CB1"/>
    <w:rsid w:val="67AA423F"/>
    <w:rsid w:val="67ABA5D4"/>
    <w:rsid w:val="67D24B90"/>
    <w:rsid w:val="67D8C2C7"/>
    <w:rsid w:val="67EEC92F"/>
    <w:rsid w:val="67F777AC"/>
    <w:rsid w:val="6847E5CE"/>
    <w:rsid w:val="684A0AC8"/>
    <w:rsid w:val="685CB321"/>
    <w:rsid w:val="686D3077"/>
    <w:rsid w:val="687A1479"/>
    <w:rsid w:val="688A0F84"/>
    <w:rsid w:val="68CEA4B8"/>
    <w:rsid w:val="68EBEDD6"/>
    <w:rsid w:val="69077649"/>
    <w:rsid w:val="69185099"/>
    <w:rsid w:val="6935C3BA"/>
    <w:rsid w:val="6937B581"/>
    <w:rsid w:val="6948B097"/>
    <w:rsid w:val="69818104"/>
    <w:rsid w:val="69A4972E"/>
    <w:rsid w:val="69B0218F"/>
    <w:rsid w:val="69C46B21"/>
    <w:rsid w:val="6A4FC518"/>
    <w:rsid w:val="6AD60E23"/>
    <w:rsid w:val="6AF6E52F"/>
    <w:rsid w:val="6B040BBA"/>
    <w:rsid w:val="6B087803"/>
    <w:rsid w:val="6B22321E"/>
    <w:rsid w:val="6B4A2922"/>
    <w:rsid w:val="6B75E14E"/>
    <w:rsid w:val="6BCC0175"/>
    <w:rsid w:val="6BCF0DC4"/>
    <w:rsid w:val="6BE52AA0"/>
    <w:rsid w:val="6BE67934"/>
    <w:rsid w:val="6BF80B92"/>
    <w:rsid w:val="6C0F88A0"/>
    <w:rsid w:val="6C22649C"/>
    <w:rsid w:val="6C8E136A"/>
    <w:rsid w:val="6C96DD45"/>
    <w:rsid w:val="6CB7277E"/>
    <w:rsid w:val="6CEA0D65"/>
    <w:rsid w:val="6D094E83"/>
    <w:rsid w:val="6D1B9110"/>
    <w:rsid w:val="6D39D3FE"/>
    <w:rsid w:val="6D535188"/>
    <w:rsid w:val="6D6183CF"/>
    <w:rsid w:val="6D76C963"/>
    <w:rsid w:val="6DD76715"/>
    <w:rsid w:val="6DFFA4DA"/>
    <w:rsid w:val="6E134A5C"/>
    <w:rsid w:val="6E2DE95F"/>
    <w:rsid w:val="6E2F94CE"/>
    <w:rsid w:val="6E5D0107"/>
    <w:rsid w:val="6ED06DA9"/>
    <w:rsid w:val="6F22CB0E"/>
    <w:rsid w:val="6F255F91"/>
    <w:rsid w:val="6F2B707A"/>
    <w:rsid w:val="6F44ADA7"/>
    <w:rsid w:val="6FA287B6"/>
    <w:rsid w:val="6FE23291"/>
    <w:rsid w:val="6FE396D5"/>
    <w:rsid w:val="6FEA2E36"/>
    <w:rsid w:val="6FF63AE3"/>
    <w:rsid w:val="6FFC2653"/>
    <w:rsid w:val="6FFC7691"/>
    <w:rsid w:val="704D29E5"/>
    <w:rsid w:val="7058AE43"/>
    <w:rsid w:val="705C1490"/>
    <w:rsid w:val="707BBEFB"/>
    <w:rsid w:val="70965688"/>
    <w:rsid w:val="70B49DC7"/>
    <w:rsid w:val="7126D6EE"/>
    <w:rsid w:val="71329D83"/>
    <w:rsid w:val="7179CB30"/>
    <w:rsid w:val="717CA83E"/>
    <w:rsid w:val="71DB1508"/>
    <w:rsid w:val="71FCF276"/>
    <w:rsid w:val="721A9C2D"/>
    <w:rsid w:val="723E4FDB"/>
    <w:rsid w:val="7255083B"/>
    <w:rsid w:val="7277609B"/>
    <w:rsid w:val="72885531"/>
    <w:rsid w:val="72890AE1"/>
    <w:rsid w:val="72C1B9DE"/>
    <w:rsid w:val="72FDE96A"/>
    <w:rsid w:val="732465B1"/>
    <w:rsid w:val="732E2C62"/>
    <w:rsid w:val="732E5BED"/>
    <w:rsid w:val="7347C7BA"/>
    <w:rsid w:val="735154BB"/>
    <w:rsid w:val="737A5365"/>
    <w:rsid w:val="737D5529"/>
    <w:rsid w:val="738CD7FF"/>
    <w:rsid w:val="739D7D21"/>
    <w:rsid w:val="73B8D5F0"/>
    <w:rsid w:val="73BEDC96"/>
    <w:rsid w:val="74366019"/>
    <w:rsid w:val="74516977"/>
    <w:rsid w:val="7483EB7D"/>
    <w:rsid w:val="748685C6"/>
    <w:rsid w:val="748B0EAA"/>
    <w:rsid w:val="74B8B624"/>
    <w:rsid w:val="7500D486"/>
    <w:rsid w:val="753E8DCB"/>
    <w:rsid w:val="75B35620"/>
    <w:rsid w:val="7603DD67"/>
    <w:rsid w:val="761898EA"/>
    <w:rsid w:val="7642297A"/>
    <w:rsid w:val="7673BF7B"/>
    <w:rsid w:val="76CAC01D"/>
    <w:rsid w:val="76CDE8E4"/>
    <w:rsid w:val="7728F498"/>
    <w:rsid w:val="773776CF"/>
    <w:rsid w:val="774EB777"/>
    <w:rsid w:val="77519954"/>
    <w:rsid w:val="77597C67"/>
    <w:rsid w:val="7776B237"/>
    <w:rsid w:val="77C57BC2"/>
    <w:rsid w:val="77D1EFFB"/>
    <w:rsid w:val="77DCE575"/>
    <w:rsid w:val="7800539D"/>
    <w:rsid w:val="78172D12"/>
    <w:rsid w:val="781CFEC0"/>
    <w:rsid w:val="7831878E"/>
    <w:rsid w:val="7843485B"/>
    <w:rsid w:val="78658E75"/>
    <w:rsid w:val="78A14259"/>
    <w:rsid w:val="7909964B"/>
    <w:rsid w:val="790E434E"/>
    <w:rsid w:val="79188C3E"/>
    <w:rsid w:val="792B34D1"/>
    <w:rsid w:val="793A06AA"/>
    <w:rsid w:val="7950E1CF"/>
    <w:rsid w:val="79642C6D"/>
    <w:rsid w:val="79809DBE"/>
    <w:rsid w:val="79869EB3"/>
    <w:rsid w:val="79AD8299"/>
    <w:rsid w:val="79BA42DE"/>
    <w:rsid w:val="79BAE430"/>
    <w:rsid w:val="79BED697"/>
    <w:rsid w:val="79E74F22"/>
    <w:rsid w:val="7A26CF3E"/>
    <w:rsid w:val="7A621CD1"/>
    <w:rsid w:val="7A884081"/>
    <w:rsid w:val="7AA3EB97"/>
    <w:rsid w:val="7AD048D2"/>
    <w:rsid w:val="7AD4C5E7"/>
    <w:rsid w:val="7ADA2F5D"/>
    <w:rsid w:val="7AEB50C0"/>
    <w:rsid w:val="7AF76B9F"/>
    <w:rsid w:val="7B11D512"/>
    <w:rsid w:val="7B213093"/>
    <w:rsid w:val="7B4B8803"/>
    <w:rsid w:val="7B7D35C6"/>
    <w:rsid w:val="7B7F137F"/>
    <w:rsid w:val="7B8DC71A"/>
    <w:rsid w:val="7B985099"/>
    <w:rsid w:val="7B9C97A9"/>
    <w:rsid w:val="7BEB11F2"/>
    <w:rsid w:val="7C0FCFC6"/>
    <w:rsid w:val="7C1358F9"/>
    <w:rsid w:val="7C3312E2"/>
    <w:rsid w:val="7C347A6B"/>
    <w:rsid w:val="7CABEE10"/>
    <w:rsid w:val="7CB014A6"/>
    <w:rsid w:val="7CB54EBB"/>
    <w:rsid w:val="7CCDC86E"/>
    <w:rsid w:val="7D3B4D1A"/>
    <w:rsid w:val="7D7290AF"/>
    <w:rsid w:val="7D75A59D"/>
    <w:rsid w:val="7D98B263"/>
    <w:rsid w:val="7DEF8C0F"/>
    <w:rsid w:val="7E263081"/>
    <w:rsid w:val="7E528671"/>
    <w:rsid w:val="7E630533"/>
    <w:rsid w:val="7E71919D"/>
    <w:rsid w:val="7EBEE2A5"/>
    <w:rsid w:val="7ECA1806"/>
    <w:rsid w:val="7ED372F5"/>
    <w:rsid w:val="7F594598"/>
    <w:rsid w:val="7F81F908"/>
    <w:rsid w:val="7FD12B9F"/>
    <w:rsid w:val="7FDE4046"/>
    <w:rsid w:val="7FE05E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0F7F0"/>
  <w15:docId w15:val="{BCF0541F-DAE0-4121-96A6-C1D278C3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776B"/>
    <w:pPr>
      <w:spacing w:after="0" w:line="300" w:lineRule="atLeast"/>
      <w:ind w:left="567"/>
    </w:pPr>
    <w:rPr>
      <w:rFonts w:ascii="Trebuchet MS" w:hAnsi="Trebuchet MS"/>
      <w:sz w:val="18"/>
      <w:lang w:val="en-GB"/>
    </w:rPr>
  </w:style>
  <w:style w:type="paragraph" w:styleId="Nadpis1">
    <w:name w:val="heading 1"/>
    <w:aliases w:val="Heading - Chapter,(Section),MOVE-it 1,Heading 11,Hoofdstuk,Επικεφαλίδα 1 ΌΧΙ,Heading 1 - Main Heading of Document,F3 Heading 1 - Section,Numbered - 1,Section,Chapter Hdg,h1,CH TITLE 1,Chapter Heading,AChapter,Sub code header,Chapter,NEA1,1"/>
    <w:basedOn w:val="Odstavecseseznamem"/>
    <w:next w:val="Normln"/>
    <w:link w:val="Nadpis1Char"/>
    <w:uiPriority w:val="9"/>
    <w:qFormat/>
    <w:rsid w:val="002022F4"/>
    <w:pPr>
      <w:numPr>
        <w:numId w:val="4"/>
      </w:numPr>
      <w:spacing w:before="360" w:after="240"/>
      <w:ind w:left="567" w:hanging="567"/>
      <w:contextualSpacing w:val="0"/>
      <w:outlineLvl w:val="0"/>
    </w:pPr>
    <w:rPr>
      <w:b/>
      <w:color w:val="005962"/>
      <w:sz w:val="40"/>
    </w:rPr>
  </w:style>
  <w:style w:type="paragraph" w:styleId="Nadpis2">
    <w:name w:val="heading 2"/>
    <w:aliases w:val="Heading 2 - Paragrapf,2,Paragraaf,NEA2,14,H2,Se,Section1,Section2,Section3,NEA21,subhead 1,h2,subhead 11,h21,subhead 12,h22,subhead 13,h23,subhead 14,h24,subhead 15,h25,subhead 111,h211,subhead 121,h221,subhead 131,h231,subhead 141,h241,h26"/>
    <w:basedOn w:val="Odstavecseseznamem"/>
    <w:next w:val="Normln"/>
    <w:link w:val="Nadpis2Char"/>
    <w:uiPriority w:val="9"/>
    <w:qFormat/>
    <w:rsid w:val="00DA50DB"/>
    <w:pPr>
      <w:numPr>
        <w:ilvl w:val="1"/>
        <w:numId w:val="4"/>
      </w:numPr>
      <w:spacing w:before="120" w:after="120"/>
      <w:outlineLvl w:val="1"/>
    </w:pPr>
    <w:rPr>
      <w:b/>
      <w:color w:val="005962"/>
      <w:sz w:val="24"/>
    </w:rPr>
  </w:style>
  <w:style w:type="paragraph" w:styleId="Nadpis3">
    <w:name w:val="heading 3"/>
    <w:aliases w:val="Heading 3 - Subparagraph,Heading 31,Heading 32,Heading 33,Heading 34,Heading 35,Heading 36,Heading 311,Heading 321,Heading 331,Heading 341,Heading 351,Heading 37,Heading 312,Heading 322,Heading 332,Heading 342,Heading 352,Heading 313"/>
    <w:basedOn w:val="Odstavecseseznamem"/>
    <w:next w:val="Normln"/>
    <w:link w:val="Nadpis3Char"/>
    <w:uiPriority w:val="9"/>
    <w:qFormat/>
    <w:rsid w:val="00FD72F7"/>
    <w:pPr>
      <w:numPr>
        <w:ilvl w:val="2"/>
        <w:numId w:val="4"/>
      </w:numPr>
      <w:outlineLvl w:val="2"/>
    </w:pPr>
    <w:rPr>
      <w:b/>
      <w:i/>
      <w:color w:val="F04E30"/>
    </w:rPr>
  </w:style>
  <w:style w:type="paragraph" w:styleId="Nadpis4">
    <w:name w:val="heading 4"/>
    <w:basedOn w:val="Normln"/>
    <w:next w:val="Normln"/>
    <w:link w:val="Nadpis4Char"/>
    <w:uiPriority w:val="9"/>
    <w:qFormat/>
    <w:rsid w:val="00B241E9"/>
    <w:pPr>
      <w:keepNext/>
      <w:keepLines/>
      <w:ind w:left="0" w:firstLine="567"/>
      <w:outlineLvl w:val="3"/>
    </w:pPr>
    <w:rPr>
      <w:rFonts w:eastAsiaTheme="majorEastAsia" w:cstheme="majorBidi"/>
      <w:b/>
      <w:bCs/>
      <w:iCs/>
      <w:color w:val="F04E30"/>
    </w:rPr>
  </w:style>
  <w:style w:type="paragraph" w:styleId="Nadpis5">
    <w:name w:val="heading 5"/>
    <w:basedOn w:val="Normln"/>
    <w:next w:val="Normln"/>
    <w:link w:val="Nadpis5Char"/>
    <w:uiPriority w:val="9"/>
    <w:unhideWhenUsed/>
    <w:qFormat/>
    <w:rsid w:val="0021780D"/>
    <w:pPr>
      <w:keepNext/>
      <w:keepLines/>
      <w:outlineLvl w:val="4"/>
    </w:pPr>
    <w:rPr>
      <w:rFonts w:eastAsiaTheme="majorEastAsia" w:cstheme="majorBidi"/>
      <w:b/>
      <w:bCs/>
      <w:color w:val="002C54" w:themeColor="text2"/>
    </w:rPr>
  </w:style>
  <w:style w:type="paragraph" w:styleId="Nadpis6">
    <w:name w:val="heading 6"/>
    <w:basedOn w:val="Normln"/>
    <w:next w:val="Normln"/>
    <w:uiPriority w:val="9"/>
    <w:unhideWhenUsed/>
    <w:qFormat/>
    <w:rsid w:val="007835EF"/>
    <w:pPr>
      <w:keepNext/>
      <w:keepLines/>
      <w:spacing w:before="40"/>
      <w:outlineLvl w:val="5"/>
    </w:pPr>
    <w:rPr>
      <w:rFonts w:eastAsiaTheme="majorEastAsia" w:cstheme="majorBidi"/>
      <w:b/>
      <w:color w:val="002C30" w:themeColor="accent1" w:themeShade="7F"/>
    </w:rPr>
  </w:style>
  <w:style w:type="paragraph" w:styleId="Nadpis7">
    <w:name w:val="heading 7"/>
    <w:basedOn w:val="Normln"/>
    <w:next w:val="Normln"/>
    <w:uiPriority w:val="9"/>
    <w:unhideWhenUsed/>
    <w:qFormat/>
    <w:rsid w:val="00AA1D30"/>
    <w:pPr>
      <w:keepNext/>
      <w:keepLines/>
      <w:spacing w:before="40"/>
      <w:outlineLvl w:val="6"/>
    </w:pPr>
    <w:rPr>
      <w:rFonts w:eastAsiaTheme="majorEastAsia" w:cstheme="majorBidi"/>
      <w:i/>
      <w:iCs/>
      <w:color w:val="002C30" w:themeColor="accent1" w:themeShade="7F"/>
    </w:rPr>
  </w:style>
  <w:style w:type="paragraph" w:styleId="Nadpis8">
    <w:name w:val="heading 8"/>
    <w:basedOn w:val="Normln"/>
    <w:next w:val="Normln"/>
    <w:uiPriority w:val="9"/>
    <w:unhideWhenUsed/>
    <w:rsid w:val="00AA1D3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0DC"/>
    <w:pPr>
      <w:tabs>
        <w:tab w:val="center" w:pos="4513"/>
        <w:tab w:val="right" w:pos="9026"/>
      </w:tabs>
      <w:spacing w:line="240" w:lineRule="auto"/>
    </w:pPr>
  </w:style>
  <w:style w:type="character" w:customStyle="1" w:styleId="ZhlavChar">
    <w:name w:val="Záhlaví Char"/>
    <w:basedOn w:val="Standardnpsmoodstavce"/>
    <w:link w:val="Zhlav"/>
    <w:uiPriority w:val="99"/>
    <w:rsid w:val="00D900DC"/>
  </w:style>
  <w:style w:type="paragraph" w:styleId="Zpat">
    <w:name w:val="footer"/>
    <w:basedOn w:val="Normln"/>
    <w:link w:val="ZpatChar"/>
    <w:uiPriority w:val="99"/>
    <w:unhideWhenUsed/>
    <w:rsid w:val="00D900DC"/>
    <w:pPr>
      <w:tabs>
        <w:tab w:val="center" w:pos="4513"/>
        <w:tab w:val="right" w:pos="9026"/>
      </w:tabs>
      <w:spacing w:line="240" w:lineRule="auto"/>
    </w:pPr>
  </w:style>
  <w:style w:type="character" w:customStyle="1" w:styleId="ZpatChar">
    <w:name w:val="Zápatí Char"/>
    <w:basedOn w:val="Standardnpsmoodstavce"/>
    <w:link w:val="Zpat"/>
    <w:uiPriority w:val="99"/>
    <w:rsid w:val="00D900DC"/>
  </w:style>
  <w:style w:type="paragraph" w:styleId="Textbubliny">
    <w:name w:val="Balloon Text"/>
    <w:basedOn w:val="Normln"/>
    <w:link w:val="TextbublinyChar"/>
    <w:uiPriority w:val="99"/>
    <w:semiHidden/>
    <w:unhideWhenUsed/>
    <w:rsid w:val="003D10C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10CE"/>
    <w:rPr>
      <w:rFonts w:ascii="Tahoma" w:hAnsi="Tahoma" w:cs="Tahoma"/>
      <w:sz w:val="16"/>
      <w:szCs w:val="16"/>
    </w:rPr>
  </w:style>
  <w:style w:type="paragraph" w:customStyle="1" w:styleId="NoteLevel1">
    <w:name w:val="Note Level 1"/>
    <w:basedOn w:val="Normln"/>
    <w:semiHidden/>
    <w:rsid w:val="003D10CE"/>
    <w:pPr>
      <w:keepNext/>
      <w:tabs>
        <w:tab w:val="num" w:pos="0"/>
      </w:tabs>
      <w:spacing w:line="240" w:lineRule="auto"/>
      <w:contextualSpacing/>
      <w:outlineLvl w:val="0"/>
    </w:pPr>
    <w:rPr>
      <w:rFonts w:ascii="Verdana" w:eastAsia="Times New Roman" w:hAnsi="Verdana" w:cs="Times New Roman"/>
      <w:szCs w:val="18"/>
    </w:rPr>
  </w:style>
  <w:style w:type="paragraph" w:customStyle="1" w:styleId="NoteLevel2">
    <w:name w:val="Note Level 2"/>
    <w:basedOn w:val="Normln"/>
    <w:semiHidden/>
    <w:rsid w:val="003D10CE"/>
    <w:pPr>
      <w:keepNext/>
      <w:tabs>
        <w:tab w:val="num" w:pos="720"/>
      </w:tabs>
      <w:spacing w:line="240" w:lineRule="auto"/>
      <w:ind w:left="1080" w:hanging="360"/>
      <w:contextualSpacing/>
      <w:outlineLvl w:val="1"/>
    </w:pPr>
    <w:rPr>
      <w:rFonts w:ascii="Verdana" w:eastAsia="Times New Roman" w:hAnsi="Verdana" w:cs="Times New Roman"/>
      <w:szCs w:val="18"/>
    </w:rPr>
  </w:style>
  <w:style w:type="paragraph" w:customStyle="1" w:styleId="NoteLevel3">
    <w:name w:val="Note Level 3"/>
    <w:basedOn w:val="Normln"/>
    <w:semiHidden/>
    <w:rsid w:val="003D10CE"/>
    <w:pPr>
      <w:keepNext/>
      <w:tabs>
        <w:tab w:val="num" w:pos="1440"/>
      </w:tabs>
      <w:spacing w:line="240" w:lineRule="auto"/>
      <w:ind w:left="1800" w:hanging="360"/>
      <w:contextualSpacing/>
      <w:outlineLvl w:val="2"/>
    </w:pPr>
    <w:rPr>
      <w:rFonts w:ascii="Verdana" w:eastAsia="Times New Roman" w:hAnsi="Verdana" w:cs="Times New Roman"/>
      <w:szCs w:val="18"/>
    </w:rPr>
  </w:style>
  <w:style w:type="paragraph" w:customStyle="1" w:styleId="NoteLevel4">
    <w:name w:val="Note Level 4"/>
    <w:basedOn w:val="Normln"/>
    <w:semiHidden/>
    <w:rsid w:val="003D10CE"/>
    <w:pPr>
      <w:keepNext/>
      <w:tabs>
        <w:tab w:val="num" w:pos="2160"/>
      </w:tabs>
      <w:spacing w:line="240" w:lineRule="auto"/>
      <w:ind w:left="2520" w:hanging="360"/>
      <w:contextualSpacing/>
      <w:outlineLvl w:val="3"/>
    </w:pPr>
    <w:rPr>
      <w:rFonts w:ascii="Verdana" w:eastAsia="Times New Roman" w:hAnsi="Verdana" w:cs="Times New Roman"/>
      <w:szCs w:val="18"/>
    </w:rPr>
  </w:style>
  <w:style w:type="paragraph" w:customStyle="1" w:styleId="NoteLevel5">
    <w:name w:val="Note Level 5"/>
    <w:basedOn w:val="Normln"/>
    <w:semiHidden/>
    <w:rsid w:val="003D10CE"/>
    <w:pPr>
      <w:keepNext/>
      <w:tabs>
        <w:tab w:val="num" w:pos="2880"/>
      </w:tabs>
      <w:spacing w:line="240" w:lineRule="auto"/>
      <w:ind w:left="3240" w:hanging="360"/>
      <w:contextualSpacing/>
      <w:outlineLvl w:val="4"/>
    </w:pPr>
    <w:rPr>
      <w:rFonts w:ascii="Verdana" w:eastAsia="Times New Roman" w:hAnsi="Verdana" w:cs="Times New Roman"/>
      <w:szCs w:val="18"/>
    </w:rPr>
  </w:style>
  <w:style w:type="paragraph" w:customStyle="1" w:styleId="NoteLevel6">
    <w:name w:val="Note Level 6"/>
    <w:basedOn w:val="Normln"/>
    <w:semiHidden/>
    <w:rsid w:val="003D10CE"/>
    <w:pPr>
      <w:keepNext/>
      <w:tabs>
        <w:tab w:val="num" w:pos="3600"/>
      </w:tabs>
      <w:spacing w:line="240" w:lineRule="auto"/>
      <w:ind w:left="3960" w:hanging="360"/>
      <w:contextualSpacing/>
      <w:outlineLvl w:val="5"/>
    </w:pPr>
    <w:rPr>
      <w:rFonts w:ascii="Verdana" w:eastAsia="Times New Roman" w:hAnsi="Verdana" w:cs="Times New Roman"/>
      <w:szCs w:val="18"/>
    </w:rPr>
  </w:style>
  <w:style w:type="paragraph" w:customStyle="1" w:styleId="NoteLevel7">
    <w:name w:val="Note Level 7"/>
    <w:basedOn w:val="Normln"/>
    <w:semiHidden/>
    <w:rsid w:val="003D10CE"/>
    <w:pPr>
      <w:keepNext/>
      <w:tabs>
        <w:tab w:val="num" w:pos="4320"/>
      </w:tabs>
      <w:spacing w:line="240" w:lineRule="auto"/>
      <w:ind w:left="4680" w:hanging="360"/>
      <w:contextualSpacing/>
      <w:outlineLvl w:val="6"/>
    </w:pPr>
    <w:rPr>
      <w:rFonts w:ascii="Verdana" w:eastAsia="Times New Roman" w:hAnsi="Verdana" w:cs="Times New Roman"/>
      <w:szCs w:val="18"/>
    </w:rPr>
  </w:style>
  <w:style w:type="paragraph" w:customStyle="1" w:styleId="NoteLevel8">
    <w:name w:val="Note Level 8"/>
    <w:basedOn w:val="Normln"/>
    <w:semiHidden/>
    <w:rsid w:val="003D10CE"/>
    <w:pPr>
      <w:keepNext/>
      <w:tabs>
        <w:tab w:val="num" w:pos="5040"/>
      </w:tabs>
      <w:spacing w:line="240" w:lineRule="auto"/>
      <w:ind w:left="5400" w:hanging="360"/>
      <w:contextualSpacing/>
      <w:outlineLvl w:val="7"/>
    </w:pPr>
    <w:rPr>
      <w:rFonts w:ascii="Verdana" w:eastAsia="Times New Roman" w:hAnsi="Verdana" w:cs="Times New Roman"/>
      <w:szCs w:val="18"/>
    </w:rPr>
  </w:style>
  <w:style w:type="paragraph" w:customStyle="1" w:styleId="NoteLevel9">
    <w:name w:val="Note Level 9"/>
    <w:basedOn w:val="Normln"/>
    <w:semiHidden/>
    <w:rsid w:val="003D10CE"/>
    <w:pPr>
      <w:keepNext/>
      <w:tabs>
        <w:tab w:val="num" w:pos="5760"/>
      </w:tabs>
      <w:spacing w:line="240" w:lineRule="auto"/>
      <w:ind w:left="6120" w:hanging="360"/>
      <w:contextualSpacing/>
      <w:outlineLvl w:val="8"/>
    </w:pPr>
    <w:rPr>
      <w:rFonts w:ascii="Verdana" w:eastAsia="Times New Roman" w:hAnsi="Verdana" w:cs="Times New Roman"/>
      <w:szCs w:val="18"/>
    </w:rPr>
  </w:style>
  <w:style w:type="character" w:customStyle="1" w:styleId="Nadpis1Char">
    <w:name w:val="Nadpis 1 Char"/>
    <w:aliases w:val="Heading - Chapter Char,(Section) Char,MOVE-it 1 Char,Heading 11 Char,Hoofdstuk Char,Επικεφαλίδα 1 ΌΧΙ Char,Heading 1 - Main Heading of Document Char,F3 Heading 1 - Section Char,Numbered - 1 Char,Section Char,Chapter Hdg Char,h1 Char,1 Char"/>
    <w:basedOn w:val="Standardnpsmoodstavce"/>
    <w:link w:val="Nadpis1"/>
    <w:uiPriority w:val="9"/>
    <w:rsid w:val="002022F4"/>
    <w:rPr>
      <w:rFonts w:ascii="Trebuchet MS" w:hAnsi="Trebuchet MS"/>
      <w:b/>
      <w:color w:val="005962"/>
      <w:sz w:val="40"/>
      <w:lang w:val="en-GB"/>
    </w:rPr>
  </w:style>
  <w:style w:type="character" w:customStyle="1" w:styleId="Nadpis2Char">
    <w:name w:val="Nadpis 2 Char"/>
    <w:aliases w:val="Heading 2 - Paragrapf Char,2 Char,Paragraaf Char,NEA2 Char,14 Char,H2 Char,Se Char,Section1 Char,Section2 Char,Section3 Char,NEA21 Char,subhead 1 Char,h2 Char,subhead 11 Char,h21 Char,subhead 12 Char,h22 Char,subhead 13 Char,h23 Char"/>
    <w:basedOn w:val="Standardnpsmoodstavce"/>
    <w:link w:val="Nadpis2"/>
    <w:uiPriority w:val="9"/>
    <w:rsid w:val="00DA50DB"/>
    <w:rPr>
      <w:rFonts w:ascii="Trebuchet MS" w:hAnsi="Trebuchet MS"/>
      <w:b/>
      <w:color w:val="005962"/>
      <w:sz w:val="24"/>
      <w:lang w:val="en-GB"/>
    </w:rPr>
  </w:style>
  <w:style w:type="paragraph" w:styleId="Nzev">
    <w:name w:val="Title"/>
    <w:basedOn w:val="Normln"/>
    <w:next w:val="Normln"/>
    <w:link w:val="NzevChar"/>
    <w:uiPriority w:val="10"/>
    <w:semiHidden/>
    <w:qFormat/>
    <w:rsid w:val="008F78C8"/>
    <w:pPr>
      <w:pBdr>
        <w:bottom w:val="single" w:sz="8" w:space="4" w:color="005962" w:themeColor="accent1"/>
      </w:pBdr>
      <w:spacing w:after="300" w:line="240" w:lineRule="auto"/>
      <w:contextualSpacing/>
      <w:jc w:val="center"/>
    </w:pPr>
    <w:rPr>
      <w:rFonts w:eastAsiaTheme="majorEastAsia" w:cstheme="majorBidi"/>
      <w:spacing w:val="5"/>
      <w:kern w:val="28"/>
      <w:sz w:val="40"/>
      <w:szCs w:val="52"/>
    </w:rPr>
  </w:style>
  <w:style w:type="character" w:customStyle="1" w:styleId="NzevChar">
    <w:name w:val="Název Char"/>
    <w:basedOn w:val="Standardnpsmoodstavce"/>
    <w:link w:val="Nzev"/>
    <w:uiPriority w:val="10"/>
    <w:semiHidden/>
    <w:rsid w:val="00B85CB0"/>
    <w:rPr>
      <w:rFonts w:ascii="Trebuchet MS" w:eastAsiaTheme="majorEastAsia" w:hAnsi="Trebuchet MS" w:cstheme="majorBidi"/>
      <w:spacing w:val="5"/>
      <w:kern w:val="28"/>
      <w:sz w:val="40"/>
      <w:szCs w:val="52"/>
    </w:rPr>
  </w:style>
  <w:style w:type="paragraph" w:styleId="Bezmezer">
    <w:name w:val="No Spacing"/>
    <w:uiPriority w:val="1"/>
    <w:unhideWhenUsed/>
    <w:rsid w:val="00007DF2"/>
    <w:pPr>
      <w:spacing w:after="0" w:line="240" w:lineRule="auto"/>
    </w:pPr>
  </w:style>
  <w:style w:type="paragraph" w:styleId="Odstavecseseznamem">
    <w:name w:val="List Paragraph"/>
    <w:aliases w:val="1st elvel bullet green,1st level - Bullet List Paragraph,Lettre d'introduction,Paragrafo elenco,List Paragraph1,Medium Grid 1 - Accent 21,FooterText,Paragraphe de liste1,Heading 2_sj,Numbered Para 1,Dot pt,No Spacing1,Bullet 1,lp1"/>
    <w:basedOn w:val="Normln"/>
    <w:link w:val="OdstavecseseznamemChar"/>
    <w:uiPriority w:val="34"/>
    <w:qFormat/>
    <w:rsid w:val="003367E5"/>
    <w:pPr>
      <w:tabs>
        <w:tab w:val="left" w:pos="851"/>
      </w:tabs>
      <w:ind w:left="0"/>
      <w:contextualSpacing/>
    </w:pPr>
  </w:style>
  <w:style w:type="numbering" w:customStyle="1" w:styleId="Style1">
    <w:name w:val="Style1"/>
    <w:uiPriority w:val="99"/>
    <w:rsid w:val="006526A8"/>
    <w:pPr>
      <w:numPr>
        <w:numId w:val="2"/>
      </w:numPr>
    </w:pPr>
  </w:style>
  <w:style w:type="numbering" w:customStyle="1" w:styleId="Style2">
    <w:name w:val="Style2"/>
    <w:uiPriority w:val="99"/>
    <w:rsid w:val="003055E8"/>
    <w:pPr>
      <w:numPr>
        <w:numId w:val="3"/>
      </w:numPr>
    </w:pPr>
  </w:style>
  <w:style w:type="character" w:customStyle="1" w:styleId="Nadpis3Char">
    <w:name w:val="Nadpis 3 Char"/>
    <w:aliases w:val="Heading 3 - Subparagraph Char,Heading 31 Char,Heading 32 Char,Heading 33 Char,Heading 34 Char,Heading 35 Char,Heading 36 Char,Heading 311 Char,Heading 321 Char,Heading 331 Char,Heading 341 Char,Heading 351 Char,Heading 37 Char"/>
    <w:basedOn w:val="Standardnpsmoodstavce"/>
    <w:link w:val="Nadpis3"/>
    <w:uiPriority w:val="9"/>
    <w:rsid w:val="00456CCB"/>
    <w:rPr>
      <w:rFonts w:ascii="Trebuchet MS" w:hAnsi="Trebuchet MS"/>
      <w:b/>
      <w:i/>
      <w:color w:val="F04E30"/>
      <w:sz w:val="18"/>
      <w:lang w:val="en-GB"/>
    </w:rPr>
  </w:style>
  <w:style w:type="character" w:customStyle="1" w:styleId="Nadpis4Char">
    <w:name w:val="Nadpis 4 Char"/>
    <w:basedOn w:val="Standardnpsmoodstavce"/>
    <w:link w:val="Nadpis4"/>
    <w:uiPriority w:val="9"/>
    <w:rsid w:val="00B241E9"/>
    <w:rPr>
      <w:rFonts w:ascii="Trebuchet MS" w:eastAsiaTheme="majorEastAsia" w:hAnsi="Trebuchet MS" w:cstheme="majorBidi"/>
      <w:b/>
      <w:bCs/>
      <w:iCs/>
      <w:color w:val="F04E30"/>
      <w:sz w:val="18"/>
    </w:rPr>
  </w:style>
  <w:style w:type="character" w:customStyle="1" w:styleId="Nadpis5Char">
    <w:name w:val="Nadpis 5 Char"/>
    <w:basedOn w:val="Standardnpsmoodstavce"/>
    <w:link w:val="Nadpis5"/>
    <w:uiPriority w:val="9"/>
    <w:rsid w:val="0021780D"/>
    <w:rPr>
      <w:rFonts w:ascii="Trebuchet MS" w:eastAsiaTheme="majorEastAsia" w:hAnsi="Trebuchet MS" w:cstheme="majorBidi"/>
      <w:b/>
      <w:bCs/>
      <w:color w:val="002C54" w:themeColor="text2"/>
      <w:sz w:val="18"/>
      <w:lang w:val="en-GB"/>
    </w:rPr>
  </w:style>
  <w:style w:type="paragraph" w:customStyle="1" w:styleId="broodtekst">
    <w:name w:val="broodtekst"/>
    <w:basedOn w:val="Normln"/>
    <w:link w:val="broodtekstChar"/>
    <w:uiPriority w:val="99"/>
    <w:rsid w:val="00BC3C79"/>
    <w:pPr>
      <w:keepNext/>
      <w:spacing w:line="240" w:lineRule="auto"/>
      <w:ind w:left="360" w:hanging="360"/>
      <w:contextualSpacing/>
      <w:outlineLvl w:val="0"/>
    </w:pPr>
    <w:rPr>
      <w:rFonts w:eastAsia="Times New Roman" w:cs="Times New Roman"/>
      <w:szCs w:val="18"/>
    </w:rPr>
  </w:style>
  <w:style w:type="character" w:customStyle="1" w:styleId="broodtekstChar">
    <w:name w:val="broodtekst Char"/>
    <w:link w:val="broodtekst"/>
    <w:uiPriority w:val="99"/>
    <w:rsid w:val="00BC3C79"/>
    <w:rPr>
      <w:rFonts w:ascii="Trebuchet MS" w:eastAsia="Times New Roman" w:hAnsi="Trebuchet MS" w:cs="Times New Roman"/>
      <w:sz w:val="18"/>
      <w:szCs w:val="18"/>
    </w:rPr>
  </w:style>
  <w:style w:type="character" w:styleId="Nzevknihy">
    <w:name w:val="Book Title"/>
    <w:basedOn w:val="Standardnpsmoodstavce"/>
    <w:uiPriority w:val="33"/>
    <w:rsid w:val="0041283F"/>
    <w:rPr>
      <w:rFonts w:ascii="Trebuchet MS" w:hAnsi="Trebuchet MS"/>
      <w:b/>
      <w:bCs/>
      <w:smallCaps/>
      <w:spacing w:val="5"/>
      <w:sz w:val="16"/>
      <w:szCs w:val="16"/>
    </w:rPr>
  </w:style>
  <w:style w:type="paragraph" w:customStyle="1" w:styleId="Addingupnumeral">
    <w:name w:val="Adding up (numeral)"/>
    <w:basedOn w:val="Normln"/>
    <w:link w:val="AddingupnumeralChar"/>
    <w:autoRedefine/>
    <w:rsid w:val="008018ED"/>
    <w:pPr>
      <w:numPr>
        <w:numId w:val="8"/>
      </w:numPr>
      <w:contextualSpacing/>
    </w:pPr>
    <w:rPr>
      <w:rFonts w:eastAsia="Calibri" w:cs="Times New Roman"/>
    </w:rPr>
  </w:style>
  <w:style w:type="paragraph" w:styleId="Nadpisobsahu">
    <w:name w:val="TOC Heading"/>
    <w:basedOn w:val="Nadpis1"/>
    <w:next w:val="Normln"/>
    <w:uiPriority w:val="39"/>
    <w:unhideWhenUsed/>
    <w:qFormat/>
    <w:rsid w:val="000E1F1D"/>
    <w:pPr>
      <w:keepNext/>
      <w:keepLines/>
      <w:numPr>
        <w:numId w:val="0"/>
      </w:numPr>
      <w:spacing w:before="480" w:after="0" w:line="276" w:lineRule="auto"/>
      <w:outlineLvl w:val="9"/>
    </w:pPr>
    <w:rPr>
      <w:rFonts w:asciiTheme="majorHAnsi" w:eastAsiaTheme="majorEastAsia" w:hAnsiTheme="majorHAnsi" w:cstheme="majorBidi"/>
      <w:bCs/>
      <w:color w:val="004249" w:themeColor="accent1" w:themeShade="BF"/>
      <w:sz w:val="28"/>
      <w:szCs w:val="28"/>
      <w:lang w:val="en-US" w:eastAsia="ja-JP"/>
    </w:rPr>
  </w:style>
  <w:style w:type="paragraph" w:styleId="Obsah1">
    <w:name w:val="toc 1"/>
    <w:basedOn w:val="Normln"/>
    <w:next w:val="Normln"/>
    <w:autoRedefine/>
    <w:uiPriority w:val="39"/>
    <w:unhideWhenUsed/>
    <w:rsid w:val="00362D33"/>
    <w:pPr>
      <w:tabs>
        <w:tab w:val="left" w:pos="540"/>
        <w:tab w:val="right" w:leader="dot" w:pos="9016"/>
      </w:tabs>
      <w:spacing w:before="120"/>
      <w:ind w:left="0"/>
    </w:pPr>
    <w:rPr>
      <w:b/>
      <w:bCs/>
      <w:color w:val="005962"/>
      <w:sz w:val="22"/>
      <w:szCs w:val="24"/>
    </w:rPr>
  </w:style>
  <w:style w:type="paragraph" w:styleId="Obsah2">
    <w:name w:val="toc 2"/>
    <w:basedOn w:val="Normln"/>
    <w:next w:val="Normln"/>
    <w:autoRedefine/>
    <w:uiPriority w:val="39"/>
    <w:unhideWhenUsed/>
    <w:rsid w:val="00DB5DD1"/>
    <w:pPr>
      <w:tabs>
        <w:tab w:val="left" w:pos="1260"/>
        <w:tab w:val="right" w:leader="dot" w:pos="9016"/>
      </w:tabs>
      <w:spacing w:before="120"/>
      <w:ind w:left="0" w:firstLine="567"/>
    </w:pPr>
    <w:rPr>
      <w:rFonts w:cstheme="minorHAnsi"/>
      <w:b/>
      <w:bCs/>
      <w:color w:val="005962"/>
      <w:sz w:val="20"/>
      <w:szCs w:val="20"/>
    </w:rPr>
  </w:style>
  <w:style w:type="paragraph" w:styleId="Obsah3">
    <w:name w:val="toc 3"/>
    <w:basedOn w:val="Normln"/>
    <w:next w:val="Normln"/>
    <w:autoRedefine/>
    <w:uiPriority w:val="39"/>
    <w:unhideWhenUsed/>
    <w:rsid w:val="003247B6"/>
    <w:pPr>
      <w:tabs>
        <w:tab w:val="right" w:leader="dot" w:pos="9016"/>
      </w:tabs>
      <w:ind w:left="284" w:firstLine="567"/>
    </w:pPr>
    <w:rPr>
      <w:rFonts w:cstheme="minorHAnsi"/>
      <w:color w:val="005962"/>
      <w:szCs w:val="20"/>
    </w:rPr>
  </w:style>
  <w:style w:type="character" w:styleId="Hypertextovodkaz">
    <w:name w:val="Hyperlink"/>
    <w:basedOn w:val="Standardnpsmoodstavce"/>
    <w:uiPriority w:val="99"/>
    <w:unhideWhenUsed/>
    <w:rsid w:val="000E1F1D"/>
    <w:rPr>
      <w:color w:val="005962" w:themeColor="hyperlink"/>
      <w:u w:val="single"/>
    </w:rPr>
  </w:style>
  <w:style w:type="paragraph" w:styleId="Obsah4">
    <w:name w:val="toc 4"/>
    <w:basedOn w:val="Normln"/>
    <w:next w:val="Normln"/>
    <w:autoRedefine/>
    <w:uiPriority w:val="39"/>
    <w:unhideWhenUsed/>
    <w:rsid w:val="000A3FCD"/>
    <w:pPr>
      <w:ind w:left="360"/>
    </w:pPr>
    <w:rPr>
      <w:rFonts w:asciiTheme="minorHAnsi" w:hAnsiTheme="minorHAnsi" w:cstheme="minorHAnsi"/>
      <w:sz w:val="20"/>
      <w:szCs w:val="20"/>
    </w:rPr>
  </w:style>
  <w:style w:type="paragraph" w:styleId="Obsah5">
    <w:name w:val="toc 5"/>
    <w:basedOn w:val="Normln"/>
    <w:next w:val="Normln"/>
    <w:autoRedefine/>
    <w:uiPriority w:val="39"/>
    <w:unhideWhenUsed/>
    <w:rsid w:val="000A3FCD"/>
    <w:pPr>
      <w:ind w:left="540"/>
    </w:pPr>
    <w:rPr>
      <w:rFonts w:asciiTheme="minorHAnsi" w:hAnsiTheme="minorHAnsi" w:cstheme="minorHAnsi"/>
      <w:sz w:val="20"/>
      <w:szCs w:val="20"/>
    </w:rPr>
  </w:style>
  <w:style w:type="paragraph" w:styleId="Obsah6">
    <w:name w:val="toc 6"/>
    <w:basedOn w:val="Normln"/>
    <w:next w:val="Normln"/>
    <w:autoRedefine/>
    <w:uiPriority w:val="39"/>
    <w:unhideWhenUsed/>
    <w:rsid w:val="000A3FCD"/>
    <w:pPr>
      <w:ind w:left="720"/>
    </w:pPr>
    <w:rPr>
      <w:rFonts w:asciiTheme="minorHAnsi" w:hAnsiTheme="minorHAnsi" w:cstheme="minorHAnsi"/>
      <w:sz w:val="20"/>
      <w:szCs w:val="20"/>
    </w:rPr>
  </w:style>
  <w:style w:type="paragraph" w:styleId="Obsah7">
    <w:name w:val="toc 7"/>
    <w:basedOn w:val="Normln"/>
    <w:next w:val="Normln"/>
    <w:autoRedefine/>
    <w:uiPriority w:val="39"/>
    <w:unhideWhenUsed/>
    <w:rsid w:val="000A3FCD"/>
    <w:pPr>
      <w:ind w:left="900"/>
    </w:pPr>
    <w:rPr>
      <w:rFonts w:asciiTheme="minorHAnsi" w:hAnsiTheme="minorHAnsi" w:cstheme="minorHAnsi"/>
      <w:sz w:val="20"/>
      <w:szCs w:val="20"/>
    </w:rPr>
  </w:style>
  <w:style w:type="paragraph" w:styleId="Obsah8">
    <w:name w:val="toc 8"/>
    <w:basedOn w:val="Normln"/>
    <w:next w:val="Normln"/>
    <w:autoRedefine/>
    <w:uiPriority w:val="39"/>
    <w:unhideWhenUsed/>
    <w:rsid w:val="000A3FCD"/>
    <w:pPr>
      <w:ind w:left="1080"/>
    </w:pPr>
    <w:rPr>
      <w:rFonts w:asciiTheme="minorHAnsi" w:hAnsiTheme="minorHAnsi" w:cstheme="minorHAnsi"/>
      <w:sz w:val="20"/>
      <w:szCs w:val="20"/>
    </w:rPr>
  </w:style>
  <w:style w:type="paragraph" w:styleId="Obsah9">
    <w:name w:val="toc 9"/>
    <w:basedOn w:val="Normln"/>
    <w:next w:val="Normln"/>
    <w:autoRedefine/>
    <w:uiPriority w:val="39"/>
    <w:unhideWhenUsed/>
    <w:rsid w:val="000A3FCD"/>
    <w:pPr>
      <w:ind w:left="1260"/>
    </w:pPr>
    <w:rPr>
      <w:rFonts w:asciiTheme="minorHAnsi" w:hAnsiTheme="minorHAnsi" w:cstheme="minorHAnsi"/>
      <w:sz w:val="20"/>
      <w:szCs w:val="20"/>
    </w:rPr>
  </w:style>
  <w:style w:type="table" w:styleId="Mkatabulky">
    <w:name w:val="Table Grid"/>
    <w:basedOn w:val="Normlntabulka"/>
    <w:uiPriority w:val="39"/>
    <w:rsid w:val="00216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 1"/>
    <w:basedOn w:val="Normlntabulka"/>
    <w:uiPriority w:val="99"/>
    <w:rsid w:val="004103B8"/>
    <w:pPr>
      <w:spacing w:after="0" w:line="240" w:lineRule="auto"/>
      <w:jc w:val="center"/>
    </w:pPr>
    <w:rPr>
      <w:rFonts w:ascii="Trebuchet MS" w:hAnsi="Trebuchet MS"/>
      <w:sz w:val="16"/>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wordWrap/>
        <w:spacing w:beforeLines="0" w:before="0" w:beforeAutospacing="0" w:afterLines="0" w:after="0" w:afterAutospacing="0" w:line="300" w:lineRule="atLeast"/>
        <w:ind w:leftChars="0" w:left="0" w:rightChars="0" w:right="0" w:firstLineChars="0" w:firstLine="0"/>
        <w:jc w:val="center"/>
      </w:pPr>
      <w:rPr>
        <w:rFonts w:ascii="ÍH_" w:hAnsi="ÍH_"/>
        <w:b/>
        <w:color w:val="FFFFFF" w:themeColor="background1"/>
        <w:sz w:val="16"/>
      </w:rPr>
      <w:tblPr/>
      <w:tcPr>
        <w:shd w:val="clear" w:color="auto" w:fill="005962"/>
      </w:tcPr>
    </w:tblStylePr>
    <w:tblStylePr w:type="firstCol">
      <w:pPr>
        <w:wordWrap/>
        <w:jc w:val="left"/>
        <w:outlineLvl w:val="9"/>
      </w:pPr>
    </w:tblStylePr>
  </w:style>
  <w:style w:type="paragraph" w:styleId="Textpoznpodarou">
    <w:name w:val="footnote text"/>
    <w:aliases w:val="Fußnotentextf,Fußnotentextr,stile 1,Footnote,Footnote1,Footnote2,Footnote3,Footnote4,Footnote5,Footnote6,Footnote7,Footnote8,Footnote9,Footnote10,Footnote11,Footnote21,Footnote31,Footnote41,Footnote51,Footnote61,Footnote71"/>
    <w:basedOn w:val="Normln"/>
    <w:link w:val="TextpoznpodarouChar"/>
    <w:uiPriority w:val="99"/>
    <w:unhideWhenUsed/>
    <w:rsid w:val="002A03EA"/>
    <w:pPr>
      <w:spacing w:line="240" w:lineRule="auto"/>
    </w:pPr>
    <w:rPr>
      <w:sz w:val="20"/>
      <w:szCs w:val="20"/>
    </w:rPr>
  </w:style>
  <w:style w:type="character" w:customStyle="1" w:styleId="TextpoznpodarouChar">
    <w:name w:val="Text pozn. pod čarou Char"/>
    <w:aliases w:val="Fußnotentextf Char,Fußnotentextr Char,stile 1 Char,Footnote Char,Footnote1 Char,Footnote2 Char,Footnote3 Char,Footnote4 Char,Footnote5 Char,Footnote6 Char,Footnote7 Char,Footnote8 Char,Footnote9 Char,Footnote10 Char"/>
    <w:basedOn w:val="Standardnpsmoodstavce"/>
    <w:link w:val="Textpoznpodarou"/>
    <w:uiPriority w:val="99"/>
    <w:rsid w:val="002A03EA"/>
    <w:rPr>
      <w:rFonts w:ascii="Trebuchet MS" w:hAnsi="Trebuchet MS"/>
      <w:sz w:val="20"/>
      <w:szCs w:val="20"/>
    </w:rPr>
  </w:style>
  <w:style w:type="character" w:styleId="Znakapoznpodarou">
    <w:name w:val="footnote reference"/>
    <w:aliases w:val="SUPERS,Odwołanie przypisu,Times 10 Point,Exposant 3 Point,Footnote symbol,Footnote reference number,number,Footnote Reference Superscript,stylish,Знак сноски-FN,Ciae niinee-FN,Знак сноски 1,(Footnote Reference), Exposant 3 Point"/>
    <w:basedOn w:val="Standardnpsmoodstavce"/>
    <w:unhideWhenUsed/>
    <w:qFormat/>
    <w:rsid w:val="002A03EA"/>
    <w:rPr>
      <w:vertAlign w:val="superscript"/>
    </w:rPr>
  </w:style>
  <w:style w:type="paragraph" w:customStyle="1" w:styleId="foonote">
    <w:name w:val="foonote"/>
    <w:basedOn w:val="Textpoznpodarou"/>
    <w:link w:val="foonoteChar"/>
    <w:qFormat/>
    <w:rsid w:val="002A03EA"/>
    <w:rPr>
      <w:rFonts w:ascii="Arial" w:hAnsi="Arial" w:cs="Arial"/>
      <w:sz w:val="16"/>
      <w:szCs w:val="16"/>
    </w:rPr>
  </w:style>
  <w:style w:type="character" w:customStyle="1" w:styleId="foonoteChar">
    <w:name w:val="foonote Char"/>
    <w:basedOn w:val="TextpoznpodarouChar"/>
    <w:link w:val="foonote"/>
    <w:rsid w:val="002D4BF3"/>
    <w:rPr>
      <w:rFonts w:ascii="Arial" w:hAnsi="Arial" w:cs="Arial"/>
      <w:sz w:val="16"/>
      <w:szCs w:val="16"/>
    </w:rPr>
  </w:style>
  <w:style w:type="paragraph" w:styleId="Revize">
    <w:name w:val="Revision"/>
    <w:hidden/>
    <w:uiPriority w:val="99"/>
    <w:semiHidden/>
    <w:rsid w:val="00594342"/>
    <w:pPr>
      <w:spacing w:after="0" w:line="240" w:lineRule="auto"/>
    </w:pPr>
    <w:rPr>
      <w:rFonts w:ascii="Trebuchet MS" w:hAnsi="Trebuchet MS"/>
      <w:sz w:val="18"/>
    </w:rPr>
  </w:style>
  <w:style w:type="paragraph" w:customStyle="1" w:styleId="Default">
    <w:name w:val="Default"/>
    <w:rsid w:val="009D3B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1st elvel bullet green Char,1st level - Bullet List Paragraph Char,Lettre d'introduction Char,Paragrafo elenco Char,List Paragraph1 Char,Medium Grid 1 - Accent 21 Char,FooterText Char,Paragraphe de liste1 Char,Heading 2_sj Char"/>
    <w:link w:val="Odstavecseseznamem"/>
    <w:uiPriority w:val="34"/>
    <w:qFormat/>
    <w:rsid w:val="003367E5"/>
    <w:rPr>
      <w:rFonts w:ascii="Trebuchet MS" w:hAnsi="Trebuchet MS"/>
      <w:sz w:val="18"/>
      <w:lang w:val="en-GB"/>
    </w:rPr>
  </w:style>
  <w:style w:type="character" w:styleId="Odkaznakoment">
    <w:name w:val="annotation reference"/>
    <w:uiPriority w:val="99"/>
    <w:semiHidden/>
    <w:unhideWhenUsed/>
    <w:rsid w:val="00D13A76"/>
    <w:rPr>
      <w:sz w:val="16"/>
      <w:szCs w:val="16"/>
    </w:rPr>
  </w:style>
  <w:style w:type="paragraph" w:styleId="Textkomente">
    <w:name w:val="annotation text"/>
    <w:basedOn w:val="Normln"/>
    <w:link w:val="TextkomenteChar"/>
    <w:uiPriority w:val="99"/>
    <w:unhideWhenUsed/>
    <w:rsid w:val="00D13A76"/>
    <w:pPr>
      <w:spacing w:line="240" w:lineRule="auto"/>
    </w:pPr>
    <w:rPr>
      <w:rFonts w:eastAsia="Calibri" w:cs="Times New Roman"/>
      <w:sz w:val="20"/>
      <w:szCs w:val="20"/>
    </w:rPr>
  </w:style>
  <w:style w:type="character" w:customStyle="1" w:styleId="TextkomenteChar">
    <w:name w:val="Text komentáře Char"/>
    <w:basedOn w:val="Standardnpsmoodstavce"/>
    <w:link w:val="Textkomente"/>
    <w:uiPriority w:val="99"/>
    <w:rsid w:val="00D13A76"/>
    <w:rPr>
      <w:rFonts w:ascii="Trebuchet MS" w:eastAsia="Calibri" w:hAnsi="Trebuchet MS" w:cs="Times New Roman"/>
      <w:sz w:val="20"/>
      <w:szCs w:val="20"/>
    </w:rPr>
  </w:style>
  <w:style w:type="paragraph" w:styleId="Pedmtkomente">
    <w:name w:val="annotation subject"/>
    <w:basedOn w:val="Textkomente"/>
    <w:next w:val="Textkomente"/>
    <w:link w:val="PedmtkomenteChar"/>
    <w:uiPriority w:val="99"/>
    <w:semiHidden/>
    <w:unhideWhenUsed/>
    <w:rsid w:val="003808B9"/>
    <w:rPr>
      <w:rFonts w:eastAsiaTheme="minorHAnsi" w:cstheme="minorBidi"/>
      <w:b/>
      <w:bCs/>
    </w:rPr>
  </w:style>
  <w:style w:type="character" w:customStyle="1" w:styleId="PedmtkomenteChar">
    <w:name w:val="Předmět komentáře Char"/>
    <w:basedOn w:val="TextkomenteChar"/>
    <w:link w:val="Pedmtkomente"/>
    <w:uiPriority w:val="99"/>
    <w:semiHidden/>
    <w:rsid w:val="003808B9"/>
    <w:rPr>
      <w:rFonts w:ascii="Trebuchet MS" w:eastAsia="Calibri" w:hAnsi="Trebuchet MS" w:cs="Times New Roman"/>
      <w:b/>
      <w:bCs/>
      <w:sz w:val="20"/>
      <w:szCs w:val="20"/>
    </w:rPr>
  </w:style>
  <w:style w:type="character" w:styleId="Siln">
    <w:name w:val="Strong"/>
    <w:aliases w:val="Bold"/>
    <w:basedOn w:val="Standardnpsmoodstavce"/>
    <w:uiPriority w:val="22"/>
    <w:qFormat/>
    <w:rsid w:val="003808B9"/>
    <w:rPr>
      <w:b/>
      <w:bCs/>
    </w:rPr>
  </w:style>
  <w:style w:type="paragraph" w:customStyle="1" w:styleId="Orangetabletext">
    <w:name w:val="Orange table text"/>
    <w:basedOn w:val="Normln"/>
    <w:link w:val="OrangetabletextChar"/>
    <w:rsid w:val="00204ED4"/>
    <w:pPr>
      <w:numPr>
        <w:numId w:val="7"/>
      </w:numPr>
      <w:spacing w:line="260" w:lineRule="atLeast"/>
    </w:pPr>
    <w:rPr>
      <w:b/>
      <w:bCs/>
      <w:color w:val="FFFFFF"/>
      <w:sz w:val="16"/>
      <w:szCs w:val="14"/>
      <w:lang w:eastAsia="nl-NL"/>
    </w:rPr>
  </w:style>
  <w:style w:type="paragraph" w:styleId="Titulek">
    <w:name w:val="caption"/>
    <w:aliases w:val="Caption-tables,Tasks,Beschriftung Char2,Beschriftung Char1 Char1,Beschriftung Char Char Char1,Beschriftung Char1 Char Char,Beschriftung Char Char Char Char,Beschriftung Char Char1 Char,Beschriftung Char Char2,Beschriftung Char1 Cha...,Eco"/>
    <w:basedOn w:val="Normln"/>
    <w:next w:val="Normln"/>
    <w:link w:val="TitulekChar"/>
    <w:unhideWhenUsed/>
    <w:qFormat/>
    <w:rsid w:val="00D95BB0"/>
    <w:pPr>
      <w:spacing w:after="120" w:line="240" w:lineRule="auto"/>
    </w:pPr>
    <w:rPr>
      <w:b/>
      <w:bCs/>
      <w:color w:val="005962"/>
      <w:sz w:val="16"/>
    </w:rPr>
  </w:style>
  <w:style w:type="paragraph" w:customStyle="1" w:styleId="table-text">
    <w:name w:val="table-text"/>
    <w:basedOn w:val="broodtekst"/>
    <w:uiPriority w:val="99"/>
    <w:rsid w:val="00330BB1"/>
    <w:pPr>
      <w:keepNext w:val="0"/>
      <w:spacing w:line="280" w:lineRule="atLeast"/>
      <w:ind w:left="0" w:firstLine="0"/>
      <w:contextualSpacing w:val="0"/>
      <w:outlineLvl w:val="9"/>
    </w:pPr>
    <w:rPr>
      <w:rFonts w:ascii="Arial" w:hAnsi="Arial"/>
      <w:sz w:val="16"/>
      <w:szCs w:val="24"/>
      <w:lang w:val="nl-NL" w:eastAsia="nl-NL"/>
    </w:rPr>
  </w:style>
  <w:style w:type="paragraph" w:customStyle="1" w:styleId="tabelkop">
    <w:name w:val="tabelkop"/>
    <w:basedOn w:val="Normln"/>
    <w:rsid w:val="00330BB1"/>
    <w:pPr>
      <w:keepNext/>
      <w:keepLines/>
      <w:spacing w:line="280" w:lineRule="atLeast"/>
      <w:ind w:left="0"/>
    </w:pPr>
    <w:rPr>
      <w:rFonts w:ascii="Arial" w:eastAsia="Times New Roman" w:hAnsi="Arial" w:cs="Times New Roman"/>
      <w:b/>
      <w:color w:val="FFFFFF"/>
      <w:sz w:val="16"/>
      <w:szCs w:val="24"/>
      <w:lang w:val="nl-NL" w:eastAsia="nl-NL"/>
    </w:rPr>
  </w:style>
  <w:style w:type="table" w:styleId="Svtlseznamzvraznn2">
    <w:name w:val="Light List Accent 2"/>
    <w:basedOn w:val="Normlntabulka"/>
    <w:uiPriority w:val="61"/>
    <w:semiHidden/>
    <w:unhideWhenUsed/>
    <w:rsid w:val="00247A28"/>
    <w:pPr>
      <w:spacing w:after="0" w:line="240" w:lineRule="auto"/>
    </w:pPr>
    <w:tblPr>
      <w:tblStyleRowBandSize w:val="1"/>
      <w:tblStyleColBandSize w:val="1"/>
      <w:tblBorders>
        <w:top w:val="single" w:sz="8" w:space="0" w:color="F04E30" w:themeColor="accent2"/>
        <w:left w:val="single" w:sz="8" w:space="0" w:color="F04E30" w:themeColor="accent2"/>
        <w:bottom w:val="single" w:sz="8" w:space="0" w:color="F04E30" w:themeColor="accent2"/>
        <w:right w:val="single" w:sz="8" w:space="0" w:color="F04E30" w:themeColor="accent2"/>
      </w:tblBorders>
    </w:tblPr>
    <w:tblStylePr w:type="firstRow">
      <w:pPr>
        <w:spacing w:before="0" w:after="0" w:line="240" w:lineRule="auto"/>
      </w:pPr>
      <w:rPr>
        <w:b/>
        <w:bCs/>
        <w:color w:val="FFFFFF" w:themeColor="background1"/>
      </w:rPr>
      <w:tblPr/>
      <w:tcPr>
        <w:shd w:val="clear" w:color="auto" w:fill="F04E30" w:themeFill="accent2"/>
      </w:tcPr>
    </w:tblStylePr>
    <w:tblStylePr w:type="lastRow">
      <w:pPr>
        <w:spacing w:before="0" w:after="0" w:line="240" w:lineRule="auto"/>
      </w:pPr>
      <w:rPr>
        <w:b/>
        <w:bCs/>
      </w:rPr>
      <w:tblPr/>
      <w:tcPr>
        <w:tcBorders>
          <w:top w:val="double" w:sz="6" w:space="0" w:color="F04E30" w:themeColor="accent2"/>
          <w:left w:val="single" w:sz="8" w:space="0" w:color="F04E30" w:themeColor="accent2"/>
          <w:bottom w:val="single" w:sz="8" w:space="0" w:color="F04E30" w:themeColor="accent2"/>
          <w:right w:val="single" w:sz="8" w:space="0" w:color="F04E30" w:themeColor="accent2"/>
        </w:tcBorders>
      </w:tcPr>
    </w:tblStylePr>
    <w:tblStylePr w:type="firstCol">
      <w:rPr>
        <w:b/>
        <w:bCs/>
      </w:rPr>
    </w:tblStylePr>
    <w:tblStylePr w:type="lastCol">
      <w:rPr>
        <w:b/>
        <w:bCs/>
      </w:rPr>
    </w:tblStylePr>
    <w:tblStylePr w:type="band1Vert">
      <w:tblPr/>
      <w:tcPr>
        <w:tcBorders>
          <w:top w:val="single" w:sz="8" w:space="0" w:color="F04E30" w:themeColor="accent2"/>
          <w:left w:val="single" w:sz="8" w:space="0" w:color="F04E30" w:themeColor="accent2"/>
          <w:bottom w:val="single" w:sz="8" w:space="0" w:color="F04E30" w:themeColor="accent2"/>
          <w:right w:val="single" w:sz="8" w:space="0" w:color="F04E30" w:themeColor="accent2"/>
        </w:tcBorders>
      </w:tcPr>
    </w:tblStylePr>
    <w:tblStylePr w:type="band1Horz">
      <w:tblPr/>
      <w:tcPr>
        <w:tcBorders>
          <w:top w:val="single" w:sz="8" w:space="0" w:color="F04E30" w:themeColor="accent2"/>
          <w:left w:val="single" w:sz="8" w:space="0" w:color="F04E30" w:themeColor="accent2"/>
          <w:bottom w:val="single" w:sz="8" w:space="0" w:color="F04E30" w:themeColor="accent2"/>
          <w:right w:val="single" w:sz="8" w:space="0" w:color="F04E30" w:themeColor="accent2"/>
        </w:tcBorders>
      </w:tcPr>
    </w:tblStylePr>
  </w:style>
  <w:style w:type="table" w:customStyle="1" w:styleId="Box">
    <w:name w:val="Box"/>
    <w:basedOn w:val="Klasicktabulka1"/>
    <w:uiPriority w:val="99"/>
    <w:rsid w:val="008018ED"/>
    <w:rPr>
      <w:rFonts w:ascii="Trebuchet MS" w:hAnsi="Trebuchet MS"/>
      <w:sz w:val="16"/>
      <w:szCs w:val="20"/>
      <w:lang w:val="cs-CZ" w:eastAsia="en-GB"/>
    </w:rPr>
    <w:tblPr>
      <w:tblInd w:w="567" w:type="dxa"/>
    </w:tblPr>
    <w:tcPr>
      <w:shd w:val="clear" w:color="auto" w:fill="auto"/>
    </w:tcPr>
    <w:tblStylePr w:type="firstRow">
      <w:rPr>
        <w:rFonts w:ascii="ÍH_" w:hAnsi="ÍH_"/>
        <w:i/>
        <w:iCs/>
        <w:sz w:val="16"/>
      </w:rPr>
      <w:tblPr/>
      <w:tcPr>
        <w:tcBorders>
          <w:bottom w:val="single" w:sz="6" w:space="0" w:color="000000"/>
          <w:tl2br w:val="none" w:sz="0" w:space="0" w:color="auto"/>
          <w:tr2bl w:val="none" w:sz="0" w:space="0" w:color="auto"/>
        </w:tcBorders>
      </w:tcPr>
    </w:tblStylePr>
    <w:tblStylePr w:type="lastRow">
      <w:rPr>
        <w:rFonts w:ascii="ÍH_" w:hAnsi="ÍH_"/>
        <w:color w:val="auto"/>
        <w:sz w:val="16"/>
      </w:rPr>
      <w:tblPr/>
      <w:tcPr>
        <w:tcBorders>
          <w:top w:val="nil"/>
          <w:left w:val="nil"/>
          <w:bottom w:val="nil"/>
          <w:right w:val="nil"/>
          <w:insideH w:val="nil"/>
          <w:insideV w:val="nil"/>
          <w:tl2br w:val="none" w:sz="0" w:space="0" w:color="auto"/>
          <w:tr2bl w:val="none" w:sz="0" w:space="0" w:color="auto"/>
        </w:tcBorders>
        <w:shd w:val="clear" w:color="auto" w:fill="FFE3A5" w:themeFill="accent4"/>
      </w:tcPr>
    </w:tblStylePr>
    <w:tblStylePr w:type="firstCol">
      <w:rPr>
        <w:rFonts w:ascii="ÍH_" w:hAnsi="ÍH_"/>
        <w:color w:val="auto"/>
        <w:sz w:val="16"/>
      </w:rPr>
      <w:tblPr/>
      <w:tcPr>
        <w:tcBorders>
          <w:top w:val="nil"/>
          <w:left w:val="nil"/>
          <w:bottom w:val="nil"/>
          <w:right w:val="nil"/>
          <w:insideH w:val="nil"/>
          <w:insideV w:val="nil"/>
          <w:tl2br w:val="none" w:sz="0" w:space="0" w:color="auto"/>
          <w:tr2bl w:val="none" w:sz="0" w:space="0" w:color="auto"/>
        </w:tcBorders>
        <w:shd w:val="clear" w:color="auto" w:fill="FFE3A5" w:themeFill="accent4"/>
      </w:tcPr>
    </w:tblStylePr>
    <w:tblStylePr w:type="lastCol">
      <w:rPr>
        <w:rFonts w:ascii="ÍH_" w:hAnsi="ÍH_"/>
        <w:sz w:val="16"/>
      </w:rPr>
      <w:tblPr/>
      <w:tcPr>
        <w:tcBorders>
          <w:top w:val="nil"/>
          <w:left w:val="nil"/>
          <w:bottom w:val="nil"/>
          <w:right w:val="nil"/>
          <w:insideH w:val="nil"/>
          <w:insideV w:val="nil"/>
        </w:tcBorders>
        <w:shd w:val="clear" w:color="auto" w:fill="FFE3A5" w:themeFill="accent4"/>
      </w:tcPr>
    </w:tblStylePr>
    <w:tblStylePr w:type="neCell">
      <w:rPr>
        <w:rFonts w:ascii="ÍH_" w:hAnsi="ÍH_"/>
        <w:b/>
        <w:bCs/>
        <w:i w:val="0"/>
        <w:iCs w:val="0"/>
        <w:sz w:val="16"/>
      </w:rPr>
      <w:tblPr/>
      <w:tcPr>
        <w:tcBorders>
          <w:tl2br w:val="none" w:sz="0" w:space="0" w:color="auto"/>
          <w:tr2bl w:val="none" w:sz="0" w:space="0" w:color="auto"/>
        </w:tcBorders>
      </w:tcPr>
    </w:tblStylePr>
    <w:tblStylePr w:type="seCell">
      <w:rPr>
        <w:rFonts w:ascii="ÍH_" w:hAnsi="ÍH_"/>
        <w:sz w:val="16"/>
      </w:rPr>
    </w:tblStylePr>
    <w:tblStylePr w:type="swCell">
      <w:rPr>
        <w:rFonts w:ascii="ÍH_" w:hAnsi="ÍH_"/>
        <w:b/>
        <w:bCs/>
        <w:sz w:val="16"/>
      </w:rPr>
      <w:tblPr/>
      <w:tcPr>
        <w:tcBorders>
          <w:tl2br w:val="none" w:sz="0" w:space="0" w:color="auto"/>
          <w:tr2bl w:val="none" w:sz="0" w:space="0" w:color="auto"/>
        </w:tcBorders>
      </w:tcPr>
    </w:tblStylePr>
  </w:style>
  <w:style w:type="character" w:customStyle="1" w:styleId="TitulekChar">
    <w:name w:val="Titulek Char"/>
    <w:aliases w:val="Caption-tables Char,Tasks Char,Beschriftung Char2 Char,Beschriftung Char1 Char1 Char,Beschriftung Char Char Char1 Char,Beschriftung Char1 Char Char Char,Beschriftung Char Char Char Char Char,Beschriftung Char Char1 Char Char,Eco Char"/>
    <w:link w:val="Titulek"/>
    <w:locked/>
    <w:rsid w:val="00D95BB0"/>
    <w:rPr>
      <w:rFonts w:ascii="Trebuchet MS" w:hAnsi="Trebuchet MS"/>
      <w:b/>
      <w:bCs/>
      <w:color w:val="005962"/>
      <w:sz w:val="16"/>
      <w:szCs w:val="18"/>
    </w:rPr>
  </w:style>
  <w:style w:type="character" w:customStyle="1" w:styleId="AAAAAtextChar">
    <w:name w:val="AAAAAtext Char"/>
    <w:basedOn w:val="Standardnpsmoodstavce"/>
    <w:link w:val="AAAAAtext"/>
    <w:locked/>
    <w:rsid w:val="00456CCB"/>
    <w:rPr>
      <w:rFonts w:ascii="Calibri" w:hAnsi="Calibri"/>
      <w:sz w:val="22"/>
      <w:szCs w:val="24"/>
      <w:lang w:eastAsia="en-GB"/>
    </w:rPr>
  </w:style>
  <w:style w:type="paragraph" w:customStyle="1" w:styleId="AAAAAtext">
    <w:name w:val="AAAAAtext"/>
    <w:basedOn w:val="Normln"/>
    <w:link w:val="AAAAAtextChar"/>
    <w:rsid w:val="00371E2C"/>
    <w:pPr>
      <w:spacing w:before="60" w:after="60" w:line="320" w:lineRule="atLeast"/>
      <w:ind w:left="0"/>
      <w:jc w:val="both"/>
    </w:pPr>
    <w:rPr>
      <w:rFonts w:ascii="Calibri" w:hAnsi="Calibri"/>
      <w:sz w:val="22"/>
      <w:szCs w:val="24"/>
      <w:lang w:eastAsia="en-GB"/>
    </w:rPr>
  </w:style>
  <w:style w:type="paragraph" w:styleId="Normlnweb">
    <w:name w:val="Normal (Web)"/>
    <w:basedOn w:val="Normln"/>
    <w:uiPriority w:val="99"/>
    <w:unhideWhenUsed/>
    <w:rsid w:val="00336623"/>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paragraph" w:customStyle="1" w:styleId="Pa20">
    <w:name w:val="Pa20"/>
    <w:basedOn w:val="Default"/>
    <w:next w:val="Default"/>
    <w:uiPriority w:val="99"/>
    <w:rsid w:val="00336623"/>
    <w:pPr>
      <w:spacing w:line="171" w:lineRule="atLeast"/>
    </w:pPr>
    <w:rPr>
      <w:rFonts w:ascii="EC Square Sans Pro" w:hAnsi="EC Square Sans Pro" w:cstheme="minorBidi"/>
      <w:color w:val="auto"/>
    </w:rPr>
  </w:style>
  <w:style w:type="character" w:styleId="Zdraznn">
    <w:name w:val="Emphasis"/>
    <w:basedOn w:val="Standardnpsmoodstavce"/>
    <w:uiPriority w:val="20"/>
    <w:qFormat/>
    <w:rsid w:val="00724F32"/>
    <w:rPr>
      <w:i/>
      <w:iCs/>
    </w:rPr>
  </w:style>
  <w:style w:type="paragraph" w:styleId="Prosttext">
    <w:name w:val="Plain Text"/>
    <w:basedOn w:val="Normln"/>
    <w:link w:val="ProsttextChar"/>
    <w:uiPriority w:val="99"/>
    <w:semiHidden/>
    <w:unhideWhenUsed/>
    <w:rsid w:val="002A705E"/>
    <w:pPr>
      <w:spacing w:line="240" w:lineRule="auto"/>
      <w:ind w:left="0"/>
    </w:pPr>
    <w:rPr>
      <w:rFonts w:ascii="Calibri" w:eastAsia="Calibri" w:hAnsi="Calibri" w:cs="Times New Roman"/>
      <w:sz w:val="20"/>
      <w:szCs w:val="21"/>
    </w:rPr>
  </w:style>
  <w:style w:type="character" w:customStyle="1" w:styleId="ProsttextChar">
    <w:name w:val="Prostý text Char"/>
    <w:basedOn w:val="Standardnpsmoodstavce"/>
    <w:link w:val="Prosttext"/>
    <w:uiPriority w:val="99"/>
    <w:semiHidden/>
    <w:rsid w:val="002A705E"/>
    <w:rPr>
      <w:rFonts w:ascii="Calibri" w:eastAsia="Calibri" w:hAnsi="Calibri" w:cs="Times New Roman"/>
      <w:sz w:val="20"/>
      <w:szCs w:val="21"/>
    </w:rPr>
  </w:style>
  <w:style w:type="character" w:customStyle="1" w:styleId="rStyle">
    <w:name w:val="rStyle"/>
    <w:rsid w:val="0019417C"/>
    <w:rPr>
      <w:b/>
      <w:bCs w:val="0"/>
    </w:rPr>
  </w:style>
  <w:style w:type="character" w:styleId="Sledovanodkaz">
    <w:name w:val="FollowedHyperlink"/>
    <w:basedOn w:val="Standardnpsmoodstavce"/>
    <w:uiPriority w:val="99"/>
    <w:semiHidden/>
    <w:unhideWhenUsed/>
    <w:rsid w:val="0064096B"/>
    <w:rPr>
      <w:color w:val="F04E30" w:themeColor="followedHyperlink"/>
      <w:u w:val="single"/>
    </w:rPr>
  </w:style>
  <w:style w:type="character" w:customStyle="1" w:styleId="Hyperlink1">
    <w:name w:val="Hyperlink1"/>
    <w:basedOn w:val="Standardnpsmoodstavce"/>
    <w:uiPriority w:val="99"/>
    <w:unhideWhenUsed/>
    <w:rsid w:val="00915515"/>
    <w:rPr>
      <w:color w:val="0000FF"/>
      <w:u w:val="single"/>
    </w:rPr>
  </w:style>
  <w:style w:type="paragraph" w:customStyle="1" w:styleId="paragraph">
    <w:name w:val="paragraph"/>
    <w:basedOn w:val="Normln"/>
    <w:rsid w:val="00765759"/>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character" w:customStyle="1" w:styleId="normaltextrun">
    <w:name w:val="normaltextrun"/>
    <w:basedOn w:val="Standardnpsmoodstavce"/>
    <w:rsid w:val="00765759"/>
  </w:style>
  <w:style w:type="character" w:customStyle="1" w:styleId="scx12335173">
    <w:name w:val="scx12335173"/>
    <w:basedOn w:val="Standardnpsmoodstavce"/>
    <w:rsid w:val="00765759"/>
  </w:style>
  <w:style w:type="character" w:customStyle="1" w:styleId="apple-converted-space">
    <w:name w:val="apple-converted-space"/>
    <w:basedOn w:val="Standardnpsmoodstavce"/>
    <w:rsid w:val="00765759"/>
  </w:style>
  <w:style w:type="character" w:customStyle="1" w:styleId="eop">
    <w:name w:val="eop"/>
    <w:basedOn w:val="Standardnpsmoodstavce"/>
    <w:rsid w:val="00765759"/>
  </w:style>
  <w:style w:type="character" w:customStyle="1" w:styleId="spellingerror">
    <w:name w:val="spellingerror"/>
    <w:basedOn w:val="Standardnpsmoodstavce"/>
    <w:rsid w:val="00765759"/>
  </w:style>
  <w:style w:type="paragraph" w:customStyle="1" w:styleId="ECVSectionBullet">
    <w:name w:val="_ECV_SectionBullet"/>
    <w:basedOn w:val="Normln"/>
    <w:rsid w:val="00E676D9"/>
    <w:pPr>
      <w:suppressLineNumbers/>
      <w:autoSpaceDE w:val="0"/>
      <w:spacing w:line="100" w:lineRule="atLeast"/>
      <w:ind w:left="0"/>
    </w:pPr>
    <w:rPr>
      <w:rFonts w:ascii="Arial" w:eastAsia="SimSun" w:hAnsi="Arial" w:cs="Mangal"/>
      <w:color w:val="3F3A38"/>
      <w:spacing w:val="-6"/>
      <w:kern w:val="2"/>
      <w:szCs w:val="24"/>
      <w:lang w:eastAsia="zh-CN" w:bidi="hi-IN"/>
    </w:rPr>
  </w:style>
  <w:style w:type="character" w:customStyle="1" w:styleId="AddingupnumeralChar">
    <w:name w:val="Adding up (numeral) Char"/>
    <w:basedOn w:val="Standardnpsmoodstavce"/>
    <w:link w:val="Addingupnumeral"/>
    <w:rsid w:val="008018ED"/>
    <w:rPr>
      <w:rFonts w:ascii="Trebuchet MS" w:eastAsia="Calibri" w:hAnsi="Trebuchet MS" w:cs="Times New Roman"/>
      <w:sz w:val="18"/>
      <w:lang w:val="en-GB"/>
    </w:rPr>
  </w:style>
  <w:style w:type="character" w:customStyle="1" w:styleId="UnresolvedMention1">
    <w:name w:val="Unresolved Mention1"/>
    <w:basedOn w:val="Standardnpsmoodstavce"/>
    <w:uiPriority w:val="99"/>
    <w:semiHidden/>
    <w:unhideWhenUsed/>
    <w:rsid w:val="003A045A"/>
    <w:rPr>
      <w:color w:val="605E5C"/>
      <w:shd w:val="clear" w:color="auto" w:fill="E1DFDD"/>
    </w:rPr>
  </w:style>
  <w:style w:type="table" w:styleId="Klasicktabulka1">
    <w:name w:val="Table Classic 1"/>
    <w:basedOn w:val="Normlntabulka"/>
    <w:uiPriority w:val="99"/>
    <w:semiHidden/>
    <w:unhideWhenUsed/>
    <w:rsid w:val="008018ED"/>
    <w:pPr>
      <w:spacing w:after="0" w:line="300" w:lineRule="atLeast"/>
      <w:ind w:left="56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Normlntabulka"/>
    <w:next w:val="Mkatabulky"/>
    <w:uiPriority w:val="59"/>
    <w:rsid w:val="0006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bulletpoint0">
    <w:name w:val="Checklist bulletpoint"/>
    <w:basedOn w:val="Normln"/>
    <w:link w:val="ChecklistbulletpointChar"/>
    <w:rsid w:val="00F93481"/>
    <w:pPr>
      <w:numPr>
        <w:numId w:val="6"/>
      </w:numPr>
    </w:pPr>
    <w:rPr>
      <w:b/>
      <w:color w:val="F04E30"/>
      <w:szCs w:val="18"/>
    </w:rPr>
  </w:style>
  <w:style w:type="paragraph" w:customStyle="1" w:styleId="ChecklistBulletpoint">
    <w:name w:val="Checklist Bulletpoint"/>
    <w:basedOn w:val="Normln"/>
    <w:link w:val="ChecklistBulletpointChar0"/>
    <w:qFormat/>
    <w:rsid w:val="00F93481"/>
    <w:pPr>
      <w:numPr>
        <w:numId w:val="5"/>
      </w:numPr>
      <w:tabs>
        <w:tab w:val="left" w:pos="851"/>
      </w:tabs>
      <w:ind w:left="1247" w:hanging="340"/>
    </w:pPr>
  </w:style>
  <w:style w:type="character" w:customStyle="1" w:styleId="ChecklistbulletpointChar">
    <w:name w:val="Checklist bulletpoint Char"/>
    <w:basedOn w:val="Standardnpsmoodstavce"/>
    <w:link w:val="Checklistbulletpoint0"/>
    <w:rsid w:val="00F93481"/>
    <w:rPr>
      <w:rFonts w:ascii="Trebuchet MS" w:hAnsi="Trebuchet MS"/>
      <w:b/>
      <w:color w:val="F04E30"/>
      <w:sz w:val="18"/>
      <w:szCs w:val="18"/>
      <w:lang w:val="en-GB"/>
    </w:rPr>
  </w:style>
  <w:style w:type="paragraph" w:customStyle="1" w:styleId="Frontpagetitle">
    <w:name w:val="Frontpage title"/>
    <w:basedOn w:val="Normln"/>
    <w:link w:val="FrontpagetitleChar"/>
    <w:qFormat/>
    <w:rsid w:val="003367E5"/>
    <w:pPr>
      <w:ind w:left="0"/>
      <w:jc w:val="center"/>
    </w:pPr>
    <w:rPr>
      <w:color w:val="FFFFFF" w:themeColor="background1"/>
      <w:sz w:val="80"/>
      <w:szCs w:val="80"/>
    </w:rPr>
  </w:style>
  <w:style w:type="character" w:customStyle="1" w:styleId="ChecklistBulletpointChar0">
    <w:name w:val="Checklist Bulletpoint Char"/>
    <w:basedOn w:val="Standardnpsmoodstavce"/>
    <w:link w:val="ChecklistBulletpoint"/>
    <w:rsid w:val="00F93481"/>
    <w:rPr>
      <w:rFonts w:ascii="Trebuchet MS" w:hAnsi="Trebuchet MS"/>
      <w:sz w:val="18"/>
      <w:lang w:val="en-GB"/>
    </w:rPr>
  </w:style>
  <w:style w:type="paragraph" w:customStyle="1" w:styleId="2ndlevelbulletpoint">
    <w:name w:val="2nd level bulletpoint"/>
    <w:basedOn w:val="Odstavecseseznamem"/>
    <w:next w:val="3rdlevelbulletpoint"/>
    <w:link w:val="2ndlevelbulletpointChar"/>
    <w:rsid w:val="00F8775C"/>
    <w:pPr>
      <w:numPr>
        <w:ilvl w:val="1"/>
      </w:numPr>
      <w:ind w:left="1661" w:hanging="357"/>
    </w:pPr>
  </w:style>
  <w:style w:type="character" w:customStyle="1" w:styleId="FrontpagetitleChar">
    <w:name w:val="Frontpage title Char"/>
    <w:basedOn w:val="Standardnpsmoodstavce"/>
    <w:link w:val="Frontpagetitle"/>
    <w:rsid w:val="003367E5"/>
    <w:rPr>
      <w:rFonts w:ascii="Trebuchet MS" w:hAnsi="Trebuchet MS"/>
      <w:color w:val="FFFFFF" w:themeColor="background1"/>
      <w:sz w:val="80"/>
      <w:szCs w:val="80"/>
    </w:rPr>
  </w:style>
  <w:style w:type="paragraph" w:customStyle="1" w:styleId="3rdlevelbulletpoint">
    <w:name w:val="3rd level bulletpoint"/>
    <w:basedOn w:val="2ndlevelbulletpoint"/>
    <w:link w:val="3rdlevelbulletpointChar"/>
    <w:rsid w:val="005D19A4"/>
    <w:pPr>
      <w:numPr>
        <w:ilvl w:val="2"/>
      </w:numPr>
      <w:ind w:left="2001" w:hanging="357"/>
    </w:pPr>
  </w:style>
  <w:style w:type="character" w:customStyle="1" w:styleId="2ndlevelbulletpointChar">
    <w:name w:val="2nd level bulletpoint Char"/>
    <w:basedOn w:val="OdstavecseseznamemChar"/>
    <w:link w:val="2ndlevelbulletpoint"/>
    <w:rsid w:val="00F8775C"/>
    <w:rPr>
      <w:rFonts w:ascii="Trebuchet MS" w:hAnsi="Trebuchet MS"/>
      <w:sz w:val="18"/>
      <w:lang w:val="en-GB"/>
    </w:rPr>
  </w:style>
  <w:style w:type="paragraph" w:customStyle="1" w:styleId="Bulletpoint">
    <w:name w:val="Bulletpoint"/>
    <w:basedOn w:val="2ndlevelbulletpoint"/>
    <w:next w:val="2ndlevelbulletpoint"/>
    <w:link w:val="BulletpointChar"/>
    <w:qFormat/>
    <w:rsid w:val="003367E5"/>
    <w:pPr>
      <w:numPr>
        <w:ilvl w:val="0"/>
      </w:numPr>
      <w:ind w:left="1661" w:hanging="357"/>
    </w:pPr>
  </w:style>
  <w:style w:type="character" w:customStyle="1" w:styleId="3rdlevelbulletpointChar">
    <w:name w:val="3rd level bulletpoint Char"/>
    <w:basedOn w:val="2ndlevelbulletpointChar"/>
    <w:link w:val="3rdlevelbulletpoint"/>
    <w:rsid w:val="005D19A4"/>
    <w:rPr>
      <w:rFonts w:ascii="Trebuchet MS" w:hAnsi="Trebuchet MS"/>
      <w:sz w:val="18"/>
      <w:lang w:val="en-GB"/>
    </w:rPr>
  </w:style>
  <w:style w:type="paragraph" w:customStyle="1" w:styleId="Tabletext">
    <w:name w:val="Table text"/>
    <w:basedOn w:val="Normln"/>
    <w:link w:val="TabletextChar"/>
    <w:qFormat/>
    <w:rsid w:val="00EA353A"/>
    <w:pPr>
      <w:ind w:left="0"/>
    </w:pPr>
    <w:rPr>
      <w:rFonts w:eastAsia="Calibri" w:cs="Times New Roman"/>
      <w:bCs/>
      <w:sz w:val="16"/>
      <w:szCs w:val="16"/>
    </w:rPr>
  </w:style>
  <w:style w:type="character" w:customStyle="1" w:styleId="BulletpointChar">
    <w:name w:val="Bulletpoint Char"/>
    <w:basedOn w:val="3rdlevelbulletpointChar"/>
    <w:link w:val="Bulletpoint"/>
    <w:rsid w:val="005D19A4"/>
    <w:rPr>
      <w:rFonts w:ascii="Trebuchet MS" w:hAnsi="Trebuchet MS"/>
      <w:sz w:val="18"/>
      <w:lang w:val="en-GB"/>
    </w:rPr>
  </w:style>
  <w:style w:type="table" w:customStyle="1" w:styleId="SummaryofTask">
    <w:name w:val="Summary of Task"/>
    <w:basedOn w:val="Normlntabulka"/>
    <w:uiPriority w:val="99"/>
    <w:rsid w:val="00855511"/>
    <w:pPr>
      <w:spacing w:after="0" w:line="240" w:lineRule="auto"/>
    </w:pPr>
    <w:rPr>
      <w:rFonts w:ascii="Trebuchet MS" w:hAnsi="Trebuchet MS"/>
      <w:sz w:val="16"/>
    </w:rPr>
    <w:tblPr>
      <w:tblInd w:w="567" w:type="dxa"/>
      <w:tblBorders>
        <w:top w:val="single" w:sz="4" w:space="0" w:color="FFE3A5" w:themeColor="accent4"/>
        <w:left w:val="single" w:sz="4" w:space="0" w:color="FFE3A5" w:themeColor="accent4"/>
        <w:bottom w:val="single" w:sz="4" w:space="0" w:color="FFE3A5" w:themeColor="accent4"/>
        <w:right w:val="single" w:sz="4" w:space="0" w:color="FFE3A5" w:themeColor="accent4"/>
        <w:insideH w:val="single" w:sz="4" w:space="0" w:color="FFE3A5" w:themeColor="accent4"/>
        <w:insideV w:val="single" w:sz="4" w:space="0" w:color="FFE3A5" w:themeColor="accent4"/>
      </w:tblBorders>
      <w:tblCellMar>
        <w:left w:w="0" w:type="dxa"/>
        <w:right w:w="0" w:type="dxa"/>
      </w:tblCellMar>
    </w:tblPr>
    <w:tblStylePr w:type="firstCol">
      <w:pPr>
        <w:wordWrap/>
        <w:ind w:leftChars="0" w:left="113"/>
      </w:pPr>
      <w:rPr>
        <w:rFonts w:ascii="ÍH_" w:hAnsi="ÍH_"/>
        <w:b/>
        <w:sz w:val="16"/>
      </w:rPr>
      <w:tblPr/>
      <w:tcPr>
        <w:shd w:val="clear" w:color="auto" w:fill="FFE3A5" w:themeFill="accent4"/>
      </w:tcPr>
    </w:tblStylePr>
    <w:tblStylePr w:type="lastCol">
      <w:pPr>
        <w:jc w:val="left"/>
      </w:pPr>
      <w:rPr>
        <w:rFonts w:ascii="ÍH_" w:hAnsi="ÍH_"/>
        <w:sz w:val="16"/>
      </w:rPr>
      <w:tblPr/>
      <w:tcPr>
        <w:vAlign w:val="center"/>
      </w:tcPr>
    </w:tblStylePr>
  </w:style>
  <w:style w:type="character" w:customStyle="1" w:styleId="TabletextChar">
    <w:name w:val="Table text Char"/>
    <w:basedOn w:val="Standardnpsmoodstavce"/>
    <w:link w:val="Tabletext"/>
    <w:rsid w:val="00EA353A"/>
    <w:rPr>
      <w:rFonts w:ascii="Trebuchet MS" w:eastAsia="Calibri" w:hAnsi="Trebuchet MS" w:cs="Times New Roman"/>
      <w:bCs/>
      <w:sz w:val="16"/>
      <w:szCs w:val="16"/>
      <w:lang w:val="en-GB"/>
    </w:rPr>
  </w:style>
  <w:style w:type="character" w:customStyle="1" w:styleId="OrangetabletextChar">
    <w:name w:val="Orange table text Char"/>
    <w:basedOn w:val="Standardnpsmoodstavce"/>
    <w:link w:val="Orangetabletext"/>
    <w:rsid w:val="00204ED4"/>
    <w:rPr>
      <w:rFonts w:ascii="Trebuchet MS" w:hAnsi="Trebuchet MS"/>
      <w:b/>
      <w:bCs/>
      <w:color w:val="FFFFFF"/>
      <w:sz w:val="16"/>
      <w:szCs w:val="14"/>
      <w:lang w:val="en-GB" w:eastAsia="nl-NL"/>
    </w:rPr>
  </w:style>
  <w:style w:type="character" w:customStyle="1" w:styleId="ui-provider">
    <w:name w:val="ui-provider"/>
    <w:basedOn w:val="Standardnpsmoodstavce"/>
    <w:rsid w:val="009336A6"/>
  </w:style>
  <w:style w:type="character" w:customStyle="1" w:styleId="tabchar">
    <w:name w:val="tabchar"/>
    <w:basedOn w:val="Standardnpsmoodstavce"/>
    <w:rsid w:val="00503D9C"/>
  </w:style>
  <w:style w:type="character" w:styleId="slostrnky">
    <w:name w:val="page number"/>
    <w:basedOn w:val="Standardnpsmoodstavce"/>
    <w:uiPriority w:val="99"/>
    <w:semiHidden/>
    <w:unhideWhenUsed/>
    <w:rsid w:val="001508DA"/>
  </w:style>
  <w:style w:type="character" w:customStyle="1" w:styleId="UnresolvedMention">
    <w:name w:val="Unresolved Mention"/>
    <w:basedOn w:val="Standardnpsmoodstavce"/>
    <w:uiPriority w:val="99"/>
    <w:semiHidden/>
    <w:unhideWhenUsed/>
    <w:rsid w:val="00242DFC"/>
    <w:rPr>
      <w:color w:val="605E5C"/>
      <w:shd w:val="clear" w:color="auto" w:fill="E1DFDD"/>
    </w:rPr>
  </w:style>
  <w:style w:type="character" w:customStyle="1" w:styleId="size">
    <w:name w:val="size"/>
    <w:basedOn w:val="Standardnpsmoodstavce"/>
    <w:rsid w:val="00790D99"/>
  </w:style>
  <w:style w:type="character" w:customStyle="1" w:styleId="cf01">
    <w:name w:val="cf01"/>
    <w:basedOn w:val="Standardnpsmoodstavce"/>
    <w:rsid w:val="0028249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061">
      <w:bodyDiv w:val="1"/>
      <w:marLeft w:val="0"/>
      <w:marRight w:val="0"/>
      <w:marTop w:val="0"/>
      <w:marBottom w:val="0"/>
      <w:divBdr>
        <w:top w:val="none" w:sz="0" w:space="0" w:color="auto"/>
        <w:left w:val="none" w:sz="0" w:space="0" w:color="auto"/>
        <w:bottom w:val="none" w:sz="0" w:space="0" w:color="auto"/>
        <w:right w:val="none" w:sz="0" w:space="0" w:color="auto"/>
      </w:divBdr>
    </w:div>
    <w:div w:id="19210559">
      <w:bodyDiv w:val="1"/>
      <w:marLeft w:val="0"/>
      <w:marRight w:val="0"/>
      <w:marTop w:val="0"/>
      <w:marBottom w:val="0"/>
      <w:divBdr>
        <w:top w:val="none" w:sz="0" w:space="0" w:color="auto"/>
        <w:left w:val="none" w:sz="0" w:space="0" w:color="auto"/>
        <w:bottom w:val="none" w:sz="0" w:space="0" w:color="auto"/>
        <w:right w:val="none" w:sz="0" w:space="0" w:color="auto"/>
      </w:divBdr>
    </w:div>
    <w:div w:id="59906430">
      <w:bodyDiv w:val="1"/>
      <w:marLeft w:val="0"/>
      <w:marRight w:val="0"/>
      <w:marTop w:val="0"/>
      <w:marBottom w:val="0"/>
      <w:divBdr>
        <w:top w:val="none" w:sz="0" w:space="0" w:color="auto"/>
        <w:left w:val="none" w:sz="0" w:space="0" w:color="auto"/>
        <w:bottom w:val="none" w:sz="0" w:space="0" w:color="auto"/>
        <w:right w:val="none" w:sz="0" w:space="0" w:color="auto"/>
      </w:divBdr>
      <w:divsChild>
        <w:div w:id="1611665459">
          <w:marLeft w:val="0"/>
          <w:marRight w:val="0"/>
          <w:marTop w:val="0"/>
          <w:marBottom w:val="0"/>
          <w:divBdr>
            <w:top w:val="none" w:sz="0" w:space="0" w:color="auto"/>
            <w:left w:val="none" w:sz="0" w:space="0" w:color="auto"/>
            <w:bottom w:val="none" w:sz="0" w:space="0" w:color="auto"/>
            <w:right w:val="none" w:sz="0" w:space="0" w:color="auto"/>
          </w:divBdr>
          <w:divsChild>
            <w:div w:id="2123450375">
              <w:marLeft w:val="0"/>
              <w:marRight w:val="0"/>
              <w:marTop w:val="0"/>
              <w:marBottom w:val="0"/>
              <w:divBdr>
                <w:top w:val="none" w:sz="0" w:space="0" w:color="auto"/>
                <w:left w:val="none" w:sz="0" w:space="0" w:color="auto"/>
                <w:bottom w:val="none" w:sz="0" w:space="0" w:color="auto"/>
                <w:right w:val="none" w:sz="0" w:space="0" w:color="auto"/>
              </w:divBdr>
              <w:divsChild>
                <w:div w:id="1610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629">
      <w:bodyDiv w:val="1"/>
      <w:marLeft w:val="0"/>
      <w:marRight w:val="0"/>
      <w:marTop w:val="0"/>
      <w:marBottom w:val="0"/>
      <w:divBdr>
        <w:top w:val="none" w:sz="0" w:space="0" w:color="auto"/>
        <w:left w:val="none" w:sz="0" w:space="0" w:color="auto"/>
        <w:bottom w:val="none" w:sz="0" w:space="0" w:color="auto"/>
        <w:right w:val="none" w:sz="0" w:space="0" w:color="auto"/>
      </w:divBdr>
    </w:div>
    <w:div w:id="91823460">
      <w:bodyDiv w:val="1"/>
      <w:marLeft w:val="0"/>
      <w:marRight w:val="0"/>
      <w:marTop w:val="0"/>
      <w:marBottom w:val="0"/>
      <w:divBdr>
        <w:top w:val="none" w:sz="0" w:space="0" w:color="auto"/>
        <w:left w:val="none" w:sz="0" w:space="0" w:color="auto"/>
        <w:bottom w:val="none" w:sz="0" w:space="0" w:color="auto"/>
        <w:right w:val="none" w:sz="0" w:space="0" w:color="auto"/>
      </w:divBdr>
    </w:div>
    <w:div w:id="153648096">
      <w:bodyDiv w:val="1"/>
      <w:marLeft w:val="0"/>
      <w:marRight w:val="0"/>
      <w:marTop w:val="0"/>
      <w:marBottom w:val="0"/>
      <w:divBdr>
        <w:top w:val="none" w:sz="0" w:space="0" w:color="auto"/>
        <w:left w:val="none" w:sz="0" w:space="0" w:color="auto"/>
        <w:bottom w:val="none" w:sz="0" w:space="0" w:color="auto"/>
        <w:right w:val="none" w:sz="0" w:space="0" w:color="auto"/>
      </w:divBdr>
    </w:div>
    <w:div w:id="162477941">
      <w:bodyDiv w:val="1"/>
      <w:marLeft w:val="0"/>
      <w:marRight w:val="0"/>
      <w:marTop w:val="0"/>
      <w:marBottom w:val="0"/>
      <w:divBdr>
        <w:top w:val="none" w:sz="0" w:space="0" w:color="auto"/>
        <w:left w:val="none" w:sz="0" w:space="0" w:color="auto"/>
        <w:bottom w:val="none" w:sz="0" w:space="0" w:color="auto"/>
        <w:right w:val="none" w:sz="0" w:space="0" w:color="auto"/>
      </w:divBdr>
    </w:div>
    <w:div w:id="190188958">
      <w:bodyDiv w:val="1"/>
      <w:marLeft w:val="0"/>
      <w:marRight w:val="0"/>
      <w:marTop w:val="0"/>
      <w:marBottom w:val="0"/>
      <w:divBdr>
        <w:top w:val="none" w:sz="0" w:space="0" w:color="auto"/>
        <w:left w:val="none" w:sz="0" w:space="0" w:color="auto"/>
        <w:bottom w:val="none" w:sz="0" w:space="0" w:color="auto"/>
        <w:right w:val="none" w:sz="0" w:space="0" w:color="auto"/>
      </w:divBdr>
    </w:div>
    <w:div w:id="201476169">
      <w:bodyDiv w:val="1"/>
      <w:marLeft w:val="0"/>
      <w:marRight w:val="0"/>
      <w:marTop w:val="0"/>
      <w:marBottom w:val="0"/>
      <w:divBdr>
        <w:top w:val="none" w:sz="0" w:space="0" w:color="auto"/>
        <w:left w:val="none" w:sz="0" w:space="0" w:color="auto"/>
        <w:bottom w:val="none" w:sz="0" w:space="0" w:color="auto"/>
        <w:right w:val="none" w:sz="0" w:space="0" w:color="auto"/>
      </w:divBdr>
    </w:div>
    <w:div w:id="240679637">
      <w:bodyDiv w:val="1"/>
      <w:marLeft w:val="0"/>
      <w:marRight w:val="0"/>
      <w:marTop w:val="0"/>
      <w:marBottom w:val="0"/>
      <w:divBdr>
        <w:top w:val="none" w:sz="0" w:space="0" w:color="auto"/>
        <w:left w:val="none" w:sz="0" w:space="0" w:color="auto"/>
        <w:bottom w:val="none" w:sz="0" w:space="0" w:color="auto"/>
        <w:right w:val="none" w:sz="0" w:space="0" w:color="auto"/>
      </w:divBdr>
    </w:div>
    <w:div w:id="241111751">
      <w:bodyDiv w:val="1"/>
      <w:marLeft w:val="0"/>
      <w:marRight w:val="0"/>
      <w:marTop w:val="0"/>
      <w:marBottom w:val="0"/>
      <w:divBdr>
        <w:top w:val="none" w:sz="0" w:space="0" w:color="auto"/>
        <w:left w:val="none" w:sz="0" w:space="0" w:color="auto"/>
        <w:bottom w:val="none" w:sz="0" w:space="0" w:color="auto"/>
        <w:right w:val="none" w:sz="0" w:space="0" w:color="auto"/>
      </w:divBdr>
    </w:div>
    <w:div w:id="251548699">
      <w:bodyDiv w:val="1"/>
      <w:marLeft w:val="0"/>
      <w:marRight w:val="0"/>
      <w:marTop w:val="0"/>
      <w:marBottom w:val="0"/>
      <w:divBdr>
        <w:top w:val="none" w:sz="0" w:space="0" w:color="auto"/>
        <w:left w:val="none" w:sz="0" w:space="0" w:color="auto"/>
        <w:bottom w:val="none" w:sz="0" w:space="0" w:color="auto"/>
        <w:right w:val="none" w:sz="0" w:space="0" w:color="auto"/>
      </w:divBdr>
    </w:div>
    <w:div w:id="260647735">
      <w:bodyDiv w:val="1"/>
      <w:marLeft w:val="0"/>
      <w:marRight w:val="0"/>
      <w:marTop w:val="0"/>
      <w:marBottom w:val="0"/>
      <w:divBdr>
        <w:top w:val="none" w:sz="0" w:space="0" w:color="auto"/>
        <w:left w:val="none" w:sz="0" w:space="0" w:color="auto"/>
        <w:bottom w:val="none" w:sz="0" w:space="0" w:color="auto"/>
        <w:right w:val="none" w:sz="0" w:space="0" w:color="auto"/>
      </w:divBdr>
    </w:div>
    <w:div w:id="333724142">
      <w:bodyDiv w:val="1"/>
      <w:marLeft w:val="0"/>
      <w:marRight w:val="0"/>
      <w:marTop w:val="0"/>
      <w:marBottom w:val="0"/>
      <w:divBdr>
        <w:top w:val="none" w:sz="0" w:space="0" w:color="auto"/>
        <w:left w:val="none" w:sz="0" w:space="0" w:color="auto"/>
        <w:bottom w:val="none" w:sz="0" w:space="0" w:color="auto"/>
        <w:right w:val="none" w:sz="0" w:space="0" w:color="auto"/>
      </w:divBdr>
    </w:div>
    <w:div w:id="335348745">
      <w:bodyDiv w:val="1"/>
      <w:marLeft w:val="0"/>
      <w:marRight w:val="0"/>
      <w:marTop w:val="0"/>
      <w:marBottom w:val="0"/>
      <w:divBdr>
        <w:top w:val="none" w:sz="0" w:space="0" w:color="auto"/>
        <w:left w:val="none" w:sz="0" w:space="0" w:color="auto"/>
        <w:bottom w:val="none" w:sz="0" w:space="0" w:color="auto"/>
        <w:right w:val="none" w:sz="0" w:space="0" w:color="auto"/>
      </w:divBdr>
    </w:div>
    <w:div w:id="346493489">
      <w:bodyDiv w:val="1"/>
      <w:marLeft w:val="0"/>
      <w:marRight w:val="0"/>
      <w:marTop w:val="0"/>
      <w:marBottom w:val="0"/>
      <w:divBdr>
        <w:top w:val="none" w:sz="0" w:space="0" w:color="auto"/>
        <w:left w:val="none" w:sz="0" w:space="0" w:color="auto"/>
        <w:bottom w:val="none" w:sz="0" w:space="0" w:color="auto"/>
        <w:right w:val="none" w:sz="0" w:space="0" w:color="auto"/>
      </w:divBdr>
    </w:div>
    <w:div w:id="380058555">
      <w:bodyDiv w:val="1"/>
      <w:marLeft w:val="0"/>
      <w:marRight w:val="0"/>
      <w:marTop w:val="0"/>
      <w:marBottom w:val="0"/>
      <w:divBdr>
        <w:top w:val="none" w:sz="0" w:space="0" w:color="auto"/>
        <w:left w:val="none" w:sz="0" w:space="0" w:color="auto"/>
        <w:bottom w:val="none" w:sz="0" w:space="0" w:color="auto"/>
        <w:right w:val="none" w:sz="0" w:space="0" w:color="auto"/>
      </w:divBdr>
    </w:div>
    <w:div w:id="451478262">
      <w:bodyDiv w:val="1"/>
      <w:marLeft w:val="0"/>
      <w:marRight w:val="0"/>
      <w:marTop w:val="0"/>
      <w:marBottom w:val="0"/>
      <w:divBdr>
        <w:top w:val="none" w:sz="0" w:space="0" w:color="auto"/>
        <w:left w:val="none" w:sz="0" w:space="0" w:color="auto"/>
        <w:bottom w:val="none" w:sz="0" w:space="0" w:color="auto"/>
        <w:right w:val="none" w:sz="0" w:space="0" w:color="auto"/>
      </w:divBdr>
    </w:div>
    <w:div w:id="456922710">
      <w:bodyDiv w:val="1"/>
      <w:marLeft w:val="0"/>
      <w:marRight w:val="0"/>
      <w:marTop w:val="0"/>
      <w:marBottom w:val="0"/>
      <w:divBdr>
        <w:top w:val="none" w:sz="0" w:space="0" w:color="auto"/>
        <w:left w:val="none" w:sz="0" w:space="0" w:color="auto"/>
        <w:bottom w:val="none" w:sz="0" w:space="0" w:color="auto"/>
        <w:right w:val="none" w:sz="0" w:space="0" w:color="auto"/>
      </w:divBdr>
    </w:div>
    <w:div w:id="515660632">
      <w:bodyDiv w:val="1"/>
      <w:marLeft w:val="0"/>
      <w:marRight w:val="0"/>
      <w:marTop w:val="0"/>
      <w:marBottom w:val="0"/>
      <w:divBdr>
        <w:top w:val="none" w:sz="0" w:space="0" w:color="auto"/>
        <w:left w:val="none" w:sz="0" w:space="0" w:color="auto"/>
        <w:bottom w:val="none" w:sz="0" w:space="0" w:color="auto"/>
        <w:right w:val="none" w:sz="0" w:space="0" w:color="auto"/>
      </w:divBdr>
    </w:div>
    <w:div w:id="517473373">
      <w:bodyDiv w:val="1"/>
      <w:marLeft w:val="0"/>
      <w:marRight w:val="0"/>
      <w:marTop w:val="0"/>
      <w:marBottom w:val="0"/>
      <w:divBdr>
        <w:top w:val="none" w:sz="0" w:space="0" w:color="auto"/>
        <w:left w:val="none" w:sz="0" w:space="0" w:color="auto"/>
        <w:bottom w:val="none" w:sz="0" w:space="0" w:color="auto"/>
        <w:right w:val="none" w:sz="0" w:space="0" w:color="auto"/>
      </w:divBdr>
      <w:divsChild>
        <w:div w:id="111367408">
          <w:marLeft w:val="0"/>
          <w:marRight w:val="0"/>
          <w:marTop w:val="0"/>
          <w:marBottom w:val="255"/>
          <w:divBdr>
            <w:top w:val="none" w:sz="0" w:space="0" w:color="auto"/>
            <w:left w:val="none" w:sz="0" w:space="0" w:color="auto"/>
            <w:bottom w:val="none" w:sz="0" w:space="0" w:color="auto"/>
            <w:right w:val="none" w:sz="0" w:space="0" w:color="auto"/>
          </w:divBdr>
          <w:divsChild>
            <w:div w:id="221257667">
              <w:marLeft w:val="0"/>
              <w:marRight w:val="0"/>
              <w:marTop w:val="0"/>
              <w:marBottom w:val="0"/>
              <w:divBdr>
                <w:top w:val="none" w:sz="0" w:space="0" w:color="auto"/>
                <w:left w:val="none" w:sz="0" w:space="0" w:color="auto"/>
                <w:bottom w:val="none" w:sz="0" w:space="0" w:color="auto"/>
                <w:right w:val="none" w:sz="0" w:space="0" w:color="auto"/>
              </w:divBdr>
              <w:divsChild>
                <w:div w:id="1418943968">
                  <w:marLeft w:val="0"/>
                  <w:marRight w:val="0"/>
                  <w:marTop w:val="0"/>
                  <w:marBottom w:val="0"/>
                  <w:divBdr>
                    <w:top w:val="none" w:sz="0" w:space="0" w:color="auto"/>
                    <w:left w:val="none" w:sz="0" w:space="0" w:color="auto"/>
                    <w:bottom w:val="none" w:sz="0" w:space="0" w:color="auto"/>
                    <w:right w:val="none" w:sz="0" w:space="0" w:color="auto"/>
                  </w:divBdr>
                  <w:divsChild>
                    <w:div w:id="150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73706">
      <w:bodyDiv w:val="1"/>
      <w:marLeft w:val="0"/>
      <w:marRight w:val="0"/>
      <w:marTop w:val="0"/>
      <w:marBottom w:val="0"/>
      <w:divBdr>
        <w:top w:val="none" w:sz="0" w:space="0" w:color="auto"/>
        <w:left w:val="none" w:sz="0" w:space="0" w:color="auto"/>
        <w:bottom w:val="none" w:sz="0" w:space="0" w:color="auto"/>
        <w:right w:val="none" w:sz="0" w:space="0" w:color="auto"/>
      </w:divBdr>
    </w:div>
    <w:div w:id="545993868">
      <w:bodyDiv w:val="1"/>
      <w:marLeft w:val="0"/>
      <w:marRight w:val="0"/>
      <w:marTop w:val="0"/>
      <w:marBottom w:val="0"/>
      <w:divBdr>
        <w:top w:val="none" w:sz="0" w:space="0" w:color="auto"/>
        <w:left w:val="none" w:sz="0" w:space="0" w:color="auto"/>
        <w:bottom w:val="none" w:sz="0" w:space="0" w:color="auto"/>
        <w:right w:val="none" w:sz="0" w:space="0" w:color="auto"/>
      </w:divBdr>
    </w:div>
    <w:div w:id="547499167">
      <w:bodyDiv w:val="1"/>
      <w:marLeft w:val="0"/>
      <w:marRight w:val="0"/>
      <w:marTop w:val="0"/>
      <w:marBottom w:val="0"/>
      <w:divBdr>
        <w:top w:val="none" w:sz="0" w:space="0" w:color="auto"/>
        <w:left w:val="none" w:sz="0" w:space="0" w:color="auto"/>
        <w:bottom w:val="none" w:sz="0" w:space="0" w:color="auto"/>
        <w:right w:val="none" w:sz="0" w:space="0" w:color="auto"/>
      </w:divBdr>
    </w:div>
    <w:div w:id="554245696">
      <w:bodyDiv w:val="1"/>
      <w:marLeft w:val="0"/>
      <w:marRight w:val="0"/>
      <w:marTop w:val="0"/>
      <w:marBottom w:val="0"/>
      <w:divBdr>
        <w:top w:val="none" w:sz="0" w:space="0" w:color="auto"/>
        <w:left w:val="none" w:sz="0" w:space="0" w:color="auto"/>
        <w:bottom w:val="none" w:sz="0" w:space="0" w:color="auto"/>
        <w:right w:val="none" w:sz="0" w:space="0" w:color="auto"/>
      </w:divBdr>
    </w:div>
    <w:div w:id="555242891">
      <w:bodyDiv w:val="1"/>
      <w:marLeft w:val="0"/>
      <w:marRight w:val="0"/>
      <w:marTop w:val="0"/>
      <w:marBottom w:val="0"/>
      <w:divBdr>
        <w:top w:val="none" w:sz="0" w:space="0" w:color="auto"/>
        <w:left w:val="none" w:sz="0" w:space="0" w:color="auto"/>
        <w:bottom w:val="none" w:sz="0" w:space="0" w:color="auto"/>
        <w:right w:val="none" w:sz="0" w:space="0" w:color="auto"/>
      </w:divBdr>
    </w:div>
    <w:div w:id="560482837">
      <w:bodyDiv w:val="1"/>
      <w:marLeft w:val="0"/>
      <w:marRight w:val="0"/>
      <w:marTop w:val="0"/>
      <w:marBottom w:val="0"/>
      <w:divBdr>
        <w:top w:val="none" w:sz="0" w:space="0" w:color="auto"/>
        <w:left w:val="none" w:sz="0" w:space="0" w:color="auto"/>
        <w:bottom w:val="none" w:sz="0" w:space="0" w:color="auto"/>
        <w:right w:val="none" w:sz="0" w:space="0" w:color="auto"/>
      </w:divBdr>
    </w:div>
    <w:div w:id="576597534">
      <w:bodyDiv w:val="1"/>
      <w:marLeft w:val="0"/>
      <w:marRight w:val="0"/>
      <w:marTop w:val="0"/>
      <w:marBottom w:val="0"/>
      <w:divBdr>
        <w:top w:val="none" w:sz="0" w:space="0" w:color="auto"/>
        <w:left w:val="none" w:sz="0" w:space="0" w:color="auto"/>
        <w:bottom w:val="none" w:sz="0" w:space="0" w:color="auto"/>
        <w:right w:val="none" w:sz="0" w:space="0" w:color="auto"/>
      </w:divBdr>
    </w:div>
    <w:div w:id="588664137">
      <w:bodyDiv w:val="1"/>
      <w:marLeft w:val="0"/>
      <w:marRight w:val="0"/>
      <w:marTop w:val="0"/>
      <w:marBottom w:val="0"/>
      <w:divBdr>
        <w:top w:val="none" w:sz="0" w:space="0" w:color="auto"/>
        <w:left w:val="none" w:sz="0" w:space="0" w:color="auto"/>
        <w:bottom w:val="none" w:sz="0" w:space="0" w:color="auto"/>
        <w:right w:val="none" w:sz="0" w:space="0" w:color="auto"/>
      </w:divBdr>
    </w:div>
    <w:div w:id="643973294">
      <w:bodyDiv w:val="1"/>
      <w:marLeft w:val="0"/>
      <w:marRight w:val="0"/>
      <w:marTop w:val="0"/>
      <w:marBottom w:val="0"/>
      <w:divBdr>
        <w:top w:val="none" w:sz="0" w:space="0" w:color="auto"/>
        <w:left w:val="none" w:sz="0" w:space="0" w:color="auto"/>
        <w:bottom w:val="none" w:sz="0" w:space="0" w:color="auto"/>
        <w:right w:val="none" w:sz="0" w:space="0" w:color="auto"/>
      </w:divBdr>
    </w:div>
    <w:div w:id="652762286">
      <w:bodyDiv w:val="1"/>
      <w:marLeft w:val="0"/>
      <w:marRight w:val="0"/>
      <w:marTop w:val="0"/>
      <w:marBottom w:val="0"/>
      <w:divBdr>
        <w:top w:val="none" w:sz="0" w:space="0" w:color="auto"/>
        <w:left w:val="none" w:sz="0" w:space="0" w:color="auto"/>
        <w:bottom w:val="none" w:sz="0" w:space="0" w:color="auto"/>
        <w:right w:val="none" w:sz="0" w:space="0" w:color="auto"/>
      </w:divBdr>
    </w:div>
    <w:div w:id="664357061">
      <w:bodyDiv w:val="1"/>
      <w:marLeft w:val="0"/>
      <w:marRight w:val="0"/>
      <w:marTop w:val="0"/>
      <w:marBottom w:val="0"/>
      <w:divBdr>
        <w:top w:val="none" w:sz="0" w:space="0" w:color="auto"/>
        <w:left w:val="none" w:sz="0" w:space="0" w:color="auto"/>
        <w:bottom w:val="none" w:sz="0" w:space="0" w:color="auto"/>
        <w:right w:val="none" w:sz="0" w:space="0" w:color="auto"/>
      </w:divBdr>
    </w:div>
    <w:div w:id="675155093">
      <w:bodyDiv w:val="1"/>
      <w:marLeft w:val="0"/>
      <w:marRight w:val="0"/>
      <w:marTop w:val="0"/>
      <w:marBottom w:val="0"/>
      <w:divBdr>
        <w:top w:val="none" w:sz="0" w:space="0" w:color="auto"/>
        <w:left w:val="none" w:sz="0" w:space="0" w:color="auto"/>
        <w:bottom w:val="none" w:sz="0" w:space="0" w:color="auto"/>
        <w:right w:val="none" w:sz="0" w:space="0" w:color="auto"/>
      </w:divBdr>
    </w:div>
    <w:div w:id="676661702">
      <w:bodyDiv w:val="1"/>
      <w:marLeft w:val="0"/>
      <w:marRight w:val="0"/>
      <w:marTop w:val="0"/>
      <w:marBottom w:val="0"/>
      <w:divBdr>
        <w:top w:val="none" w:sz="0" w:space="0" w:color="auto"/>
        <w:left w:val="none" w:sz="0" w:space="0" w:color="auto"/>
        <w:bottom w:val="none" w:sz="0" w:space="0" w:color="auto"/>
        <w:right w:val="none" w:sz="0" w:space="0" w:color="auto"/>
      </w:divBdr>
    </w:div>
    <w:div w:id="707530236">
      <w:bodyDiv w:val="1"/>
      <w:marLeft w:val="0"/>
      <w:marRight w:val="0"/>
      <w:marTop w:val="0"/>
      <w:marBottom w:val="0"/>
      <w:divBdr>
        <w:top w:val="none" w:sz="0" w:space="0" w:color="auto"/>
        <w:left w:val="none" w:sz="0" w:space="0" w:color="auto"/>
        <w:bottom w:val="none" w:sz="0" w:space="0" w:color="auto"/>
        <w:right w:val="none" w:sz="0" w:space="0" w:color="auto"/>
      </w:divBdr>
    </w:div>
    <w:div w:id="773130605">
      <w:bodyDiv w:val="1"/>
      <w:marLeft w:val="0"/>
      <w:marRight w:val="0"/>
      <w:marTop w:val="0"/>
      <w:marBottom w:val="0"/>
      <w:divBdr>
        <w:top w:val="none" w:sz="0" w:space="0" w:color="auto"/>
        <w:left w:val="none" w:sz="0" w:space="0" w:color="auto"/>
        <w:bottom w:val="none" w:sz="0" w:space="0" w:color="auto"/>
        <w:right w:val="none" w:sz="0" w:space="0" w:color="auto"/>
      </w:divBdr>
    </w:div>
    <w:div w:id="799108975">
      <w:bodyDiv w:val="1"/>
      <w:marLeft w:val="0"/>
      <w:marRight w:val="0"/>
      <w:marTop w:val="0"/>
      <w:marBottom w:val="0"/>
      <w:divBdr>
        <w:top w:val="none" w:sz="0" w:space="0" w:color="auto"/>
        <w:left w:val="none" w:sz="0" w:space="0" w:color="auto"/>
        <w:bottom w:val="none" w:sz="0" w:space="0" w:color="auto"/>
        <w:right w:val="none" w:sz="0" w:space="0" w:color="auto"/>
      </w:divBdr>
    </w:div>
    <w:div w:id="804157641">
      <w:bodyDiv w:val="1"/>
      <w:marLeft w:val="0"/>
      <w:marRight w:val="0"/>
      <w:marTop w:val="0"/>
      <w:marBottom w:val="0"/>
      <w:divBdr>
        <w:top w:val="none" w:sz="0" w:space="0" w:color="auto"/>
        <w:left w:val="none" w:sz="0" w:space="0" w:color="auto"/>
        <w:bottom w:val="none" w:sz="0" w:space="0" w:color="auto"/>
        <w:right w:val="none" w:sz="0" w:space="0" w:color="auto"/>
      </w:divBdr>
      <w:divsChild>
        <w:div w:id="248740428">
          <w:marLeft w:val="0"/>
          <w:marRight w:val="0"/>
          <w:marTop w:val="0"/>
          <w:marBottom w:val="0"/>
          <w:divBdr>
            <w:top w:val="none" w:sz="0" w:space="0" w:color="auto"/>
            <w:left w:val="none" w:sz="0" w:space="0" w:color="auto"/>
            <w:bottom w:val="none" w:sz="0" w:space="0" w:color="auto"/>
            <w:right w:val="none" w:sz="0" w:space="0" w:color="auto"/>
          </w:divBdr>
        </w:div>
        <w:div w:id="601646335">
          <w:marLeft w:val="0"/>
          <w:marRight w:val="0"/>
          <w:marTop w:val="0"/>
          <w:marBottom w:val="0"/>
          <w:divBdr>
            <w:top w:val="none" w:sz="0" w:space="0" w:color="auto"/>
            <w:left w:val="none" w:sz="0" w:space="0" w:color="auto"/>
            <w:bottom w:val="none" w:sz="0" w:space="0" w:color="auto"/>
            <w:right w:val="none" w:sz="0" w:space="0" w:color="auto"/>
          </w:divBdr>
        </w:div>
        <w:div w:id="916209895">
          <w:marLeft w:val="0"/>
          <w:marRight w:val="0"/>
          <w:marTop w:val="0"/>
          <w:marBottom w:val="0"/>
          <w:divBdr>
            <w:top w:val="none" w:sz="0" w:space="0" w:color="auto"/>
            <w:left w:val="none" w:sz="0" w:space="0" w:color="auto"/>
            <w:bottom w:val="none" w:sz="0" w:space="0" w:color="auto"/>
            <w:right w:val="none" w:sz="0" w:space="0" w:color="auto"/>
          </w:divBdr>
        </w:div>
        <w:div w:id="1793132252">
          <w:marLeft w:val="0"/>
          <w:marRight w:val="0"/>
          <w:marTop w:val="0"/>
          <w:marBottom w:val="0"/>
          <w:divBdr>
            <w:top w:val="none" w:sz="0" w:space="0" w:color="auto"/>
            <w:left w:val="none" w:sz="0" w:space="0" w:color="auto"/>
            <w:bottom w:val="none" w:sz="0" w:space="0" w:color="auto"/>
            <w:right w:val="none" w:sz="0" w:space="0" w:color="auto"/>
          </w:divBdr>
        </w:div>
        <w:div w:id="2136096817">
          <w:marLeft w:val="0"/>
          <w:marRight w:val="0"/>
          <w:marTop w:val="0"/>
          <w:marBottom w:val="0"/>
          <w:divBdr>
            <w:top w:val="none" w:sz="0" w:space="0" w:color="auto"/>
            <w:left w:val="none" w:sz="0" w:space="0" w:color="auto"/>
            <w:bottom w:val="none" w:sz="0" w:space="0" w:color="auto"/>
            <w:right w:val="none" w:sz="0" w:space="0" w:color="auto"/>
          </w:divBdr>
        </w:div>
      </w:divsChild>
    </w:div>
    <w:div w:id="812212795">
      <w:bodyDiv w:val="1"/>
      <w:marLeft w:val="0"/>
      <w:marRight w:val="0"/>
      <w:marTop w:val="0"/>
      <w:marBottom w:val="0"/>
      <w:divBdr>
        <w:top w:val="none" w:sz="0" w:space="0" w:color="auto"/>
        <w:left w:val="none" w:sz="0" w:space="0" w:color="auto"/>
        <w:bottom w:val="none" w:sz="0" w:space="0" w:color="auto"/>
        <w:right w:val="none" w:sz="0" w:space="0" w:color="auto"/>
      </w:divBdr>
    </w:div>
    <w:div w:id="814371116">
      <w:bodyDiv w:val="1"/>
      <w:marLeft w:val="0"/>
      <w:marRight w:val="0"/>
      <w:marTop w:val="0"/>
      <w:marBottom w:val="0"/>
      <w:divBdr>
        <w:top w:val="none" w:sz="0" w:space="0" w:color="auto"/>
        <w:left w:val="none" w:sz="0" w:space="0" w:color="auto"/>
        <w:bottom w:val="none" w:sz="0" w:space="0" w:color="auto"/>
        <w:right w:val="none" w:sz="0" w:space="0" w:color="auto"/>
      </w:divBdr>
    </w:div>
    <w:div w:id="823351815">
      <w:bodyDiv w:val="1"/>
      <w:marLeft w:val="0"/>
      <w:marRight w:val="0"/>
      <w:marTop w:val="0"/>
      <w:marBottom w:val="0"/>
      <w:divBdr>
        <w:top w:val="none" w:sz="0" w:space="0" w:color="auto"/>
        <w:left w:val="none" w:sz="0" w:space="0" w:color="auto"/>
        <w:bottom w:val="none" w:sz="0" w:space="0" w:color="auto"/>
        <w:right w:val="none" w:sz="0" w:space="0" w:color="auto"/>
      </w:divBdr>
    </w:div>
    <w:div w:id="833302075">
      <w:bodyDiv w:val="1"/>
      <w:marLeft w:val="0"/>
      <w:marRight w:val="0"/>
      <w:marTop w:val="0"/>
      <w:marBottom w:val="0"/>
      <w:divBdr>
        <w:top w:val="none" w:sz="0" w:space="0" w:color="auto"/>
        <w:left w:val="none" w:sz="0" w:space="0" w:color="auto"/>
        <w:bottom w:val="none" w:sz="0" w:space="0" w:color="auto"/>
        <w:right w:val="none" w:sz="0" w:space="0" w:color="auto"/>
      </w:divBdr>
    </w:div>
    <w:div w:id="839739948">
      <w:bodyDiv w:val="1"/>
      <w:marLeft w:val="0"/>
      <w:marRight w:val="0"/>
      <w:marTop w:val="0"/>
      <w:marBottom w:val="0"/>
      <w:divBdr>
        <w:top w:val="none" w:sz="0" w:space="0" w:color="auto"/>
        <w:left w:val="none" w:sz="0" w:space="0" w:color="auto"/>
        <w:bottom w:val="none" w:sz="0" w:space="0" w:color="auto"/>
        <w:right w:val="none" w:sz="0" w:space="0" w:color="auto"/>
      </w:divBdr>
    </w:div>
    <w:div w:id="869876715">
      <w:bodyDiv w:val="1"/>
      <w:marLeft w:val="0"/>
      <w:marRight w:val="0"/>
      <w:marTop w:val="0"/>
      <w:marBottom w:val="0"/>
      <w:divBdr>
        <w:top w:val="none" w:sz="0" w:space="0" w:color="auto"/>
        <w:left w:val="none" w:sz="0" w:space="0" w:color="auto"/>
        <w:bottom w:val="none" w:sz="0" w:space="0" w:color="auto"/>
        <w:right w:val="none" w:sz="0" w:space="0" w:color="auto"/>
      </w:divBdr>
    </w:div>
    <w:div w:id="873929129">
      <w:bodyDiv w:val="1"/>
      <w:marLeft w:val="0"/>
      <w:marRight w:val="0"/>
      <w:marTop w:val="0"/>
      <w:marBottom w:val="0"/>
      <w:divBdr>
        <w:top w:val="none" w:sz="0" w:space="0" w:color="auto"/>
        <w:left w:val="none" w:sz="0" w:space="0" w:color="auto"/>
        <w:bottom w:val="none" w:sz="0" w:space="0" w:color="auto"/>
        <w:right w:val="none" w:sz="0" w:space="0" w:color="auto"/>
      </w:divBdr>
    </w:div>
    <w:div w:id="878470213">
      <w:bodyDiv w:val="1"/>
      <w:marLeft w:val="0"/>
      <w:marRight w:val="0"/>
      <w:marTop w:val="0"/>
      <w:marBottom w:val="0"/>
      <w:divBdr>
        <w:top w:val="none" w:sz="0" w:space="0" w:color="auto"/>
        <w:left w:val="none" w:sz="0" w:space="0" w:color="auto"/>
        <w:bottom w:val="none" w:sz="0" w:space="0" w:color="auto"/>
        <w:right w:val="none" w:sz="0" w:space="0" w:color="auto"/>
      </w:divBdr>
    </w:div>
    <w:div w:id="883718551">
      <w:bodyDiv w:val="1"/>
      <w:marLeft w:val="0"/>
      <w:marRight w:val="0"/>
      <w:marTop w:val="0"/>
      <w:marBottom w:val="0"/>
      <w:divBdr>
        <w:top w:val="none" w:sz="0" w:space="0" w:color="auto"/>
        <w:left w:val="none" w:sz="0" w:space="0" w:color="auto"/>
        <w:bottom w:val="none" w:sz="0" w:space="0" w:color="auto"/>
        <w:right w:val="none" w:sz="0" w:space="0" w:color="auto"/>
      </w:divBdr>
    </w:div>
    <w:div w:id="908879636">
      <w:bodyDiv w:val="1"/>
      <w:marLeft w:val="0"/>
      <w:marRight w:val="0"/>
      <w:marTop w:val="0"/>
      <w:marBottom w:val="0"/>
      <w:divBdr>
        <w:top w:val="none" w:sz="0" w:space="0" w:color="auto"/>
        <w:left w:val="none" w:sz="0" w:space="0" w:color="auto"/>
        <w:bottom w:val="none" w:sz="0" w:space="0" w:color="auto"/>
        <w:right w:val="none" w:sz="0" w:space="0" w:color="auto"/>
      </w:divBdr>
    </w:div>
    <w:div w:id="946961849">
      <w:bodyDiv w:val="1"/>
      <w:marLeft w:val="0"/>
      <w:marRight w:val="0"/>
      <w:marTop w:val="0"/>
      <w:marBottom w:val="0"/>
      <w:divBdr>
        <w:top w:val="none" w:sz="0" w:space="0" w:color="auto"/>
        <w:left w:val="none" w:sz="0" w:space="0" w:color="auto"/>
        <w:bottom w:val="none" w:sz="0" w:space="0" w:color="auto"/>
        <w:right w:val="none" w:sz="0" w:space="0" w:color="auto"/>
      </w:divBdr>
    </w:div>
    <w:div w:id="949779336">
      <w:bodyDiv w:val="1"/>
      <w:marLeft w:val="0"/>
      <w:marRight w:val="0"/>
      <w:marTop w:val="0"/>
      <w:marBottom w:val="0"/>
      <w:divBdr>
        <w:top w:val="none" w:sz="0" w:space="0" w:color="auto"/>
        <w:left w:val="none" w:sz="0" w:space="0" w:color="auto"/>
        <w:bottom w:val="none" w:sz="0" w:space="0" w:color="auto"/>
        <w:right w:val="none" w:sz="0" w:space="0" w:color="auto"/>
      </w:divBdr>
    </w:div>
    <w:div w:id="979383926">
      <w:bodyDiv w:val="1"/>
      <w:marLeft w:val="0"/>
      <w:marRight w:val="0"/>
      <w:marTop w:val="0"/>
      <w:marBottom w:val="0"/>
      <w:divBdr>
        <w:top w:val="none" w:sz="0" w:space="0" w:color="auto"/>
        <w:left w:val="none" w:sz="0" w:space="0" w:color="auto"/>
        <w:bottom w:val="none" w:sz="0" w:space="0" w:color="auto"/>
        <w:right w:val="none" w:sz="0" w:space="0" w:color="auto"/>
      </w:divBdr>
    </w:div>
    <w:div w:id="1003781293">
      <w:bodyDiv w:val="1"/>
      <w:marLeft w:val="0"/>
      <w:marRight w:val="0"/>
      <w:marTop w:val="0"/>
      <w:marBottom w:val="0"/>
      <w:divBdr>
        <w:top w:val="none" w:sz="0" w:space="0" w:color="auto"/>
        <w:left w:val="none" w:sz="0" w:space="0" w:color="auto"/>
        <w:bottom w:val="none" w:sz="0" w:space="0" w:color="auto"/>
        <w:right w:val="none" w:sz="0" w:space="0" w:color="auto"/>
      </w:divBdr>
    </w:div>
    <w:div w:id="1044794174">
      <w:bodyDiv w:val="1"/>
      <w:marLeft w:val="0"/>
      <w:marRight w:val="0"/>
      <w:marTop w:val="0"/>
      <w:marBottom w:val="0"/>
      <w:divBdr>
        <w:top w:val="none" w:sz="0" w:space="0" w:color="auto"/>
        <w:left w:val="none" w:sz="0" w:space="0" w:color="auto"/>
        <w:bottom w:val="none" w:sz="0" w:space="0" w:color="auto"/>
        <w:right w:val="none" w:sz="0" w:space="0" w:color="auto"/>
      </w:divBdr>
    </w:div>
    <w:div w:id="1049767931">
      <w:bodyDiv w:val="1"/>
      <w:marLeft w:val="0"/>
      <w:marRight w:val="0"/>
      <w:marTop w:val="0"/>
      <w:marBottom w:val="0"/>
      <w:divBdr>
        <w:top w:val="none" w:sz="0" w:space="0" w:color="auto"/>
        <w:left w:val="none" w:sz="0" w:space="0" w:color="auto"/>
        <w:bottom w:val="none" w:sz="0" w:space="0" w:color="auto"/>
        <w:right w:val="none" w:sz="0" w:space="0" w:color="auto"/>
      </w:divBdr>
    </w:div>
    <w:div w:id="1091508692">
      <w:bodyDiv w:val="1"/>
      <w:marLeft w:val="0"/>
      <w:marRight w:val="0"/>
      <w:marTop w:val="0"/>
      <w:marBottom w:val="0"/>
      <w:divBdr>
        <w:top w:val="none" w:sz="0" w:space="0" w:color="auto"/>
        <w:left w:val="none" w:sz="0" w:space="0" w:color="auto"/>
        <w:bottom w:val="none" w:sz="0" w:space="0" w:color="auto"/>
        <w:right w:val="none" w:sz="0" w:space="0" w:color="auto"/>
      </w:divBdr>
    </w:div>
    <w:div w:id="1095859922">
      <w:bodyDiv w:val="1"/>
      <w:marLeft w:val="0"/>
      <w:marRight w:val="0"/>
      <w:marTop w:val="0"/>
      <w:marBottom w:val="0"/>
      <w:divBdr>
        <w:top w:val="none" w:sz="0" w:space="0" w:color="auto"/>
        <w:left w:val="none" w:sz="0" w:space="0" w:color="auto"/>
        <w:bottom w:val="none" w:sz="0" w:space="0" w:color="auto"/>
        <w:right w:val="none" w:sz="0" w:space="0" w:color="auto"/>
      </w:divBdr>
    </w:div>
    <w:div w:id="1102452064">
      <w:bodyDiv w:val="1"/>
      <w:marLeft w:val="0"/>
      <w:marRight w:val="0"/>
      <w:marTop w:val="0"/>
      <w:marBottom w:val="0"/>
      <w:divBdr>
        <w:top w:val="none" w:sz="0" w:space="0" w:color="auto"/>
        <w:left w:val="none" w:sz="0" w:space="0" w:color="auto"/>
        <w:bottom w:val="none" w:sz="0" w:space="0" w:color="auto"/>
        <w:right w:val="none" w:sz="0" w:space="0" w:color="auto"/>
      </w:divBdr>
    </w:div>
    <w:div w:id="1116565232">
      <w:bodyDiv w:val="1"/>
      <w:marLeft w:val="0"/>
      <w:marRight w:val="0"/>
      <w:marTop w:val="0"/>
      <w:marBottom w:val="0"/>
      <w:divBdr>
        <w:top w:val="none" w:sz="0" w:space="0" w:color="auto"/>
        <w:left w:val="none" w:sz="0" w:space="0" w:color="auto"/>
        <w:bottom w:val="none" w:sz="0" w:space="0" w:color="auto"/>
        <w:right w:val="none" w:sz="0" w:space="0" w:color="auto"/>
      </w:divBdr>
    </w:div>
    <w:div w:id="1123691210">
      <w:bodyDiv w:val="1"/>
      <w:marLeft w:val="0"/>
      <w:marRight w:val="0"/>
      <w:marTop w:val="0"/>
      <w:marBottom w:val="0"/>
      <w:divBdr>
        <w:top w:val="none" w:sz="0" w:space="0" w:color="auto"/>
        <w:left w:val="none" w:sz="0" w:space="0" w:color="auto"/>
        <w:bottom w:val="none" w:sz="0" w:space="0" w:color="auto"/>
        <w:right w:val="none" w:sz="0" w:space="0" w:color="auto"/>
      </w:divBdr>
    </w:div>
    <w:div w:id="1131825722">
      <w:bodyDiv w:val="1"/>
      <w:marLeft w:val="0"/>
      <w:marRight w:val="0"/>
      <w:marTop w:val="0"/>
      <w:marBottom w:val="0"/>
      <w:divBdr>
        <w:top w:val="none" w:sz="0" w:space="0" w:color="auto"/>
        <w:left w:val="none" w:sz="0" w:space="0" w:color="auto"/>
        <w:bottom w:val="none" w:sz="0" w:space="0" w:color="auto"/>
        <w:right w:val="none" w:sz="0" w:space="0" w:color="auto"/>
      </w:divBdr>
    </w:div>
    <w:div w:id="1149788075">
      <w:bodyDiv w:val="1"/>
      <w:marLeft w:val="0"/>
      <w:marRight w:val="0"/>
      <w:marTop w:val="0"/>
      <w:marBottom w:val="0"/>
      <w:divBdr>
        <w:top w:val="none" w:sz="0" w:space="0" w:color="auto"/>
        <w:left w:val="none" w:sz="0" w:space="0" w:color="auto"/>
        <w:bottom w:val="none" w:sz="0" w:space="0" w:color="auto"/>
        <w:right w:val="none" w:sz="0" w:space="0" w:color="auto"/>
      </w:divBdr>
    </w:div>
    <w:div w:id="1153332451">
      <w:bodyDiv w:val="1"/>
      <w:marLeft w:val="0"/>
      <w:marRight w:val="0"/>
      <w:marTop w:val="0"/>
      <w:marBottom w:val="0"/>
      <w:divBdr>
        <w:top w:val="none" w:sz="0" w:space="0" w:color="auto"/>
        <w:left w:val="none" w:sz="0" w:space="0" w:color="auto"/>
        <w:bottom w:val="none" w:sz="0" w:space="0" w:color="auto"/>
        <w:right w:val="none" w:sz="0" w:space="0" w:color="auto"/>
      </w:divBdr>
    </w:div>
    <w:div w:id="1200049730">
      <w:bodyDiv w:val="1"/>
      <w:marLeft w:val="0"/>
      <w:marRight w:val="0"/>
      <w:marTop w:val="0"/>
      <w:marBottom w:val="0"/>
      <w:divBdr>
        <w:top w:val="none" w:sz="0" w:space="0" w:color="auto"/>
        <w:left w:val="none" w:sz="0" w:space="0" w:color="auto"/>
        <w:bottom w:val="none" w:sz="0" w:space="0" w:color="auto"/>
        <w:right w:val="none" w:sz="0" w:space="0" w:color="auto"/>
      </w:divBdr>
    </w:div>
    <w:div w:id="1223827290">
      <w:bodyDiv w:val="1"/>
      <w:marLeft w:val="0"/>
      <w:marRight w:val="0"/>
      <w:marTop w:val="0"/>
      <w:marBottom w:val="0"/>
      <w:divBdr>
        <w:top w:val="none" w:sz="0" w:space="0" w:color="auto"/>
        <w:left w:val="none" w:sz="0" w:space="0" w:color="auto"/>
        <w:bottom w:val="none" w:sz="0" w:space="0" w:color="auto"/>
        <w:right w:val="none" w:sz="0" w:space="0" w:color="auto"/>
      </w:divBdr>
    </w:div>
    <w:div w:id="1234240477">
      <w:bodyDiv w:val="1"/>
      <w:marLeft w:val="0"/>
      <w:marRight w:val="0"/>
      <w:marTop w:val="0"/>
      <w:marBottom w:val="0"/>
      <w:divBdr>
        <w:top w:val="none" w:sz="0" w:space="0" w:color="auto"/>
        <w:left w:val="none" w:sz="0" w:space="0" w:color="auto"/>
        <w:bottom w:val="none" w:sz="0" w:space="0" w:color="auto"/>
        <w:right w:val="none" w:sz="0" w:space="0" w:color="auto"/>
      </w:divBdr>
      <w:divsChild>
        <w:div w:id="1290933665">
          <w:marLeft w:val="0"/>
          <w:marRight w:val="0"/>
          <w:marTop w:val="0"/>
          <w:marBottom w:val="0"/>
          <w:divBdr>
            <w:top w:val="none" w:sz="0" w:space="0" w:color="auto"/>
            <w:left w:val="none" w:sz="0" w:space="0" w:color="auto"/>
            <w:bottom w:val="none" w:sz="0" w:space="0" w:color="auto"/>
            <w:right w:val="none" w:sz="0" w:space="0" w:color="auto"/>
          </w:divBdr>
          <w:divsChild>
            <w:div w:id="1512797895">
              <w:marLeft w:val="0"/>
              <w:marRight w:val="0"/>
              <w:marTop w:val="0"/>
              <w:marBottom w:val="0"/>
              <w:divBdr>
                <w:top w:val="none" w:sz="0" w:space="0" w:color="auto"/>
                <w:left w:val="none" w:sz="0" w:space="0" w:color="auto"/>
                <w:bottom w:val="none" w:sz="0" w:space="0" w:color="auto"/>
                <w:right w:val="none" w:sz="0" w:space="0" w:color="auto"/>
              </w:divBdr>
              <w:divsChild>
                <w:div w:id="1934893417">
                  <w:marLeft w:val="0"/>
                  <w:marRight w:val="0"/>
                  <w:marTop w:val="0"/>
                  <w:marBottom w:val="0"/>
                  <w:divBdr>
                    <w:top w:val="none" w:sz="0" w:space="0" w:color="auto"/>
                    <w:left w:val="none" w:sz="0" w:space="0" w:color="auto"/>
                    <w:bottom w:val="none" w:sz="0" w:space="0" w:color="auto"/>
                    <w:right w:val="none" w:sz="0" w:space="0" w:color="auto"/>
                  </w:divBdr>
                  <w:divsChild>
                    <w:div w:id="1889604902">
                      <w:marLeft w:val="0"/>
                      <w:marRight w:val="0"/>
                      <w:marTop w:val="0"/>
                      <w:marBottom w:val="0"/>
                      <w:divBdr>
                        <w:top w:val="none" w:sz="0" w:space="0" w:color="auto"/>
                        <w:left w:val="none" w:sz="0" w:space="0" w:color="auto"/>
                        <w:bottom w:val="none" w:sz="0" w:space="0" w:color="auto"/>
                        <w:right w:val="none" w:sz="0" w:space="0" w:color="auto"/>
                      </w:divBdr>
                      <w:divsChild>
                        <w:div w:id="18488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667433">
      <w:bodyDiv w:val="1"/>
      <w:marLeft w:val="0"/>
      <w:marRight w:val="0"/>
      <w:marTop w:val="0"/>
      <w:marBottom w:val="0"/>
      <w:divBdr>
        <w:top w:val="none" w:sz="0" w:space="0" w:color="auto"/>
        <w:left w:val="none" w:sz="0" w:space="0" w:color="auto"/>
        <w:bottom w:val="none" w:sz="0" w:space="0" w:color="auto"/>
        <w:right w:val="none" w:sz="0" w:space="0" w:color="auto"/>
      </w:divBdr>
    </w:div>
    <w:div w:id="1296176330">
      <w:bodyDiv w:val="1"/>
      <w:marLeft w:val="0"/>
      <w:marRight w:val="0"/>
      <w:marTop w:val="0"/>
      <w:marBottom w:val="0"/>
      <w:divBdr>
        <w:top w:val="none" w:sz="0" w:space="0" w:color="auto"/>
        <w:left w:val="none" w:sz="0" w:space="0" w:color="auto"/>
        <w:bottom w:val="none" w:sz="0" w:space="0" w:color="auto"/>
        <w:right w:val="none" w:sz="0" w:space="0" w:color="auto"/>
      </w:divBdr>
    </w:div>
    <w:div w:id="1296981209">
      <w:bodyDiv w:val="1"/>
      <w:marLeft w:val="0"/>
      <w:marRight w:val="0"/>
      <w:marTop w:val="0"/>
      <w:marBottom w:val="0"/>
      <w:divBdr>
        <w:top w:val="none" w:sz="0" w:space="0" w:color="auto"/>
        <w:left w:val="none" w:sz="0" w:space="0" w:color="auto"/>
        <w:bottom w:val="none" w:sz="0" w:space="0" w:color="auto"/>
        <w:right w:val="none" w:sz="0" w:space="0" w:color="auto"/>
      </w:divBdr>
    </w:div>
    <w:div w:id="1299846329">
      <w:bodyDiv w:val="1"/>
      <w:marLeft w:val="0"/>
      <w:marRight w:val="0"/>
      <w:marTop w:val="0"/>
      <w:marBottom w:val="0"/>
      <w:divBdr>
        <w:top w:val="none" w:sz="0" w:space="0" w:color="auto"/>
        <w:left w:val="none" w:sz="0" w:space="0" w:color="auto"/>
        <w:bottom w:val="none" w:sz="0" w:space="0" w:color="auto"/>
        <w:right w:val="none" w:sz="0" w:space="0" w:color="auto"/>
      </w:divBdr>
    </w:div>
    <w:div w:id="1309702788">
      <w:bodyDiv w:val="1"/>
      <w:marLeft w:val="0"/>
      <w:marRight w:val="0"/>
      <w:marTop w:val="0"/>
      <w:marBottom w:val="0"/>
      <w:divBdr>
        <w:top w:val="none" w:sz="0" w:space="0" w:color="auto"/>
        <w:left w:val="none" w:sz="0" w:space="0" w:color="auto"/>
        <w:bottom w:val="none" w:sz="0" w:space="0" w:color="auto"/>
        <w:right w:val="none" w:sz="0" w:space="0" w:color="auto"/>
      </w:divBdr>
    </w:div>
    <w:div w:id="1315141448">
      <w:bodyDiv w:val="1"/>
      <w:marLeft w:val="0"/>
      <w:marRight w:val="0"/>
      <w:marTop w:val="0"/>
      <w:marBottom w:val="0"/>
      <w:divBdr>
        <w:top w:val="none" w:sz="0" w:space="0" w:color="auto"/>
        <w:left w:val="none" w:sz="0" w:space="0" w:color="auto"/>
        <w:bottom w:val="none" w:sz="0" w:space="0" w:color="auto"/>
        <w:right w:val="none" w:sz="0" w:space="0" w:color="auto"/>
      </w:divBdr>
    </w:div>
    <w:div w:id="1326207372">
      <w:bodyDiv w:val="1"/>
      <w:marLeft w:val="0"/>
      <w:marRight w:val="0"/>
      <w:marTop w:val="0"/>
      <w:marBottom w:val="0"/>
      <w:divBdr>
        <w:top w:val="none" w:sz="0" w:space="0" w:color="auto"/>
        <w:left w:val="none" w:sz="0" w:space="0" w:color="auto"/>
        <w:bottom w:val="none" w:sz="0" w:space="0" w:color="auto"/>
        <w:right w:val="none" w:sz="0" w:space="0" w:color="auto"/>
      </w:divBdr>
    </w:div>
    <w:div w:id="1340548542">
      <w:bodyDiv w:val="1"/>
      <w:marLeft w:val="0"/>
      <w:marRight w:val="0"/>
      <w:marTop w:val="0"/>
      <w:marBottom w:val="0"/>
      <w:divBdr>
        <w:top w:val="none" w:sz="0" w:space="0" w:color="auto"/>
        <w:left w:val="none" w:sz="0" w:space="0" w:color="auto"/>
        <w:bottom w:val="none" w:sz="0" w:space="0" w:color="auto"/>
        <w:right w:val="none" w:sz="0" w:space="0" w:color="auto"/>
      </w:divBdr>
    </w:div>
    <w:div w:id="1346981731">
      <w:bodyDiv w:val="1"/>
      <w:marLeft w:val="0"/>
      <w:marRight w:val="0"/>
      <w:marTop w:val="0"/>
      <w:marBottom w:val="0"/>
      <w:divBdr>
        <w:top w:val="none" w:sz="0" w:space="0" w:color="auto"/>
        <w:left w:val="none" w:sz="0" w:space="0" w:color="auto"/>
        <w:bottom w:val="none" w:sz="0" w:space="0" w:color="auto"/>
        <w:right w:val="none" w:sz="0" w:space="0" w:color="auto"/>
      </w:divBdr>
    </w:div>
    <w:div w:id="1409110364">
      <w:bodyDiv w:val="1"/>
      <w:marLeft w:val="0"/>
      <w:marRight w:val="0"/>
      <w:marTop w:val="0"/>
      <w:marBottom w:val="0"/>
      <w:divBdr>
        <w:top w:val="none" w:sz="0" w:space="0" w:color="auto"/>
        <w:left w:val="none" w:sz="0" w:space="0" w:color="auto"/>
        <w:bottom w:val="none" w:sz="0" w:space="0" w:color="auto"/>
        <w:right w:val="none" w:sz="0" w:space="0" w:color="auto"/>
      </w:divBdr>
    </w:div>
    <w:div w:id="1423914046">
      <w:bodyDiv w:val="1"/>
      <w:marLeft w:val="0"/>
      <w:marRight w:val="0"/>
      <w:marTop w:val="0"/>
      <w:marBottom w:val="0"/>
      <w:divBdr>
        <w:top w:val="none" w:sz="0" w:space="0" w:color="auto"/>
        <w:left w:val="none" w:sz="0" w:space="0" w:color="auto"/>
        <w:bottom w:val="none" w:sz="0" w:space="0" w:color="auto"/>
        <w:right w:val="none" w:sz="0" w:space="0" w:color="auto"/>
      </w:divBdr>
    </w:div>
    <w:div w:id="1456026465">
      <w:bodyDiv w:val="1"/>
      <w:marLeft w:val="0"/>
      <w:marRight w:val="0"/>
      <w:marTop w:val="0"/>
      <w:marBottom w:val="0"/>
      <w:divBdr>
        <w:top w:val="none" w:sz="0" w:space="0" w:color="auto"/>
        <w:left w:val="none" w:sz="0" w:space="0" w:color="auto"/>
        <w:bottom w:val="none" w:sz="0" w:space="0" w:color="auto"/>
        <w:right w:val="none" w:sz="0" w:space="0" w:color="auto"/>
      </w:divBdr>
    </w:div>
    <w:div w:id="1472359646">
      <w:bodyDiv w:val="1"/>
      <w:marLeft w:val="0"/>
      <w:marRight w:val="0"/>
      <w:marTop w:val="0"/>
      <w:marBottom w:val="0"/>
      <w:divBdr>
        <w:top w:val="none" w:sz="0" w:space="0" w:color="auto"/>
        <w:left w:val="none" w:sz="0" w:space="0" w:color="auto"/>
        <w:bottom w:val="none" w:sz="0" w:space="0" w:color="auto"/>
        <w:right w:val="none" w:sz="0" w:space="0" w:color="auto"/>
      </w:divBdr>
    </w:div>
    <w:div w:id="1474516691">
      <w:bodyDiv w:val="1"/>
      <w:marLeft w:val="0"/>
      <w:marRight w:val="0"/>
      <w:marTop w:val="0"/>
      <w:marBottom w:val="0"/>
      <w:divBdr>
        <w:top w:val="none" w:sz="0" w:space="0" w:color="auto"/>
        <w:left w:val="none" w:sz="0" w:space="0" w:color="auto"/>
        <w:bottom w:val="none" w:sz="0" w:space="0" w:color="auto"/>
        <w:right w:val="none" w:sz="0" w:space="0" w:color="auto"/>
      </w:divBdr>
    </w:div>
    <w:div w:id="1485272187">
      <w:bodyDiv w:val="1"/>
      <w:marLeft w:val="0"/>
      <w:marRight w:val="0"/>
      <w:marTop w:val="0"/>
      <w:marBottom w:val="0"/>
      <w:divBdr>
        <w:top w:val="none" w:sz="0" w:space="0" w:color="auto"/>
        <w:left w:val="none" w:sz="0" w:space="0" w:color="auto"/>
        <w:bottom w:val="none" w:sz="0" w:space="0" w:color="auto"/>
        <w:right w:val="none" w:sz="0" w:space="0" w:color="auto"/>
      </w:divBdr>
    </w:div>
    <w:div w:id="1487362530">
      <w:bodyDiv w:val="1"/>
      <w:marLeft w:val="0"/>
      <w:marRight w:val="0"/>
      <w:marTop w:val="0"/>
      <w:marBottom w:val="0"/>
      <w:divBdr>
        <w:top w:val="none" w:sz="0" w:space="0" w:color="auto"/>
        <w:left w:val="none" w:sz="0" w:space="0" w:color="auto"/>
        <w:bottom w:val="none" w:sz="0" w:space="0" w:color="auto"/>
        <w:right w:val="none" w:sz="0" w:space="0" w:color="auto"/>
      </w:divBdr>
      <w:divsChild>
        <w:div w:id="1844471307">
          <w:marLeft w:val="0"/>
          <w:marRight w:val="0"/>
          <w:marTop w:val="0"/>
          <w:marBottom w:val="0"/>
          <w:divBdr>
            <w:top w:val="none" w:sz="0" w:space="0" w:color="auto"/>
            <w:left w:val="none" w:sz="0" w:space="0" w:color="auto"/>
            <w:bottom w:val="none" w:sz="0" w:space="0" w:color="auto"/>
            <w:right w:val="none" w:sz="0" w:space="0" w:color="auto"/>
          </w:divBdr>
          <w:divsChild>
            <w:div w:id="20383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24136">
      <w:bodyDiv w:val="1"/>
      <w:marLeft w:val="0"/>
      <w:marRight w:val="0"/>
      <w:marTop w:val="0"/>
      <w:marBottom w:val="0"/>
      <w:divBdr>
        <w:top w:val="none" w:sz="0" w:space="0" w:color="auto"/>
        <w:left w:val="none" w:sz="0" w:space="0" w:color="auto"/>
        <w:bottom w:val="none" w:sz="0" w:space="0" w:color="auto"/>
        <w:right w:val="none" w:sz="0" w:space="0" w:color="auto"/>
      </w:divBdr>
    </w:div>
    <w:div w:id="1538422353">
      <w:bodyDiv w:val="1"/>
      <w:marLeft w:val="0"/>
      <w:marRight w:val="0"/>
      <w:marTop w:val="0"/>
      <w:marBottom w:val="0"/>
      <w:divBdr>
        <w:top w:val="none" w:sz="0" w:space="0" w:color="auto"/>
        <w:left w:val="none" w:sz="0" w:space="0" w:color="auto"/>
        <w:bottom w:val="none" w:sz="0" w:space="0" w:color="auto"/>
        <w:right w:val="none" w:sz="0" w:space="0" w:color="auto"/>
      </w:divBdr>
    </w:div>
    <w:div w:id="1546064510">
      <w:bodyDiv w:val="1"/>
      <w:marLeft w:val="0"/>
      <w:marRight w:val="0"/>
      <w:marTop w:val="0"/>
      <w:marBottom w:val="0"/>
      <w:divBdr>
        <w:top w:val="none" w:sz="0" w:space="0" w:color="auto"/>
        <w:left w:val="none" w:sz="0" w:space="0" w:color="auto"/>
        <w:bottom w:val="none" w:sz="0" w:space="0" w:color="auto"/>
        <w:right w:val="none" w:sz="0" w:space="0" w:color="auto"/>
      </w:divBdr>
    </w:div>
    <w:div w:id="1563448030">
      <w:bodyDiv w:val="1"/>
      <w:marLeft w:val="0"/>
      <w:marRight w:val="0"/>
      <w:marTop w:val="0"/>
      <w:marBottom w:val="0"/>
      <w:divBdr>
        <w:top w:val="none" w:sz="0" w:space="0" w:color="auto"/>
        <w:left w:val="none" w:sz="0" w:space="0" w:color="auto"/>
        <w:bottom w:val="none" w:sz="0" w:space="0" w:color="auto"/>
        <w:right w:val="none" w:sz="0" w:space="0" w:color="auto"/>
      </w:divBdr>
    </w:div>
    <w:div w:id="1572500628">
      <w:bodyDiv w:val="1"/>
      <w:marLeft w:val="0"/>
      <w:marRight w:val="0"/>
      <w:marTop w:val="0"/>
      <w:marBottom w:val="0"/>
      <w:divBdr>
        <w:top w:val="none" w:sz="0" w:space="0" w:color="auto"/>
        <w:left w:val="none" w:sz="0" w:space="0" w:color="auto"/>
        <w:bottom w:val="none" w:sz="0" w:space="0" w:color="auto"/>
        <w:right w:val="none" w:sz="0" w:space="0" w:color="auto"/>
      </w:divBdr>
    </w:div>
    <w:div w:id="1579095665">
      <w:bodyDiv w:val="1"/>
      <w:marLeft w:val="0"/>
      <w:marRight w:val="0"/>
      <w:marTop w:val="0"/>
      <w:marBottom w:val="0"/>
      <w:divBdr>
        <w:top w:val="none" w:sz="0" w:space="0" w:color="auto"/>
        <w:left w:val="none" w:sz="0" w:space="0" w:color="auto"/>
        <w:bottom w:val="none" w:sz="0" w:space="0" w:color="auto"/>
        <w:right w:val="none" w:sz="0" w:space="0" w:color="auto"/>
      </w:divBdr>
    </w:div>
    <w:div w:id="1590843598">
      <w:bodyDiv w:val="1"/>
      <w:marLeft w:val="0"/>
      <w:marRight w:val="0"/>
      <w:marTop w:val="0"/>
      <w:marBottom w:val="0"/>
      <w:divBdr>
        <w:top w:val="none" w:sz="0" w:space="0" w:color="auto"/>
        <w:left w:val="none" w:sz="0" w:space="0" w:color="auto"/>
        <w:bottom w:val="none" w:sz="0" w:space="0" w:color="auto"/>
        <w:right w:val="none" w:sz="0" w:space="0" w:color="auto"/>
      </w:divBdr>
    </w:div>
    <w:div w:id="1591044094">
      <w:bodyDiv w:val="1"/>
      <w:marLeft w:val="0"/>
      <w:marRight w:val="0"/>
      <w:marTop w:val="0"/>
      <w:marBottom w:val="0"/>
      <w:divBdr>
        <w:top w:val="none" w:sz="0" w:space="0" w:color="auto"/>
        <w:left w:val="none" w:sz="0" w:space="0" w:color="auto"/>
        <w:bottom w:val="none" w:sz="0" w:space="0" w:color="auto"/>
        <w:right w:val="none" w:sz="0" w:space="0" w:color="auto"/>
      </w:divBdr>
    </w:div>
    <w:div w:id="1602762574">
      <w:bodyDiv w:val="1"/>
      <w:marLeft w:val="0"/>
      <w:marRight w:val="0"/>
      <w:marTop w:val="0"/>
      <w:marBottom w:val="0"/>
      <w:divBdr>
        <w:top w:val="none" w:sz="0" w:space="0" w:color="auto"/>
        <w:left w:val="none" w:sz="0" w:space="0" w:color="auto"/>
        <w:bottom w:val="none" w:sz="0" w:space="0" w:color="auto"/>
        <w:right w:val="none" w:sz="0" w:space="0" w:color="auto"/>
      </w:divBdr>
    </w:div>
    <w:div w:id="1621954944">
      <w:bodyDiv w:val="1"/>
      <w:marLeft w:val="0"/>
      <w:marRight w:val="0"/>
      <w:marTop w:val="0"/>
      <w:marBottom w:val="0"/>
      <w:divBdr>
        <w:top w:val="none" w:sz="0" w:space="0" w:color="auto"/>
        <w:left w:val="none" w:sz="0" w:space="0" w:color="auto"/>
        <w:bottom w:val="none" w:sz="0" w:space="0" w:color="auto"/>
        <w:right w:val="none" w:sz="0" w:space="0" w:color="auto"/>
      </w:divBdr>
    </w:div>
    <w:div w:id="1630471335">
      <w:bodyDiv w:val="1"/>
      <w:marLeft w:val="0"/>
      <w:marRight w:val="0"/>
      <w:marTop w:val="0"/>
      <w:marBottom w:val="0"/>
      <w:divBdr>
        <w:top w:val="none" w:sz="0" w:space="0" w:color="auto"/>
        <w:left w:val="none" w:sz="0" w:space="0" w:color="auto"/>
        <w:bottom w:val="none" w:sz="0" w:space="0" w:color="auto"/>
        <w:right w:val="none" w:sz="0" w:space="0" w:color="auto"/>
      </w:divBdr>
    </w:div>
    <w:div w:id="1632705399">
      <w:bodyDiv w:val="1"/>
      <w:marLeft w:val="0"/>
      <w:marRight w:val="0"/>
      <w:marTop w:val="0"/>
      <w:marBottom w:val="0"/>
      <w:divBdr>
        <w:top w:val="none" w:sz="0" w:space="0" w:color="auto"/>
        <w:left w:val="none" w:sz="0" w:space="0" w:color="auto"/>
        <w:bottom w:val="none" w:sz="0" w:space="0" w:color="auto"/>
        <w:right w:val="none" w:sz="0" w:space="0" w:color="auto"/>
      </w:divBdr>
    </w:div>
    <w:div w:id="1691562934">
      <w:bodyDiv w:val="1"/>
      <w:marLeft w:val="0"/>
      <w:marRight w:val="0"/>
      <w:marTop w:val="0"/>
      <w:marBottom w:val="0"/>
      <w:divBdr>
        <w:top w:val="none" w:sz="0" w:space="0" w:color="auto"/>
        <w:left w:val="none" w:sz="0" w:space="0" w:color="auto"/>
        <w:bottom w:val="none" w:sz="0" w:space="0" w:color="auto"/>
        <w:right w:val="none" w:sz="0" w:space="0" w:color="auto"/>
      </w:divBdr>
      <w:divsChild>
        <w:div w:id="200478226">
          <w:marLeft w:val="0"/>
          <w:marRight w:val="0"/>
          <w:marTop w:val="0"/>
          <w:marBottom w:val="0"/>
          <w:divBdr>
            <w:top w:val="none" w:sz="0" w:space="0" w:color="auto"/>
            <w:left w:val="none" w:sz="0" w:space="0" w:color="auto"/>
            <w:bottom w:val="none" w:sz="0" w:space="0" w:color="auto"/>
            <w:right w:val="none" w:sz="0" w:space="0" w:color="auto"/>
          </w:divBdr>
          <w:divsChild>
            <w:div w:id="480268611">
              <w:marLeft w:val="0"/>
              <w:marRight w:val="0"/>
              <w:marTop w:val="0"/>
              <w:marBottom w:val="0"/>
              <w:divBdr>
                <w:top w:val="none" w:sz="0" w:space="0" w:color="auto"/>
                <w:left w:val="none" w:sz="0" w:space="0" w:color="auto"/>
                <w:bottom w:val="none" w:sz="0" w:space="0" w:color="auto"/>
                <w:right w:val="none" w:sz="0" w:space="0" w:color="auto"/>
              </w:divBdr>
            </w:div>
          </w:divsChild>
        </w:div>
        <w:div w:id="1568764584">
          <w:marLeft w:val="0"/>
          <w:marRight w:val="0"/>
          <w:marTop w:val="0"/>
          <w:marBottom w:val="0"/>
          <w:divBdr>
            <w:top w:val="none" w:sz="0" w:space="0" w:color="auto"/>
            <w:left w:val="none" w:sz="0" w:space="0" w:color="auto"/>
            <w:bottom w:val="none" w:sz="0" w:space="0" w:color="auto"/>
            <w:right w:val="none" w:sz="0" w:space="0" w:color="auto"/>
          </w:divBdr>
          <w:divsChild>
            <w:div w:id="1648850721">
              <w:marLeft w:val="0"/>
              <w:marRight w:val="0"/>
              <w:marTop w:val="0"/>
              <w:marBottom w:val="0"/>
              <w:divBdr>
                <w:top w:val="none" w:sz="0" w:space="0" w:color="auto"/>
                <w:left w:val="none" w:sz="0" w:space="0" w:color="auto"/>
                <w:bottom w:val="none" w:sz="0" w:space="0" w:color="auto"/>
                <w:right w:val="none" w:sz="0" w:space="0" w:color="auto"/>
              </w:divBdr>
            </w:div>
          </w:divsChild>
        </w:div>
        <w:div w:id="1698582995">
          <w:marLeft w:val="0"/>
          <w:marRight w:val="0"/>
          <w:marTop w:val="0"/>
          <w:marBottom w:val="0"/>
          <w:divBdr>
            <w:top w:val="none" w:sz="0" w:space="0" w:color="auto"/>
            <w:left w:val="none" w:sz="0" w:space="0" w:color="auto"/>
            <w:bottom w:val="none" w:sz="0" w:space="0" w:color="auto"/>
            <w:right w:val="none" w:sz="0" w:space="0" w:color="auto"/>
          </w:divBdr>
          <w:divsChild>
            <w:div w:id="11830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8322">
      <w:bodyDiv w:val="1"/>
      <w:marLeft w:val="0"/>
      <w:marRight w:val="0"/>
      <w:marTop w:val="0"/>
      <w:marBottom w:val="0"/>
      <w:divBdr>
        <w:top w:val="none" w:sz="0" w:space="0" w:color="auto"/>
        <w:left w:val="none" w:sz="0" w:space="0" w:color="auto"/>
        <w:bottom w:val="none" w:sz="0" w:space="0" w:color="auto"/>
        <w:right w:val="none" w:sz="0" w:space="0" w:color="auto"/>
      </w:divBdr>
    </w:div>
    <w:div w:id="1754005670">
      <w:bodyDiv w:val="1"/>
      <w:marLeft w:val="0"/>
      <w:marRight w:val="0"/>
      <w:marTop w:val="0"/>
      <w:marBottom w:val="0"/>
      <w:divBdr>
        <w:top w:val="none" w:sz="0" w:space="0" w:color="auto"/>
        <w:left w:val="none" w:sz="0" w:space="0" w:color="auto"/>
        <w:bottom w:val="none" w:sz="0" w:space="0" w:color="auto"/>
        <w:right w:val="none" w:sz="0" w:space="0" w:color="auto"/>
      </w:divBdr>
    </w:div>
    <w:div w:id="1767923178">
      <w:bodyDiv w:val="1"/>
      <w:marLeft w:val="0"/>
      <w:marRight w:val="0"/>
      <w:marTop w:val="0"/>
      <w:marBottom w:val="0"/>
      <w:divBdr>
        <w:top w:val="none" w:sz="0" w:space="0" w:color="auto"/>
        <w:left w:val="none" w:sz="0" w:space="0" w:color="auto"/>
        <w:bottom w:val="none" w:sz="0" w:space="0" w:color="auto"/>
        <w:right w:val="none" w:sz="0" w:space="0" w:color="auto"/>
      </w:divBdr>
    </w:div>
    <w:div w:id="1774862586">
      <w:bodyDiv w:val="1"/>
      <w:marLeft w:val="0"/>
      <w:marRight w:val="0"/>
      <w:marTop w:val="0"/>
      <w:marBottom w:val="0"/>
      <w:divBdr>
        <w:top w:val="none" w:sz="0" w:space="0" w:color="auto"/>
        <w:left w:val="none" w:sz="0" w:space="0" w:color="auto"/>
        <w:bottom w:val="none" w:sz="0" w:space="0" w:color="auto"/>
        <w:right w:val="none" w:sz="0" w:space="0" w:color="auto"/>
      </w:divBdr>
      <w:divsChild>
        <w:div w:id="60491182">
          <w:marLeft w:val="0"/>
          <w:marRight w:val="0"/>
          <w:marTop w:val="0"/>
          <w:marBottom w:val="0"/>
          <w:divBdr>
            <w:top w:val="none" w:sz="0" w:space="0" w:color="auto"/>
            <w:left w:val="none" w:sz="0" w:space="0" w:color="auto"/>
            <w:bottom w:val="none" w:sz="0" w:space="0" w:color="auto"/>
            <w:right w:val="none" w:sz="0" w:space="0" w:color="auto"/>
          </w:divBdr>
        </w:div>
        <w:div w:id="710613260">
          <w:marLeft w:val="0"/>
          <w:marRight w:val="0"/>
          <w:marTop w:val="0"/>
          <w:marBottom w:val="0"/>
          <w:divBdr>
            <w:top w:val="none" w:sz="0" w:space="0" w:color="auto"/>
            <w:left w:val="none" w:sz="0" w:space="0" w:color="auto"/>
            <w:bottom w:val="none" w:sz="0" w:space="0" w:color="auto"/>
            <w:right w:val="none" w:sz="0" w:space="0" w:color="auto"/>
          </w:divBdr>
        </w:div>
      </w:divsChild>
    </w:div>
    <w:div w:id="1790247184">
      <w:bodyDiv w:val="1"/>
      <w:marLeft w:val="0"/>
      <w:marRight w:val="0"/>
      <w:marTop w:val="0"/>
      <w:marBottom w:val="0"/>
      <w:divBdr>
        <w:top w:val="none" w:sz="0" w:space="0" w:color="auto"/>
        <w:left w:val="none" w:sz="0" w:space="0" w:color="auto"/>
        <w:bottom w:val="none" w:sz="0" w:space="0" w:color="auto"/>
        <w:right w:val="none" w:sz="0" w:space="0" w:color="auto"/>
      </w:divBdr>
    </w:div>
    <w:div w:id="1800486801">
      <w:bodyDiv w:val="1"/>
      <w:marLeft w:val="0"/>
      <w:marRight w:val="0"/>
      <w:marTop w:val="0"/>
      <w:marBottom w:val="0"/>
      <w:divBdr>
        <w:top w:val="none" w:sz="0" w:space="0" w:color="auto"/>
        <w:left w:val="none" w:sz="0" w:space="0" w:color="auto"/>
        <w:bottom w:val="none" w:sz="0" w:space="0" w:color="auto"/>
        <w:right w:val="none" w:sz="0" w:space="0" w:color="auto"/>
      </w:divBdr>
    </w:div>
    <w:div w:id="1804301406">
      <w:bodyDiv w:val="1"/>
      <w:marLeft w:val="0"/>
      <w:marRight w:val="0"/>
      <w:marTop w:val="0"/>
      <w:marBottom w:val="0"/>
      <w:divBdr>
        <w:top w:val="none" w:sz="0" w:space="0" w:color="auto"/>
        <w:left w:val="none" w:sz="0" w:space="0" w:color="auto"/>
        <w:bottom w:val="none" w:sz="0" w:space="0" w:color="auto"/>
        <w:right w:val="none" w:sz="0" w:space="0" w:color="auto"/>
      </w:divBdr>
    </w:div>
    <w:div w:id="1836145344">
      <w:bodyDiv w:val="1"/>
      <w:marLeft w:val="0"/>
      <w:marRight w:val="0"/>
      <w:marTop w:val="0"/>
      <w:marBottom w:val="0"/>
      <w:divBdr>
        <w:top w:val="none" w:sz="0" w:space="0" w:color="auto"/>
        <w:left w:val="none" w:sz="0" w:space="0" w:color="auto"/>
        <w:bottom w:val="none" w:sz="0" w:space="0" w:color="auto"/>
        <w:right w:val="none" w:sz="0" w:space="0" w:color="auto"/>
      </w:divBdr>
    </w:div>
    <w:div w:id="1840851979">
      <w:bodyDiv w:val="1"/>
      <w:marLeft w:val="0"/>
      <w:marRight w:val="0"/>
      <w:marTop w:val="0"/>
      <w:marBottom w:val="0"/>
      <w:divBdr>
        <w:top w:val="none" w:sz="0" w:space="0" w:color="auto"/>
        <w:left w:val="none" w:sz="0" w:space="0" w:color="auto"/>
        <w:bottom w:val="none" w:sz="0" w:space="0" w:color="auto"/>
        <w:right w:val="none" w:sz="0" w:space="0" w:color="auto"/>
      </w:divBdr>
    </w:div>
    <w:div w:id="1852721511">
      <w:bodyDiv w:val="1"/>
      <w:marLeft w:val="0"/>
      <w:marRight w:val="0"/>
      <w:marTop w:val="0"/>
      <w:marBottom w:val="0"/>
      <w:divBdr>
        <w:top w:val="none" w:sz="0" w:space="0" w:color="auto"/>
        <w:left w:val="none" w:sz="0" w:space="0" w:color="auto"/>
        <w:bottom w:val="none" w:sz="0" w:space="0" w:color="auto"/>
        <w:right w:val="none" w:sz="0" w:space="0" w:color="auto"/>
      </w:divBdr>
    </w:div>
    <w:div w:id="1875189172">
      <w:bodyDiv w:val="1"/>
      <w:marLeft w:val="0"/>
      <w:marRight w:val="0"/>
      <w:marTop w:val="0"/>
      <w:marBottom w:val="0"/>
      <w:divBdr>
        <w:top w:val="none" w:sz="0" w:space="0" w:color="auto"/>
        <w:left w:val="none" w:sz="0" w:space="0" w:color="auto"/>
        <w:bottom w:val="none" w:sz="0" w:space="0" w:color="auto"/>
        <w:right w:val="none" w:sz="0" w:space="0" w:color="auto"/>
      </w:divBdr>
    </w:div>
    <w:div w:id="1887985402">
      <w:bodyDiv w:val="1"/>
      <w:marLeft w:val="0"/>
      <w:marRight w:val="0"/>
      <w:marTop w:val="0"/>
      <w:marBottom w:val="0"/>
      <w:divBdr>
        <w:top w:val="none" w:sz="0" w:space="0" w:color="auto"/>
        <w:left w:val="none" w:sz="0" w:space="0" w:color="auto"/>
        <w:bottom w:val="none" w:sz="0" w:space="0" w:color="auto"/>
        <w:right w:val="none" w:sz="0" w:space="0" w:color="auto"/>
      </w:divBdr>
    </w:div>
    <w:div w:id="1893691653">
      <w:bodyDiv w:val="1"/>
      <w:marLeft w:val="0"/>
      <w:marRight w:val="0"/>
      <w:marTop w:val="0"/>
      <w:marBottom w:val="0"/>
      <w:divBdr>
        <w:top w:val="none" w:sz="0" w:space="0" w:color="auto"/>
        <w:left w:val="none" w:sz="0" w:space="0" w:color="auto"/>
        <w:bottom w:val="none" w:sz="0" w:space="0" w:color="auto"/>
        <w:right w:val="none" w:sz="0" w:space="0" w:color="auto"/>
      </w:divBdr>
    </w:div>
    <w:div w:id="1898468065">
      <w:bodyDiv w:val="1"/>
      <w:marLeft w:val="0"/>
      <w:marRight w:val="0"/>
      <w:marTop w:val="0"/>
      <w:marBottom w:val="0"/>
      <w:divBdr>
        <w:top w:val="none" w:sz="0" w:space="0" w:color="auto"/>
        <w:left w:val="none" w:sz="0" w:space="0" w:color="auto"/>
        <w:bottom w:val="none" w:sz="0" w:space="0" w:color="auto"/>
        <w:right w:val="none" w:sz="0" w:space="0" w:color="auto"/>
      </w:divBdr>
      <w:divsChild>
        <w:div w:id="246424508">
          <w:marLeft w:val="0"/>
          <w:marRight w:val="0"/>
          <w:marTop w:val="0"/>
          <w:marBottom w:val="0"/>
          <w:divBdr>
            <w:top w:val="none" w:sz="0" w:space="0" w:color="auto"/>
            <w:left w:val="none" w:sz="0" w:space="0" w:color="auto"/>
            <w:bottom w:val="none" w:sz="0" w:space="0" w:color="auto"/>
            <w:right w:val="none" w:sz="0" w:space="0" w:color="auto"/>
          </w:divBdr>
        </w:div>
        <w:div w:id="1204975311">
          <w:marLeft w:val="0"/>
          <w:marRight w:val="0"/>
          <w:marTop w:val="0"/>
          <w:marBottom w:val="0"/>
          <w:divBdr>
            <w:top w:val="none" w:sz="0" w:space="0" w:color="auto"/>
            <w:left w:val="none" w:sz="0" w:space="0" w:color="auto"/>
            <w:bottom w:val="none" w:sz="0" w:space="0" w:color="auto"/>
            <w:right w:val="none" w:sz="0" w:space="0" w:color="auto"/>
          </w:divBdr>
        </w:div>
      </w:divsChild>
    </w:div>
    <w:div w:id="1911041376">
      <w:bodyDiv w:val="1"/>
      <w:marLeft w:val="0"/>
      <w:marRight w:val="0"/>
      <w:marTop w:val="0"/>
      <w:marBottom w:val="0"/>
      <w:divBdr>
        <w:top w:val="none" w:sz="0" w:space="0" w:color="auto"/>
        <w:left w:val="none" w:sz="0" w:space="0" w:color="auto"/>
        <w:bottom w:val="none" w:sz="0" w:space="0" w:color="auto"/>
        <w:right w:val="none" w:sz="0" w:space="0" w:color="auto"/>
      </w:divBdr>
    </w:div>
    <w:div w:id="1914268449">
      <w:bodyDiv w:val="1"/>
      <w:marLeft w:val="0"/>
      <w:marRight w:val="0"/>
      <w:marTop w:val="0"/>
      <w:marBottom w:val="0"/>
      <w:divBdr>
        <w:top w:val="none" w:sz="0" w:space="0" w:color="auto"/>
        <w:left w:val="none" w:sz="0" w:space="0" w:color="auto"/>
        <w:bottom w:val="none" w:sz="0" w:space="0" w:color="auto"/>
        <w:right w:val="none" w:sz="0" w:space="0" w:color="auto"/>
      </w:divBdr>
    </w:div>
    <w:div w:id="1956596658">
      <w:bodyDiv w:val="1"/>
      <w:marLeft w:val="0"/>
      <w:marRight w:val="0"/>
      <w:marTop w:val="0"/>
      <w:marBottom w:val="0"/>
      <w:divBdr>
        <w:top w:val="none" w:sz="0" w:space="0" w:color="auto"/>
        <w:left w:val="none" w:sz="0" w:space="0" w:color="auto"/>
        <w:bottom w:val="none" w:sz="0" w:space="0" w:color="auto"/>
        <w:right w:val="none" w:sz="0" w:space="0" w:color="auto"/>
      </w:divBdr>
    </w:div>
    <w:div w:id="1966227115">
      <w:bodyDiv w:val="1"/>
      <w:marLeft w:val="0"/>
      <w:marRight w:val="0"/>
      <w:marTop w:val="0"/>
      <w:marBottom w:val="0"/>
      <w:divBdr>
        <w:top w:val="none" w:sz="0" w:space="0" w:color="auto"/>
        <w:left w:val="none" w:sz="0" w:space="0" w:color="auto"/>
        <w:bottom w:val="none" w:sz="0" w:space="0" w:color="auto"/>
        <w:right w:val="none" w:sz="0" w:space="0" w:color="auto"/>
      </w:divBdr>
    </w:div>
    <w:div w:id="1977251176">
      <w:bodyDiv w:val="1"/>
      <w:marLeft w:val="0"/>
      <w:marRight w:val="0"/>
      <w:marTop w:val="0"/>
      <w:marBottom w:val="0"/>
      <w:divBdr>
        <w:top w:val="none" w:sz="0" w:space="0" w:color="auto"/>
        <w:left w:val="none" w:sz="0" w:space="0" w:color="auto"/>
        <w:bottom w:val="none" w:sz="0" w:space="0" w:color="auto"/>
        <w:right w:val="none" w:sz="0" w:space="0" w:color="auto"/>
      </w:divBdr>
    </w:div>
    <w:div w:id="1988364231">
      <w:bodyDiv w:val="1"/>
      <w:marLeft w:val="0"/>
      <w:marRight w:val="0"/>
      <w:marTop w:val="0"/>
      <w:marBottom w:val="0"/>
      <w:divBdr>
        <w:top w:val="none" w:sz="0" w:space="0" w:color="auto"/>
        <w:left w:val="none" w:sz="0" w:space="0" w:color="auto"/>
        <w:bottom w:val="none" w:sz="0" w:space="0" w:color="auto"/>
        <w:right w:val="none" w:sz="0" w:space="0" w:color="auto"/>
      </w:divBdr>
    </w:div>
    <w:div w:id="1988704081">
      <w:bodyDiv w:val="1"/>
      <w:marLeft w:val="0"/>
      <w:marRight w:val="0"/>
      <w:marTop w:val="0"/>
      <w:marBottom w:val="0"/>
      <w:divBdr>
        <w:top w:val="none" w:sz="0" w:space="0" w:color="auto"/>
        <w:left w:val="none" w:sz="0" w:space="0" w:color="auto"/>
        <w:bottom w:val="none" w:sz="0" w:space="0" w:color="auto"/>
        <w:right w:val="none" w:sz="0" w:space="0" w:color="auto"/>
      </w:divBdr>
    </w:div>
    <w:div w:id="2016878079">
      <w:bodyDiv w:val="1"/>
      <w:marLeft w:val="0"/>
      <w:marRight w:val="0"/>
      <w:marTop w:val="0"/>
      <w:marBottom w:val="0"/>
      <w:divBdr>
        <w:top w:val="none" w:sz="0" w:space="0" w:color="auto"/>
        <w:left w:val="none" w:sz="0" w:space="0" w:color="auto"/>
        <w:bottom w:val="none" w:sz="0" w:space="0" w:color="auto"/>
        <w:right w:val="none" w:sz="0" w:space="0" w:color="auto"/>
      </w:divBdr>
    </w:div>
    <w:div w:id="2025351903">
      <w:bodyDiv w:val="1"/>
      <w:marLeft w:val="0"/>
      <w:marRight w:val="0"/>
      <w:marTop w:val="0"/>
      <w:marBottom w:val="0"/>
      <w:divBdr>
        <w:top w:val="none" w:sz="0" w:space="0" w:color="auto"/>
        <w:left w:val="none" w:sz="0" w:space="0" w:color="auto"/>
        <w:bottom w:val="none" w:sz="0" w:space="0" w:color="auto"/>
        <w:right w:val="none" w:sz="0" w:space="0" w:color="auto"/>
      </w:divBdr>
    </w:div>
    <w:div w:id="2040274353">
      <w:bodyDiv w:val="1"/>
      <w:marLeft w:val="0"/>
      <w:marRight w:val="0"/>
      <w:marTop w:val="0"/>
      <w:marBottom w:val="0"/>
      <w:divBdr>
        <w:top w:val="none" w:sz="0" w:space="0" w:color="auto"/>
        <w:left w:val="none" w:sz="0" w:space="0" w:color="auto"/>
        <w:bottom w:val="none" w:sz="0" w:space="0" w:color="auto"/>
        <w:right w:val="none" w:sz="0" w:space="0" w:color="auto"/>
      </w:divBdr>
    </w:div>
    <w:div w:id="2055496746">
      <w:bodyDiv w:val="1"/>
      <w:marLeft w:val="0"/>
      <w:marRight w:val="0"/>
      <w:marTop w:val="0"/>
      <w:marBottom w:val="0"/>
      <w:divBdr>
        <w:top w:val="none" w:sz="0" w:space="0" w:color="auto"/>
        <w:left w:val="none" w:sz="0" w:space="0" w:color="auto"/>
        <w:bottom w:val="none" w:sz="0" w:space="0" w:color="auto"/>
        <w:right w:val="none" w:sz="0" w:space="0" w:color="auto"/>
      </w:divBdr>
    </w:div>
    <w:div w:id="2063675629">
      <w:bodyDiv w:val="1"/>
      <w:marLeft w:val="0"/>
      <w:marRight w:val="0"/>
      <w:marTop w:val="0"/>
      <w:marBottom w:val="0"/>
      <w:divBdr>
        <w:top w:val="none" w:sz="0" w:space="0" w:color="auto"/>
        <w:left w:val="none" w:sz="0" w:space="0" w:color="auto"/>
        <w:bottom w:val="none" w:sz="0" w:space="0" w:color="auto"/>
        <w:right w:val="none" w:sz="0" w:space="0" w:color="auto"/>
      </w:divBdr>
    </w:div>
    <w:div w:id="2066488411">
      <w:bodyDiv w:val="1"/>
      <w:marLeft w:val="0"/>
      <w:marRight w:val="0"/>
      <w:marTop w:val="0"/>
      <w:marBottom w:val="0"/>
      <w:divBdr>
        <w:top w:val="none" w:sz="0" w:space="0" w:color="auto"/>
        <w:left w:val="none" w:sz="0" w:space="0" w:color="auto"/>
        <w:bottom w:val="none" w:sz="0" w:space="0" w:color="auto"/>
        <w:right w:val="none" w:sz="0" w:space="0" w:color="auto"/>
      </w:divBdr>
    </w:div>
    <w:div w:id="2085837796">
      <w:bodyDiv w:val="1"/>
      <w:marLeft w:val="0"/>
      <w:marRight w:val="0"/>
      <w:marTop w:val="0"/>
      <w:marBottom w:val="0"/>
      <w:divBdr>
        <w:top w:val="none" w:sz="0" w:space="0" w:color="auto"/>
        <w:left w:val="none" w:sz="0" w:space="0" w:color="auto"/>
        <w:bottom w:val="none" w:sz="0" w:space="0" w:color="auto"/>
        <w:right w:val="none" w:sz="0" w:space="0" w:color="auto"/>
      </w:divBdr>
    </w:div>
    <w:div w:id="209388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avla.cihlarova@trinomics.eu"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peter.janoska@trinomics.e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trinomics.eu" TargetMode="External"/><Relationship Id="rId5" Type="http://schemas.openxmlformats.org/officeDocument/2006/relationships/numbering" Target="numbering.xml"/><Relationship Id="rId15" Type="http://schemas.openxmlformats.org/officeDocument/2006/relationships/hyperlink" Target="mailto:julian.toth@isfc.org" TargetMode="External"/><Relationship Id="rId23" Type="http://schemas.openxmlformats.org/officeDocument/2006/relationships/hyperlink" Target="http://www.trinomics.eu"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op.europa.eu/en/publication-detail/-/publication/23a24b21-16d0-11ec-b4fe-01aa75ed71a1/language-en"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002C54"/>
      </a:dk2>
      <a:lt2>
        <a:srgbClr val="EEECE1"/>
      </a:lt2>
      <a:accent1>
        <a:srgbClr val="005962"/>
      </a:accent1>
      <a:accent2>
        <a:srgbClr val="F04E30"/>
      </a:accent2>
      <a:accent3>
        <a:srgbClr val="B2CFCD"/>
      </a:accent3>
      <a:accent4>
        <a:srgbClr val="FFE3A5"/>
      </a:accent4>
      <a:accent5>
        <a:srgbClr val="002C54"/>
      </a:accent5>
      <a:accent6>
        <a:srgbClr val="ECEBE1"/>
      </a:accent6>
      <a:hlink>
        <a:srgbClr val="005962"/>
      </a:hlink>
      <a:folHlink>
        <a:srgbClr val="F04E3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4838B464AC91499AA09F4C55BE8D43" ma:contentTypeVersion="8" ma:contentTypeDescription="Create a new document." ma:contentTypeScope="" ma:versionID="b396deec30164d5614a29665b12c0074">
  <xsd:schema xmlns:xsd="http://www.w3.org/2001/XMLSchema" xmlns:xs="http://www.w3.org/2001/XMLSchema" xmlns:p="http://schemas.microsoft.com/office/2006/metadata/properties" xmlns:ns2="78d703fb-01d8-4643-8d91-943788335c7e" xmlns:ns3="abefe56a-03ab-4bc7-ab52-4c54346a4e05" targetNamespace="http://schemas.microsoft.com/office/2006/metadata/properties" ma:root="true" ma:fieldsID="028926108f1821e4ec7fb24d1c38faa2" ns2:_="" ns3:_="">
    <xsd:import namespace="78d703fb-01d8-4643-8d91-943788335c7e"/>
    <xsd:import namespace="abefe56a-03ab-4bc7-ab52-4c54346a4e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703fb-01d8-4643-8d91-943788335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efe56a-03ab-4bc7-ab52-4c54346a4e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E5FB1-C31F-417D-A155-86E7B903DF01}">
  <ds:schemaRefs>
    <ds:schemaRef ds:uri="http://schemas.microsoft.com/office/2006/documentManagement/types"/>
    <ds:schemaRef ds:uri="abefe56a-03ab-4bc7-ab52-4c54346a4e05"/>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78d703fb-01d8-4643-8d91-943788335c7e"/>
    <ds:schemaRef ds:uri="http://www.w3.org/XML/1998/namespace"/>
  </ds:schemaRefs>
</ds:datastoreItem>
</file>

<file path=customXml/itemProps2.xml><?xml version="1.0" encoding="utf-8"?>
<ds:datastoreItem xmlns:ds="http://schemas.openxmlformats.org/officeDocument/2006/customXml" ds:itemID="{6385EA10-D4BF-4271-A978-7D0E1649E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703fb-01d8-4643-8d91-943788335c7e"/>
    <ds:schemaRef ds:uri="abefe56a-03ab-4bc7-ab52-4c54346a4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2325A-ADCF-4944-8A6A-0E277955C4F6}">
  <ds:schemaRefs>
    <ds:schemaRef ds:uri="http://schemas.microsoft.com/sharepoint/v3/contenttype/forms"/>
  </ds:schemaRefs>
</ds:datastoreItem>
</file>

<file path=customXml/itemProps4.xml><?xml version="1.0" encoding="utf-8"?>
<ds:datastoreItem xmlns:ds="http://schemas.openxmlformats.org/officeDocument/2006/customXml" ds:itemID="{785066C6-0AAA-4E2D-B36E-08BFE6A6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12660</Words>
  <Characters>74694</Characters>
  <Application>Microsoft Office Word</Application>
  <DocSecurity>0</DocSecurity>
  <Lines>622</Lines>
  <Paragraphs>174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87180</CharactersWithSpaces>
  <SharedDoc>false</SharedDoc>
  <HLinks>
    <vt:vector size="168" baseType="variant">
      <vt:variant>
        <vt:i4>2031668</vt:i4>
      </vt:variant>
      <vt:variant>
        <vt:i4>145</vt:i4>
      </vt:variant>
      <vt:variant>
        <vt:i4>0</vt:i4>
      </vt:variant>
      <vt:variant>
        <vt:i4>5</vt:i4>
      </vt:variant>
      <vt:variant>
        <vt:lpwstr/>
      </vt:variant>
      <vt:variant>
        <vt:lpwstr>_Toc133944269</vt:lpwstr>
      </vt:variant>
      <vt:variant>
        <vt:i4>2031668</vt:i4>
      </vt:variant>
      <vt:variant>
        <vt:i4>139</vt:i4>
      </vt:variant>
      <vt:variant>
        <vt:i4>0</vt:i4>
      </vt:variant>
      <vt:variant>
        <vt:i4>5</vt:i4>
      </vt:variant>
      <vt:variant>
        <vt:lpwstr/>
      </vt:variant>
      <vt:variant>
        <vt:lpwstr>_Toc133944268</vt:lpwstr>
      </vt:variant>
      <vt:variant>
        <vt:i4>2031668</vt:i4>
      </vt:variant>
      <vt:variant>
        <vt:i4>133</vt:i4>
      </vt:variant>
      <vt:variant>
        <vt:i4>0</vt:i4>
      </vt:variant>
      <vt:variant>
        <vt:i4>5</vt:i4>
      </vt:variant>
      <vt:variant>
        <vt:lpwstr/>
      </vt:variant>
      <vt:variant>
        <vt:lpwstr>_Toc133944267</vt:lpwstr>
      </vt:variant>
      <vt:variant>
        <vt:i4>2031668</vt:i4>
      </vt:variant>
      <vt:variant>
        <vt:i4>127</vt:i4>
      </vt:variant>
      <vt:variant>
        <vt:i4>0</vt:i4>
      </vt:variant>
      <vt:variant>
        <vt:i4>5</vt:i4>
      </vt:variant>
      <vt:variant>
        <vt:lpwstr/>
      </vt:variant>
      <vt:variant>
        <vt:lpwstr>_Toc133944266</vt:lpwstr>
      </vt:variant>
      <vt:variant>
        <vt:i4>2031668</vt:i4>
      </vt:variant>
      <vt:variant>
        <vt:i4>121</vt:i4>
      </vt:variant>
      <vt:variant>
        <vt:i4>0</vt:i4>
      </vt:variant>
      <vt:variant>
        <vt:i4>5</vt:i4>
      </vt:variant>
      <vt:variant>
        <vt:lpwstr/>
      </vt:variant>
      <vt:variant>
        <vt:lpwstr>_Toc133944265</vt:lpwstr>
      </vt:variant>
      <vt:variant>
        <vt:i4>2031668</vt:i4>
      </vt:variant>
      <vt:variant>
        <vt:i4>115</vt:i4>
      </vt:variant>
      <vt:variant>
        <vt:i4>0</vt:i4>
      </vt:variant>
      <vt:variant>
        <vt:i4>5</vt:i4>
      </vt:variant>
      <vt:variant>
        <vt:lpwstr/>
      </vt:variant>
      <vt:variant>
        <vt:lpwstr>_Toc133944264</vt:lpwstr>
      </vt:variant>
      <vt:variant>
        <vt:i4>2031668</vt:i4>
      </vt:variant>
      <vt:variant>
        <vt:i4>109</vt:i4>
      </vt:variant>
      <vt:variant>
        <vt:i4>0</vt:i4>
      </vt:variant>
      <vt:variant>
        <vt:i4>5</vt:i4>
      </vt:variant>
      <vt:variant>
        <vt:lpwstr/>
      </vt:variant>
      <vt:variant>
        <vt:lpwstr>_Toc133944263</vt:lpwstr>
      </vt:variant>
      <vt:variant>
        <vt:i4>2031668</vt:i4>
      </vt:variant>
      <vt:variant>
        <vt:i4>103</vt:i4>
      </vt:variant>
      <vt:variant>
        <vt:i4>0</vt:i4>
      </vt:variant>
      <vt:variant>
        <vt:i4>5</vt:i4>
      </vt:variant>
      <vt:variant>
        <vt:lpwstr/>
      </vt:variant>
      <vt:variant>
        <vt:lpwstr>_Toc133944262</vt:lpwstr>
      </vt:variant>
      <vt:variant>
        <vt:i4>2031668</vt:i4>
      </vt:variant>
      <vt:variant>
        <vt:i4>97</vt:i4>
      </vt:variant>
      <vt:variant>
        <vt:i4>0</vt:i4>
      </vt:variant>
      <vt:variant>
        <vt:i4>5</vt:i4>
      </vt:variant>
      <vt:variant>
        <vt:lpwstr/>
      </vt:variant>
      <vt:variant>
        <vt:lpwstr>_Toc133944261</vt:lpwstr>
      </vt:variant>
      <vt:variant>
        <vt:i4>2031668</vt:i4>
      </vt:variant>
      <vt:variant>
        <vt:i4>91</vt:i4>
      </vt:variant>
      <vt:variant>
        <vt:i4>0</vt:i4>
      </vt:variant>
      <vt:variant>
        <vt:i4>5</vt:i4>
      </vt:variant>
      <vt:variant>
        <vt:lpwstr/>
      </vt:variant>
      <vt:variant>
        <vt:lpwstr>_Toc133944260</vt:lpwstr>
      </vt:variant>
      <vt:variant>
        <vt:i4>1835060</vt:i4>
      </vt:variant>
      <vt:variant>
        <vt:i4>85</vt:i4>
      </vt:variant>
      <vt:variant>
        <vt:i4>0</vt:i4>
      </vt:variant>
      <vt:variant>
        <vt:i4>5</vt:i4>
      </vt:variant>
      <vt:variant>
        <vt:lpwstr/>
      </vt:variant>
      <vt:variant>
        <vt:lpwstr>_Toc133944259</vt:lpwstr>
      </vt:variant>
      <vt:variant>
        <vt:i4>1835060</vt:i4>
      </vt:variant>
      <vt:variant>
        <vt:i4>79</vt:i4>
      </vt:variant>
      <vt:variant>
        <vt:i4>0</vt:i4>
      </vt:variant>
      <vt:variant>
        <vt:i4>5</vt:i4>
      </vt:variant>
      <vt:variant>
        <vt:lpwstr/>
      </vt:variant>
      <vt:variant>
        <vt:lpwstr>_Toc133944258</vt:lpwstr>
      </vt:variant>
      <vt:variant>
        <vt:i4>1835060</vt:i4>
      </vt:variant>
      <vt:variant>
        <vt:i4>73</vt:i4>
      </vt:variant>
      <vt:variant>
        <vt:i4>0</vt:i4>
      </vt:variant>
      <vt:variant>
        <vt:i4>5</vt:i4>
      </vt:variant>
      <vt:variant>
        <vt:lpwstr/>
      </vt:variant>
      <vt:variant>
        <vt:lpwstr>_Toc133944257</vt:lpwstr>
      </vt:variant>
      <vt:variant>
        <vt:i4>1835060</vt:i4>
      </vt:variant>
      <vt:variant>
        <vt:i4>67</vt:i4>
      </vt:variant>
      <vt:variant>
        <vt:i4>0</vt:i4>
      </vt:variant>
      <vt:variant>
        <vt:i4>5</vt:i4>
      </vt:variant>
      <vt:variant>
        <vt:lpwstr/>
      </vt:variant>
      <vt:variant>
        <vt:lpwstr>_Toc133944256</vt:lpwstr>
      </vt:variant>
      <vt:variant>
        <vt:i4>1835060</vt:i4>
      </vt:variant>
      <vt:variant>
        <vt:i4>61</vt:i4>
      </vt:variant>
      <vt:variant>
        <vt:i4>0</vt:i4>
      </vt:variant>
      <vt:variant>
        <vt:i4>5</vt:i4>
      </vt:variant>
      <vt:variant>
        <vt:lpwstr/>
      </vt:variant>
      <vt:variant>
        <vt:lpwstr>_Toc133944255</vt:lpwstr>
      </vt:variant>
      <vt:variant>
        <vt:i4>1835060</vt:i4>
      </vt:variant>
      <vt:variant>
        <vt:i4>55</vt:i4>
      </vt:variant>
      <vt:variant>
        <vt:i4>0</vt:i4>
      </vt:variant>
      <vt:variant>
        <vt:i4>5</vt:i4>
      </vt:variant>
      <vt:variant>
        <vt:lpwstr/>
      </vt:variant>
      <vt:variant>
        <vt:lpwstr>_Toc133944254</vt:lpwstr>
      </vt:variant>
      <vt:variant>
        <vt:i4>1835060</vt:i4>
      </vt:variant>
      <vt:variant>
        <vt:i4>49</vt:i4>
      </vt:variant>
      <vt:variant>
        <vt:i4>0</vt:i4>
      </vt:variant>
      <vt:variant>
        <vt:i4>5</vt:i4>
      </vt:variant>
      <vt:variant>
        <vt:lpwstr/>
      </vt:variant>
      <vt:variant>
        <vt:lpwstr>_Toc133944253</vt:lpwstr>
      </vt:variant>
      <vt:variant>
        <vt:i4>1835060</vt:i4>
      </vt:variant>
      <vt:variant>
        <vt:i4>43</vt:i4>
      </vt:variant>
      <vt:variant>
        <vt:i4>0</vt:i4>
      </vt:variant>
      <vt:variant>
        <vt:i4>5</vt:i4>
      </vt:variant>
      <vt:variant>
        <vt:lpwstr/>
      </vt:variant>
      <vt:variant>
        <vt:lpwstr>_Toc133944252</vt:lpwstr>
      </vt:variant>
      <vt:variant>
        <vt:i4>1835060</vt:i4>
      </vt:variant>
      <vt:variant>
        <vt:i4>37</vt:i4>
      </vt:variant>
      <vt:variant>
        <vt:i4>0</vt:i4>
      </vt:variant>
      <vt:variant>
        <vt:i4>5</vt:i4>
      </vt:variant>
      <vt:variant>
        <vt:lpwstr/>
      </vt:variant>
      <vt:variant>
        <vt:lpwstr>_Toc133944251</vt:lpwstr>
      </vt:variant>
      <vt:variant>
        <vt:i4>1835060</vt:i4>
      </vt:variant>
      <vt:variant>
        <vt:i4>31</vt:i4>
      </vt:variant>
      <vt:variant>
        <vt:i4>0</vt:i4>
      </vt:variant>
      <vt:variant>
        <vt:i4>5</vt:i4>
      </vt:variant>
      <vt:variant>
        <vt:lpwstr/>
      </vt:variant>
      <vt:variant>
        <vt:lpwstr>_Toc133944250</vt:lpwstr>
      </vt:variant>
      <vt:variant>
        <vt:i4>1900596</vt:i4>
      </vt:variant>
      <vt:variant>
        <vt:i4>25</vt:i4>
      </vt:variant>
      <vt:variant>
        <vt:i4>0</vt:i4>
      </vt:variant>
      <vt:variant>
        <vt:i4>5</vt:i4>
      </vt:variant>
      <vt:variant>
        <vt:lpwstr/>
      </vt:variant>
      <vt:variant>
        <vt:lpwstr>_Toc133944249</vt:lpwstr>
      </vt:variant>
      <vt:variant>
        <vt:i4>1900596</vt:i4>
      </vt:variant>
      <vt:variant>
        <vt:i4>19</vt:i4>
      </vt:variant>
      <vt:variant>
        <vt:i4>0</vt:i4>
      </vt:variant>
      <vt:variant>
        <vt:i4>5</vt:i4>
      </vt:variant>
      <vt:variant>
        <vt:lpwstr/>
      </vt:variant>
      <vt:variant>
        <vt:lpwstr>_Toc133944248</vt:lpwstr>
      </vt:variant>
      <vt:variant>
        <vt:i4>1900596</vt:i4>
      </vt:variant>
      <vt:variant>
        <vt:i4>13</vt:i4>
      </vt:variant>
      <vt:variant>
        <vt:i4>0</vt:i4>
      </vt:variant>
      <vt:variant>
        <vt:i4>5</vt:i4>
      </vt:variant>
      <vt:variant>
        <vt:lpwstr/>
      </vt:variant>
      <vt:variant>
        <vt:lpwstr>_Toc133944247</vt:lpwstr>
      </vt:variant>
      <vt:variant>
        <vt:i4>7077908</vt:i4>
      </vt:variant>
      <vt:variant>
        <vt:i4>6</vt:i4>
      </vt:variant>
      <vt:variant>
        <vt:i4>0</vt:i4>
      </vt:variant>
      <vt:variant>
        <vt:i4>5</vt:i4>
      </vt:variant>
      <vt:variant>
        <vt:lpwstr>mailto:pavla.cihlarova@trinomics.eu</vt:lpwstr>
      </vt:variant>
      <vt:variant>
        <vt:lpwstr/>
      </vt:variant>
      <vt:variant>
        <vt:i4>983165</vt:i4>
      </vt:variant>
      <vt:variant>
        <vt:i4>3</vt:i4>
      </vt:variant>
      <vt:variant>
        <vt:i4>0</vt:i4>
      </vt:variant>
      <vt:variant>
        <vt:i4>5</vt:i4>
      </vt:variant>
      <vt:variant>
        <vt:lpwstr>mailto:peter.janoska@trinomics.eu</vt:lpwstr>
      </vt:variant>
      <vt:variant>
        <vt:lpwstr/>
      </vt:variant>
      <vt:variant>
        <vt:i4>8323079</vt:i4>
      </vt:variant>
      <vt:variant>
        <vt:i4>0</vt:i4>
      </vt:variant>
      <vt:variant>
        <vt:i4>0</vt:i4>
      </vt:variant>
      <vt:variant>
        <vt:i4>5</vt:i4>
      </vt:variant>
      <vt:variant>
        <vt:lpwstr>mailto:julian.toth@isfc.org</vt:lpwstr>
      </vt:variant>
      <vt:variant>
        <vt:lpwstr/>
      </vt:variant>
      <vt:variant>
        <vt:i4>4718617</vt:i4>
      </vt:variant>
      <vt:variant>
        <vt:i4>0</vt:i4>
      </vt:variant>
      <vt:variant>
        <vt:i4>0</vt:i4>
      </vt:variant>
      <vt:variant>
        <vt:i4>5</vt:i4>
      </vt:variant>
      <vt:variant>
        <vt:lpwstr>https://op.europa.eu/en/publication-detail/-/publication/23a24b21-16d0-11ec-b4fe-01aa75ed71a1/language-en</vt:lpwstr>
      </vt:variant>
      <vt:variant>
        <vt:lpwstr/>
      </vt:variant>
      <vt:variant>
        <vt:i4>589849</vt:i4>
      </vt:variant>
      <vt:variant>
        <vt:i4>0</vt:i4>
      </vt:variant>
      <vt:variant>
        <vt:i4>0</vt:i4>
      </vt:variant>
      <vt:variant>
        <vt:i4>5</vt:i4>
      </vt:variant>
      <vt:variant>
        <vt:lpwstr>http://www.trinomics.eu/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Maděra Milan</cp:lastModifiedBy>
  <cp:revision>6</cp:revision>
  <cp:lastPrinted>2024-08-09T16:36:00Z</cp:lastPrinted>
  <dcterms:created xsi:type="dcterms:W3CDTF">2023-08-21T19:19:00Z</dcterms:created>
  <dcterms:modified xsi:type="dcterms:W3CDTF">2024-08-09T16:37:00Z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0x010100B44838B464AC91499AA09F4C55BE8D43</vt:lpwstr>
  </property>
  <property fmtid="{D5CDD505-2E9C-101B-9397-08002B2CF9AE}" pid="3" name="AuthorIds_UIVersion_25600">
    <vt:lpwstr>18</vt:lpwstr>
  </property>
  <property fmtid="{D5CDD505-2E9C-101B-9397-08002B2CF9AE}" pid="4" name="MediaServiceImageTags">
    <vt:lpwstr/>
  </property>
</Properties>
</file>